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A445" w14:textId="77777777" w:rsidR="006941F3" w:rsidRDefault="006941F3" w:rsidP="006941F3">
      <w:pPr>
        <w:pStyle w:val="1-MainHeading"/>
        <w:spacing w:before="0" w:after="0"/>
      </w:pPr>
      <w:bookmarkStart w:id="0" w:name="_Toc208931290"/>
      <w:bookmarkStart w:id="1" w:name="_Toc380679747"/>
      <w:bookmarkStart w:id="2" w:name="_Toc380742604"/>
      <w:bookmarkStart w:id="3" w:name="_Toc380746171"/>
      <w:bookmarkStart w:id="4" w:name="_Toc380746294"/>
      <w:bookmarkStart w:id="5" w:name="_Toc380746578"/>
      <w:r>
        <w:t>7.05</w:t>
      </w:r>
      <w:r w:rsidRPr="0098262F">
        <w:tab/>
      </w:r>
      <w:r>
        <w:t>TUCATINIB</w:t>
      </w:r>
      <w:r w:rsidRPr="0098262F">
        <w:t>,</w:t>
      </w:r>
      <w:r w:rsidRPr="0098262F">
        <w:br/>
      </w:r>
      <w:r>
        <w:t>Tablet 50 mg</w:t>
      </w:r>
    </w:p>
    <w:p w14:paraId="1FF9C9C7" w14:textId="77777777" w:rsidR="006941F3" w:rsidRPr="0098262F" w:rsidRDefault="006941F3" w:rsidP="006941F3">
      <w:pPr>
        <w:pStyle w:val="1-MainHeading"/>
        <w:spacing w:before="0" w:after="0"/>
        <w:ind w:firstLine="0"/>
      </w:pPr>
      <w:r>
        <w:t>Tablet 150mg</w:t>
      </w:r>
      <w:r w:rsidRPr="0098262F">
        <w:br/>
      </w:r>
      <w:r>
        <w:t>Tukysa</w:t>
      </w:r>
      <w:r w:rsidRPr="0098262F">
        <w:rPr>
          <w:vertAlign w:val="superscript"/>
        </w:rPr>
        <w:t>®</w:t>
      </w:r>
      <w:r w:rsidRPr="0098262F">
        <w:t>,</w:t>
      </w:r>
      <w:r w:rsidRPr="0098262F">
        <w:br/>
      </w:r>
      <w:r>
        <w:t>Pfizer Australia Pty Ltd</w:t>
      </w:r>
      <w:r w:rsidRPr="0098262F">
        <w:t xml:space="preserve">. </w:t>
      </w:r>
    </w:p>
    <w:p w14:paraId="73BE661B" w14:textId="77777777" w:rsidR="00F84089" w:rsidRPr="0098262F" w:rsidRDefault="00F84089" w:rsidP="00F84089">
      <w:pPr>
        <w:pStyle w:val="2-SectionHeading"/>
      </w:pPr>
      <w:bookmarkStart w:id="6" w:name="_Toc208931293"/>
      <w:bookmarkEnd w:id="0"/>
      <w:r w:rsidRPr="0098262F">
        <w:t>Purpose of submission</w:t>
      </w:r>
      <w:bookmarkEnd w:id="6"/>
    </w:p>
    <w:p w14:paraId="6A601A88" w14:textId="364D14A4" w:rsidR="00F84089" w:rsidRPr="0098262F" w:rsidRDefault="00F84089" w:rsidP="00F84089">
      <w:pPr>
        <w:pStyle w:val="3-BodyText"/>
      </w:pPr>
      <w:r w:rsidRPr="0098262F">
        <w:t>The Standard Re-entry</w:t>
      </w:r>
      <w:r>
        <w:t xml:space="preserve"> resubmission</w:t>
      </w:r>
      <w:r w:rsidRPr="0098262F">
        <w:t xml:space="preserve"> </w:t>
      </w:r>
      <w:r w:rsidR="00140CAD">
        <w:t>requested</w:t>
      </w:r>
      <w:r w:rsidR="00140CAD" w:rsidDel="002F77F2">
        <w:t xml:space="preserve"> </w:t>
      </w:r>
      <w:r>
        <w:t xml:space="preserve">a General Schedule Section 85, Authority Required listing of tucatinib for use in combination with trastuzumab plus capecitabine for the treatment of metastatic (Stage IV) human epidermal growth factor receptor 2 positive (HER2+) breast cancer in patients who have received two prior lines of HER2-directed therapy </w:t>
      </w:r>
      <w:r w:rsidR="000926E6">
        <w:t>or who</w:t>
      </w:r>
      <w:r>
        <w:t xml:space="preserve"> have progressed on trastuzumab deruxtecan (T-</w:t>
      </w:r>
      <w:proofErr w:type="spellStart"/>
      <w:r>
        <w:t>DXd</w:t>
      </w:r>
      <w:proofErr w:type="spellEnd"/>
      <w:r>
        <w:t>).</w:t>
      </w:r>
    </w:p>
    <w:p w14:paraId="03E6D603" w14:textId="0C5A081F" w:rsidR="00F84089" w:rsidRPr="0098262F" w:rsidRDefault="00F84089" w:rsidP="00F84089">
      <w:pPr>
        <w:pStyle w:val="3-BodyText"/>
      </w:pPr>
      <w:r w:rsidRPr="0098262F">
        <w:t xml:space="preserve">Listing was requested </w:t>
      </w:r>
      <w:proofErr w:type="gramStart"/>
      <w:r w:rsidRPr="0098262F">
        <w:t>on the basis of</w:t>
      </w:r>
      <w:proofErr w:type="gramEnd"/>
      <w:r w:rsidRPr="0098262F">
        <w:t xml:space="preserve"> a cost-</w:t>
      </w:r>
      <w:r w:rsidR="008912CE">
        <w:t>utility</w:t>
      </w:r>
      <w:r w:rsidR="008912CE" w:rsidRPr="0098262F">
        <w:t xml:space="preserve"> </w:t>
      </w:r>
      <w:r w:rsidRPr="0098262F">
        <w:t>analysis</w:t>
      </w:r>
      <w:r>
        <w:t xml:space="preserve"> (CUA)</w:t>
      </w:r>
      <w:r w:rsidRPr="0098262F">
        <w:t xml:space="preserve"> versus </w:t>
      </w:r>
      <w:r>
        <w:t>trastuzumab plus capecitabine, and a cost-minimisation approach (CMA) versus trastuzumab emtansine (T-DM1)</w:t>
      </w:r>
      <w:r w:rsidRPr="0098262F">
        <w:t xml:space="preserve">. </w:t>
      </w:r>
    </w:p>
    <w:p w14:paraId="49ACD534" w14:textId="38EAA37E" w:rsidR="00F84089" w:rsidRPr="00C33092" w:rsidRDefault="00F84089" w:rsidP="00F84089">
      <w:pPr>
        <w:pStyle w:val="TableFigureHeading"/>
        <w:rPr>
          <w:rStyle w:val="CommentReference"/>
          <w:b/>
          <w:szCs w:val="24"/>
        </w:rPr>
      </w:pPr>
      <w:r w:rsidRPr="00C33092">
        <w:t xml:space="preserve">Table </w:t>
      </w:r>
      <w:r w:rsidR="007000FA">
        <w:fldChar w:fldCharType="begin"/>
      </w:r>
      <w:r w:rsidR="007000FA">
        <w:instrText xml:space="preserve"> SEQ Table \* ARABIC </w:instrText>
      </w:r>
      <w:r w:rsidR="007000FA">
        <w:fldChar w:fldCharType="separate"/>
      </w:r>
      <w:r w:rsidR="009B3037">
        <w:rPr>
          <w:noProof/>
        </w:rPr>
        <w:t>1</w:t>
      </w:r>
      <w:r w:rsidR="007000FA">
        <w:rPr>
          <w:noProof/>
        </w:rPr>
        <w:fldChar w:fldCharType="end"/>
      </w:r>
      <w:r w:rsidRPr="00C33092">
        <w:t>:</w:t>
      </w:r>
      <w:r w:rsidRPr="00C33092">
        <w:rPr>
          <w:rStyle w:val="CommentReference"/>
          <w:b/>
          <w:szCs w:val="24"/>
        </w:rPr>
        <w:t xml:space="preserve">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Key components of the clinical issue addressed by the submission (as stated in the submission)"/>
      </w:tblPr>
      <w:tblGrid>
        <w:gridCol w:w="1413"/>
        <w:gridCol w:w="7743"/>
      </w:tblGrid>
      <w:tr w:rsidR="00F84089" w:rsidRPr="00C33092" w14:paraId="6485C0DD" w14:textId="77777777" w:rsidTr="008B1086">
        <w:tc>
          <w:tcPr>
            <w:tcW w:w="1413" w:type="dxa"/>
          </w:tcPr>
          <w:p w14:paraId="067C1ADD" w14:textId="77777777" w:rsidR="00F84089" w:rsidRPr="00C33092" w:rsidRDefault="00F84089" w:rsidP="00CA6BDE">
            <w:pPr>
              <w:pStyle w:val="In-tableHeading"/>
            </w:pPr>
            <w:r w:rsidRPr="00C33092">
              <w:t>Component</w:t>
            </w:r>
          </w:p>
        </w:tc>
        <w:tc>
          <w:tcPr>
            <w:tcW w:w="7743" w:type="dxa"/>
          </w:tcPr>
          <w:p w14:paraId="621F4422" w14:textId="77777777" w:rsidR="00F84089" w:rsidRPr="00C33092" w:rsidRDefault="00F84089" w:rsidP="00CA6BDE">
            <w:pPr>
              <w:pStyle w:val="In-tableHeading"/>
            </w:pPr>
            <w:r w:rsidRPr="00C33092">
              <w:t>Description</w:t>
            </w:r>
          </w:p>
        </w:tc>
      </w:tr>
      <w:tr w:rsidR="00F84089" w:rsidRPr="00C33092" w14:paraId="13224AD2" w14:textId="77777777" w:rsidTr="008B1086">
        <w:tc>
          <w:tcPr>
            <w:tcW w:w="1413" w:type="dxa"/>
          </w:tcPr>
          <w:p w14:paraId="7A44C96E" w14:textId="77777777" w:rsidR="00F84089" w:rsidRPr="00C33092" w:rsidRDefault="00F84089" w:rsidP="008B1086">
            <w:pPr>
              <w:pStyle w:val="TableText0"/>
            </w:pPr>
            <w:r w:rsidRPr="00C33092">
              <w:t>Population</w:t>
            </w:r>
          </w:p>
        </w:tc>
        <w:tc>
          <w:tcPr>
            <w:tcW w:w="7743" w:type="dxa"/>
          </w:tcPr>
          <w:p w14:paraId="3BF0776C" w14:textId="77777777" w:rsidR="00F84089" w:rsidRPr="00C33092" w:rsidRDefault="00F84089" w:rsidP="008B1086">
            <w:pPr>
              <w:pStyle w:val="TableText0"/>
            </w:pPr>
            <w:r w:rsidRPr="00C33092">
              <w:rPr>
                <w:shd w:val="clear" w:color="auto" w:fill="B8CCE4" w:themeFill="accent1" w:themeFillTint="66"/>
              </w:rPr>
              <w:t>HER2+ metastatic (Stage IV) breast cancer, including patients with brain metastases. Patients are required to have received two prior anti-HER2-based regimens in the metastatic setting</w:t>
            </w:r>
            <w:r w:rsidRPr="00C33092">
              <w:t xml:space="preserve"> </w:t>
            </w:r>
            <w:r w:rsidRPr="00C33092">
              <w:rPr>
                <w:shd w:val="clear" w:color="auto" w:fill="FFFFFF" w:themeFill="background1"/>
              </w:rPr>
              <w:t>or in the case of patients who have progressed on T-</w:t>
            </w:r>
            <w:proofErr w:type="spellStart"/>
            <w:r w:rsidRPr="00C33092">
              <w:rPr>
                <w:shd w:val="clear" w:color="auto" w:fill="FFFFFF" w:themeFill="background1"/>
              </w:rPr>
              <w:t>DXd</w:t>
            </w:r>
            <w:proofErr w:type="spellEnd"/>
          </w:p>
        </w:tc>
      </w:tr>
      <w:tr w:rsidR="00F84089" w:rsidRPr="00C33092" w14:paraId="23849A39" w14:textId="77777777" w:rsidTr="008B1086">
        <w:tc>
          <w:tcPr>
            <w:tcW w:w="1413" w:type="dxa"/>
          </w:tcPr>
          <w:p w14:paraId="259D12F0" w14:textId="77777777" w:rsidR="00F84089" w:rsidRPr="00C33092" w:rsidRDefault="00F84089" w:rsidP="008B1086">
            <w:pPr>
              <w:pStyle w:val="TableText0"/>
            </w:pPr>
            <w:r w:rsidRPr="00C33092">
              <w:t>Intervention</w:t>
            </w:r>
          </w:p>
        </w:tc>
        <w:tc>
          <w:tcPr>
            <w:tcW w:w="7743" w:type="dxa"/>
            <w:shd w:val="clear" w:color="auto" w:fill="B8CCE4" w:themeFill="accent1" w:themeFillTint="66"/>
          </w:tcPr>
          <w:p w14:paraId="15EC40F4" w14:textId="77777777" w:rsidR="00F84089" w:rsidRPr="00C33092" w:rsidRDefault="00F84089" w:rsidP="008B1086">
            <w:pPr>
              <w:pStyle w:val="TableText0"/>
            </w:pPr>
            <w:r w:rsidRPr="00C33092">
              <w:t>Tucatinib (300 mg orally twice daily) in combination with trastuzumab (6 mg/kg intravenously once every 21 days, with an initial loading dose of 8 mg/kg) and capecitabine (1000 mg / m2 of BSA orally twice daily on days 1 to 14 of each 21-day cycle)</w:t>
            </w:r>
          </w:p>
        </w:tc>
      </w:tr>
      <w:tr w:rsidR="00F84089" w:rsidRPr="00C33092" w14:paraId="684B662D" w14:textId="77777777" w:rsidTr="008B1086">
        <w:tc>
          <w:tcPr>
            <w:tcW w:w="1413" w:type="dxa"/>
          </w:tcPr>
          <w:p w14:paraId="311D3E6C" w14:textId="77777777" w:rsidR="00F84089" w:rsidRPr="00C33092" w:rsidRDefault="00F84089" w:rsidP="008B1086">
            <w:pPr>
              <w:pStyle w:val="TableText0"/>
            </w:pPr>
            <w:r w:rsidRPr="00C33092">
              <w:t>Comparator</w:t>
            </w:r>
          </w:p>
        </w:tc>
        <w:tc>
          <w:tcPr>
            <w:tcW w:w="7743" w:type="dxa"/>
          </w:tcPr>
          <w:p w14:paraId="49F0742D" w14:textId="77777777" w:rsidR="00F84089" w:rsidRPr="00C33092" w:rsidRDefault="00F84089" w:rsidP="008B1086">
            <w:pPr>
              <w:pStyle w:val="TableText0"/>
              <w:shd w:val="clear" w:color="auto" w:fill="FFFFFF" w:themeFill="background1"/>
            </w:pPr>
            <w:r w:rsidRPr="00C33092">
              <w:rPr>
                <w:shd w:val="clear" w:color="auto" w:fill="B8CCE4" w:themeFill="accent1" w:themeFillTint="66"/>
              </w:rPr>
              <w:t>Trastuzumab + capecitabine</w:t>
            </w:r>
          </w:p>
          <w:p w14:paraId="28A5AC01" w14:textId="77777777" w:rsidR="00F84089" w:rsidRPr="00C33092" w:rsidRDefault="00F84089" w:rsidP="008B1086">
            <w:pPr>
              <w:pStyle w:val="TableText0"/>
              <w:shd w:val="clear" w:color="auto" w:fill="FFFFFF" w:themeFill="background1"/>
            </w:pPr>
          </w:p>
          <w:p w14:paraId="76C46B0A" w14:textId="77777777" w:rsidR="00F84089" w:rsidRPr="00C33092" w:rsidRDefault="00F84089" w:rsidP="008B1086">
            <w:pPr>
              <w:pStyle w:val="TableText0"/>
              <w:shd w:val="clear" w:color="auto" w:fill="FFFFFF" w:themeFill="background1"/>
            </w:pPr>
            <w:r w:rsidRPr="00C33092">
              <w:t>T-DM1 3.6 mg/kg given as an intravenous infusion once every 3 weeks (21-day cycle) until disease progression</w:t>
            </w:r>
          </w:p>
        </w:tc>
      </w:tr>
      <w:tr w:rsidR="00F84089" w:rsidRPr="00C33092" w14:paraId="7BA397C5" w14:textId="77777777" w:rsidTr="008B1086">
        <w:tc>
          <w:tcPr>
            <w:tcW w:w="1413" w:type="dxa"/>
          </w:tcPr>
          <w:p w14:paraId="2F9BBCD1" w14:textId="77777777" w:rsidR="00F84089" w:rsidRPr="00C33092" w:rsidRDefault="00F84089" w:rsidP="008B1086">
            <w:pPr>
              <w:pStyle w:val="TableText0"/>
            </w:pPr>
            <w:r w:rsidRPr="00C33092">
              <w:t>Outcomes</w:t>
            </w:r>
          </w:p>
        </w:tc>
        <w:tc>
          <w:tcPr>
            <w:tcW w:w="7743" w:type="dxa"/>
            <w:shd w:val="clear" w:color="auto" w:fill="B8CCE4" w:themeFill="accent1" w:themeFillTint="66"/>
          </w:tcPr>
          <w:p w14:paraId="04A76A0F" w14:textId="77777777" w:rsidR="00F84089" w:rsidRPr="00C33092" w:rsidRDefault="00F84089" w:rsidP="008B1086">
            <w:pPr>
              <w:pStyle w:val="TableText0"/>
            </w:pPr>
            <w:r w:rsidRPr="00C33092">
              <w:rPr>
                <w:b/>
                <w:bCs w:val="0"/>
              </w:rPr>
              <w:t>Primary:</w:t>
            </w:r>
            <w:r w:rsidRPr="00C33092">
              <w:t xml:space="preserve"> PFS</w:t>
            </w:r>
          </w:p>
          <w:p w14:paraId="259C638B" w14:textId="77777777" w:rsidR="00F84089" w:rsidRPr="00C33092" w:rsidRDefault="00F84089" w:rsidP="008B1086">
            <w:pPr>
              <w:pStyle w:val="TableText0"/>
            </w:pPr>
            <w:r w:rsidRPr="00C33092">
              <w:rPr>
                <w:b/>
                <w:bCs w:val="0"/>
              </w:rPr>
              <w:t>Secondary:</w:t>
            </w:r>
            <w:r w:rsidRPr="00C33092">
              <w:t xml:space="preserve"> OS, PFS among patients with brain metastases, overall response, safety, Quality-of-life</w:t>
            </w:r>
          </w:p>
        </w:tc>
      </w:tr>
      <w:tr w:rsidR="00F84089" w:rsidRPr="00C33092" w14:paraId="690B3A8A" w14:textId="77777777" w:rsidTr="008B1086">
        <w:tc>
          <w:tcPr>
            <w:tcW w:w="1413" w:type="dxa"/>
          </w:tcPr>
          <w:p w14:paraId="4E025D52" w14:textId="77777777" w:rsidR="00F84089" w:rsidRPr="00C33092" w:rsidRDefault="00F84089" w:rsidP="008B1086">
            <w:pPr>
              <w:pStyle w:val="TableText0"/>
            </w:pPr>
            <w:r w:rsidRPr="00C33092">
              <w:t>Clinical claim</w:t>
            </w:r>
          </w:p>
        </w:tc>
        <w:tc>
          <w:tcPr>
            <w:tcW w:w="7743" w:type="dxa"/>
          </w:tcPr>
          <w:p w14:paraId="4BC2FD43" w14:textId="77777777" w:rsidR="00F84089" w:rsidRPr="00C33092" w:rsidRDefault="00F84089" w:rsidP="008B1086">
            <w:pPr>
              <w:pStyle w:val="TableText0"/>
              <w:shd w:val="clear" w:color="auto" w:fill="B8CCE4" w:themeFill="accent1" w:themeFillTint="66"/>
              <w:rPr>
                <w:u w:val="single"/>
              </w:rPr>
            </w:pPr>
            <w:r w:rsidRPr="00C33092">
              <w:rPr>
                <w:u w:val="single"/>
              </w:rPr>
              <w:t>Trastuzumab + capecitabine</w:t>
            </w:r>
          </w:p>
          <w:p w14:paraId="127AD174" w14:textId="77777777" w:rsidR="00F84089" w:rsidRPr="00C33092" w:rsidRDefault="00F84089" w:rsidP="008B1086">
            <w:pPr>
              <w:pStyle w:val="TableText0"/>
              <w:shd w:val="clear" w:color="auto" w:fill="B8CCE4" w:themeFill="accent1" w:themeFillTint="66"/>
            </w:pPr>
            <w:r w:rsidRPr="00C33092">
              <w:rPr>
                <w:b/>
                <w:bCs w:val="0"/>
              </w:rPr>
              <w:t>Efficacy:</w:t>
            </w:r>
            <w:r w:rsidRPr="00C33092">
              <w:t xml:space="preserve"> Superiority for tucatinib in combination with trastuzumab and capecitabine vs trastuzumab and capecitabine.</w:t>
            </w:r>
          </w:p>
          <w:p w14:paraId="0CC20804" w14:textId="77777777" w:rsidR="00F84089" w:rsidRPr="00C33092" w:rsidRDefault="00F84089" w:rsidP="008B1086">
            <w:pPr>
              <w:pStyle w:val="TableText0"/>
              <w:shd w:val="clear" w:color="auto" w:fill="B8CCE4" w:themeFill="accent1" w:themeFillTint="66"/>
            </w:pPr>
            <w:r w:rsidRPr="00C33092">
              <w:rPr>
                <w:b/>
                <w:bCs w:val="0"/>
              </w:rPr>
              <w:t>Safety:</w:t>
            </w:r>
            <w:r w:rsidRPr="00C33092">
              <w:t xml:space="preserve"> Inferior safety to trastuzumab and capecitabine, with this being regarded as tolerable and manageable</w:t>
            </w:r>
          </w:p>
          <w:p w14:paraId="0ABA2FC3" w14:textId="77777777" w:rsidR="00F84089" w:rsidRPr="00C33092" w:rsidRDefault="00F84089" w:rsidP="008B1086">
            <w:pPr>
              <w:pStyle w:val="TableText0"/>
            </w:pPr>
          </w:p>
          <w:p w14:paraId="23C7090F" w14:textId="77777777" w:rsidR="00F84089" w:rsidRPr="00C33092" w:rsidRDefault="00F84089" w:rsidP="008B1086">
            <w:pPr>
              <w:pStyle w:val="TableText0"/>
              <w:shd w:val="clear" w:color="auto" w:fill="FFFFFF" w:themeFill="background1"/>
            </w:pPr>
            <w:r w:rsidRPr="00C33092">
              <w:rPr>
                <w:u w:val="single"/>
              </w:rPr>
              <w:t>T-DM1</w:t>
            </w:r>
          </w:p>
          <w:p w14:paraId="25B3474A" w14:textId="77777777" w:rsidR="00F84089" w:rsidRPr="00C33092" w:rsidRDefault="00F84089" w:rsidP="008B1086">
            <w:pPr>
              <w:pStyle w:val="TableText0"/>
              <w:shd w:val="clear" w:color="auto" w:fill="FFFFFF" w:themeFill="background1"/>
            </w:pPr>
            <w:r w:rsidRPr="00C33092">
              <w:rPr>
                <w:b/>
                <w:bCs w:val="0"/>
              </w:rPr>
              <w:t>Efficacy:</w:t>
            </w:r>
            <w:r w:rsidRPr="00C33092">
              <w:t xml:space="preserve"> Non-inferiority for tucatinib in combination with trastuzumab and capecitabine versus T-DM1</w:t>
            </w:r>
          </w:p>
          <w:p w14:paraId="69C29641" w14:textId="77777777" w:rsidR="00F84089" w:rsidRPr="00C33092" w:rsidRDefault="00F84089" w:rsidP="008B1086">
            <w:pPr>
              <w:pStyle w:val="TableText0"/>
              <w:shd w:val="clear" w:color="auto" w:fill="FFFFFF" w:themeFill="background1"/>
            </w:pPr>
            <w:r w:rsidRPr="00C33092">
              <w:rPr>
                <w:b/>
                <w:bCs w:val="0"/>
              </w:rPr>
              <w:t>Safety:</w:t>
            </w:r>
            <w:r w:rsidRPr="00C33092">
              <w:t xml:space="preserve"> Tucatinib combination therapy has a different safety profile compared to T-DM1, with this being regarded as tolerable and manageable</w:t>
            </w:r>
          </w:p>
        </w:tc>
      </w:tr>
    </w:tbl>
    <w:p w14:paraId="6ED1B4CB" w14:textId="77777777" w:rsidR="00F84089" w:rsidRPr="00C33092" w:rsidRDefault="00F84089" w:rsidP="00F84089">
      <w:pPr>
        <w:pStyle w:val="FooterTableFigure"/>
      </w:pPr>
      <w:r w:rsidRPr="00C33092">
        <w:t>Source: Table 1.1.1, p22 of the submission.</w:t>
      </w:r>
    </w:p>
    <w:p w14:paraId="7E11C8D4" w14:textId="77777777" w:rsidR="00F84089" w:rsidRPr="00C33092" w:rsidRDefault="00F84089" w:rsidP="00F84089">
      <w:pPr>
        <w:pStyle w:val="FooterTableFigure"/>
      </w:pPr>
      <w:r w:rsidRPr="00C33092">
        <w:t>Abbreviations: BSA, body surface area; HER, human epidermal growth factor receptor 2; HER2+, HER2-positive; HER2-, HER2-negative; OS, overall survival; T-</w:t>
      </w:r>
      <w:proofErr w:type="spellStart"/>
      <w:r w:rsidRPr="00C33092">
        <w:t>DXd</w:t>
      </w:r>
      <w:proofErr w:type="spellEnd"/>
      <w:r w:rsidRPr="00C33092">
        <w:t>, trastuzumab deruxtecan</w:t>
      </w:r>
    </w:p>
    <w:p w14:paraId="0B525B3D" w14:textId="6814E19D" w:rsidR="00F84089" w:rsidRPr="00C33092" w:rsidRDefault="00F84089" w:rsidP="00F84089">
      <w:pPr>
        <w:pStyle w:val="FooterTableFigure"/>
      </w:pPr>
      <w:r w:rsidRPr="00C33092">
        <w:rPr>
          <w:shd w:val="clear" w:color="auto" w:fill="B8CCE4" w:themeFill="accent1" w:themeFillTint="66"/>
        </w:rPr>
        <w:t>Blue shading</w:t>
      </w:r>
      <w:r w:rsidRPr="00C33092">
        <w:t xml:space="preserve"> signifies information previously seen by</w:t>
      </w:r>
      <w:r w:rsidRPr="00C33092" w:rsidDel="00BD3EE4">
        <w:t xml:space="preserve"> the </w:t>
      </w:r>
      <w:r w:rsidRPr="00C33092">
        <w:t>PBAC.</w:t>
      </w:r>
    </w:p>
    <w:p w14:paraId="7182EE20" w14:textId="2591A256" w:rsidR="00F84089" w:rsidRPr="00C33092" w:rsidRDefault="00F84089">
      <w:pPr>
        <w:pStyle w:val="3-BodyText"/>
      </w:pPr>
      <w:r w:rsidRPr="00C33092">
        <w:lastRenderedPageBreak/>
        <w:t xml:space="preserve">The key changes to the PICO compared to the previous submission </w:t>
      </w:r>
      <w:r w:rsidR="003E04D5">
        <w:t>we</w:t>
      </w:r>
      <w:r w:rsidRPr="00C33092">
        <w:t>re due to the Pharmaceutical Benefits Scheme (PBS) listing of T-</w:t>
      </w:r>
      <w:proofErr w:type="spellStart"/>
      <w:r w:rsidRPr="00C33092">
        <w:t>DXd</w:t>
      </w:r>
      <w:proofErr w:type="spellEnd"/>
      <w:r w:rsidRPr="00C33092">
        <w:t xml:space="preserve"> in November 2023 which is now standard of care (SOC) therapy for the treatment of HER2+ </w:t>
      </w:r>
      <w:r w:rsidR="004B2AEF" w:rsidRPr="00C33092">
        <w:t>metastatic breast cancer (</w:t>
      </w:r>
      <w:proofErr w:type="spellStart"/>
      <w:r w:rsidRPr="00C33092">
        <w:t>mBC</w:t>
      </w:r>
      <w:proofErr w:type="spellEnd"/>
      <w:r w:rsidR="004B2AEF" w:rsidRPr="00C33092">
        <w:t>)</w:t>
      </w:r>
      <w:r w:rsidR="0045592D" w:rsidRPr="00C33092">
        <w:t xml:space="preserve"> who have progressed following treatment with at least one prior HER2 directed regimen/s for metastatic disease, or relapsed during or within 6 months of receiving HER2 directed adjuvant therapy</w:t>
      </w:r>
      <w:r w:rsidRPr="00C33092">
        <w:t xml:space="preserve"> in Australia. This has displaced T-DM1 from a second to third-line therapy</w:t>
      </w:r>
      <w:r w:rsidR="00EE2D29">
        <w:t xml:space="preserve"> in some patients</w:t>
      </w:r>
      <w:r w:rsidRPr="00C33092">
        <w:t xml:space="preserve">, </w:t>
      </w:r>
      <w:r w:rsidR="00EE2D29">
        <w:t xml:space="preserve">and the submission stated that </w:t>
      </w:r>
      <w:r w:rsidRPr="00C33092">
        <w:t>T-DM1 is now a relevant comparator in the resubmission.</w:t>
      </w:r>
    </w:p>
    <w:p w14:paraId="46F63FF4" w14:textId="77777777" w:rsidR="00F84089" w:rsidRPr="00C33092" w:rsidRDefault="00F84089" w:rsidP="00F84089">
      <w:pPr>
        <w:pStyle w:val="2-SectionHeading"/>
      </w:pPr>
      <w:bookmarkStart w:id="7" w:name="_Toc208931294"/>
      <w:r w:rsidRPr="00C33092">
        <w:t>Background</w:t>
      </w:r>
      <w:bookmarkEnd w:id="7"/>
    </w:p>
    <w:p w14:paraId="70005711" w14:textId="77777777" w:rsidR="00F84089" w:rsidRPr="00C33092" w:rsidRDefault="00F84089" w:rsidP="00230B9C">
      <w:pPr>
        <w:pStyle w:val="4-SubsectionHeading"/>
      </w:pPr>
      <w:bookmarkStart w:id="8" w:name="_Toc22897638"/>
      <w:bookmarkStart w:id="9" w:name="_Toc208931295"/>
      <w:r w:rsidRPr="00C33092">
        <w:t>Registration status</w:t>
      </w:r>
      <w:bookmarkEnd w:id="8"/>
      <w:bookmarkEnd w:id="9"/>
    </w:p>
    <w:p w14:paraId="581928CD" w14:textId="78C93E85" w:rsidR="00F84089" w:rsidRPr="00C33092" w:rsidRDefault="00F84089" w:rsidP="00F84089">
      <w:pPr>
        <w:pStyle w:val="3-BodyText"/>
      </w:pPr>
      <w:r w:rsidRPr="00C33092">
        <w:t xml:space="preserve">Tucatinib was Therapeutic Goods Administration (TGA) registered on 13 August 2021 indicated </w:t>
      </w:r>
      <w:r w:rsidR="00342F6D">
        <w:t>‘</w:t>
      </w:r>
      <w:r w:rsidRPr="00C33092">
        <w:t>in combination with trastuzumab and capecitabine for treatment of patients with advanced unresectable or metastatic HER2+ breast cancer, including patients with brain metastases, who have received one or more prior anti-HER2-based regimens in the metastatic setting.</w:t>
      </w:r>
      <w:r w:rsidR="00342F6D">
        <w:t>’</w:t>
      </w:r>
    </w:p>
    <w:p w14:paraId="1F4935BA" w14:textId="77777777" w:rsidR="00B1264B" w:rsidRPr="00C33092" w:rsidRDefault="00B1264B" w:rsidP="00230B9C">
      <w:pPr>
        <w:pStyle w:val="4-SubsectionHeading"/>
      </w:pPr>
      <w:bookmarkStart w:id="10" w:name="_Toc208931296"/>
      <w:r w:rsidRPr="00C33092">
        <w:t>Previous PBAC consideration</w:t>
      </w:r>
      <w:bookmarkEnd w:id="10"/>
    </w:p>
    <w:p w14:paraId="569EE966" w14:textId="77777777" w:rsidR="00B1264B" w:rsidRPr="00C33092" w:rsidRDefault="00B1264B" w:rsidP="00B1264B">
      <w:pPr>
        <w:pStyle w:val="3-BodyText"/>
        <w:rPr>
          <w:color w:val="0066FF"/>
        </w:rPr>
      </w:pPr>
      <w:r w:rsidRPr="00C33092">
        <w:t xml:space="preserve">Tucatinib was previously considered by the Pharmaceutical Benefits Advisory Committee (PBAC) in March 2021 for the management of HER2+ </w:t>
      </w:r>
      <w:proofErr w:type="spellStart"/>
      <w:r w:rsidRPr="00C33092">
        <w:t>mBC</w:t>
      </w:r>
      <w:proofErr w:type="spellEnd"/>
      <w:r w:rsidRPr="00C33092">
        <w:t xml:space="preserve">, including in patients with brain metastases, who (i) received one prior line of HER2-directed therapy for metastatic disease where the patient has previously received T-DM1 for either adjuvant or metastatic disease (second line </w:t>
      </w:r>
      <w:proofErr w:type="spellStart"/>
      <w:r w:rsidRPr="00C33092">
        <w:t>mBC</w:t>
      </w:r>
      <w:proofErr w:type="spellEnd"/>
      <w:r w:rsidRPr="00C33092">
        <w:t xml:space="preserve"> and adjuvant T-DM1), or (ii) who received ≥2 prior lines of HER2-directed therapy in metastatic disease (third or later line </w:t>
      </w:r>
      <w:proofErr w:type="spellStart"/>
      <w:r w:rsidRPr="00C33092">
        <w:t>mBC</w:t>
      </w:r>
      <w:proofErr w:type="spellEnd"/>
      <w:r w:rsidRPr="00C33092">
        <w:t xml:space="preserve">). </w:t>
      </w:r>
    </w:p>
    <w:p w14:paraId="296CDD2D" w14:textId="5D8DF63C" w:rsidR="00B1264B" w:rsidRPr="00C33092" w:rsidRDefault="00B1264B" w:rsidP="00B1264B">
      <w:pPr>
        <w:pStyle w:val="3-BodyText"/>
        <w:rPr>
          <w:color w:val="0066FF"/>
        </w:rPr>
      </w:pPr>
      <w:r w:rsidRPr="00C33092">
        <w:t xml:space="preserve">The PBAC did not recommend </w:t>
      </w:r>
      <w:r w:rsidR="00D162F7">
        <w:t xml:space="preserve">the </w:t>
      </w:r>
      <w:r w:rsidRPr="00C33092">
        <w:t xml:space="preserve">listing of tucatinib noting that while </w:t>
      </w:r>
      <w:r w:rsidR="00342F6D">
        <w:t>‘</w:t>
      </w:r>
      <w:r w:rsidRPr="00C33092">
        <w:t>tucatinib provided a clinical benefit in terms of progression-free survival (PFS) and overall survival (OS) and acknowledged a high clinical need, especially in the subgroup of patients with brain metastases, [.</w:t>
      </w:r>
      <w:r w:rsidR="006E6EA7">
        <w:t>.</w:t>
      </w:r>
      <w:r w:rsidRPr="00C33092">
        <w:t>.] however, the PBAC considered that the incremental cost-effectiveness ratio (ICER) was unacceptably high at the proposed price</w:t>
      </w:r>
      <w:r w:rsidR="00342F6D">
        <w:t>’</w:t>
      </w:r>
      <w:r w:rsidRPr="00C33092">
        <w:t xml:space="preserve"> (paragraph 7.1, tucatinib Public Summary Document [PSD], March 2021 PBAC meeting). The PBAC also considered that the estimated number of treated patients was likely overestimated (paragraph 7.1, tucatinib PSD, March 2021 PBAC meeting).</w:t>
      </w:r>
    </w:p>
    <w:p w14:paraId="506DC922" w14:textId="726C286D" w:rsidR="00B1264B" w:rsidRPr="00C33092" w:rsidRDefault="00B1264B" w:rsidP="00B1264B">
      <w:pPr>
        <w:pStyle w:val="3-BodyText"/>
        <w:rPr>
          <w:color w:val="0066FF"/>
        </w:rPr>
      </w:pPr>
      <w:bookmarkStart w:id="11" w:name="_Ref207202110"/>
      <w:r w:rsidRPr="00C33092">
        <w:t>The key changes in the resubmission for tucatinib are due to the listing of T-</w:t>
      </w:r>
      <w:proofErr w:type="spellStart"/>
      <w:r w:rsidRPr="00C33092">
        <w:t>DXd</w:t>
      </w:r>
      <w:proofErr w:type="spellEnd"/>
      <w:r w:rsidR="009B6200">
        <w:t>, which</w:t>
      </w:r>
      <w:r w:rsidRPr="00C33092">
        <w:t xml:space="preserve"> was recommended by </w:t>
      </w:r>
      <w:r w:rsidR="009B6200">
        <w:t xml:space="preserve">the </w:t>
      </w:r>
      <w:r w:rsidRPr="00C33092">
        <w:t xml:space="preserve">PBAC in July 2023 as a second-line therapy for </w:t>
      </w:r>
      <w:r w:rsidR="00A27E73" w:rsidRPr="00C33092">
        <w:t>patients</w:t>
      </w:r>
      <w:r w:rsidR="00D93004" w:rsidRPr="00C33092">
        <w:t xml:space="preserve"> who have received prior anti-HER2-based regimens</w:t>
      </w:r>
      <w:r w:rsidRPr="00C33092">
        <w:t>, subsequently displacing T-DM1 to a third line therapy.</w:t>
      </w:r>
      <w:bookmarkEnd w:id="11"/>
    </w:p>
    <w:p w14:paraId="1ECA09A0" w14:textId="4D1E0030" w:rsidR="00B1264B" w:rsidRPr="00C33092" w:rsidRDefault="00B1264B" w:rsidP="00B1264B">
      <w:pPr>
        <w:pStyle w:val="TableFigureHeading"/>
        <w:rPr>
          <w:rStyle w:val="CommentReference"/>
          <w:b/>
        </w:rPr>
      </w:pPr>
      <w:r w:rsidRPr="00C33092">
        <w:lastRenderedPageBreak/>
        <w:t xml:space="preserve">Table </w:t>
      </w:r>
      <w:r w:rsidR="007000FA">
        <w:fldChar w:fldCharType="begin"/>
      </w:r>
      <w:r w:rsidR="007000FA">
        <w:instrText xml:space="preserve"> SEQ Table \* ARABIC </w:instrText>
      </w:r>
      <w:r w:rsidR="007000FA">
        <w:fldChar w:fldCharType="separate"/>
      </w:r>
      <w:r w:rsidR="009B3037">
        <w:rPr>
          <w:noProof/>
        </w:rPr>
        <w:t>2</w:t>
      </w:r>
      <w:r w:rsidR="007000FA">
        <w:rPr>
          <w:noProof/>
        </w:rPr>
        <w:fldChar w:fldCharType="end"/>
      </w:r>
      <w:r w:rsidRPr="00C33092">
        <w:t>:</w:t>
      </w:r>
      <w:r w:rsidRPr="00C33092">
        <w:rPr>
          <w:rStyle w:val="CommentReference"/>
          <w:b/>
        </w:rPr>
        <w:t xml:space="preserve"> Summary of key matters of concern relevant to the resubmission</w:t>
      </w:r>
    </w:p>
    <w:tbl>
      <w:tblPr>
        <w:tblStyle w:val="TableGrid"/>
        <w:tblW w:w="0" w:type="auto"/>
        <w:tblLook w:val="04A0" w:firstRow="1" w:lastRow="0" w:firstColumn="1" w:lastColumn="0" w:noHBand="0" w:noVBand="1"/>
        <w:tblCaption w:val="Summary of key matters of concern relevant to the resubmission"/>
      </w:tblPr>
      <w:tblGrid>
        <w:gridCol w:w="1413"/>
        <w:gridCol w:w="3801"/>
        <w:gridCol w:w="3802"/>
      </w:tblGrid>
      <w:tr w:rsidR="00B1264B" w:rsidRPr="00C33092" w14:paraId="3675D42B" w14:textId="77777777" w:rsidTr="00EA6ED4">
        <w:trPr>
          <w:tblHeader/>
        </w:trPr>
        <w:tc>
          <w:tcPr>
            <w:tcW w:w="1413" w:type="dxa"/>
            <w:vAlign w:val="center"/>
          </w:tcPr>
          <w:p w14:paraId="47E004A9" w14:textId="77777777" w:rsidR="00B1264B" w:rsidRPr="00C33092" w:rsidRDefault="00B1264B" w:rsidP="00EA6ED4">
            <w:pPr>
              <w:pStyle w:val="TableFigureHeading"/>
              <w:keepNext w:val="0"/>
              <w:jc w:val="center"/>
              <w:rPr>
                <w:rStyle w:val="CommentReference"/>
                <w:b/>
              </w:rPr>
            </w:pPr>
            <w:r w:rsidRPr="00C33092">
              <w:rPr>
                <w:rStyle w:val="CommentReference"/>
                <w:b/>
              </w:rPr>
              <w:t>Component</w:t>
            </w:r>
          </w:p>
        </w:tc>
        <w:tc>
          <w:tcPr>
            <w:tcW w:w="3801" w:type="dxa"/>
            <w:vAlign w:val="center"/>
          </w:tcPr>
          <w:p w14:paraId="781F9072" w14:textId="77777777" w:rsidR="00B1264B" w:rsidRPr="00C33092" w:rsidRDefault="00B1264B" w:rsidP="00EA6ED4">
            <w:pPr>
              <w:pStyle w:val="TableFigureHeading"/>
              <w:jc w:val="center"/>
              <w:rPr>
                <w:rStyle w:val="CommentReference"/>
                <w:b/>
              </w:rPr>
            </w:pPr>
            <w:r w:rsidRPr="00C33092">
              <w:rPr>
                <w:rStyle w:val="CommentReference"/>
                <w:b/>
              </w:rPr>
              <w:t>Matters of concern</w:t>
            </w:r>
          </w:p>
          <w:p w14:paraId="6DF5696F" w14:textId="77777777" w:rsidR="00B1264B" w:rsidRPr="00C33092" w:rsidRDefault="00B1264B" w:rsidP="00EA6ED4">
            <w:pPr>
              <w:pStyle w:val="TableFigureHeading"/>
              <w:keepNext w:val="0"/>
              <w:jc w:val="center"/>
              <w:rPr>
                <w:rStyle w:val="CommentReference"/>
                <w:b/>
              </w:rPr>
            </w:pPr>
            <w:r w:rsidRPr="00C33092">
              <w:rPr>
                <w:rStyle w:val="CommentReference"/>
                <w:b/>
              </w:rPr>
              <w:t>(March 2021 submission)</w:t>
            </w:r>
          </w:p>
        </w:tc>
        <w:tc>
          <w:tcPr>
            <w:tcW w:w="3802" w:type="dxa"/>
            <w:vAlign w:val="center"/>
          </w:tcPr>
          <w:p w14:paraId="7ADAC99F" w14:textId="77777777" w:rsidR="00B1264B" w:rsidRPr="00C33092" w:rsidRDefault="00B1264B" w:rsidP="00EA6ED4">
            <w:pPr>
              <w:pStyle w:val="TableFigureHeading"/>
              <w:keepNext w:val="0"/>
              <w:jc w:val="center"/>
              <w:rPr>
                <w:rStyle w:val="CommentReference"/>
                <w:b/>
              </w:rPr>
            </w:pPr>
            <w:r w:rsidRPr="00C33092">
              <w:rPr>
                <w:rStyle w:val="CommentReference"/>
                <w:b/>
              </w:rPr>
              <w:t>How the resubmission addresses it</w:t>
            </w:r>
          </w:p>
        </w:tc>
      </w:tr>
      <w:tr w:rsidR="00B1264B" w:rsidRPr="00C33092" w14:paraId="4D272163" w14:textId="77777777" w:rsidTr="00EA6ED4">
        <w:trPr>
          <w:cantSplit/>
        </w:trPr>
        <w:tc>
          <w:tcPr>
            <w:tcW w:w="1413" w:type="dxa"/>
            <w:vAlign w:val="center"/>
          </w:tcPr>
          <w:p w14:paraId="615955C1"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 time horizon</w:t>
            </w:r>
          </w:p>
        </w:tc>
        <w:tc>
          <w:tcPr>
            <w:tcW w:w="3801" w:type="dxa"/>
            <w:vAlign w:val="center"/>
          </w:tcPr>
          <w:p w14:paraId="3B3BA8AD" w14:textId="5252CF2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E64D9F">
              <w:rPr>
                <w:rStyle w:val="CommentReference"/>
                <w:b w:val="0"/>
                <w:szCs w:val="24"/>
              </w:rPr>
              <w:t xml:space="preserve">previously </w:t>
            </w:r>
            <w:r w:rsidRPr="00C33092">
              <w:rPr>
                <w:rStyle w:val="CommentReference"/>
                <w:b w:val="0"/>
                <w:szCs w:val="24"/>
              </w:rPr>
              <w:t xml:space="preserve">considered that for patients with </w:t>
            </w:r>
            <w:proofErr w:type="spellStart"/>
            <w:r w:rsidRPr="00C33092">
              <w:rPr>
                <w:rStyle w:val="CommentReference"/>
                <w:b w:val="0"/>
                <w:szCs w:val="24"/>
              </w:rPr>
              <w:t>mBC</w:t>
            </w:r>
            <w:proofErr w:type="spellEnd"/>
            <w:r w:rsidRPr="00C33092">
              <w:rPr>
                <w:rStyle w:val="CommentReference"/>
                <w:b w:val="0"/>
                <w:szCs w:val="24"/>
              </w:rPr>
              <w:t xml:space="preserve"> (and particularly those with brain metastases), a five-year time horizon would be more appropriate (paragraph 7.13, tucatinib PSD, March 2021 PBAC meeting).</w:t>
            </w:r>
          </w:p>
        </w:tc>
        <w:tc>
          <w:tcPr>
            <w:tcW w:w="3802" w:type="dxa"/>
            <w:vAlign w:val="center"/>
          </w:tcPr>
          <w:p w14:paraId="7AC2CD56" w14:textId="19880045" w:rsidR="00B1264B" w:rsidRPr="001A2248" w:rsidRDefault="001A2248" w:rsidP="00EA6ED4">
            <w:pPr>
              <w:pStyle w:val="TableText0"/>
              <w:keepNext w:val="0"/>
              <w:keepLines w:val="0"/>
              <w:rPr>
                <w:rStyle w:val="CommentReference"/>
                <w:b w:val="0"/>
                <w:szCs w:val="24"/>
              </w:rPr>
            </w:pPr>
            <w:r w:rsidRPr="001A2248">
              <w:rPr>
                <w:rStyle w:val="CommentReference"/>
                <w:b w:val="0"/>
                <w:szCs w:val="24"/>
              </w:rPr>
              <w:t>The evaluation considered that this was n</w:t>
            </w:r>
            <w:r w:rsidR="00B1264B" w:rsidRPr="001A2248">
              <w:rPr>
                <w:rStyle w:val="CommentReference"/>
                <w:b w:val="0"/>
                <w:szCs w:val="24"/>
              </w:rPr>
              <w:t>ot adequately addressed, a 10-year time horizon was still used.</w:t>
            </w:r>
          </w:p>
          <w:p w14:paraId="1E4C49F1" w14:textId="77777777" w:rsidR="00B1264B" w:rsidRPr="00C33092" w:rsidRDefault="00B1264B" w:rsidP="00EA6ED4">
            <w:pPr>
              <w:pStyle w:val="TableText0"/>
              <w:keepNext w:val="0"/>
              <w:keepLines w:val="0"/>
              <w:rPr>
                <w:rStyle w:val="CommentReference"/>
                <w:b w:val="0"/>
                <w:szCs w:val="24"/>
              </w:rPr>
            </w:pPr>
          </w:p>
          <w:p w14:paraId="6FBD5307"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resubmission argued that using a five-year time horizon would underestimate the long-term survival benefits associated with tucatinib treatment. The resubmission provided extended OS data from HER2CLIMB (observed 40% survival at 30 months – cut-off point for extrapolation). Based on the updated model extrapolations, at the end of 5 years, approximately 15.4% of patients in the tucatinib arm are still alive.</w:t>
            </w:r>
          </w:p>
        </w:tc>
      </w:tr>
      <w:tr w:rsidR="00B1264B" w:rsidRPr="00C33092" w14:paraId="71768646" w14:textId="77777777" w:rsidTr="00EA6ED4">
        <w:trPr>
          <w:cantSplit/>
        </w:trPr>
        <w:tc>
          <w:tcPr>
            <w:tcW w:w="1413" w:type="dxa"/>
            <w:vAlign w:val="center"/>
          </w:tcPr>
          <w:p w14:paraId="7138B7E4"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 health state utility values</w:t>
            </w:r>
          </w:p>
        </w:tc>
        <w:tc>
          <w:tcPr>
            <w:tcW w:w="3801" w:type="dxa"/>
            <w:vAlign w:val="center"/>
          </w:tcPr>
          <w:p w14:paraId="27F3995F" w14:textId="0A661EB0"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E64D9F">
              <w:rPr>
                <w:rStyle w:val="CommentReference"/>
                <w:b w:val="0"/>
                <w:szCs w:val="24"/>
              </w:rPr>
              <w:t xml:space="preserve">previously </w:t>
            </w:r>
            <w:r w:rsidRPr="00C33092">
              <w:rPr>
                <w:rStyle w:val="CommentReference"/>
                <w:b w:val="0"/>
                <w:szCs w:val="24"/>
              </w:rPr>
              <w:t xml:space="preserve">noted the trial-based utility values were not informative as collection of QoL data was introduced to HER2CLIMB following a late protocol amendment, only 54% of patients completed the baseline questionnaire and compliance was low. In addition, the PBAC </w:t>
            </w:r>
            <w:r w:rsidR="003D7176">
              <w:rPr>
                <w:rStyle w:val="CommentReference"/>
                <w:b w:val="0"/>
                <w:szCs w:val="24"/>
              </w:rPr>
              <w:t xml:space="preserve">previously </w:t>
            </w:r>
            <w:r w:rsidRPr="00C33092">
              <w:rPr>
                <w:rStyle w:val="CommentReference"/>
                <w:b w:val="0"/>
                <w:szCs w:val="24"/>
              </w:rPr>
              <w:t xml:space="preserve">noted that the utility values were higher than those reported in the literature and applied in previous PBAC submissions for </w:t>
            </w:r>
            <w:proofErr w:type="spellStart"/>
            <w:r w:rsidRPr="00C33092">
              <w:rPr>
                <w:rStyle w:val="CommentReference"/>
                <w:b w:val="0"/>
                <w:szCs w:val="24"/>
              </w:rPr>
              <w:t>mBC</w:t>
            </w:r>
            <w:proofErr w:type="spellEnd"/>
            <w:r w:rsidRPr="00C33092">
              <w:rPr>
                <w:rStyle w:val="CommentReference"/>
                <w:b w:val="0"/>
                <w:szCs w:val="24"/>
              </w:rPr>
              <w:t xml:space="preserve"> The PBAC </w:t>
            </w:r>
            <w:r w:rsidR="003D7176">
              <w:rPr>
                <w:rStyle w:val="CommentReference"/>
                <w:b w:val="0"/>
                <w:szCs w:val="24"/>
              </w:rPr>
              <w:t xml:space="preserve">previously </w:t>
            </w:r>
            <w:r w:rsidRPr="00C33092">
              <w:rPr>
                <w:rStyle w:val="CommentReference"/>
                <w:b w:val="0"/>
                <w:szCs w:val="24"/>
              </w:rPr>
              <w:t>considered that utility values from Lloyd et al, 2006 were more clinically plausible (paragraph 7.13, tucatinib PSD, March 2021 PBAC meeting).</w:t>
            </w:r>
          </w:p>
        </w:tc>
        <w:tc>
          <w:tcPr>
            <w:tcW w:w="3802" w:type="dxa"/>
            <w:vAlign w:val="center"/>
          </w:tcPr>
          <w:p w14:paraId="474F8895" w14:textId="26F20F9F" w:rsidR="00B1264B" w:rsidRPr="00C33092" w:rsidRDefault="008F1E95" w:rsidP="00EA6ED4">
            <w:pPr>
              <w:pStyle w:val="TableText0"/>
              <w:keepNext w:val="0"/>
              <w:keepLines w:val="0"/>
              <w:rPr>
                <w:rStyle w:val="CommentReference"/>
                <w:b w:val="0"/>
                <w:szCs w:val="24"/>
              </w:rPr>
            </w:pPr>
            <w:r w:rsidRPr="001A2248">
              <w:rPr>
                <w:rStyle w:val="CommentReference"/>
                <w:b w:val="0"/>
                <w:szCs w:val="24"/>
              </w:rPr>
              <w:t>The evaluation considered that this was not adequately addressed</w:t>
            </w:r>
            <w:r w:rsidRPr="00C33092">
              <w:rPr>
                <w:rStyle w:val="CommentReference"/>
                <w:b w:val="0"/>
                <w:szCs w:val="24"/>
              </w:rPr>
              <w:t xml:space="preserve"> </w:t>
            </w:r>
            <w:r>
              <w:rPr>
                <w:rStyle w:val="CommentReference"/>
                <w:b w:val="0"/>
                <w:szCs w:val="24"/>
              </w:rPr>
              <w:t>as</w:t>
            </w:r>
            <w:r w:rsidR="00B1264B" w:rsidRPr="00C33092">
              <w:rPr>
                <w:rStyle w:val="CommentReference"/>
                <w:b w:val="0"/>
                <w:szCs w:val="24"/>
              </w:rPr>
              <w:t xml:space="preserve"> the HER2CLIMB utility values are still used in base case.</w:t>
            </w:r>
          </w:p>
          <w:p w14:paraId="5137A960" w14:textId="77777777" w:rsidR="00B1264B" w:rsidRPr="00C33092" w:rsidRDefault="00B1264B" w:rsidP="00EA6ED4">
            <w:pPr>
              <w:pStyle w:val="TableText0"/>
              <w:keepNext w:val="0"/>
              <w:keepLines w:val="0"/>
              <w:rPr>
                <w:rStyle w:val="CommentReference"/>
                <w:b w:val="0"/>
                <w:szCs w:val="24"/>
              </w:rPr>
            </w:pPr>
          </w:p>
          <w:p w14:paraId="5F699B45"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While acknowledgi</w:t>
            </w:r>
            <w:r w:rsidRPr="00C33092">
              <w:rPr>
                <w:rStyle w:val="CommentReference"/>
                <w:b w:val="0"/>
                <w:bCs w:val="0"/>
                <w:szCs w:val="24"/>
              </w:rPr>
              <w:t>ng</w:t>
            </w:r>
            <w:r w:rsidRPr="00C33092">
              <w:rPr>
                <w:rStyle w:val="CommentReference"/>
                <w:b w:val="0"/>
                <w:szCs w:val="24"/>
              </w:rPr>
              <w:t xml:space="preserve"> that baseline assessments were only available for 54% of patients, the </w:t>
            </w:r>
            <w:r w:rsidRPr="00C33092">
              <w:rPr>
                <w:rStyle w:val="CommentReference"/>
                <w:b w:val="0"/>
                <w:bCs w:val="0"/>
                <w:szCs w:val="24"/>
              </w:rPr>
              <w:t>resubmission</w:t>
            </w:r>
            <w:r w:rsidRPr="00C33092">
              <w:rPr>
                <w:rStyle w:val="CommentReference"/>
                <w:b w:val="0"/>
                <w:szCs w:val="24"/>
              </w:rPr>
              <w:t xml:space="preserve"> claimed that trial-based utilities are preferable as they capture PROs within the context of the specific treatment under evaluation. Further, the resubmission argued that Lloyd et al does not fully reflect current treatment landscapes, advancements in supportive care or improved QoL in HER2+ </w:t>
            </w:r>
            <w:proofErr w:type="spellStart"/>
            <w:r w:rsidRPr="00C33092">
              <w:rPr>
                <w:rStyle w:val="CommentReference"/>
                <w:b w:val="0"/>
                <w:szCs w:val="24"/>
              </w:rPr>
              <w:t>mBC</w:t>
            </w:r>
            <w:proofErr w:type="spellEnd"/>
            <w:r w:rsidRPr="00C33092">
              <w:rPr>
                <w:rStyle w:val="CommentReference"/>
                <w:b w:val="0"/>
                <w:szCs w:val="24"/>
              </w:rPr>
              <w:t xml:space="preserve"> patients receiving currently available therapies. However, the evaluation considered the Lloyd utilities were more clinically plausible.</w:t>
            </w:r>
          </w:p>
        </w:tc>
      </w:tr>
      <w:tr w:rsidR="00B1264B" w:rsidRPr="00C33092" w14:paraId="31F1647F" w14:textId="77777777" w:rsidTr="00EA6ED4">
        <w:trPr>
          <w:cantSplit/>
        </w:trPr>
        <w:tc>
          <w:tcPr>
            <w:tcW w:w="1413" w:type="dxa"/>
            <w:vAlign w:val="center"/>
          </w:tcPr>
          <w:p w14:paraId="6B0A0DF5"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–drug costs applied in model</w:t>
            </w:r>
          </w:p>
        </w:tc>
        <w:tc>
          <w:tcPr>
            <w:tcW w:w="3801" w:type="dxa"/>
            <w:vAlign w:val="center"/>
          </w:tcPr>
          <w:p w14:paraId="7BC66ACF" w14:textId="47FBEFC4"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3D7176">
              <w:rPr>
                <w:rStyle w:val="CommentReference"/>
                <w:b w:val="0"/>
                <w:szCs w:val="24"/>
              </w:rPr>
              <w:t xml:space="preserve">previously </w:t>
            </w:r>
            <w:r w:rsidRPr="00C33092">
              <w:rPr>
                <w:rStyle w:val="CommentReference"/>
                <w:b w:val="0"/>
                <w:szCs w:val="24"/>
              </w:rPr>
              <w:t>noted that the submission did not apply a flat price per mg across the 50 mg and 150mg strengths (the cost of the 50 mg tablet was higher). The PBAC considered that a flat price per mg should be used (paragraph 7.13, tucatinib PSD, March 2021 PBAC meeting).</w:t>
            </w:r>
          </w:p>
        </w:tc>
        <w:tc>
          <w:tcPr>
            <w:tcW w:w="3802" w:type="dxa"/>
            <w:vAlign w:val="center"/>
          </w:tcPr>
          <w:p w14:paraId="05FC7C51"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Addressed.</w:t>
            </w:r>
          </w:p>
          <w:p w14:paraId="4239DF4E" w14:textId="77777777" w:rsidR="00B1264B" w:rsidRPr="00C33092" w:rsidRDefault="00B1264B" w:rsidP="00EA6ED4">
            <w:pPr>
              <w:pStyle w:val="TableText0"/>
              <w:keepNext w:val="0"/>
              <w:keepLines w:val="0"/>
              <w:rPr>
                <w:rStyle w:val="CommentReference"/>
                <w:b w:val="0"/>
                <w:szCs w:val="24"/>
              </w:rPr>
            </w:pPr>
          </w:p>
          <w:p w14:paraId="41388FCC" w14:textId="034DEF1A"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A flat price per milligram for 50 mg and 150 mg </w:t>
            </w:r>
            <w:r w:rsidR="00E64D9F">
              <w:rPr>
                <w:rStyle w:val="CommentReference"/>
                <w:b w:val="0"/>
                <w:szCs w:val="24"/>
              </w:rPr>
              <w:t>was</w:t>
            </w:r>
            <w:r w:rsidRPr="00C33092">
              <w:rPr>
                <w:rStyle w:val="CommentReference"/>
                <w:b w:val="0"/>
                <w:szCs w:val="24"/>
              </w:rPr>
              <w:t xml:space="preserve"> adopted in this resubmission.</w:t>
            </w:r>
          </w:p>
        </w:tc>
      </w:tr>
      <w:tr w:rsidR="00B1264B" w:rsidRPr="00C33092" w14:paraId="35CC2947" w14:textId="77777777" w:rsidTr="00EA6ED4">
        <w:trPr>
          <w:cantSplit/>
        </w:trPr>
        <w:tc>
          <w:tcPr>
            <w:tcW w:w="1413" w:type="dxa"/>
            <w:vAlign w:val="center"/>
          </w:tcPr>
          <w:p w14:paraId="14A91862"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–RDI</w:t>
            </w:r>
          </w:p>
        </w:tc>
        <w:tc>
          <w:tcPr>
            <w:tcW w:w="3801" w:type="dxa"/>
            <w:vAlign w:val="center"/>
          </w:tcPr>
          <w:p w14:paraId="36191C94" w14:textId="463D38A8"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3D7176">
              <w:rPr>
                <w:rStyle w:val="CommentReference"/>
                <w:b w:val="0"/>
                <w:szCs w:val="24"/>
              </w:rPr>
              <w:t xml:space="preserve">previously </w:t>
            </w:r>
            <w:r w:rsidRPr="00C33092">
              <w:rPr>
                <w:rStyle w:val="CommentReference"/>
                <w:b w:val="0"/>
                <w:szCs w:val="24"/>
              </w:rPr>
              <w:t>noted that the model assumed that all patients received 266 mg per dose (i.e., an 88.5% dose intensity was applied to a 300 mg dose). The PBAC considered that it would be more accurate to apply the distribution of doses from the trial (paragraph 7.13, tucatinib PSD, March 2021 PBAC meeting).</w:t>
            </w:r>
          </w:p>
        </w:tc>
        <w:tc>
          <w:tcPr>
            <w:tcW w:w="3802" w:type="dxa"/>
            <w:vAlign w:val="center"/>
          </w:tcPr>
          <w:p w14:paraId="7C6A1D59"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Addressed.</w:t>
            </w:r>
          </w:p>
          <w:p w14:paraId="0DF4D965" w14:textId="77777777" w:rsidR="00B1264B" w:rsidRPr="00C33092" w:rsidRDefault="00B1264B" w:rsidP="00EA6ED4">
            <w:pPr>
              <w:pStyle w:val="TableText0"/>
              <w:keepNext w:val="0"/>
              <w:keepLines w:val="0"/>
              <w:rPr>
                <w:rStyle w:val="CommentReference"/>
                <w:b w:val="0"/>
                <w:szCs w:val="24"/>
              </w:rPr>
            </w:pPr>
          </w:p>
          <w:p w14:paraId="0544A720"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resubmission recalculated RDI based on the HER2CLIMB trial (73.5 % received the full 600 mg/day, remainder reduced monthly). The weighted average tablet use (reflecting trial distribution of 50 mg and 150 mg tablets) was applied and no wastage assumed for oral dosing.</w:t>
            </w:r>
          </w:p>
        </w:tc>
      </w:tr>
      <w:tr w:rsidR="00B1264B" w:rsidRPr="00C33092" w14:paraId="11750D63" w14:textId="77777777" w:rsidTr="00EA6ED4">
        <w:trPr>
          <w:cantSplit/>
        </w:trPr>
        <w:tc>
          <w:tcPr>
            <w:tcW w:w="1413" w:type="dxa"/>
            <w:vAlign w:val="center"/>
          </w:tcPr>
          <w:p w14:paraId="74585A89"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 truncation point for extrapolation</w:t>
            </w:r>
          </w:p>
        </w:tc>
        <w:tc>
          <w:tcPr>
            <w:tcW w:w="3801" w:type="dxa"/>
            <w:vAlign w:val="center"/>
          </w:tcPr>
          <w:p w14:paraId="7C96407D" w14:textId="098C7F0C"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3D7176">
              <w:rPr>
                <w:rStyle w:val="CommentReference"/>
                <w:b w:val="0"/>
                <w:szCs w:val="24"/>
              </w:rPr>
              <w:t xml:space="preserve">previously </w:t>
            </w:r>
            <w:r w:rsidRPr="00C33092">
              <w:rPr>
                <w:rStyle w:val="CommentReference"/>
                <w:b w:val="0"/>
                <w:szCs w:val="24"/>
              </w:rPr>
              <w:t>noted uncertainties related to the point of extrapolation of the PFS and OS curves. The PBAC considered that K-M data should be used until approximately 20% of patients remain at risk in each arm (paragraph 7.13, tucatinib PSD, March 2021 PBAC meeting).</w:t>
            </w:r>
          </w:p>
        </w:tc>
        <w:tc>
          <w:tcPr>
            <w:tcW w:w="3802" w:type="dxa"/>
            <w:vAlign w:val="center"/>
          </w:tcPr>
          <w:p w14:paraId="2B34EC07" w14:textId="77777777" w:rsidR="00B1264B" w:rsidRPr="00C33092" w:rsidRDefault="00B1264B" w:rsidP="00EA6ED4">
            <w:pPr>
              <w:pStyle w:val="TableText0"/>
              <w:rPr>
                <w:rStyle w:val="CommentReference"/>
                <w:b w:val="0"/>
                <w:szCs w:val="24"/>
              </w:rPr>
            </w:pPr>
            <w:r w:rsidRPr="00C33092">
              <w:rPr>
                <w:rStyle w:val="CommentReference"/>
                <w:b w:val="0"/>
                <w:szCs w:val="24"/>
              </w:rPr>
              <w:t>Addressed.</w:t>
            </w:r>
          </w:p>
          <w:p w14:paraId="284FA2AF" w14:textId="77777777" w:rsidR="00B1264B" w:rsidRPr="00C33092" w:rsidRDefault="00B1264B" w:rsidP="00EA6ED4">
            <w:pPr>
              <w:pStyle w:val="TableText0"/>
              <w:rPr>
                <w:rStyle w:val="CommentReference"/>
                <w:b w:val="0"/>
                <w:szCs w:val="24"/>
              </w:rPr>
            </w:pPr>
          </w:p>
          <w:p w14:paraId="1220DAC2"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resubmission used the suggested 20% of patient’s at-risk threshold to calculate the cut-off points for OS, PFS and TTD for both the all-comers patient population and the brain metastases subgroup</w:t>
            </w:r>
          </w:p>
        </w:tc>
      </w:tr>
      <w:tr w:rsidR="00B1264B" w:rsidRPr="00C33092" w14:paraId="2CA82B40" w14:textId="77777777" w:rsidTr="00EA6ED4">
        <w:trPr>
          <w:cantSplit/>
        </w:trPr>
        <w:tc>
          <w:tcPr>
            <w:tcW w:w="1413" w:type="dxa"/>
            <w:vAlign w:val="center"/>
          </w:tcPr>
          <w:p w14:paraId="528F3853"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lastRenderedPageBreak/>
              <w:t>Economic evaluation –TTD curve</w:t>
            </w:r>
          </w:p>
        </w:tc>
        <w:tc>
          <w:tcPr>
            <w:tcW w:w="3801" w:type="dxa"/>
            <w:vAlign w:val="center"/>
          </w:tcPr>
          <w:p w14:paraId="5B70AC2E" w14:textId="7D44E36F"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 xml:space="preserve">The PBAC </w:t>
            </w:r>
            <w:r w:rsidR="00720F14">
              <w:rPr>
                <w:rStyle w:val="CommentReference"/>
                <w:b w:val="0"/>
                <w:szCs w:val="24"/>
              </w:rPr>
              <w:t xml:space="preserve">previously </w:t>
            </w:r>
            <w:r w:rsidRPr="00C33092">
              <w:rPr>
                <w:rStyle w:val="CommentReference"/>
                <w:b w:val="0"/>
                <w:szCs w:val="24"/>
              </w:rPr>
              <w:t xml:space="preserve">noted the uncertainties relating to the goodness of fit of the TTD curve (paragraph 7.13, tucatinib PSD, March 2021 PBAC meeting). The ESC </w:t>
            </w:r>
            <w:r w:rsidR="00720F14">
              <w:rPr>
                <w:rStyle w:val="CommentReference"/>
                <w:b w:val="0"/>
                <w:szCs w:val="24"/>
              </w:rPr>
              <w:t xml:space="preserve">previously </w:t>
            </w:r>
            <w:r w:rsidRPr="00C33092">
              <w:rPr>
                <w:rStyle w:val="CommentReference"/>
                <w:b w:val="0"/>
                <w:szCs w:val="24"/>
              </w:rPr>
              <w:t>considered that it would have been more appropriate to extrapolate TTD using the log-logistic model for the tucatinib arm since it is associated with lowest AIC/BIC value (paragraph 6.47, tucatinib PSD, March 2021 PBAC meeting).</w:t>
            </w:r>
          </w:p>
        </w:tc>
        <w:tc>
          <w:tcPr>
            <w:tcW w:w="3802" w:type="dxa"/>
            <w:vAlign w:val="center"/>
          </w:tcPr>
          <w:p w14:paraId="0C8A4D5C" w14:textId="591FEFF0" w:rsidR="00B1264B" w:rsidRPr="00C33092" w:rsidRDefault="00720F14" w:rsidP="00EA6ED4">
            <w:pPr>
              <w:pStyle w:val="TableText0"/>
              <w:rPr>
                <w:rStyle w:val="CommentReference"/>
                <w:b w:val="0"/>
                <w:szCs w:val="24"/>
              </w:rPr>
            </w:pPr>
            <w:r w:rsidRPr="001A2248">
              <w:rPr>
                <w:rStyle w:val="CommentReference"/>
                <w:b w:val="0"/>
                <w:szCs w:val="24"/>
              </w:rPr>
              <w:t xml:space="preserve">The evaluation considered that this was not </w:t>
            </w:r>
            <w:r w:rsidR="00B1264B" w:rsidRPr="00C33092">
              <w:rPr>
                <w:rStyle w:val="CommentReference"/>
                <w:b w:val="0"/>
                <w:szCs w:val="24"/>
              </w:rPr>
              <w:t>adequately addressed.</w:t>
            </w:r>
          </w:p>
          <w:p w14:paraId="30C6846F" w14:textId="77777777" w:rsidR="00B1264B" w:rsidRPr="00C33092" w:rsidRDefault="00B1264B" w:rsidP="00EA6ED4">
            <w:pPr>
              <w:pStyle w:val="TableText0"/>
              <w:rPr>
                <w:rStyle w:val="CommentReference"/>
                <w:b w:val="0"/>
                <w:szCs w:val="24"/>
              </w:rPr>
            </w:pPr>
          </w:p>
          <w:p w14:paraId="4AD37123"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resubmission argued that the log-logistic distribution overestimates the proportion of patients remaining on tucatinib relative to the TTD K-M curve, with the Gompertz curve providing the better fit (based on visual assessment).</w:t>
            </w:r>
          </w:p>
        </w:tc>
      </w:tr>
      <w:tr w:rsidR="00B1264B" w:rsidRPr="00C33092" w14:paraId="34FF29F4" w14:textId="77777777" w:rsidTr="00EA6ED4">
        <w:trPr>
          <w:cantSplit/>
        </w:trPr>
        <w:tc>
          <w:tcPr>
            <w:tcW w:w="1413" w:type="dxa"/>
            <w:vAlign w:val="center"/>
          </w:tcPr>
          <w:p w14:paraId="4A90006E"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Economic evaluation – ICER</w:t>
            </w:r>
          </w:p>
        </w:tc>
        <w:tc>
          <w:tcPr>
            <w:tcW w:w="3801" w:type="dxa"/>
            <w:vAlign w:val="center"/>
          </w:tcPr>
          <w:p w14:paraId="116D4F0F" w14:textId="360E7973" w:rsidR="00B1264B" w:rsidRPr="00C33092" w:rsidRDefault="00B1264B" w:rsidP="00EA6ED4">
            <w:pPr>
              <w:pStyle w:val="TableText0"/>
              <w:rPr>
                <w:rStyle w:val="CommentReference"/>
                <w:b w:val="0"/>
                <w:szCs w:val="24"/>
              </w:rPr>
            </w:pPr>
            <w:r w:rsidRPr="00C33092">
              <w:rPr>
                <w:rStyle w:val="CommentReference"/>
                <w:b w:val="0"/>
                <w:szCs w:val="24"/>
              </w:rPr>
              <w:t xml:space="preserve">The PBAC </w:t>
            </w:r>
            <w:r w:rsidR="00197D2A">
              <w:rPr>
                <w:rStyle w:val="CommentReference"/>
                <w:b w:val="0"/>
                <w:szCs w:val="24"/>
              </w:rPr>
              <w:t xml:space="preserve">previously </w:t>
            </w:r>
            <w:r w:rsidRPr="00C33092">
              <w:rPr>
                <w:rStyle w:val="CommentReference"/>
                <w:b w:val="0"/>
                <w:szCs w:val="24"/>
              </w:rPr>
              <w:t>considered the ICER of $255,000 to &lt;$355,000 per QALY was high and highly uncertain (paragraph 7.12, tucatinib PSD, March 2021 PBAC meeting).</w:t>
            </w:r>
          </w:p>
          <w:p w14:paraId="297EB6C9"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PBAC suggested that a price reduction resulting in an ICER of $75,000 to &lt;$95,000 per QALY should be applied (paragraph 7.17, tucatinib PSD, March 2021 PBAC meeting).</w:t>
            </w:r>
          </w:p>
        </w:tc>
        <w:tc>
          <w:tcPr>
            <w:tcW w:w="3802" w:type="dxa"/>
            <w:vAlign w:val="center"/>
          </w:tcPr>
          <w:p w14:paraId="7D3709AB" w14:textId="77777777" w:rsidR="00B1264B" w:rsidRPr="00C33092" w:rsidRDefault="00B1264B" w:rsidP="00EA6ED4">
            <w:pPr>
              <w:pStyle w:val="TableText0"/>
              <w:rPr>
                <w:rStyle w:val="CommentReference"/>
                <w:b w:val="0"/>
                <w:szCs w:val="24"/>
              </w:rPr>
            </w:pPr>
            <w:r w:rsidRPr="00C33092">
              <w:rPr>
                <w:rStyle w:val="CommentReference"/>
                <w:b w:val="0"/>
                <w:szCs w:val="24"/>
              </w:rPr>
              <w:t>Partially addressed.</w:t>
            </w:r>
          </w:p>
          <w:p w14:paraId="437ADE5B" w14:textId="77777777" w:rsidR="00B1264B" w:rsidRPr="00C33092" w:rsidRDefault="00B1264B" w:rsidP="00EA6ED4">
            <w:pPr>
              <w:pStyle w:val="TableText0"/>
              <w:rPr>
                <w:rStyle w:val="CommentReference"/>
                <w:b w:val="0"/>
                <w:szCs w:val="24"/>
              </w:rPr>
            </w:pPr>
          </w:p>
          <w:p w14:paraId="5BB11F00" w14:textId="1745D5C8"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resubmission proposed revised effective AEMPs for tucatinib of $</w:t>
            </w:r>
            <w:r w:rsidR="009B6432" w:rsidRPr="009B6432">
              <w:rPr>
                <w:rStyle w:val="CommentReference"/>
                <w:b w:val="0"/>
                <w:szCs w:val="24"/>
                <w:highlight w:val="black"/>
              </w:rPr>
              <w:t>&amp;&amp;&amp;&amp;</w:t>
            </w:r>
            <w:r w:rsidRPr="00C33092">
              <w:rPr>
                <w:rStyle w:val="CommentReference"/>
                <w:b w:val="0"/>
                <w:szCs w:val="24"/>
              </w:rPr>
              <w:t xml:space="preserve"> for the 150 mg (84 tabs) (down from </w:t>
            </w:r>
            <w:r w:rsidRPr="00E13408">
              <w:rPr>
                <w:rStyle w:val="CommentReference"/>
                <w:b w:val="0"/>
                <w:szCs w:val="24"/>
              </w:rPr>
              <w:t>$</w:t>
            </w:r>
            <w:r w:rsidR="009B6432" w:rsidRPr="009B6432">
              <w:rPr>
                <w:rStyle w:val="CommentReference"/>
                <w:b w:val="0"/>
                <w:szCs w:val="24"/>
                <w:highlight w:val="black"/>
              </w:rPr>
              <w:t>&amp;&amp;&amp;&amp;</w:t>
            </w:r>
            <w:r w:rsidRPr="00C33092">
              <w:rPr>
                <w:rStyle w:val="CommentReference"/>
                <w:b w:val="0"/>
                <w:szCs w:val="24"/>
              </w:rPr>
              <w:t xml:space="preserve"> per pack) and $</w:t>
            </w:r>
            <w:r w:rsidR="009B6432" w:rsidRPr="009B6432">
              <w:rPr>
                <w:rStyle w:val="CommentReference"/>
                <w:b w:val="0"/>
                <w:szCs w:val="24"/>
                <w:highlight w:val="black"/>
              </w:rPr>
              <w:t>&amp;&amp;&amp;&amp;</w:t>
            </w:r>
            <w:r w:rsidRPr="00C33092">
              <w:rPr>
                <w:rStyle w:val="CommentReference"/>
                <w:b w:val="0"/>
                <w:szCs w:val="24"/>
              </w:rPr>
              <w:t xml:space="preserve"> for the 50 mg (88 tabs) (down from $</w:t>
            </w:r>
            <w:r w:rsidR="009B6432" w:rsidRPr="009B6432">
              <w:rPr>
                <w:rStyle w:val="CommentReference"/>
                <w:b w:val="0"/>
                <w:szCs w:val="24"/>
                <w:highlight w:val="black"/>
              </w:rPr>
              <w:t>&amp;&amp;&amp;&amp;</w:t>
            </w:r>
            <w:r w:rsidRPr="00C33092">
              <w:rPr>
                <w:rStyle w:val="CommentReference"/>
                <w:b w:val="0"/>
                <w:szCs w:val="24"/>
              </w:rPr>
              <w:t xml:space="preserve"> per pack). The base case ICER </w:t>
            </w:r>
            <w:r w:rsidR="00197D2A">
              <w:rPr>
                <w:rStyle w:val="CommentReference"/>
                <w:b w:val="0"/>
                <w:szCs w:val="24"/>
              </w:rPr>
              <w:t xml:space="preserve">in the resubmission </w:t>
            </w:r>
            <w:r w:rsidRPr="00C33092">
              <w:rPr>
                <w:rStyle w:val="CommentReference"/>
                <w:b w:val="0"/>
                <w:szCs w:val="24"/>
              </w:rPr>
              <w:t xml:space="preserve">(vs trastuzumab plus capecitabine) </w:t>
            </w:r>
            <w:r w:rsidR="00197D2A">
              <w:rPr>
                <w:rStyle w:val="CommentReference"/>
                <w:b w:val="0"/>
                <w:szCs w:val="24"/>
              </w:rPr>
              <w:t>was</w:t>
            </w:r>
            <w:r w:rsidRPr="00C33092">
              <w:rPr>
                <w:rStyle w:val="CommentReference"/>
                <w:b w:val="0"/>
                <w:szCs w:val="24"/>
              </w:rPr>
              <w:t xml:space="preserve"> $</w:t>
            </w:r>
            <w:r w:rsidR="009B6432" w:rsidRPr="009B6432">
              <w:rPr>
                <w:rStyle w:val="CommentReference"/>
                <w:b w:val="0"/>
                <w:szCs w:val="24"/>
                <w:highlight w:val="black"/>
              </w:rPr>
              <w:t>&amp;&amp;&amp;&amp;</w:t>
            </w:r>
            <w:r w:rsidR="00E13408">
              <w:rPr>
                <w:rStyle w:val="CommentReference"/>
                <w:b w:val="0"/>
                <w:szCs w:val="24"/>
                <w:vertAlign w:val="superscript"/>
              </w:rPr>
              <w:t>1</w:t>
            </w:r>
            <w:r w:rsidRPr="00C33092">
              <w:rPr>
                <w:rStyle w:val="CommentReference"/>
                <w:b w:val="0"/>
                <w:szCs w:val="24"/>
              </w:rPr>
              <w:t xml:space="preserve">/QALY gained. </w:t>
            </w:r>
          </w:p>
        </w:tc>
      </w:tr>
      <w:tr w:rsidR="00B1264B" w:rsidRPr="00C33092" w14:paraId="3A116643" w14:textId="77777777" w:rsidTr="00EA6ED4">
        <w:trPr>
          <w:cantSplit/>
        </w:trPr>
        <w:tc>
          <w:tcPr>
            <w:tcW w:w="1413" w:type="dxa"/>
            <w:vAlign w:val="center"/>
          </w:tcPr>
          <w:p w14:paraId="3BF93F25"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Utilisation and financial impact – patient numbers</w:t>
            </w:r>
          </w:p>
        </w:tc>
        <w:tc>
          <w:tcPr>
            <w:tcW w:w="3801" w:type="dxa"/>
            <w:vAlign w:val="center"/>
          </w:tcPr>
          <w:p w14:paraId="63F84F8C" w14:textId="2489B51C" w:rsidR="00B1264B" w:rsidRPr="00C33092" w:rsidRDefault="00B1264B" w:rsidP="00EA6ED4">
            <w:pPr>
              <w:pStyle w:val="TableText0"/>
              <w:rPr>
                <w:rStyle w:val="CommentReference"/>
                <w:b w:val="0"/>
                <w:szCs w:val="24"/>
              </w:rPr>
            </w:pPr>
            <w:r w:rsidRPr="00C33092">
              <w:rPr>
                <w:rStyle w:val="CommentReference"/>
                <w:b w:val="0"/>
                <w:szCs w:val="24"/>
              </w:rPr>
              <w:t xml:space="preserve">The PBAC </w:t>
            </w:r>
            <w:r w:rsidR="001353EB">
              <w:rPr>
                <w:rStyle w:val="CommentReference"/>
                <w:b w:val="0"/>
                <w:szCs w:val="24"/>
              </w:rPr>
              <w:t xml:space="preserve">previously </w:t>
            </w:r>
            <w:r w:rsidRPr="00C33092">
              <w:rPr>
                <w:rStyle w:val="CommentReference"/>
                <w:b w:val="0"/>
                <w:szCs w:val="24"/>
              </w:rPr>
              <w:t>noted that the submission used a PBS 10% sample as the main source of patient estimates but considered that the sample included too few patients for it to be a reliable source for estimating the number of metastatic patients. The PBAC also considered that linear extrapolation applied to the estimated number of metastatic patients overestimated the population and that uptake rate was likely underestimated (paragraph 7.15, tucatinib PSD, March 2021 PBAC meeting).</w:t>
            </w:r>
          </w:p>
          <w:p w14:paraId="48109749" w14:textId="77777777" w:rsidR="00B1264B" w:rsidRPr="00C33092" w:rsidRDefault="00B1264B" w:rsidP="00EA6ED4">
            <w:pPr>
              <w:pStyle w:val="TableText0"/>
              <w:keepNext w:val="0"/>
              <w:keepLines w:val="0"/>
              <w:rPr>
                <w:rStyle w:val="CommentReference"/>
                <w:b w:val="0"/>
                <w:szCs w:val="24"/>
              </w:rPr>
            </w:pPr>
            <w:r w:rsidRPr="00C33092">
              <w:rPr>
                <w:rStyle w:val="CommentReference"/>
                <w:b w:val="0"/>
                <w:szCs w:val="24"/>
              </w:rPr>
              <w:t>The PBAC recalled that the T-DM1 was listed on the PBS in April 2020 and considered that this listing for adjuvant disease would likely reduce the number of patients progressing to later line treatments. Therefore, the PBAC considered that the population eligible to receive tucatinib, prior to uptake rates being applied, should be no greater than that who initiated T-DM1 treatment before the adjuvant T-DM1 listing was available (i.e., April 2020) (paragraph 7.16, tucatinib PSD, March 2021 PBAC meeting).</w:t>
            </w:r>
          </w:p>
        </w:tc>
        <w:tc>
          <w:tcPr>
            <w:tcW w:w="3802" w:type="dxa"/>
            <w:vAlign w:val="center"/>
          </w:tcPr>
          <w:p w14:paraId="3F8894CD" w14:textId="77777777" w:rsidR="00B1264B" w:rsidRPr="00C33092" w:rsidRDefault="00B1264B" w:rsidP="00EA6ED4">
            <w:pPr>
              <w:pStyle w:val="TableText0"/>
              <w:rPr>
                <w:rStyle w:val="CommentReference"/>
                <w:b w:val="0"/>
                <w:szCs w:val="24"/>
              </w:rPr>
            </w:pPr>
            <w:r w:rsidRPr="00C33092">
              <w:rPr>
                <w:rStyle w:val="CommentReference"/>
                <w:b w:val="0"/>
                <w:szCs w:val="24"/>
              </w:rPr>
              <w:t>Addressed.</w:t>
            </w:r>
          </w:p>
          <w:p w14:paraId="75C148AC" w14:textId="77777777" w:rsidR="00B1264B" w:rsidRPr="00C33092" w:rsidRDefault="00B1264B" w:rsidP="00EA6ED4">
            <w:pPr>
              <w:pStyle w:val="TableText0"/>
              <w:rPr>
                <w:rStyle w:val="CommentReference"/>
                <w:b w:val="0"/>
                <w:szCs w:val="24"/>
              </w:rPr>
            </w:pPr>
          </w:p>
          <w:p w14:paraId="130DE446" w14:textId="405D9242" w:rsidR="00B1264B" w:rsidRPr="00C33092" w:rsidRDefault="00B1264B" w:rsidP="00EA6ED4">
            <w:pPr>
              <w:pStyle w:val="TableText0"/>
              <w:rPr>
                <w:rStyle w:val="CommentReference"/>
                <w:b w:val="0"/>
                <w:szCs w:val="24"/>
              </w:rPr>
            </w:pPr>
            <w:r w:rsidRPr="00C33092">
              <w:rPr>
                <w:rStyle w:val="CommentReference"/>
                <w:b w:val="0"/>
                <w:szCs w:val="24"/>
              </w:rPr>
              <w:t xml:space="preserve">Utilisation estimates </w:t>
            </w:r>
            <w:r w:rsidR="00392AAB">
              <w:rPr>
                <w:rStyle w:val="CommentReference"/>
                <w:b w:val="0"/>
                <w:szCs w:val="24"/>
              </w:rPr>
              <w:t xml:space="preserve">were </w:t>
            </w:r>
            <w:r w:rsidRPr="00C33092">
              <w:rPr>
                <w:rStyle w:val="CommentReference"/>
                <w:b w:val="0"/>
                <w:szCs w:val="24"/>
              </w:rPr>
              <w:t xml:space="preserve">based </w:t>
            </w:r>
            <w:r w:rsidR="00392AAB">
              <w:rPr>
                <w:rStyle w:val="CommentReference"/>
                <w:b w:val="0"/>
                <w:szCs w:val="24"/>
              </w:rPr>
              <w:t xml:space="preserve">on the </w:t>
            </w:r>
            <w:r w:rsidRPr="00C33092">
              <w:rPr>
                <w:rStyle w:val="CommentReference"/>
                <w:b w:val="0"/>
                <w:szCs w:val="24"/>
              </w:rPr>
              <w:t xml:space="preserve">full PBS dataset as provided </w:t>
            </w:r>
            <w:r w:rsidR="00392AAB">
              <w:rPr>
                <w:rStyle w:val="CommentReference"/>
                <w:b w:val="0"/>
                <w:szCs w:val="24"/>
              </w:rPr>
              <w:t xml:space="preserve">in a </w:t>
            </w:r>
            <w:r w:rsidRPr="00C33092">
              <w:rPr>
                <w:rStyle w:val="CommentReference"/>
                <w:b w:val="0"/>
                <w:szCs w:val="24"/>
              </w:rPr>
              <w:t>DUSC analysis (April 2025). The resubmission also used the number of T-</w:t>
            </w:r>
            <w:proofErr w:type="spellStart"/>
            <w:r w:rsidRPr="00C33092">
              <w:rPr>
                <w:rStyle w:val="CommentReference"/>
                <w:b w:val="0"/>
                <w:szCs w:val="24"/>
              </w:rPr>
              <w:t>DXd</w:t>
            </w:r>
            <w:proofErr w:type="spellEnd"/>
            <w:r w:rsidRPr="00C33092">
              <w:rPr>
                <w:rStyle w:val="CommentReference"/>
                <w:b w:val="0"/>
                <w:szCs w:val="24"/>
              </w:rPr>
              <w:t xml:space="preserve"> initiations (second line) to predict T-</w:t>
            </w:r>
            <w:proofErr w:type="spellStart"/>
            <w:r w:rsidRPr="00C33092">
              <w:rPr>
                <w:rStyle w:val="CommentReference"/>
                <w:b w:val="0"/>
                <w:szCs w:val="24"/>
              </w:rPr>
              <w:t>DXd</w:t>
            </w:r>
            <w:proofErr w:type="spellEnd"/>
            <w:r w:rsidRPr="00C33092">
              <w:rPr>
                <w:rStyle w:val="CommentReference"/>
                <w:b w:val="0"/>
                <w:szCs w:val="24"/>
              </w:rPr>
              <w:t xml:space="preserve"> discontinuations as the starting point for the epidemiological approach (given displacement of T-DM1 to third line with introduction of T-</w:t>
            </w:r>
            <w:proofErr w:type="spellStart"/>
            <w:r w:rsidRPr="00C33092">
              <w:rPr>
                <w:rStyle w:val="CommentReference"/>
                <w:b w:val="0"/>
                <w:szCs w:val="24"/>
              </w:rPr>
              <w:t>DXd</w:t>
            </w:r>
            <w:proofErr w:type="spellEnd"/>
            <w:r w:rsidRPr="00C33092">
              <w:rPr>
                <w:rStyle w:val="CommentReference"/>
                <w:b w:val="0"/>
                <w:szCs w:val="24"/>
              </w:rPr>
              <w:t xml:space="preserve">). </w:t>
            </w:r>
          </w:p>
          <w:p w14:paraId="16FB1997" w14:textId="561BC178" w:rsidR="00B1264B" w:rsidRPr="00C33092" w:rsidRDefault="001F1CF3" w:rsidP="00EA6ED4">
            <w:pPr>
              <w:pStyle w:val="TableText0"/>
              <w:keepNext w:val="0"/>
              <w:keepLines w:val="0"/>
              <w:rPr>
                <w:rStyle w:val="CommentReference"/>
                <w:b w:val="0"/>
                <w:szCs w:val="24"/>
              </w:rPr>
            </w:pPr>
            <w:r>
              <w:rPr>
                <w:rStyle w:val="CommentReference"/>
                <w:b w:val="0"/>
                <w:szCs w:val="24"/>
              </w:rPr>
              <w:t>The evaluation considered that the u</w:t>
            </w:r>
            <w:r w:rsidR="00B1264B" w:rsidRPr="00C33092">
              <w:rPr>
                <w:rStyle w:val="CommentReference"/>
                <w:b w:val="0"/>
                <w:szCs w:val="24"/>
              </w:rPr>
              <w:t>ptake and the proportion continuing treatment are still uncertain and impact the estimation of utilisation.</w:t>
            </w:r>
          </w:p>
        </w:tc>
      </w:tr>
    </w:tbl>
    <w:p w14:paraId="488CD8DA" w14:textId="77777777" w:rsidR="00B1264B" w:rsidRPr="00C33092" w:rsidRDefault="00B1264B" w:rsidP="00B1264B">
      <w:pPr>
        <w:pStyle w:val="TableFooter"/>
      </w:pPr>
      <w:r w:rsidRPr="00C33092">
        <w:t>Source: Compiled during conduction of the evaluation in part using Table 1, p14 of the submission; Table 1.1.1, p22 of the resubmission; Table 2, p56 of the resubmission; Table 1, p196-197 of the resubmission; p285-286 of the resubmission.</w:t>
      </w:r>
    </w:p>
    <w:p w14:paraId="5E680C18" w14:textId="77777777" w:rsidR="00B1264B" w:rsidRDefault="00B1264B" w:rsidP="00B1264B">
      <w:pPr>
        <w:pStyle w:val="TableFooter"/>
      </w:pPr>
      <w:r w:rsidRPr="00C33092">
        <w:t xml:space="preserve">Abbreviations: AIC, Akaike information criterion; BIC, Bayesian information criterion; CMA, cost-minimisation analysis; CUA, cost-utility analysis; DUSC, Drug Utilisation Sub Committee; ESC, Economic Sub Committee; HER2, human epidermal growth factor receptor 2; HR, hazard ratio; KM, Kaplan-Meier; </w:t>
      </w:r>
      <w:proofErr w:type="spellStart"/>
      <w:r w:rsidRPr="00C33092">
        <w:t>mBC</w:t>
      </w:r>
      <w:proofErr w:type="spellEnd"/>
      <w:r w:rsidRPr="00C33092">
        <w:t>, metastatic breast cancer; MBS, Medicare Benefits Schedule; mg, milligram; NMA, network meta-analysis; PBAC, Pharmaceutical Benefits Advisory Committee; PBS, Pharmaceutical Benefits Scheme; PFS, progression free survival; PSD, Public Summary Document; OS, overall survival; QoL, quality of life; RDI, relative dose intensity; SPA, Special Pricing Arrangement; T-DM1, trastuzumab emtansine; T-</w:t>
      </w:r>
      <w:proofErr w:type="spellStart"/>
      <w:r w:rsidRPr="00C33092">
        <w:t>DXd</w:t>
      </w:r>
      <w:proofErr w:type="spellEnd"/>
      <w:r w:rsidRPr="00C33092">
        <w:t>, trastuzumab deruxtecan; TTD, time to discontinuation.</w:t>
      </w:r>
    </w:p>
    <w:p w14:paraId="5AB0217D" w14:textId="77777777" w:rsidR="005F53CB" w:rsidRPr="005F53CB" w:rsidRDefault="005F53CB" w:rsidP="005F53CB">
      <w:pPr>
        <w:pStyle w:val="TableFooter"/>
        <w:rPr>
          <w:i/>
        </w:rPr>
      </w:pPr>
      <w:r w:rsidRPr="005F53CB">
        <w:rPr>
          <w:i/>
        </w:rPr>
        <w:t xml:space="preserve">The redacted values correspond to the following ranges: </w:t>
      </w:r>
    </w:p>
    <w:p w14:paraId="32019EEA" w14:textId="60DFA1D4" w:rsidR="005F53CB" w:rsidRPr="005F53CB" w:rsidRDefault="005F53CB" w:rsidP="005F53CB">
      <w:pPr>
        <w:pStyle w:val="TableFooter"/>
        <w:rPr>
          <w:i/>
        </w:rPr>
      </w:pPr>
      <w:r w:rsidRPr="005F53CB">
        <w:rPr>
          <w:i/>
          <w:vertAlign w:val="superscript"/>
        </w:rPr>
        <w:t>1</w:t>
      </w:r>
      <w:r w:rsidRPr="005F53CB">
        <w:rPr>
          <w:i/>
        </w:rPr>
        <w:t xml:space="preserve"> </w:t>
      </w:r>
      <w:r w:rsidR="00ED5D94" w:rsidRPr="00ED5D94">
        <w:rPr>
          <w:i/>
        </w:rPr>
        <w:t>$75,000 to &lt; $95,000</w:t>
      </w:r>
    </w:p>
    <w:p w14:paraId="76FC23B1" w14:textId="77777777" w:rsidR="005F53CB" w:rsidRPr="00C33092" w:rsidRDefault="005F53CB" w:rsidP="00B1264B">
      <w:pPr>
        <w:pStyle w:val="TableFooter"/>
      </w:pPr>
    </w:p>
    <w:p w14:paraId="61DD9046" w14:textId="77777777" w:rsidR="00F84089" w:rsidRPr="00C33092" w:rsidRDefault="00F84089" w:rsidP="00F84089">
      <w:pPr>
        <w:pStyle w:val="2-SectionHeading"/>
      </w:pPr>
      <w:bookmarkStart w:id="12" w:name="_Toc207882442"/>
      <w:bookmarkStart w:id="13" w:name="_Toc208931297"/>
      <w:bookmarkEnd w:id="12"/>
      <w:r w:rsidRPr="00C33092">
        <w:lastRenderedPageBreak/>
        <w:t>Requested listing</w:t>
      </w:r>
      <w:bookmarkEnd w:id="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Requested listing"/>
      </w:tblPr>
      <w:tblGrid>
        <w:gridCol w:w="2354"/>
        <w:gridCol w:w="2397"/>
        <w:gridCol w:w="811"/>
        <w:gridCol w:w="811"/>
        <w:gridCol w:w="811"/>
        <w:gridCol w:w="1832"/>
      </w:tblGrid>
      <w:tr w:rsidR="00F84089" w:rsidRPr="00C33092" w14:paraId="002943B4" w14:textId="77777777" w:rsidTr="008B1086">
        <w:trPr>
          <w:cantSplit/>
          <w:trHeight w:val="20"/>
        </w:trPr>
        <w:tc>
          <w:tcPr>
            <w:tcW w:w="1305" w:type="pct"/>
          </w:tcPr>
          <w:p w14:paraId="0BF4AC98" w14:textId="77777777" w:rsidR="00F84089" w:rsidRPr="00C33092" w:rsidRDefault="00F84089" w:rsidP="008B1086">
            <w:pPr>
              <w:pStyle w:val="TableText0"/>
              <w:rPr>
                <w:b/>
                <w:bCs w:val="0"/>
              </w:rPr>
            </w:pPr>
            <w:r w:rsidRPr="00C33092">
              <w:rPr>
                <w:b/>
                <w:bCs w:val="0"/>
              </w:rPr>
              <w:t>MEDICINAL PRODUCT</w:t>
            </w:r>
          </w:p>
          <w:p w14:paraId="448DF605" w14:textId="77777777" w:rsidR="00F84089" w:rsidRPr="00C33092" w:rsidRDefault="00F84089" w:rsidP="008B1086">
            <w:pPr>
              <w:pStyle w:val="TableText0"/>
              <w:rPr>
                <w:b/>
                <w:bCs w:val="0"/>
              </w:rPr>
            </w:pPr>
            <w:r w:rsidRPr="00C33092">
              <w:rPr>
                <w:b/>
                <w:bCs w:val="0"/>
              </w:rPr>
              <w:t>medicinal product pack</w:t>
            </w:r>
          </w:p>
        </w:tc>
        <w:tc>
          <w:tcPr>
            <w:tcW w:w="1329" w:type="pct"/>
          </w:tcPr>
          <w:p w14:paraId="1523FD81" w14:textId="77777777" w:rsidR="00F84089" w:rsidRPr="00C33092" w:rsidRDefault="00F84089" w:rsidP="008B1086">
            <w:pPr>
              <w:pStyle w:val="TableText0"/>
              <w:rPr>
                <w:b/>
                <w:bCs w:val="0"/>
              </w:rPr>
            </w:pPr>
            <w:r w:rsidRPr="00C33092">
              <w:rPr>
                <w:b/>
                <w:bCs w:val="0"/>
                <w:snapToGrid w:val="0"/>
              </w:rPr>
              <w:t xml:space="preserve">Dispensed Price for Max. Qty </w:t>
            </w:r>
          </w:p>
        </w:tc>
        <w:tc>
          <w:tcPr>
            <w:tcW w:w="450" w:type="pct"/>
          </w:tcPr>
          <w:p w14:paraId="20C0EF9E" w14:textId="77777777" w:rsidR="00F84089" w:rsidRPr="00C33092" w:rsidRDefault="00F84089" w:rsidP="008B1086">
            <w:pPr>
              <w:pStyle w:val="TableText0"/>
              <w:rPr>
                <w:b/>
                <w:bCs w:val="0"/>
              </w:rPr>
            </w:pPr>
            <w:r w:rsidRPr="00C33092">
              <w:rPr>
                <w:b/>
                <w:bCs w:val="0"/>
              </w:rPr>
              <w:t>Max. qty packs</w:t>
            </w:r>
          </w:p>
        </w:tc>
        <w:tc>
          <w:tcPr>
            <w:tcW w:w="450" w:type="pct"/>
          </w:tcPr>
          <w:p w14:paraId="24B54B41" w14:textId="77777777" w:rsidR="00F84089" w:rsidRPr="00C33092" w:rsidRDefault="00F84089" w:rsidP="008B1086">
            <w:pPr>
              <w:pStyle w:val="TableText0"/>
              <w:rPr>
                <w:b/>
                <w:bCs w:val="0"/>
              </w:rPr>
            </w:pPr>
            <w:r w:rsidRPr="00C33092">
              <w:rPr>
                <w:b/>
                <w:bCs w:val="0"/>
              </w:rPr>
              <w:t>Max. qty units</w:t>
            </w:r>
          </w:p>
        </w:tc>
        <w:tc>
          <w:tcPr>
            <w:tcW w:w="450" w:type="pct"/>
          </w:tcPr>
          <w:p w14:paraId="5A14C1B2" w14:textId="77777777" w:rsidR="00F84089" w:rsidRPr="00C33092" w:rsidRDefault="00F84089" w:rsidP="008B1086">
            <w:pPr>
              <w:pStyle w:val="TableText0"/>
              <w:rPr>
                <w:b/>
                <w:bCs w:val="0"/>
              </w:rPr>
            </w:pPr>
            <w:r w:rsidRPr="00C33092">
              <w:rPr>
                <w:b/>
                <w:bCs w:val="0"/>
              </w:rPr>
              <w:t>№.of</w:t>
            </w:r>
          </w:p>
          <w:p w14:paraId="6957B5A2" w14:textId="77777777" w:rsidR="00F84089" w:rsidRPr="00C33092" w:rsidRDefault="00F84089" w:rsidP="008B1086">
            <w:pPr>
              <w:pStyle w:val="TableText0"/>
              <w:rPr>
                <w:b/>
                <w:bCs w:val="0"/>
              </w:rPr>
            </w:pPr>
            <w:r w:rsidRPr="00C33092">
              <w:rPr>
                <w:b/>
                <w:bCs w:val="0"/>
              </w:rPr>
              <w:t>Rpts</w:t>
            </w:r>
          </w:p>
        </w:tc>
        <w:tc>
          <w:tcPr>
            <w:tcW w:w="1015" w:type="pct"/>
          </w:tcPr>
          <w:p w14:paraId="64DFFE3D" w14:textId="77777777" w:rsidR="00F84089" w:rsidRPr="00C33092" w:rsidRDefault="00F84089" w:rsidP="008B1086">
            <w:pPr>
              <w:pStyle w:val="TableText0"/>
              <w:rPr>
                <w:b/>
                <w:bCs w:val="0"/>
              </w:rPr>
            </w:pPr>
            <w:r w:rsidRPr="00C33092">
              <w:rPr>
                <w:b/>
                <w:bCs w:val="0"/>
              </w:rPr>
              <w:t>Available brands</w:t>
            </w:r>
          </w:p>
        </w:tc>
      </w:tr>
      <w:tr w:rsidR="00F84089" w:rsidRPr="00C33092" w14:paraId="7055494F" w14:textId="77777777" w:rsidTr="008B1086">
        <w:trPr>
          <w:cantSplit/>
          <w:trHeight w:val="20"/>
        </w:trPr>
        <w:tc>
          <w:tcPr>
            <w:tcW w:w="5000" w:type="pct"/>
            <w:gridSpan w:val="6"/>
          </w:tcPr>
          <w:p w14:paraId="4A170630" w14:textId="77777777" w:rsidR="00F84089" w:rsidRPr="00C33092" w:rsidRDefault="00F84089" w:rsidP="008B1086">
            <w:pPr>
              <w:pStyle w:val="TableText0"/>
              <w:rPr>
                <w:rFonts w:cs="Arial"/>
                <w:szCs w:val="20"/>
              </w:rPr>
            </w:pPr>
            <w:r w:rsidRPr="00C33092">
              <w:t>TUCATINIB</w:t>
            </w:r>
            <w:r w:rsidRPr="00C33092">
              <w:rPr>
                <w:rFonts w:cs="Arial"/>
                <w:color w:val="0066FF"/>
                <w:szCs w:val="20"/>
              </w:rPr>
              <w:t xml:space="preserve"> </w:t>
            </w:r>
          </w:p>
        </w:tc>
      </w:tr>
      <w:tr w:rsidR="00F84089" w:rsidRPr="00C33092" w14:paraId="28107C0D" w14:textId="77777777" w:rsidTr="008B1086">
        <w:trPr>
          <w:cantSplit/>
          <w:trHeight w:val="20"/>
        </w:trPr>
        <w:tc>
          <w:tcPr>
            <w:tcW w:w="1305" w:type="pct"/>
            <w:shd w:val="clear" w:color="auto" w:fill="B8CCE4" w:themeFill="accent1" w:themeFillTint="66"/>
          </w:tcPr>
          <w:p w14:paraId="12EA5D2E" w14:textId="77777777" w:rsidR="00F84089" w:rsidRPr="00C33092" w:rsidRDefault="00F84089" w:rsidP="008B1086">
            <w:pPr>
              <w:pStyle w:val="TableText0"/>
            </w:pPr>
            <w:proofErr w:type="spellStart"/>
            <w:proofErr w:type="gramStart"/>
            <w:r w:rsidRPr="00C33092">
              <w:rPr>
                <w:lang w:val="fr-CA"/>
              </w:rPr>
              <w:t>tucatinib</w:t>
            </w:r>
            <w:proofErr w:type="spellEnd"/>
            <w:proofErr w:type="gramEnd"/>
            <w:r w:rsidRPr="00C33092">
              <w:rPr>
                <w:lang w:val="fr-CA"/>
              </w:rPr>
              <w:t xml:space="preserve">, 50 mg </w:t>
            </w:r>
            <w:proofErr w:type="spellStart"/>
            <w:r w:rsidRPr="00C33092">
              <w:rPr>
                <w:lang w:val="fr-CA"/>
              </w:rPr>
              <w:t>tablet</w:t>
            </w:r>
            <w:proofErr w:type="spellEnd"/>
          </w:p>
        </w:tc>
        <w:tc>
          <w:tcPr>
            <w:tcW w:w="1329" w:type="pct"/>
            <w:shd w:val="clear" w:color="auto" w:fill="FFFFFF" w:themeFill="background1"/>
          </w:tcPr>
          <w:p w14:paraId="44055C64" w14:textId="77777777" w:rsidR="00F84089" w:rsidRPr="00C33092" w:rsidRDefault="00F84089" w:rsidP="008B1086">
            <w:pPr>
              <w:pStyle w:val="TableText0"/>
            </w:pPr>
            <w:r w:rsidRPr="00C33092">
              <w:t>$4,994.36 published price</w:t>
            </w:r>
          </w:p>
          <w:p w14:paraId="1CB64864" w14:textId="0F74746A" w:rsidR="00F84089" w:rsidRPr="00C33092" w:rsidRDefault="00F84089" w:rsidP="008B1086">
            <w:pPr>
              <w:pStyle w:val="TableText0"/>
              <w:rPr>
                <w:szCs w:val="20"/>
              </w:rPr>
            </w:pPr>
            <w:r w:rsidRPr="00C33092">
              <w:t>$</w:t>
            </w:r>
            <w:r w:rsidR="009B6432" w:rsidRPr="009B6432">
              <w:rPr>
                <w:highlight w:val="black"/>
              </w:rPr>
              <w:t>&amp;&amp;&amp;&amp;</w:t>
            </w:r>
            <w:r w:rsidRPr="00C33092">
              <w:t xml:space="preserve"> effective price</w:t>
            </w:r>
          </w:p>
        </w:tc>
        <w:tc>
          <w:tcPr>
            <w:tcW w:w="450" w:type="pct"/>
            <w:shd w:val="clear" w:color="auto" w:fill="FFFFFF" w:themeFill="background1"/>
          </w:tcPr>
          <w:p w14:paraId="1803D290" w14:textId="77777777" w:rsidR="00F84089" w:rsidRPr="00C33092" w:rsidRDefault="00F84089" w:rsidP="008B1086">
            <w:pPr>
              <w:pStyle w:val="TableText0"/>
              <w:jc w:val="center"/>
              <w:rPr>
                <w:szCs w:val="20"/>
              </w:rPr>
            </w:pPr>
            <w:r w:rsidRPr="00C33092">
              <w:t>2</w:t>
            </w:r>
          </w:p>
        </w:tc>
        <w:tc>
          <w:tcPr>
            <w:tcW w:w="450" w:type="pct"/>
            <w:shd w:val="clear" w:color="auto" w:fill="B8CCE4" w:themeFill="accent1" w:themeFillTint="66"/>
          </w:tcPr>
          <w:p w14:paraId="65B1948F" w14:textId="77777777" w:rsidR="00F84089" w:rsidRPr="00C33092" w:rsidRDefault="00F84089" w:rsidP="008B1086">
            <w:pPr>
              <w:pStyle w:val="TableText0"/>
              <w:jc w:val="center"/>
              <w:rPr>
                <w:szCs w:val="20"/>
              </w:rPr>
            </w:pPr>
            <w:r w:rsidRPr="00C33092">
              <w:t>176</w:t>
            </w:r>
          </w:p>
        </w:tc>
        <w:tc>
          <w:tcPr>
            <w:tcW w:w="450" w:type="pct"/>
            <w:shd w:val="clear" w:color="auto" w:fill="FFFFFF" w:themeFill="background1"/>
          </w:tcPr>
          <w:p w14:paraId="689D1F44" w14:textId="77777777" w:rsidR="00F84089" w:rsidRPr="00C33092" w:rsidRDefault="00F84089" w:rsidP="008B1086">
            <w:pPr>
              <w:pStyle w:val="TableText0"/>
              <w:jc w:val="center"/>
              <w:rPr>
                <w:szCs w:val="20"/>
              </w:rPr>
            </w:pPr>
            <w:r w:rsidRPr="00C33092">
              <w:t>1</w:t>
            </w:r>
          </w:p>
        </w:tc>
        <w:tc>
          <w:tcPr>
            <w:tcW w:w="1015" w:type="pct"/>
            <w:shd w:val="clear" w:color="auto" w:fill="FFFFFF" w:themeFill="background1"/>
          </w:tcPr>
          <w:p w14:paraId="6EC5746D" w14:textId="77777777" w:rsidR="00F84089" w:rsidRPr="00C33092" w:rsidRDefault="00F84089" w:rsidP="008B1086">
            <w:pPr>
              <w:pStyle w:val="TableText0"/>
              <w:rPr>
                <w:color w:val="0066FF"/>
                <w:szCs w:val="20"/>
              </w:rPr>
            </w:pPr>
            <w:proofErr w:type="spellStart"/>
            <w:r w:rsidRPr="00C33092">
              <w:rPr>
                <w:szCs w:val="20"/>
                <w:shd w:val="clear" w:color="auto" w:fill="B8CCE4" w:themeFill="accent1" w:themeFillTint="66"/>
              </w:rPr>
              <w:t>Tukysa</w:t>
            </w:r>
            <w:proofErr w:type="spellEnd"/>
            <w:r w:rsidRPr="00C33092">
              <w:rPr>
                <w:szCs w:val="20"/>
              </w:rPr>
              <w:br/>
            </w:r>
            <w:r w:rsidRPr="00C33092">
              <w:rPr>
                <w:szCs w:val="20"/>
                <w:shd w:val="clear" w:color="auto" w:fill="FFFFFF" w:themeFill="background1"/>
              </w:rPr>
              <w:t>Pfizer Australia</w:t>
            </w:r>
          </w:p>
        </w:tc>
      </w:tr>
      <w:tr w:rsidR="00F84089" w:rsidRPr="00C33092" w14:paraId="5863F135" w14:textId="77777777" w:rsidTr="008B1086">
        <w:trPr>
          <w:cantSplit/>
          <w:trHeight w:val="20"/>
        </w:trPr>
        <w:tc>
          <w:tcPr>
            <w:tcW w:w="1305" w:type="pct"/>
            <w:shd w:val="clear" w:color="auto" w:fill="B8CCE4" w:themeFill="accent1" w:themeFillTint="66"/>
          </w:tcPr>
          <w:p w14:paraId="1B73BB58" w14:textId="77777777" w:rsidR="00F84089" w:rsidRPr="00C33092" w:rsidRDefault="00F84089" w:rsidP="008B1086">
            <w:pPr>
              <w:pStyle w:val="TableText0"/>
              <w:rPr>
                <w:color w:val="0066FF"/>
                <w:szCs w:val="20"/>
              </w:rPr>
            </w:pPr>
            <w:proofErr w:type="spellStart"/>
            <w:proofErr w:type="gramStart"/>
            <w:r w:rsidRPr="00C33092">
              <w:rPr>
                <w:lang w:val="fr-CA"/>
              </w:rPr>
              <w:t>tucatinib</w:t>
            </w:r>
            <w:proofErr w:type="spellEnd"/>
            <w:proofErr w:type="gramEnd"/>
            <w:r w:rsidRPr="00C33092">
              <w:rPr>
                <w:lang w:val="fr-CA"/>
              </w:rPr>
              <w:t xml:space="preserve">, 150 mg </w:t>
            </w:r>
            <w:proofErr w:type="spellStart"/>
            <w:r w:rsidRPr="00C33092">
              <w:rPr>
                <w:lang w:val="fr-CA"/>
              </w:rPr>
              <w:t>tablet</w:t>
            </w:r>
            <w:proofErr w:type="spellEnd"/>
          </w:p>
        </w:tc>
        <w:tc>
          <w:tcPr>
            <w:tcW w:w="1329" w:type="pct"/>
            <w:shd w:val="clear" w:color="auto" w:fill="FFFFFF" w:themeFill="background1"/>
          </w:tcPr>
          <w:p w14:paraId="41E6D06C" w14:textId="77777777" w:rsidR="00F84089" w:rsidRPr="00C33092" w:rsidRDefault="00F84089" w:rsidP="008B1086">
            <w:pPr>
              <w:pStyle w:val="TableText0"/>
            </w:pPr>
            <w:r w:rsidRPr="00C33092">
              <w:t>$13,998.90 published price</w:t>
            </w:r>
          </w:p>
          <w:p w14:paraId="4ED69494" w14:textId="59EB540C" w:rsidR="00F84089" w:rsidRPr="00C33092" w:rsidRDefault="00F84089" w:rsidP="008B1086">
            <w:pPr>
              <w:pStyle w:val="TableText0"/>
              <w:rPr>
                <w:szCs w:val="20"/>
              </w:rPr>
            </w:pPr>
            <w:r w:rsidRPr="00C33092">
              <w:t>$</w:t>
            </w:r>
            <w:r w:rsidR="009B6432" w:rsidRPr="009B6432">
              <w:rPr>
                <w:highlight w:val="black"/>
              </w:rPr>
              <w:t>&amp;&amp;&amp;&amp;</w:t>
            </w:r>
            <w:r w:rsidRPr="00C33092">
              <w:t xml:space="preserve"> effective price</w:t>
            </w:r>
          </w:p>
        </w:tc>
        <w:tc>
          <w:tcPr>
            <w:tcW w:w="450" w:type="pct"/>
            <w:shd w:val="clear" w:color="auto" w:fill="FFFFFF" w:themeFill="background1"/>
          </w:tcPr>
          <w:p w14:paraId="190EC756" w14:textId="77777777" w:rsidR="00F84089" w:rsidRPr="00C33092" w:rsidRDefault="00F84089" w:rsidP="008B1086">
            <w:pPr>
              <w:pStyle w:val="TableText0"/>
              <w:jc w:val="center"/>
              <w:rPr>
                <w:szCs w:val="20"/>
              </w:rPr>
            </w:pPr>
            <w:r w:rsidRPr="00C33092">
              <w:t>2</w:t>
            </w:r>
          </w:p>
        </w:tc>
        <w:tc>
          <w:tcPr>
            <w:tcW w:w="450" w:type="pct"/>
            <w:shd w:val="clear" w:color="auto" w:fill="B8CCE4" w:themeFill="accent1" w:themeFillTint="66"/>
          </w:tcPr>
          <w:p w14:paraId="6701F25A" w14:textId="77777777" w:rsidR="00F84089" w:rsidRPr="00C33092" w:rsidRDefault="00F84089" w:rsidP="008B1086">
            <w:pPr>
              <w:pStyle w:val="TableText0"/>
              <w:jc w:val="center"/>
              <w:rPr>
                <w:szCs w:val="20"/>
              </w:rPr>
            </w:pPr>
            <w:r w:rsidRPr="00C33092">
              <w:t>168</w:t>
            </w:r>
          </w:p>
        </w:tc>
        <w:tc>
          <w:tcPr>
            <w:tcW w:w="450" w:type="pct"/>
            <w:shd w:val="clear" w:color="auto" w:fill="FFFFFF" w:themeFill="background1"/>
          </w:tcPr>
          <w:p w14:paraId="50BB44CE" w14:textId="77777777" w:rsidR="00F84089" w:rsidRPr="00C33092" w:rsidRDefault="00F84089" w:rsidP="008B1086">
            <w:pPr>
              <w:pStyle w:val="TableText0"/>
              <w:jc w:val="center"/>
              <w:rPr>
                <w:szCs w:val="20"/>
              </w:rPr>
            </w:pPr>
            <w:r w:rsidRPr="00C33092">
              <w:t>1</w:t>
            </w:r>
          </w:p>
        </w:tc>
        <w:tc>
          <w:tcPr>
            <w:tcW w:w="1015" w:type="pct"/>
            <w:shd w:val="clear" w:color="auto" w:fill="FFFFFF" w:themeFill="background1"/>
          </w:tcPr>
          <w:p w14:paraId="3B4B7212" w14:textId="77777777" w:rsidR="00F84089" w:rsidRPr="00C33092" w:rsidRDefault="00F84089" w:rsidP="008B1086">
            <w:pPr>
              <w:pStyle w:val="TableText0"/>
              <w:rPr>
                <w:color w:val="0066FF"/>
                <w:szCs w:val="20"/>
              </w:rPr>
            </w:pPr>
            <w:proofErr w:type="spellStart"/>
            <w:r w:rsidRPr="00C33092">
              <w:rPr>
                <w:szCs w:val="20"/>
                <w:shd w:val="clear" w:color="auto" w:fill="B8CCE4" w:themeFill="accent1" w:themeFillTint="66"/>
              </w:rPr>
              <w:t>Tukysa</w:t>
            </w:r>
            <w:proofErr w:type="spellEnd"/>
            <w:r w:rsidRPr="00C33092">
              <w:rPr>
                <w:szCs w:val="20"/>
              </w:rPr>
              <w:br/>
            </w:r>
            <w:r w:rsidRPr="00C33092">
              <w:rPr>
                <w:szCs w:val="20"/>
                <w:shd w:val="clear" w:color="auto" w:fill="FFFFFF" w:themeFill="background1"/>
              </w:rPr>
              <w:t>Pfizer Australia</w:t>
            </w:r>
          </w:p>
        </w:tc>
      </w:tr>
    </w:tbl>
    <w:p w14:paraId="0D2961D6" w14:textId="782BCF75" w:rsidR="00F84089" w:rsidRPr="00C33092" w:rsidRDefault="00F84089" w:rsidP="00F84089">
      <w:pPr>
        <w:pStyle w:val="TableFooter"/>
      </w:pPr>
      <w:r w:rsidRPr="00C33092">
        <w:t>Source: Table 1.4.3, p49 of the resubmission.</w:t>
      </w:r>
    </w:p>
    <w:p w14:paraId="079B1195" w14:textId="77777777" w:rsidR="00F84089" w:rsidRPr="00C33092" w:rsidRDefault="00F84089" w:rsidP="00F84089">
      <w:pPr>
        <w:pStyle w:val="TableFooter"/>
      </w:pPr>
      <w:r w:rsidRPr="00C33092">
        <w:t>Abbreviations: Max, maximum; mg, milligram; №, number; PBAC, Pharmaceutical Benefits Advisory Committee; Qty, quantity; Rpts, repeats.</w:t>
      </w:r>
    </w:p>
    <w:p w14:paraId="62FE3581" w14:textId="77777777" w:rsidR="00F84089" w:rsidRPr="00C33092" w:rsidRDefault="00F84089" w:rsidP="00F84089">
      <w:pPr>
        <w:pStyle w:val="TableFooter"/>
      </w:pPr>
      <w:r w:rsidRPr="00C33092">
        <w:t xml:space="preserve">Note: </w:t>
      </w:r>
      <w:r w:rsidRPr="00C33092">
        <w:rPr>
          <w:shd w:val="clear" w:color="auto" w:fill="B8CCE4" w:themeFill="accent1" w:themeFillTint="66"/>
        </w:rPr>
        <w:t>Blue shading</w:t>
      </w:r>
      <w:r w:rsidRPr="00C33092">
        <w:t xml:space="preserve"> signifies data previously seen by the PBAC.</w:t>
      </w:r>
    </w:p>
    <w:p w14:paraId="4D576E6E" w14:textId="77777777" w:rsidR="00F84089" w:rsidRPr="00C33092" w:rsidRDefault="00F84089" w:rsidP="00F84089">
      <w:pPr>
        <w:pStyle w:val="3-BodyText"/>
        <w:numPr>
          <w:ilvl w:val="0"/>
          <w:numId w:val="0"/>
        </w:numPr>
        <w:rPr>
          <w:color w:val="0066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6"/>
      </w:tblGrid>
      <w:tr w:rsidR="00F84089" w:rsidRPr="00C33092" w14:paraId="25921D10" w14:textId="77777777" w:rsidTr="008B1086">
        <w:trPr>
          <w:cantSplit/>
          <w:trHeight w:val="20"/>
        </w:trPr>
        <w:tc>
          <w:tcPr>
            <w:tcW w:w="5000" w:type="pct"/>
            <w:shd w:val="clear" w:color="auto" w:fill="B8CCE4" w:themeFill="accent1" w:themeFillTint="66"/>
          </w:tcPr>
          <w:p w14:paraId="2E344043" w14:textId="77777777" w:rsidR="00F84089" w:rsidRPr="00C33092" w:rsidRDefault="00F84089" w:rsidP="008B1086">
            <w:pPr>
              <w:pStyle w:val="TableText0"/>
            </w:pPr>
            <w:r w:rsidRPr="00C33092">
              <w:rPr>
                <w:b/>
              </w:rPr>
              <w:t xml:space="preserve">Category / Program: </w:t>
            </w:r>
            <w:r w:rsidRPr="00C33092">
              <w:t>Section 85 – General Schedule</w:t>
            </w:r>
          </w:p>
        </w:tc>
      </w:tr>
      <w:tr w:rsidR="00F84089" w:rsidRPr="00C33092" w14:paraId="32799F61" w14:textId="77777777" w:rsidTr="008B1086">
        <w:trPr>
          <w:cantSplit/>
          <w:trHeight w:val="20"/>
        </w:trPr>
        <w:tc>
          <w:tcPr>
            <w:tcW w:w="5000" w:type="pct"/>
            <w:shd w:val="clear" w:color="auto" w:fill="B8CCE4" w:themeFill="accent1" w:themeFillTint="66"/>
          </w:tcPr>
          <w:p w14:paraId="7171B6AB" w14:textId="77777777" w:rsidR="00F84089" w:rsidRPr="00C33092" w:rsidRDefault="00F84089" w:rsidP="008B1086">
            <w:pPr>
              <w:pStyle w:val="TableText0"/>
              <w:rPr>
                <w:b/>
              </w:rPr>
            </w:pPr>
            <w:r w:rsidRPr="00C33092">
              <w:rPr>
                <w:b/>
              </w:rPr>
              <w:t xml:space="preserve">Prescriber type: </w:t>
            </w:r>
            <w:r w:rsidRPr="00C33092">
              <w:fldChar w:fldCharType="begin">
                <w:ffData>
                  <w:name w:val=""/>
                  <w:enabled/>
                  <w:calcOnExit w:val="0"/>
                  <w:checkBox>
                    <w:sizeAuto/>
                    <w:default w:val="1"/>
                  </w:checkBox>
                </w:ffData>
              </w:fldChar>
            </w:r>
            <w:r w:rsidRPr="00C33092">
              <w:instrText xml:space="preserve"> FORMCHECKBOX </w:instrText>
            </w:r>
            <w:r w:rsidRPr="00C33092">
              <w:fldChar w:fldCharType="separate"/>
            </w:r>
            <w:r w:rsidRPr="00C33092">
              <w:fldChar w:fldCharType="end"/>
            </w:r>
            <w:r w:rsidRPr="00C33092">
              <w:t>Medical Practitioners</w:t>
            </w:r>
          </w:p>
        </w:tc>
      </w:tr>
      <w:tr w:rsidR="00F84089" w:rsidRPr="00C33092" w14:paraId="10482DF1" w14:textId="77777777" w:rsidTr="008B1086">
        <w:trPr>
          <w:cantSplit/>
          <w:trHeight w:val="20"/>
        </w:trPr>
        <w:tc>
          <w:tcPr>
            <w:tcW w:w="5000" w:type="pct"/>
            <w:shd w:val="clear" w:color="auto" w:fill="FFFFFF" w:themeFill="background1"/>
          </w:tcPr>
          <w:p w14:paraId="7EE41D62" w14:textId="77777777" w:rsidR="00F84089" w:rsidRPr="00C33092" w:rsidRDefault="00F84089" w:rsidP="008B1086">
            <w:pPr>
              <w:pStyle w:val="TableText0"/>
              <w:rPr>
                <w:rFonts w:eastAsia="Times New Roman"/>
                <w:vertAlign w:val="superscript"/>
              </w:rPr>
            </w:pPr>
            <w:r w:rsidRPr="00C33092">
              <w:rPr>
                <w:b/>
              </w:rPr>
              <w:t>Restriction type:</w:t>
            </w:r>
            <w:r w:rsidRPr="00C33092">
              <w:rPr>
                <w:rFonts w:eastAsia="Times New Roman"/>
              </w:rPr>
              <w:br/>
            </w:r>
            <w:r w:rsidRPr="00C33092">
              <w:rPr>
                <w:rFonts w:eastAsia="Times New Roman"/>
                <w:shd w:val="clear" w:color="auto" w:fill="B8CCE4" w:themeFill="accent1" w:themeFillTint="66"/>
              </w:rPr>
              <w:fldChar w:fldCharType="begin">
                <w:ffData>
                  <w:name w:val="Check3"/>
                  <w:enabled/>
                  <w:calcOnExit w:val="0"/>
                  <w:checkBox>
                    <w:sizeAuto/>
                    <w:default w:val="1"/>
                  </w:checkBox>
                </w:ffData>
              </w:fldChar>
            </w:r>
            <w:r w:rsidRPr="00C33092">
              <w:rPr>
                <w:rFonts w:eastAsia="Times New Roman"/>
                <w:shd w:val="clear" w:color="auto" w:fill="B8CCE4" w:themeFill="accent1" w:themeFillTint="66"/>
              </w:rPr>
              <w:instrText xml:space="preserve"> FORMCHECKBOX </w:instrText>
            </w:r>
            <w:r w:rsidRPr="00C33092">
              <w:rPr>
                <w:rFonts w:eastAsia="Times New Roman"/>
                <w:shd w:val="clear" w:color="auto" w:fill="B8CCE4" w:themeFill="accent1" w:themeFillTint="66"/>
              </w:rPr>
            </w:r>
            <w:r w:rsidRPr="00C33092">
              <w:rPr>
                <w:rFonts w:eastAsia="Times New Roman"/>
                <w:shd w:val="clear" w:color="auto" w:fill="B8CCE4" w:themeFill="accent1" w:themeFillTint="66"/>
              </w:rPr>
              <w:fldChar w:fldCharType="separate"/>
            </w:r>
            <w:r w:rsidRPr="00C33092">
              <w:rPr>
                <w:rFonts w:eastAsia="Times New Roman"/>
                <w:shd w:val="clear" w:color="auto" w:fill="B8CCE4" w:themeFill="accent1" w:themeFillTint="66"/>
              </w:rPr>
              <w:fldChar w:fldCharType="end"/>
            </w:r>
            <w:r w:rsidRPr="00C33092">
              <w:rPr>
                <w:rFonts w:eastAsia="Times New Roman"/>
                <w:shd w:val="clear" w:color="auto" w:fill="FFFFFF" w:themeFill="background1"/>
              </w:rPr>
              <w:t>Authority Required (telephone/online PBS Authorities system)</w:t>
            </w:r>
            <w:r w:rsidRPr="00C33092">
              <w:rPr>
                <w:rFonts w:eastAsia="Times New Roman"/>
                <w:shd w:val="clear" w:color="auto" w:fill="FFFFFF" w:themeFill="background1"/>
                <w:vertAlign w:val="superscript"/>
              </w:rPr>
              <w:t>a</w:t>
            </w:r>
          </w:p>
        </w:tc>
      </w:tr>
      <w:tr w:rsidR="00F84089" w:rsidRPr="00C33092" w14:paraId="624F0236" w14:textId="77777777" w:rsidTr="008B1086">
        <w:trPr>
          <w:cantSplit/>
          <w:trHeight w:val="20"/>
        </w:trPr>
        <w:tc>
          <w:tcPr>
            <w:tcW w:w="5000" w:type="pct"/>
            <w:shd w:val="clear" w:color="auto" w:fill="B8CCE4" w:themeFill="accent1" w:themeFillTint="66"/>
            <w:vAlign w:val="center"/>
          </w:tcPr>
          <w:p w14:paraId="3C173B69" w14:textId="77777777" w:rsidR="00F84089" w:rsidRPr="00C33092" w:rsidRDefault="00F84089" w:rsidP="008B1086">
            <w:pPr>
              <w:pStyle w:val="TableText0"/>
              <w:rPr>
                <w:bCs w:val="0"/>
              </w:rPr>
            </w:pPr>
            <w:r w:rsidRPr="00C33092">
              <w:rPr>
                <w:b/>
              </w:rPr>
              <w:t xml:space="preserve">Severity: </w:t>
            </w:r>
            <w:r w:rsidRPr="00C33092">
              <w:rPr>
                <w:bCs w:val="0"/>
              </w:rPr>
              <w:t>Metastatic (Stage IV)</w:t>
            </w:r>
          </w:p>
        </w:tc>
      </w:tr>
      <w:tr w:rsidR="00F84089" w:rsidRPr="00C33092" w14:paraId="106434C8" w14:textId="77777777" w:rsidTr="008B1086">
        <w:trPr>
          <w:cantSplit/>
          <w:trHeight w:val="20"/>
        </w:trPr>
        <w:tc>
          <w:tcPr>
            <w:tcW w:w="5000" w:type="pct"/>
            <w:shd w:val="clear" w:color="auto" w:fill="B8CCE4" w:themeFill="accent1" w:themeFillTint="66"/>
            <w:vAlign w:val="center"/>
          </w:tcPr>
          <w:p w14:paraId="0C14AE02" w14:textId="77777777" w:rsidR="00F84089" w:rsidRPr="00C33092" w:rsidRDefault="00F84089" w:rsidP="008B1086">
            <w:pPr>
              <w:pStyle w:val="TableText0"/>
              <w:rPr>
                <w:b/>
              </w:rPr>
            </w:pPr>
            <w:r w:rsidRPr="00C33092">
              <w:rPr>
                <w:b/>
              </w:rPr>
              <w:t xml:space="preserve">Condition: </w:t>
            </w:r>
            <w:r w:rsidRPr="00C33092">
              <w:rPr>
                <w:bCs w:val="0"/>
              </w:rPr>
              <w:t>HER2 positive breast cancer</w:t>
            </w:r>
          </w:p>
        </w:tc>
      </w:tr>
      <w:tr w:rsidR="00F84089" w:rsidRPr="00C33092" w14:paraId="7619A3C7" w14:textId="77777777" w:rsidTr="008B1086">
        <w:trPr>
          <w:cantSplit/>
          <w:trHeight w:val="20"/>
        </w:trPr>
        <w:tc>
          <w:tcPr>
            <w:tcW w:w="5000" w:type="pct"/>
            <w:shd w:val="clear" w:color="auto" w:fill="B8CCE4" w:themeFill="accent1" w:themeFillTint="66"/>
            <w:vAlign w:val="center"/>
            <w:hideMark/>
          </w:tcPr>
          <w:p w14:paraId="6F499D04" w14:textId="77777777" w:rsidR="00F84089" w:rsidRPr="00C33092" w:rsidRDefault="00F84089" w:rsidP="008B1086">
            <w:pPr>
              <w:pStyle w:val="TableText0"/>
            </w:pPr>
            <w:r w:rsidRPr="00C33092">
              <w:rPr>
                <w:b/>
              </w:rPr>
              <w:t>Indication:</w:t>
            </w:r>
            <w:r w:rsidRPr="00C33092">
              <w:t xml:space="preserve"> Metastatic (Stage IV) HER2 positive breast cancer</w:t>
            </w:r>
          </w:p>
        </w:tc>
      </w:tr>
      <w:tr w:rsidR="00F84089" w:rsidRPr="00C33092" w14:paraId="16893EF6" w14:textId="77777777" w:rsidTr="008B1086">
        <w:trPr>
          <w:cantSplit/>
          <w:trHeight w:val="20"/>
        </w:trPr>
        <w:tc>
          <w:tcPr>
            <w:tcW w:w="5000" w:type="pct"/>
            <w:shd w:val="clear" w:color="auto" w:fill="B8CCE4" w:themeFill="accent1" w:themeFillTint="66"/>
            <w:vAlign w:val="center"/>
            <w:hideMark/>
          </w:tcPr>
          <w:p w14:paraId="50ACF6EA" w14:textId="77777777" w:rsidR="00F84089" w:rsidRPr="00C33092" w:rsidRDefault="00F84089" w:rsidP="008B1086">
            <w:pPr>
              <w:pStyle w:val="TableText0"/>
            </w:pPr>
            <w:r w:rsidRPr="00C33092">
              <w:rPr>
                <w:b/>
              </w:rPr>
              <w:t>Treatment Phase:</w:t>
            </w:r>
            <w:r w:rsidRPr="00C33092">
              <w:t xml:space="preserve"> </w:t>
            </w:r>
            <w:r w:rsidRPr="00C33092">
              <w:rPr>
                <w:bCs w:val="0"/>
              </w:rPr>
              <w:t>Initial</w:t>
            </w:r>
          </w:p>
        </w:tc>
      </w:tr>
      <w:tr w:rsidR="00F84089" w:rsidRPr="00C33092" w14:paraId="1CFF5AB0" w14:textId="77777777" w:rsidTr="008B1086">
        <w:trPr>
          <w:cantSplit/>
          <w:trHeight w:val="20"/>
        </w:trPr>
        <w:tc>
          <w:tcPr>
            <w:tcW w:w="5000" w:type="pct"/>
            <w:shd w:val="clear" w:color="auto" w:fill="B8CCE4" w:themeFill="accent1" w:themeFillTint="66"/>
            <w:vAlign w:val="center"/>
            <w:hideMark/>
          </w:tcPr>
          <w:p w14:paraId="2A410F94" w14:textId="77777777" w:rsidR="00F84089" w:rsidRPr="00C33092" w:rsidRDefault="00F84089" w:rsidP="008B1086">
            <w:pPr>
              <w:pStyle w:val="TableText0"/>
            </w:pPr>
            <w:r w:rsidRPr="00C33092">
              <w:rPr>
                <w:b/>
              </w:rPr>
              <w:t>Clinical criteria:</w:t>
            </w:r>
          </w:p>
        </w:tc>
      </w:tr>
      <w:tr w:rsidR="00F84089" w:rsidRPr="00C33092" w14:paraId="37690A27" w14:textId="77777777" w:rsidTr="008B1086">
        <w:trPr>
          <w:cantSplit/>
          <w:trHeight w:val="20"/>
        </w:trPr>
        <w:tc>
          <w:tcPr>
            <w:tcW w:w="5000" w:type="pct"/>
            <w:shd w:val="clear" w:color="auto" w:fill="B8CCE4" w:themeFill="accent1" w:themeFillTint="66"/>
            <w:vAlign w:val="center"/>
            <w:hideMark/>
          </w:tcPr>
          <w:p w14:paraId="0B46D514" w14:textId="77777777" w:rsidR="00F84089" w:rsidRPr="00C33092" w:rsidRDefault="00F84089" w:rsidP="008B1086">
            <w:pPr>
              <w:pStyle w:val="TableText0"/>
            </w:pPr>
            <w:r w:rsidRPr="00C33092">
              <w:t>Patient must have evidence of human epidermal growth factor receptor 2 (HER2) gene amplification as demonstrated by in situ hybridisation (ISH) either in the primary tumour or a metastatic lesion</w:t>
            </w:r>
          </w:p>
        </w:tc>
      </w:tr>
      <w:tr w:rsidR="00F84089" w:rsidRPr="00C33092" w14:paraId="3875610D" w14:textId="77777777" w:rsidTr="008B1086">
        <w:trPr>
          <w:cantSplit/>
          <w:trHeight w:val="20"/>
        </w:trPr>
        <w:tc>
          <w:tcPr>
            <w:tcW w:w="5000" w:type="pct"/>
            <w:shd w:val="clear" w:color="auto" w:fill="B8CCE4" w:themeFill="accent1" w:themeFillTint="66"/>
            <w:vAlign w:val="center"/>
            <w:hideMark/>
          </w:tcPr>
          <w:p w14:paraId="53B74240" w14:textId="77777777" w:rsidR="00F84089" w:rsidRPr="00C33092" w:rsidRDefault="00F84089" w:rsidP="008B1086">
            <w:pPr>
              <w:pStyle w:val="TableText0"/>
            </w:pPr>
            <w:r w:rsidRPr="00C33092">
              <w:rPr>
                <w:b/>
              </w:rPr>
              <w:t>AND</w:t>
            </w:r>
          </w:p>
        </w:tc>
      </w:tr>
      <w:tr w:rsidR="00F84089" w:rsidRPr="00C33092" w14:paraId="7A632F95" w14:textId="77777777" w:rsidTr="008B1086">
        <w:trPr>
          <w:cantSplit/>
          <w:trHeight w:val="20"/>
        </w:trPr>
        <w:tc>
          <w:tcPr>
            <w:tcW w:w="5000" w:type="pct"/>
            <w:shd w:val="clear" w:color="auto" w:fill="B8CCE4" w:themeFill="accent1" w:themeFillTint="66"/>
            <w:vAlign w:val="center"/>
            <w:hideMark/>
          </w:tcPr>
          <w:p w14:paraId="0A18F45C" w14:textId="77777777" w:rsidR="00F84089" w:rsidRPr="00C33092" w:rsidRDefault="00F84089" w:rsidP="008B1086">
            <w:pPr>
              <w:pStyle w:val="TableText0"/>
            </w:pPr>
            <w:r w:rsidRPr="00C33092">
              <w:rPr>
                <w:b/>
              </w:rPr>
              <w:t>Clinical criteria:</w:t>
            </w:r>
          </w:p>
        </w:tc>
      </w:tr>
      <w:tr w:rsidR="00F84089" w:rsidRPr="00C33092" w14:paraId="1476422F" w14:textId="77777777" w:rsidTr="008B1086">
        <w:trPr>
          <w:cantSplit/>
          <w:trHeight w:val="20"/>
        </w:trPr>
        <w:tc>
          <w:tcPr>
            <w:tcW w:w="5000" w:type="pct"/>
            <w:shd w:val="clear" w:color="auto" w:fill="B8CCE4" w:themeFill="accent1" w:themeFillTint="66"/>
            <w:vAlign w:val="center"/>
            <w:hideMark/>
          </w:tcPr>
          <w:p w14:paraId="4A254FE1" w14:textId="77777777" w:rsidR="00F84089" w:rsidRPr="00C33092" w:rsidRDefault="00F84089" w:rsidP="008B1086">
            <w:pPr>
              <w:pStyle w:val="TableText0"/>
            </w:pPr>
            <w:r w:rsidRPr="00C33092">
              <w:t>The condition must have progressed following treatment with at least two different HER2-directed regimens for metastatic breast cancer</w:t>
            </w:r>
          </w:p>
        </w:tc>
      </w:tr>
      <w:tr w:rsidR="00F84089" w:rsidRPr="00C33092" w14:paraId="7CF06C93" w14:textId="77777777" w:rsidTr="008B1086">
        <w:trPr>
          <w:cantSplit/>
          <w:trHeight w:val="20"/>
        </w:trPr>
        <w:tc>
          <w:tcPr>
            <w:tcW w:w="5000" w:type="pct"/>
            <w:shd w:val="clear" w:color="auto" w:fill="B8CCE4" w:themeFill="accent1" w:themeFillTint="66"/>
            <w:vAlign w:val="center"/>
            <w:hideMark/>
          </w:tcPr>
          <w:p w14:paraId="17D5B794" w14:textId="77777777" w:rsidR="00F84089" w:rsidRPr="00C33092" w:rsidRDefault="00F84089" w:rsidP="008B1086">
            <w:pPr>
              <w:pStyle w:val="TableText0"/>
            </w:pPr>
            <w:r w:rsidRPr="00C33092">
              <w:rPr>
                <w:b/>
              </w:rPr>
              <w:t>OR</w:t>
            </w:r>
          </w:p>
        </w:tc>
      </w:tr>
      <w:tr w:rsidR="00F84089" w:rsidRPr="00C33092" w14:paraId="52DEEBB8" w14:textId="77777777" w:rsidTr="008B1086">
        <w:trPr>
          <w:cantSplit/>
          <w:trHeight w:val="20"/>
        </w:trPr>
        <w:tc>
          <w:tcPr>
            <w:tcW w:w="5000" w:type="pct"/>
            <w:shd w:val="clear" w:color="auto" w:fill="FFFFFF" w:themeFill="background1"/>
            <w:vAlign w:val="center"/>
            <w:hideMark/>
          </w:tcPr>
          <w:p w14:paraId="2E822C01" w14:textId="77777777" w:rsidR="00F84089" w:rsidRPr="00C33092" w:rsidRDefault="00F84089" w:rsidP="008B1086">
            <w:pPr>
              <w:pStyle w:val="TableText0"/>
            </w:pPr>
            <w:r w:rsidRPr="00C33092">
              <w:rPr>
                <w:b/>
              </w:rPr>
              <w:t>Clinical criteria:</w:t>
            </w:r>
          </w:p>
        </w:tc>
      </w:tr>
      <w:tr w:rsidR="00F84089" w:rsidRPr="00C33092" w14:paraId="7163F5C1" w14:textId="77777777" w:rsidTr="008B1086">
        <w:trPr>
          <w:cantSplit/>
          <w:trHeight w:val="20"/>
        </w:trPr>
        <w:tc>
          <w:tcPr>
            <w:tcW w:w="5000" w:type="pct"/>
            <w:shd w:val="clear" w:color="auto" w:fill="FFFFFF" w:themeFill="background1"/>
            <w:vAlign w:val="center"/>
            <w:hideMark/>
          </w:tcPr>
          <w:p w14:paraId="4D05C504" w14:textId="77777777" w:rsidR="00F84089" w:rsidRPr="00C33092" w:rsidRDefault="00F84089" w:rsidP="008B1086">
            <w:pPr>
              <w:pStyle w:val="TableText0"/>
            </w:pPr>
            <w:r w:rsidRPr="00C33092">
              <w:t>The condition must have progressed following treatment with T-</w:t>
            </w:r>
            <w:proofErr w:type="spellStart"/>
            <w:r w:rsidRPr="00C33092">
              <w:t>DXd</w:t>
            </w:r>
            <w:proofErr w:type="spellEnd"/>
            <w:r w:rsidRPr="00C33092">
              <w:t xml:space="preserve"> for HER2+ metastatic breast cancer</w:t>
            </w:r>
          </w:p>
        </w:tc>
      </w:tr>
      <w:tr w:rsidR="00F84089" w:rsidRPr="00C33092" w14:paraId="4E200BF9" w14:textId="77777777" w:rsidTr="008B1086">
        <w:trPr>
          <w:cantSplit/>
          <w:trHeight w:val="20"/>
        </w:trPr>
        <w:tc>
          <w:tcPr>
            <w:tcW w:w="5000" w:type="pct"/>
            <w:shd w:val="clear" w:color="auto" w:fill="B8CCE4" w:themeFill="accent1" w:themeFillTint="66"/>
            <w:vAlign w:val="center"/>
            <w:hideMark/>
          </w:tcPr>
          <w:p w14:paraId="22D7DC02" w14:textId="77777777" w:rsidR="00F84089" w:rsidRPr="00C33092" w:rsidRDefault="00F84089" w:rsidP="008B1086">
            <w:pPr>
              <w:pStyle w:val="TableText0"/>
            </w:pPr>
            <w:r w:rsidRPr="00C33092">
              <w:rPr>
                <w:b/>
              </w:rPr>
              <w:t>AND</w:t>
            </w:r>
          </w:p>
        </w:tc>
      </w:tr>
      <w:tr w:rsidR="00F84089" w:rsidRPr="00C33092" w14:paraId="21B2C758" w14:textId="77777777" w:rsidTr="008B1086">
        <w:trPr>
          <w:cantSplit/>
          <w:trHeight w:val="20"/>
        </w:trPr>
        <w:tc>
          <w:tcPr>
            <w:tcW w:w="5000" w:type="pct"/>
            <w:shd w:val="clear" w:color="auto" w:fill="B8CCE4" w:themeFill="accent1" w:themeFillTint="66"/>
            <w:vAlign w:val="center"/>
            <w:hideMark/>
          </w:tcPr>
          <w:p w14:paraId="3E7821BB" w14:textId="77777777" w:rsidR="00F84089" w:rsidRPr="00C33092" w:rsidRDefault="00F84089" w:rsidP="008B1086">
            <w:pPr>
              <w:pStyle w:val="TableText0"/>
            </w:pPr>
            <w:r w:rsidRPr="00C33092">
              <w:rPr>
                <w:b/>
              </w:rPr>
              <w:t>Clinical criteria:</w:t>
            </w:r>
          </w:p>
        </w:tc>
      </w:tr>
      <w:tr w:rsidR="00F84089" w:rsidRPr="00C33092" w14:paraId="3B51C59B" w14:textId="77777777" w:rsidTr="008B1086">
        <w:trPr>
          <w:cantSplit/>
          <w:trHeight w:val="20"/>
        </w:trPr>
        <w:tc>
          <w:tcPr>
            <w:tcW w:w="5000" w:type="pct"/>
            <w:shd w:val="clear" w:color="auto" w:fill="B8CCE4" w:themeFill="accent1" w:themeFillTint="66"/>
            <w:vAlign w:val="center"/>
            <w:hideMark/>
          </w:tcPr>
          <w:p w14:paraId="62964E96" w14:textId="77777777" w:rsidR="00F84089" w:rsidRPr="00C33092" w:rsidRDefault="00F84089" w:rsidP="008B1086">
            <w:pPr>
              <w:pStyle w:val="TableText0"/>
            </w:pPr>
            <w:r w:rsidRPr="00C33092">
              <w:t>Patient must have a WHO performance status of 0 or 1</w:t>
            </w:r>
          </w:p>
        </w:tc>
      </w:tr>
      <w:tr w:rsidR="00F84089" w:rsidRPr="00C33092" w14:paraId="3E3D9AD0" w14:textId="77777777" w:rsidTr="008B1086">
        <w:trPr>
          <w:cantSplit/>
          <w:trHeight w:val="20"/>
        </w:trPr>
        <w:tc>
          <w:tcPr>
            <w:tcW w:w="5000" w:type="pct"/>
            <w:shd w:val="clear" w:color="auto" w:fill="B8CCE4" w:themeFill="accent1" w:themeFillTint="66"/>
            <w:vAlign w:val="center"/>
            <w:hideMark/>
          </w:tcPr>
          <w:p w14:paraId="4B16A17A" w14:textId="77777777" w:rsidR="00F84089" w:rsidRPr="00C33092" w:rsidRDefault="00F84089" w:rsidP="008B1086">
            <w:pPr>
              <w:pStyle w:val="TableText0"/>
            </w:pPr>
            <w:r w:rsidRPr="00C33092">
              <w:rPr>
                <w:b/>
              </w:rPr>
              <w:t>AND</w:t>
            </w:r>
          </w:p>
        </w:tc>
      </w:tr>
      <w:tr w:rsidR="00F84089" w:rsidRPr="00C33092" w14:paraId="435ACB68" w14:textId="77777777" w:rsidTr="008B1086">
        <w:trPr>
          <w:cantSplit/>
          <w:trHeight w:val="20"/>
        </w:trPr>
        <w:tc>
          <w:tcPr>
            <w:tcW w:w="5000" w:type="pct"/>
            <w:shd w:val="clear" w:color="auto" w:fill="C6D9F1" w:themeFill="text2" w:themeFillTint="33"/>
            <w:vAlign w:val="center"/>
            <w:hideMark/>
          </w:tcPr>
          <w:p w14:paraId="5C690111" w14:textId="77777777" w:rsidR="00F84089" w:rsidRPr="00C33092" w:rsidRDefault="00F84089" w:rsidP="008B1086">
            <w:pPr>
              <w:pStyle w:val="TableText0"/>
            </w:pPr>
            <w:r w:rsidRPr="00C33092">
              <w:rPr>
                <w:b/>
              </w:rPr>
              <w:t>Clinical criteria:</w:t>
            </w:r>
          </w:p>
        </w:tc>
      </w:tr>
      <w:tr w:rsidR="00F84089" w:rsidRPr="00C33092" w14:paraId="0CDBF2C6" w14:textId="77777777" w:rsidTr="008B1086">
        <w:trPr>
          <w:cantSplit/>
          <w:trHeight w:val="20"/>
        </w:trPr>
        <w:tc>
          <w:tcPr>
            <w:tcW w:w="5000" w:type="pct"/>
            <w:shd w:val="clear" w:color="auto" w:fill="C6D9F1" w:themeFill="text2" w:themeFillTint="33"/>
            <w:vAlign w:val="center"/>
            <w:hideMark/>
          </w:tcPr>
          <w:p w14:paraId="0D3A33A5" w14:textId="77777777" w:rsidR="00F84089" w:rsidRPr="00C33092" w:rsidRDefault="00F84089" w:rsidP="008B1086">
            <w:pPr>
              <w:pStyle w:val="TableText0"/>
            </w:pPr>
            <w:r w:rsidRPr="00C33092">
              <w:t>The treatment must be in combination with trastuzumab and capecitabine</w:t>
            </w:r>
          </w:p>
        </w:tc>
      </w:tr>
    </w:tbl>
    <w:p w14:paraId="6CFD4163" w14:textId="77777777" w:rsidR="00F84089" w:rsidRPr="00C33092" w:rsidRDefault="00F84089" w:rsidP="00F84089">
      <w:pPr>
        <w:pStyle w:val="FooterTableFigure"/>
      </w:pPr>
      <w:r w:rsidRPr="00C33092">
        <w:t>Source: Table 1.4.4, p51 of the resubmission.</w:t>
      </w:r>
    </w:p>
    <w:p w14:paraId="4AC25A4A" w14:textId="77777777" w:rsidR="00F84089" w:rsidRPr="00C33092" w:rsidRDefault="00F84089" w:rsidP="00F84089">
      <w:pPr>
        <w:pStyle w:val="FooterTableFigure"/>
      </w:pPr>
      <w:r w:rsidRPr="00C33092">
        <w:t>Abbreviations: HER, human epidermal growth factor receptor; PBAC, Pharmaceutical Benefits Advisory Committee; PBS, Pharmaceutical Benefits Scheme; T-</w:t>
      </w:r>
      <w:proofErr w:type="spellStart"/>
      <w:r w:rsidRPr="00C33092">
        <w:t>DXd</w:t>
      </w:r>
      <w:proofErr w:type="spellEnd"/>
      <w:r w:rsidRPr="00C33092">
        <w:t>, trastuzumab deruxtecan; WHO, World Health Organization.</w:t>
      </w:r>
    </w:p>
    <w:p w14:paraId="1D0EB54E" w14:textId="77777777" w:rsidR="00F84089" w:rsidRPr="00C33092" w:rsidRDefault="00F84089" w:rsidP="00F84089">
      <w:pPr>
        <w:pStyle w:val="FooterTableFigure"/>
      </w:pPr>
      <w:r w:rsidRPr="00C33092">
        <w:rPr>
          <w:vertAlign w:val="superscript"/>
        </w:rPr>
        <w:t>a</w:t>
      </w:r>
      <w:r w:rsidRPr="00C33092">
        <w:t xml:space="preserve"> According to p50 of the resubmission, a Section 85 Telephone Authority listing is requested for initial treatment and continuing prescriptions.</w:t>
      </w:r>
    </w:p>
    <w:p w14:paraId="584E44CE" w14:textId="77777777" w:rsidR="00F84089" w:rsidRPr="00C33092" w:rsidRDefault="00F84089" w:rsidP="00F84089">
      <w:pPr>
        <w:pStyle w:val="FooterTableFigure"/>
      </w:pPr>
      <w:r w:rsidRPr="00C33092">
        <w:t xml:space="preserve">Note: </w:t>
      </w:r>
      <w:r w:rsidRPr="00C33092">
        <w:rPr>
          <w:shd w:val="clear" w:color="auto" w:fill="C6D9F1" w:themeFill="text2" w:themeFillTint="33"/>
        </w:rPr>
        <w:t>Blue shading</w:t>
      </w:r>
      <w:r w:rsidRPr="00C33092">
        <w:t xml:space="preserve"> signifies restrictions previously seen by the PBAC.</w:t>
      </w:r>
    </w:p>
    <w:p w14:paraId="4DB27A03" w14:textId="77777777" w:rsidR="00F84089" w:rsidRPr="00C33092" w:rsidRDefault="00F84089" w:rsidP="00F84089">
      <w:pPr>
        <w:pStyle w:val="3-BodyText"/>
        <w:numPr>
          <w:ilvl w:val="0"/>
          <w:numId w:val="0"/>
        </w:numPr>
        <w:rPr>
          <w:color w:val="0066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Caption w:val="Requested listing"/>
      </w:tblPr>
      <w:tblGrid>
        <w:gridCol w:w="9016"/>
      </w:tblGrid>
      <w:tr w:rsidR="00F84089" w:rsidRPr="00C33092" w14:paraId="34303A3F" w14:textId="77777777" w:rsidTr="008B1086">
        <w:trPr>
          <w:cantSplit/>
          <w:trHeight w:val="20"/>
        </w:trPr>
        <w:tc>
          <w:tcPr>
            <w:tcW w:w="5000" w:type="pct"/>
            <w:shd w:val="clear" w:color="auto" w:fill="B8CCE4" w:themeFill="accent1" w:themeFillTint="66"/>
          </w:tcPr>
          <w:p w14:paraId="52FFA380" w14:textId="77777777" w:rsidR="00F84089" w:rsidRPr="00C33092" w:rsidRDefault="00F84089" w:rsidP="008B1086">
            <w:pPr>
              <w:pStyle w:val="TableText0"/>
            </w:pPr>
            <w:r w:rsidRPr="00C33092">
              <w:rPr>
                <w:b/>
              </w:rPr>
              <w:lastRenderedPageBreak/>
              <w:t xml:space="preserve">Category / Program: </w:t>
            </w:r>
            <w:r w:rsidRPr="00C33092">
              <w:t>Section 85 – General Schedule</w:t>
            </w:r>
          </w:p>
        </w:tc>
      </w:tr>
      <w:tr w:rsidR="00F84089" w:rsidRPr="00C33092" w14:paraId="18AE629F" w14:textId="77777777" w:rsidTr="008B1086">
        <w:trPr>
          <w:cantSplit/>
          <w:trHeight w:val="20"/>
        </w:trPr>
        <w:tc>
          <w:tcPr>
            <w:tcW w:w="5000" w:type="pct"/>
            <w:shd w:val="clear" w:color="auto" w:fill="B8CCE4" w:themeFill="accent1" w:themeFillTint="66"/>
          </w:tcPr>
          <w:p w14:paraId="39374712" w14:textId="77777777" w:rsidR="00F84089" w:rsidRPr="00C33092" w:rsidRDefault="00F84089" w:rsidP="008B1086">
            <w:pPr>
              <w:pStyle w:val="TableText0"/>
              <w:rPr>
                <w:b/>
              </w:rPr>
            </w:pPr>
            <w:r w:rsidRPr="00C33092">
              <w:rPr>
                <w:b/>
              </w:rPr>
              <w:t xml:space="preserve">Prescriber type: </w:t>
            </w:r>
            <w:r w:rsidRPr="00C33092">
              <w:fldChar w:fldCharType="begin">
                <w:ffData>
                  <w:name w:val=""/>
                  <w:enabled/>
                  <w:calcOnExit w:val="0"/>
                  <w:checkBox>
                    <w:sizeAuto/>
                    <w:default w:val="1"/>
                  </w:checkBox>
                </w:ffData>
              </w:fldChar>
            </w:r>
            <w:r w:rsidRPr="00C33092">
              <w:instrText xml:space="preserve"> FORMCHECKBOX </w:instrText>
            </w:r>
            <w:r w:rsidRPr="00C33092">
              <w:fldChar w:fldCharType="separate"/>
            </w:r>
            <w:r w:rsidRPr="00C33092">
              <w:fldChar w:fldCharType="end"/>
            </w:r>
            <w:r w:rsidRPr="00C33092">
              <w:t>Medical Practitioners</w:t>
            </w:r>
          </w:p>
        </w:tc>
      </w:tr>
      <w:tr w:rsidR="00F84089" w:rsidRPr="00C33092" w14:paraId="20DAD0A3" w14:textId="77777777" w:rsidTr="008B1086">
        <w:trPr>
          <w:cantSplit/>
          <w:trHeight w:val="20"/>
        </w:trPr>
        <w:tc>
          <w:tcPr>
            <w:tcW w:w="5000" w:type="pct"/>
            <w:shd w:val="clear" w:color="auto" w:fill="FFFFFF" w:themeFill="background1"/>
          </w:tcPr>
          <w:p w14:paraId="750A2282" w14:textId="77777777" w:rsidR="00F84089" w:rsidRPr="00C33092" w:rsidRDefault="00F84089" w:rsidP="008B1086">
            <w:pPr>
              <w:pStyle w:val="TableText0"/>
              <w:rPr>
                <w:rFonts w:eastAsia="Times New Roman"/>
                <w:vertAlign w:val="superscript"/>
              </w:rPr>
            </w:pPr>
            <w:r w:rsidRPr="00C33092">
              <w:rPr>
                <w:b/>
              </w:rPr>
              <w:t>Restriction type:</w:t>
            </w:r>
            <w:r w:rsidRPr="00C33092">
              <w:rPr>
                <w:rFonts w:eastAsia="Times New Roman"/>
              </w:rPr>
              <w:br/>
            </w:r>
            <w:r w:rsidRPr="00C33092">
              <w:rPr>
                <w:rFonts w:eastAsia="Times New Roman"/>
                <w:shd w:val="clear" w:color="auto" w:fill="B8CCE4" w:themeFill="accent1" w:themeFillTint="66"/>
              </w:rPr>
              <w:fldChar w:fldCharType="begin">
                <w:ffData>
                  <w:name w:val="Check3"/>
                  <w:enabled/>
                  <w:calcOnExit w:val="0"/>
                  <w:checkBox>
                    <w:sizeAuto/>
                    <w:default w:val="1"/>
                  </w:checkBox>
                </w:ffData>
              </w:fldChar>
            </w:r>
            <w:r w:rsidRPr="00C33092">
              <w:rPr>
                <w:rFonts w:eastAsia="Times New Roman"/>
                <w:shd w:val="clear" w:color="auto" w:fill="B8CCE4" w:themeFill="accent1" w:themeFillTint="66"/>
              </w:rPr>
              <w:instrText xml:space="preserve"> FORMCHECKBOX </w:instrText>
            </w:r>
            <w:r w:rsidRPr="00C33092">
              <w:rPr>
                <w:rFonts w:eastAsia="Times New Roman"/>
                <w:shd w:val="clear" w:color="auto" w:fill="B8CCE4" w:themeFill="accent1" w:themeFillTint="66"/>
              </w:rPr>
            </w:r>
            <w:r w:rsidRPr="00C33092">
              <w:rPr>
                <w:rFonts w:eastAsia="Times New Roman"/>
                <w:shd w:val="clear" w:color="auto" w:fill="B8CCE4" w:themeFill="accent1" w:themeFillTint="66"/>
              </w:rPr>
              <w:fldChar w:fldCharType="separate"/>
            </w:r>
            <w:r w:rsidRPr="00C33092">
              <w:rPr>
                <w:rFonts w:eastAsia="Times New Roman"/>
                <w:shd w:val="clear" w:color="auto" w:fill="B8CCE4" w:themeFill="accent1" w:themeFillTint="66"/>
              </w:rPr>
              <w:fldChar w:fldCharType="end"/>
            </w:r>
            <w:r w:rsidRPr="00C33092">
              <w:rPr>
                <w:rFonts w:eastAsia="Times New Roman"/>
                <w:shd w:val="clear" w:color="auto" w:fill="FFFFFF" w:themeFill="background1"/>
              </w:rPr>
              <w:t>Authority Required (telephone/online PBS Authorities system)</w:t>
            </w:r>
            <w:r w:rsidRPr="00C33092">
              <w:rPr>
                <w:rFonts w:eastAsia="Times New Roman"/>
                <w:shd w:val="clear" w:color="auto" w:fill="FFFFFF" w:themeFill="background1"/>
                <w:vertAlign w:val="superscript"/>
              </w:rPr>
              <w:t>a</w:t>
            </w:r>
          </w:p>
        </w:tc>
      </w:tr>
      <w:tr w:rsidR="00F84089" w:rsidRPr="00C33092" w14:paraId="02B2BD1D" w14:textId="77777777" w:rsidTr="008B1086">
        <w:trPr>
          <w:cantSplit/>
          <w:trHeight w:val="20"/>
        </w:trPr>
        <w:tc>
          <w:tcPr>
            <w:tcW w:w="5000" w:type="pct"/>
            <w:shd w:val="clear" w:color="auto" w:fill="B8CCE4" w:themeFill="accent1" w:themeFillTint="66"/>
            <w:vAlign w:val="center"/>
          </w:tcPr>
          <w:p w14:paraId="0582B6FD" w14:textId="77777777" w:rsidR="00F84089" w:rsidRPr="00C33092" w:rsidRDefault="00F84089" w:rsidP="008B1086">
            <w:pPr>
              <w:pStyle w:val="TableText0"/>
              <w:rPr>
                <w:bCs w:val="0"/>
              </w:rPr>
            </w:pPr>
            <w:r w:rsidRPr="00C33092">
              <w:rPr>
                <w:b/>
              </w:rPr>
              <w:t xml:space="preserve">Severity: </w:t>
            </w:r>
            <w:r w:rsidRPr="00C33092">
              <w:rPr>
                <w:bCs w:val="0"/>
              </w:rPr>
              <w:t>Metastatic (Stage IV)</w:t>
            </w:r>
          </w:p>
        </w:tc>
      </w:tr>
      <w:tr w:rsidR="00F84089" w:rsidRPr="00C33092" w14:paraId="0EB24818" w14:textId="77777777" w:rsidTr="008B1086">
        <w:trPr>
          <w:cantSplit/>
          <w:trHeight w:val="20"/>
        </w:trPr>
        <w:tc>
          <w:tcPr>
            <w:tcW w:w="5000" w:type="pct"/>
            <w:shd w:val="clear" w:color="auto" w:fill="B8CCE4" w:themeFill="accent1" w:themeFillTint="66"/>
            <w:vAlign w:val="center"/>
          </w:tcPr>
          <w:p w14:paraId="1E0DB3AA" w14:textId="77777777" w:rsidR="00F84089" w:rsidRPr="00C33092" w:rsidRDefault="00F84089" w:rsidP="008B1086">
            <w:pPr>
              <w:pStyle w:val="TableText0"/>
              <w:rPr>
                <w:b/>
              </w:rPr>
            </w:pPr>
            <w:r w:rsidRPr="00C33092">
              <w:rPr>
                <w:b/>
              </w:rPr>
              <w:t xml:space="preserve">Condition: </w:t>
            </w:r>
            <w:r w:rsidRPr="00C33092">
              <w:rPr>
                <w:bCs w:val="0"/>
              </w:rPr>
              <w:t>HER2 positive breast cancer</w:t>
            </w:r>
          </w:p>
        </w:tc>
      </w:tr>
      <w:tr w:rsidR="00F84089" w:rsidRPr="00C33092" w14:paraId="3F69F14E" w14:textId="77777777" w:rsidTr="008B1086">
        <w:trPr>
          <w:cantSplit/>
          <w:trHeight w:val="20"/>
        </w:trPr>
        <w:tc>
          <w:tcPr>
            <w:tcW w:w="5000" w:type="pct"/>
            <w:shd w:val="clear" w:color="auto" w:fill="B8CCE4" w:themeFill="accent1" w:themeFillTint="66"/>
            <w:vAlign w:val="center"/>
            <w:hideMark/>
          </w:tcPr>
          <w:p w14:paraId="68848833" w14:textId="77777777" w:rsidR="00F84089" w:rsidRPr="00C33092" w:rsidRDefault="00F84089" w:rsidP="008B1086">
            <w:pPr>
              <w:pStyle w:val="TableText0"/>
            </w:pPr>
            <w:r w:rsidRPr="00C33092">
              <w:rPr>
                <w:b/>
              </w:rPr>
              <w:t>Indication:</w:t>
            </w:r>
            <w:r w:rsidRPr="00C33092">
              <w:t xml:space="preserve"> Metastatic (Stage IV) HER2 positive breast cancer</w:t>
            </w:r>
          </w:p>
        </w:tc>
      </w:tr>
      <w:tr w:rsidR="00F84089" w:rsidRPr="00C33092" w14:paraId="695836B7" w14:textId="77777777" w:rsidTr="008B1086">
        <w:trPr>
          <w:cantSplit/>
          <w:trHeight w:val="20"/>
        </w:trPr>
        <w:tc>
          <w:tcPr>
            <w:tcW w:w="5000" w:type="pct"/>
            <w:shd w:val="clear" w:color="auto" w:fill="B8CCE4" w:themeFill="accent1" w:themeFillTint="66"/>
            <w:vAlign w:val="center"/>
            <w:hideMark/>
          </w:tcPr>
          <w:p w14:paraId="5E5B22F0" w14:textId="77777777" w:rsidR="00F84089" w:rsidRPr="00C33092" w:rsidRDefault="00F84089" w:rsidP="008B1086">
            <w:pPr>
              <w:pStyle w:val="TableText0"/>
            </w:pPr>
            <w:r w:rsidRPr="00C33092">
              <w:rPr>
                <w:b/>
              </w:rPr>
              <w:t>Treatment Phase:</w:t>
            </w:r>
            <w:r w:rsidRPr="00C33092">
              <w:t xml:space="preserve"> Continuing</w:t>
            </w:r>
          </w:p>
        </w:tc>
      </w:tr>
      <w:tr w:rsidR="00F84089" w:rsidRPr="00C33092" w14:paraId="13F40751" w14:textId="77777777" w:rsidTr="008B1086">
        <w:trPr>
          <w:cantSplit/>
          <w:trHeight w:val="20"/>
        </w:trPr>
        <w:tc>
          <w:tcPr>
            <w:tcW w:w="5000" w:type="pct"/>
            <w:shd w:val="clear" w:color="auto" w:fill="B8CCE4" w:themeFill="accent1" w:themeFillTint="66"/>
            <w:vAlign w:val="center"/>
            <w:hideMark/>
          </w:tcPr>
          <w:p w14:paraId="7837E909" w14:textId="77777777" w:rsidR="00F84089" w:rsidRPr="00C33092" w:rsidRDefault="00F84089" w:rsidP="008B1086">
            <w:pPr>
              <w:pStyle w:val="TableText0"/>
            </w:pPr>
            <w:r w:rsidRPr="00C33092">
              <w:rPr>
                <w:b/>
              </w:rPr>
              <w:t>Clinical criteria:</w:t>
            </w:r>
          </w:p>
        </w:tc>
      </w:tr>
      <w:tr w:rsidR="00F84089" w:rsidRPr="00C33092" w14:paraId="31055DD9" w14:textId="77777777" w:rsidTr="008B1086">
        <w:trPr>
          <w:cantSplit/>
          <w:trHeight w:val="20"/>
        </w:trPr>
        <w:tc>
          <w:tcPr>
            <w:tcW w:w="5000" w:type="pct"/>
            <w:shd w:val="clear" w:color="auto" w:fill="B8CCE4" w:themeFill="accent1" w:themeFillTint="66"/>
            <w:vAlign w:val="center"/>
            <w:hideMark/>
          </w:tcPr>
          <w:p w14:paraId="13C96A72" w14:textId="77777777" w:rsidR="00F84089" w:rsidRPr="00C33092" w:rsidRDefault="00F84089" w:rsidP="008B1086">
            <w:pPr>
              <w:pStyle w:val="TableText0"/>
            </w:pPr>
            <w:r w:rsidRPr="00C33092">
              <w:t>Patient must have previously received PBS-subsidised treatment with this drug for metastatic (Stage IV) HER2 positive breast cancer</w:t>
            </w:r>
          </w:p>
        </w:tc>
      </w:tr>
      <w:tr w:rsidR="00F84089" w:rsidRPr="00C33092" w14:paraId="0AF9543B" w14:textId="77777777" w:rsidTr="008B1086">
        <w:trPr>
          <w:cantSplit/>
          <w:trHeight w:val="20"/>
        </w:trPr>
        <w:tc>
          <w:tcPr>
            <w:tcW w:w="5000" w:type="pct"/>
            <w:shd w:val="clear" w:color="auto" w:fill="B8CCE4" w:themeFill="accent1" w:themeFillTint="66"/>
            <w:vAlign w:val="center"/>
            <w:hideMark/>
          </w:tcPr>
          <w:p w14:paraId="35EE1DC8" w14:textId="77777777" w:rsidR="00F84089" w:rsidRPr="00C33092" w:rsidRDefault="00F84089" w:rsidP="008B1086">
            <w:pPr>
              <w:pStyle w:val="TableText0"/>
            </w:pPr>
            <w:r w:rsidRPr="00C33092">
              <w:rPr>
                <w:b/>
              </w:rPr>
              <w:t>AND</w:t>
            </w:r>
          </w:p>
        </w:tc>
      </w:tr>
      <w:tr w:rsidR="00F84089" w:rsidRPr="00C33092" w14:paraId="023D0733" w14:textId="77777777" w:rsidTr="008B1086">
        <w:trPr>
          <w:cantSplit/>
          <w:trHeight w:val="20"/>
        </w:trPr>
        <w:tc>
          <w:tcPr>
            <w:tcW w:w="5000" w:type="pct"/>
            <w:shd w:val="clear" w:color="auto" w:fill="C6D9F1" w:themeFill="text2" w:themeFillTint="33"/>
            <w:vAlign w:val="center"/>
            <w:hideMark/>
          </w:tcPr>
          <w:p w14:paraId="1A21155B" w14:textId="77777777" w:rsidR="00F84089" w:rsidRPr="00C33092" w:rsidRDefault="00F84089" w:rsidP="008B1086">
            <w:pPr>
              <w:pStyle w:val="TableText0"/>
            </w:pPr>
            <w:r w:rsidRPr="00C33092">
              <w:rPr>
                <w:b/>
              </w:rPr>
              <w:t>Clinical criteria:</w:t>
            </w:r>
          </w:p>
        </w:tc>
      </w:tr>
      <w:tr w:rsidR="00F84089" w:rsidRPr="00C33092" w14:paraId="7E267F96" w14:textId="77777777" w:rsidTr="008B1086">
        <w:trPr>
          <w:cantSplit/>
          <w:trHeight w:val="20"/>
        </w:trPr>
        <w:tc>
          <w:tcPr>
            <w:tcW w:w="5000" w:type="pct"/>
            <w:shd w:val="clear" w:color="auto" w:fill="C6D9F1" w:themeFill="text2" w:themeFillTint="33"/>
            <w:vAlign w:val="center"/>
            <w:hideMark/>
          </w:tcPr>
          <w:p w14:paraId="7A49D969" w14:textId="77777777" w:rsidR="00F84089" w:rsidRPr="00C33092" w:rsidRDefault="00F84089" w:rsidP="008B1086">
            <w:pPr>
              <w:pStyle w:val="TableText0"/>
            </w:pPr>
            <w:r w:rsidRPr="00C33092">
              <w:t>Patient must not have developed disease progression while receiving treatment with this drug for this condition</w:t>
            </w:r>
          </w:p>
        </w:tc>
      </w:tr>
      <w:tr w:rsidR="00F84089" w:rsidRPr="00C33092" w14:paraId="7617B0E8" w14:textId="77777777" w:rsidTr="008B1086">
        <w:trPr>
          <w:cantSplit/>
          <w:trHeight w:val="20"/>
        </w:trPr>
        <w:tc>
          <w:tcPr>
            <w:tcW w:w="5000" w:type="pct"/>
            <w:shd w:val="clear" w:color="auto" w:fill="B8CCE4" w:themeFill="accent1" w:themeFillTint="66"/>
            <w:vAlign w:val="center"/>
            <w:hideMark/>
          </w:tcPr>
          <w:p w14:paraId="25F9AABC" w14:textId="77777777" w:rsidR="00F84089" w:rsidRPr="00C33092" w:rsidRDefault="00F84089" w:rsidP="008B1086">
            <w:pPr>
              <w:pStyle w:val="TableText0"/>
              <w:rPr>
                <w:b/>
                <w:bCs w:val="0"/>
              </w:rPr>
            </w:pPr>
            <w:r w:rsidRPr="00C33092">
              <w:rPr>
                <w:b/>
                <w:bCs w:val="0"/>
              </w:rPr>
              <w:t>AND</w:t>
            </w:r>
          </w:p>
        </w:tc>
      </w:tr>
      <w:tr w:rsidR="00F84089" w:rsidRPr="00C33092" w14:paraId="151B4D40" w14:textId="77777777" w:rsidTr="008B1086">
        <w:trPr>
          <w:cantSplit/>
          <w:trHeight w:val="20"/>
        </w:trPr>
        <w:tc>
          <w:tcPr>
            <w:tcW w:w="5000" w:type="pct"/>
            <w:shd w:val="clear" w:color="auto" w:fill="B8CCE4" w:themeFill="accent1" w:themeFillTint="66"/>
            <w:vAlign w:val="center"/>
            <w:hideMark/>
          </w:tcPr>
          <w:p w14:paraId="05EAA07B" w14:textId="77777777" w:rsidR="00F84089" w:rsidRPr="00C33092" w:rsidRDefault="00F84089" w:rsidP="008B1086">
            <w:pPr>
              <w:pStyle w:val="TableText0"/>
            </w:pPr>
            <w:r w:rsidRPr="00C33092">
              <w:rPr>
                <w:b/>
              </w:rPr>
              <w:t>Clinical criteria:</w:t>
            </w:r>
          </w:p>
        </w:tc>
      </w:tr>
      <w:tr w:rsidR="00F84089" w:rsidRPr="00C33092" w14:paraId="725FFBE1" w14:textId="77777777" w:rsidTr="008B1086">
        <w:trPr>
          <w:cantSplit/>
          <w:trHeight w:val="20"/>
        </w:trPr>
        <w:tc>
          <w:tcPr>
            <w:tcW w:w="5000" w:type="pct"/>
            <w:shd w:val="clear" w:color="auto" w:fill="B8CCE4" w:themeFill="accent1" w:themeFillTint="66"/>
            <w:vAlign w:val="center"/>
            <w:hideMark/>
          </w:tcPr>
          <w:p w14:paraId="536F5D6D" w14:textId="77777777" w:rsidR="00F84089" w:rsidRPr="00C33092" w:rsidRDefault="00F84089" w:rsidP="008B1086">
            <w:pPr>
              <w:pStyle w:val="TableText0"/>
            </w:pPr>
            <w:r w:rsidRPr="00C33092">
              <w:t>Patient must be undergoing treatment with a triple drug-regimen, following issuance of this prescription, consisting of: (i) tucatinib, (ii) capecitabine, (iii) trastuzumab</w:t>
            </w:r>
          </w:p>
        </w:tc>
      </w:tr>
      <w:tr w:rsidR="00F84089" w:rsidRPr="00C33092" w14:paraId="282AFF1E" w14:textId="77777777" w:rsidTr="008B1086">
        <w:trPr>
          <w:cantSplit/>
          <w:trHeight w:val="20"/>
        </w:trPr>
        <w:tc>
          <w:tcPr>
            <w:tcW w:w="5000" w:type="pct"/>
            <w:shd w:val="clear" w:color="auto" w:fill="B8CCE4" w:themeFill="accent1" w:themeFillTint="66"/>
            <w:vAlign w:val="center"/>
            <w:hideMark/>
          </w:tcPr>
          <w:p w14:paraId="674EEC69" w14:textId="77777777" w:rsidR="00F84089" w:rsidRPr="00C33092" w:rsidRDefault="00F84089" w:rsidP="008B1086">
            <w:pPr>
              <w:pStyle w:val="TableText0"/>
              <w:rPr>
                <w:bCs w:val="0"/>
              </w:rPr>
            </w:pPr>
            <w:r w:rsidRPr="00C33092">
              <w:rPr>
                <w:b/>
              </w:rPr>
              <w:t xml:space="preserve">Prescribing Instructions: </w:t>
            </w:r>
            <w:r w:rsidRPr="00C33092">
              <w:rPr>
                <w:bCs w:val="0"/>
              </w:rPr>
              <w:t>A patient who has progressive disease when treated with this drug is no longer eligible for PBS-subsidised treatment with this drug.</w:t>
            </w:r>
          </w:p>
          <w:p w14:paraId="59D053C8" w14:textId="77777777" w:rsidR="00F84089" w:rsidRPr="00C33092" w:rsidRDefault="00F84089" w:rsidP="008B1086">
            <w:pPr>
              <w:pStyle w:val="TableText0"/>
              <w:rPr>
                <w:bCs w:val="0"/>
              </w:rPr>
            </w:pPr>
            <w:r w:rsidRPr="00C33092">
              <w:rPr>
                <w:bCs w:val="0"/>
              </w:rPr>
              <w:t>The treatment must not exceed a lifetime total of one continuous course for this PBS indication.</w:t>
            </w:r>
          </w:p>
        </w:tc>
      </w:tr>
    </w:tbl>
    <w:p w14:paraId="1489E51D" w14:textId="77777777" w:rsidR="00F84089" w:rsidRPr="00C33092" w:rsidRDefault="00F84089" w:rsidP="00F84089">
      <w:pPr>
        <w:pStyle w:val="FooterTableFigure"/>
      </w:pPr>
      <w:r w:rsidRPr="00C33092">
        <w:t>Source: Table 1.4.5, p52 of the resubmission.</w:t>
      </w:r>
    </w:p>
    <w:p w14:paraId="09273A64" w14:textId="77777777" w:rsidR="00F84089" w:rsidRPr="00C33092" w:rsidRDefault="00F84089" w:rsidP="00F84089">
      <w:pPr>
        <w:pStyle w:val="FooterTableFigure"/>
      </w:pPr>
      <w:r w:rsidRPr="00C33092">
        <w:t>Abbreviations: HER, human epidermal growth factor receptor; PBAC, Pharmaceutical Benefits Advisory Committee; PBS, Pharmaceutical Benefits Scheme.</w:t>
      </w:r>
    </w:p>
    <w:p w14:paraId="40F7D24A" w14:textId="77777777" w:rsidR="00F84089" w:rsidRPr="00C33092" w:rsidRDefault="00F84089" w:rsidP="00F84089">
      <w:pPr>
        <w:pStyle w:val="FooterTableFigure"/>
      </w:pPr>
      <w:r w:rsidRPr="00C33092">
        <w:rPr>
          <w:vertAlign w:val="superscript"/>
        </w:rPr>
        <w:t>a</w:t>
      </w:r>
      <w:r w:rsidRPr="00C33092">
        <w:t xml:space="preserve"> According to p50 of the resubmission, a Section 85 Telephone Authority listing is requested for initial treatment and continuing prescriptions.</w:t>
      </w:r>
    </w:p>
    <w:p w14:paraId="7E4B310D" w14:textId="77777777" w:rsidR="00F84089" w:rsidRPr="00C33092" w:rsidRDefault="00F84089" w:rsidP="00F84089">
      <w:pPr>
        <w:pStyle w:val="FooterTableFigure"/>
      </w:pPr>
      <w:r w:rsidRPr="00C33092">
        <w:t xml:space="preserve">Note: </w:t>
      </w:r>
      <w:r w:rsidRPr="00C33092">
        <w:rPr>
          <w:shd w:val="clear" w:color="auto" w:fill="C6D9F1" w:themeFill="text2" w:themeFillTint="33"/>
        </w:rPr>
        <w:t>Blue shading</w:t>
      </w:r>
      <w:r w:rsidRPr="00C33092">
        <w:t xml:space="preserve"> signifies restrictions previously seen by the PBAC.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top w:w="15" w:type="dxa"/>
          <w:bottom w:w="15" w:type="dxa"/>
        </w:tblCellMar>
        <w:tblLook w:val="04A0" w:firstRow="1" w:lastRow="0" w:firstColumn="1" w:lastColumn="0" w:noHBand="0" w:noVBand="1"/>
        <w:tblCaption w:val="Requested listing"/>
      </w:tblPr>
      <w:tblGrid>
        <w:gridCol w:w="9016"/>
      </w:tblGrid>
      <w:tr w:rsidR="00F84089" w:rsidRPr="00C33092" w14:paraId="7C8F5EED" w14:textId="77777777" w:rsidTr="008B1086">
        <w:trPr>
          <w:cantSplit/>
          <w:trHeight w:val="20"/>
        </w:trPr>
        <w:tc>
          <w:tcPr>
            <w:tcW w:w="5000" w:type="pct"/>
            <w:shd w:val="clear" w:color="auto" w:fill="FFFFFF" w:themeFill="background1"/>
          </w:tcPr>
          <w:p w14:paraId="64CBE14E" w14:textId="77777777" w:rsidR="00F84089" w:rsidRPr="00C33092" w:rsidRDefault="00F84089" w:rsidP="008B1086">
            <w:pPr>
              <w:pStyle w:val="TableText0"/>
            </w:pPr>
            <w:r w:rsidRPr="00C33092">
              <w:rPr>
                <w:b/>
              </w:rPr>
              <w:t xml:space="preserve">Category / Program: </w:t>
            </w:r>
            <w:r w:rsidRPr="00C33092">
              <w:t>Section 85 – General Schedule</w:t>
            </w:r>
          </w:p>
        </w:tc>
      </w:tr>
      <w:tr w:rsidR="00F84089" w:rsidRPr="00C33092" w14:paraId="72A3C79E" w14:textId="77777777" w:rsidTr="008B1086">
        <w:trPr>
          <w:cantSplit/>
          <w:trHeight w:val="20"/>
        </w:trPr>
        <w:tc>
          <w:tcPr>
            <w:tcW w:w="5000" w:type="pct"/>
            <w:shd w:val="clear" w:color="auto" w:fill="FFFFFF" w:themeFill="background1"/>
          </w:tcPr>
          <w:p w14:paraId="23399206" w14:textId="77777777" w:rsidR="00F84089" w:rsidRPr="00C33092" w:rsidRDefault="00F84089" w:rsidP="008B1086">
            <w:pPr>
              <w:pStyle w:val="TableText0"/>
              <w:rPr>
                <w:b/>
              </w:rPr>
            </w:pPr>
            <w:r w:rsidRPr="00C33092">
              <w:rPr>
                <w:b/>
              </w:rPr>
              <w:t xml:space="preserve">Prescriber type: </w:t>
            </w:r>
            <w:r w:rsidRPr="00C33092">
              <w:fldChar w:fldCharType="begin">
                <w:ffData>
                  <w:name w:val=""/>
                  <w:enabled/>
                  <w:calcOnExit w:val="0"/>
                  <w:checkBox>
                    <w:sizeAuto/>
                    <w:default w:val="1"/>
                  </w:checkBox>
                </w:ffData>
              </w:fldChar>
            </w:r>
            <w:r w:rsidRPr="00C33092">
              <w:instrText xml:space="preserve"> FORMCHECKBOX </w:instrText>
            </w:r>
            <w:r w:rsidRPr="00C33092">
              <w:fldChar w:fldCharType="separate"/>
            </w:r>
            <w:r w:rsidRPr="00C33092">
              <w:fldChar w:fldCharType="end"/>
            </w:r>
            <w:r w:rsidRPr="00C33092">
              <w:t>Medical Practitioners</w:t>
            </w:r>
          </w:p>
        </w:tc>
      </w:tr>
      <w:tr w:rsidR="00F84089" w:rsidRPr="00C33092" w14:paraId="4E819F73" w14:textId="77777777" w:rsidTr="008B1086">
        <w:trPr>
          <w:cantSplit/>
          <w:trHeight w:val="20"/>
        </w:trPr>
        <w:tc>
          <w:tcPr>
            <w:tcW w:w="5000" w:type="pct"/>
            <w:shd w:val="clear" w:color="auto" w:fill="FFFFFF" w:themeFill="background1"/>
          </w:tcPr>
          <w:p w14:paraId="102DF7A1" w14:textId="77777777" w:rsidR="00F84089" w:rsidRPr="00C33092" w:rsidRDefault="00F84089" w:rsidP="008B1086">
            <w:pPr>
              <w:pStyle w:val="TableText0"/>
              <w:rPr>
                <w:rFonts w:eastAsia="Times New Roman"/>
                <w:vertAlign w:val="superscript"/>
              </w:rPr>
            </w:pPr>
            <w:r w:rsidRPr="00C33092">
              <w:rPr>
                <w:b/>
              </w:rPr>
              <w:t>Restriction type:</w:t>
            </w:r>
            <w:r w:rsidRPr="00C33092">
              <w:rPr>
                <w:rFonts w:eastAsia="Times New Roman"/>
              </w:rPr>
              <w:br/>
            </w:r>
            <w:r w:rsidRPr="00C33092">
              <w:rPr>
                <w:rFonts w:eastAsia="Times New Roman"/>
                <w:shd w:val="clear" w:color="auto" w:fill="B8CCE4" w:themeFill="accent1" w:themeFillTint="66"/>
              </w:rPr>
              <w:fldChar w:fldCharType="begin">
                <w:ffData>
                  <w:name w:val="Check3"/>
                  <w:enabled/>
                  <w:calcOnExit w:val="0"/>
                  <w:checkBox>
                    <w:sizeAuto/>
                    <w:default w:val="1"/>
                  </w:checkBox>
                </w:ffData>
              </w:fldChar>
            </w:r>
            <w:r w:rsidRPr="00C33092">
              <w:rPr>
                <w:rFonts w:eastAsia="Times New Roman"/>
                <w:shd w:val="clear" w:color="auto" w:fill="B8CCE4" w:themeFill="accent1" w:themeFillTint="66"/>
              </w:rPr>
              <w:instrText xml:space="preserve"> FORMCHECKBOX </w:instrText>
            </w:r>
            <w:r w:rsidRPr="00C33092">
              <w:rPr>
                <w:rFonts w:eastAsia="Times New Roman"/>
                <w:shd w:val="clear" w:color="auto" w:fill="B8CCE4" w:themeFill="accent1" w:themeFillTint="66"/>
              </w:rPr>
            </w:r>
            <w:r w:rsidRPr="00C33092">
              <w:rPr>
                <w:rFonts w:eastAsia="Times New Roman"/>
                <w:shd w:val="clear" w:color="auto" w:fill="B8CCE4" w:themeFill="accent1" w:themeFillTint="66"/>
              </w:rPr>
              <w:fldChar w:fldCharType="separate"/>
            </w:r>
            <w:r w:rsidRPr="00C33092">
              <w:rPr>
                <w:rFonts w:eastAsia="Times New Roman"/>
                <w:shd w:val="clear" w:color="auto" w:fill="B8CCE4" w:themeFill="accent1" w:themeFillTint="66"/>
              </w:rPr>
              <w:fldChar w:fldCharType="end"/>
            </w:r>
            <w:r w:rsidRPr="00C33092">
              <w:rPr>
                <w:rFonts w:eastAsia="Times New Roman"/>
                <w:shd w:val="clear" w:color="auto" w:fill="FFFFFF" w:themeFill="background1"/>
              </w:rPr>
              <w:t>Authority Required (</w:t>
            </w:r>
            <w:r w:rsidRPr="00C33092">
              <w:rPr>
                <w:shd w:val="clear" w:color="auto" w:fill="FFFFFF" w:themeFill="background1"/>
              </w:rPr>
              <w:t>not specified)</w:t>
            </w:r>
            <w:r w:rsidRPr="00C33092">
              <w:rPr>
                <w:shd w:val="clear" w:color="auto" w:fill="FFFFFF" w:themeFill="background1"/>
                <w:vertAlign w:val="superscript"/>
              </w:rPr>
              <w:t>a</w:t>
            </w:r>
          </w:p>
        </w:tc>
      </w:tr>
      <w:tr w:rsidR="00F84089" w:rsidRPr="00C33092" w14:paraId="61E627C0" w14:textId="77777777" w:rsidTr="008B1086">
        <w:trPr>
          <w:cantSplit/>
          <w:trHeight w:val="20"/>
        </w:trPr>
        <w:tc>
          <w:tcPr>
            <w:tcW w:w="5000" w:type="pct"/>
            <w:shd w:val="clear" w:color="auto" w:fill="FFFFFF" w:themeFill="background1"/>
            <w:vAlign w:val="center"/>
          </w:tcPr>
          <w:p w14:paraId="5DCECEF3" w14:textId="77777777" w:rsidR="00F84089" w:rsidRPr="00C33092" w:rsidRDefault="00F84089" w:rsidP="008B1086">
            <w:pPr>
              <w:pStyle w:val="TableText0"/>
              <w:rPr>
                <w:bCs w:val="0"/>
              </w:rPr>
            </w:pPr>
            <w:r w:rsidRPr="00C33092">
              <w:rPr>
                <w:b/>
              </w:rPr>
              <w:t xml:space="preserve">Severity: </w:t>
            </w:r>
            <w:r w:rsidRPr="00C33092">
              <w:rPr>
                <w:bCs w:val="0"/>
              </w:rPr>
              <w:t>Metastatic (Stage IV)</w:t>
            </w:r>
          </w:p>
        </w:tc>
      </w:tr>
      <w:tr w:rsidR="00F84089" w:rsidRPr="00C33092" w14:paraId="0D387C88" w14:textId="77777777" w:rsidTr="008B1086">
        <w:trPr>
          <w:cantSplit/>
          <w:trHeight w:val="20"/>
        </w:trPr>
        <w:tc>
          <w:tcPr>
            <w:tcW w:w="5000" w:type="pct"/>
            <w:shd w:val="clear" w:color="auto" w:fill="FFFFFF" w:themeFill="background1"/>
            <w:vAlign w:val="center"/>
          </w:tcPr>
          <w:p w14:paraId="558FEB08" w14:textId="77777777" w:rsidR="00F84089" w:rsidRPr="00C33092" w:rsidRDefault="00F84089" w:rsidP="008B1086">
            <w:pPr>
              <w:pStyle w:val="TableText0"/>
              <w:rPr>
                <w:b/>
              </w:rPr>
            </w:pPr>
            <w:r w:rsidRPr="00C33092">
              <w:rPr>
                <w:b/>
              </w:rPr>
              <w:t xml:space="preserve">Condition: </w:t>
            </w:r>
            <w:r w:rsidRPr="00C33092">
              <w:rPr>
                <w:bCs w:val="0"/>
              </w:rPr>
              <w:t>HER2 positive breast cancer</w:t>
            </w:r>
          </w:p>
        </w:tc>
      </w:tr>
      <w:tr w:rsidR="00F84089" w:rsidRPr="00C33092" w14:paraId="7ACAD058" w14:textId="77777777" w:rsidTr="008B1086">
        <w:trPr>
          <w:cantSplit/>
          <w:trHeight w:val="20"/>
        </w:trPr>
        <w:tc>
          <w:tcPr>
            <w:tcW w:w="5000" w:type="pct"/>
            <w:shd w:val="clear" w:color="auto" w:fill="FFFFFF" w:themeFill="background1"/>
            <w:vAlign w:val="center"/>
            <w:hideMark/>
          </w:tcPr>
          <w:p w14:paraId="4B0E3317" w14:textId="77777777" w:rsidR="00F84089" w:rsidRPr="00C33092" w:rsidRDefault="00F84089" w:rsidP="008B1086">
            <w:pPr>
              <w:pStyle w:val="TableText0"/>
            </w:pPr>
            <w:r w:rsidRPr="00C33092">
              <w:rPr>
                <w:b/>
              </w:rPr>
              <w:t>Indication:</w:t>
            </w:r>
            <w:r w:rsidRPr="00C33092">
              <w:t xml:space="preserve"> Metastatic (Stage IV) HER2 positive breast cancer</w:t>
            </w:r>
          </w:p>
        </w:tc>
      </w:tr>
      <w:tr w:rsidR="00F84089" w:rsidRPr="00C33092" w14:paraId="2ADA914A" w14:textId="77777777" w:rsidTr="008B1086">
        <w:trPr>
          <w:cantSplit/>
          <w:trHeight w:val="20"/>
        </w:trPr>
        <w:tc>
          <w:tcPr>
            <w:tcW w:w="5000" w:type="pct"/>
            <w:shd w:val="clear" w:color="auto" w:fill="FFFFFF" w:themeFill="background1"/>
            <w:vAlign w:val="center"/>
            <w:hideMark/>
          </w:tcPr>
          <w:p w14:paraId="51A7BBC0" w14:textId="77777777" w:rsidR="00F84089" w:rsidRPr="00C33092" w:rsidRDefault="00F84089" w:rsidP="008B1086">
            <w:pPr>
              <w:pStyle w:val="TableText0"/>
            </w:pPr>
            <w:r w:rsidRPr="00C33092">
              <w:rPr>
                <w:b/>
              </w:rPr>
              <w:t>Treatment Phase:</w:t>
            </w:r>
            <w:r w:rsidRPr="00C33092">
              <w:t xml:space="preserve"> Continuing</w:t>
            </w:r>
          </w:p>
        </w:tc>
      </w:tr>
      <w:tr w:rsidR="00F84089" w:rsidRPr="00C33092" w14:paraId="2E43E07F" w14:textId="77777777" w:rsidTr="008B1086">
        <w:trPr>
          <w:cantSplit/>
          <w:trHeight w:val="20"/>
        </w:trPr>
        <w:tc>
          <w:tcPr>
            <w:tcW w:w="5000" w:type="pct"/>
            <w:shd w:val="clear" w:color="auto" w:fill="FFFFFF" w:themeFill="background1"/>
            <w:vAlign w:val="center"/>
            <w:hideMark/>
          </w:tcPr>
          <w:p w14:paraId="1E0483E0" w14:textId="77777777" w:rsidR="00F84089" w:rsidRPr="00C33092" w:rsidRDefault="00F84089" w:rsidP="008B1086">
            <w:pPr>
              <w:pStyle w:val="TableText0"/>
            </w:pPr>
            <w:r w:rsidRPr="00C33092">
              <w:rPr>
                <w:b/>
              </w:rPr>
              <w:t>Clinical criteria:</w:t>
            </w:r>
          </w:p>
        </w:tc>
      </w:tr>
      <w:tr w:rsidR="00F84089" w:rsidRPr="00C33092" w14:paraId="411FC242" w14:textId="77777777" w:rsidTr="008B1086">
        <w:trPr>
          <w:cantSplit/>
          <w:trHeight w:val="20"/>
        </w:trPr>
        <w:tc>
          <w:tcPr>
            <w:tcW w:w="5000" w:type="pct"/>
            <w:shd w:val="clear" w:color="auto" w:fill="FFFFFF" w:themeFill="background1"/>
            <w:vAlign w:val="center"/>
            <w:hideMark/>
          </w:tcPr>
          <w:p w14:paraId="7D0843D8" w14:textId="77777777" w:rsidR="00F84089" w:rsidRPr="00C33092" w:rsidRDefault="00F84089" w:rsidP="008B1086">
            <w:pPr>
              <w:pStyle w:val="TableText0"/>
            </w:pPr>
            <w:r w:rsidRPr="00C33092">
              <w:t>Patient must have commenced treatment with this medicine for metastatic (Stage IV) HER2 positive breast cancer prior to listing date</w:t>
            </w:r>
          </w:p>
        </w:tc>
      </w:tr>
      <w:tr w:rsidR="00F84089" w:rsidRPr="00C33092" w14:paraId="26668A6D" w14:textId="77777777" w:rsidTr="008B1086">
        <w:trPr>
          <w:cantSplit/>
          <w:trHeight w:val="20"/>
        </w:trPr>
        <w:tc>
          <w:tcPr>
            <w:tcW w:w="5000" w:type="pct"/>
            <w:shd w:val="clear" w:color="auto" w:fill="FFFFFF" w:themeFill="background1"/>
            <w:vAlign w:val="center"/>
            <w:hideMark/>
          </w:tcPr>
          <w:p w14:paraId="7A6C4380" w14:textId="77777777" w:rsidR="00F84089" w:rsidRPr="00C33092" w:rsidRDefault="00F84089" w:rsidP="008B1086">
            <w:pPr>
              <w:pStyle w:val="TableText0"/>
            </w:pPr>
            <w:r w:rsidRPr="00C33092">
              <w:rPr>
                <w:b/>
              </w:rPr>
              <w:t>AND</w:t>
            </w:r>
          </w:p>
        </w:tc>
      </w:tr>
      <w:tr w:rsidR="00F84089" w:rsidRPr="00C33092" w14:paraId="15AF3A0F" w14:textId="77777777" w:rsidTr="008B1086">
        <w:trPr>
          <w:cantSplit/>
          <w:trHeight w:val="20"/>
        </w:trPr>
        <w:tc>
          <w:tcPr>
            <w:tcW w:w="5000" w:type="pct"/>
            <w:shd w:val="clear" w:color="auto" w:fill="FFFFFF" w:themeFill="background1"/>
            <w:vAlign w:val="center"/>
            <w:hideMark/>
          </w:tcPr>
          <w:p w14:paraId="46D93411" w14:textId="77777777" w:rsidR="00F84089" w:rsidRPr="00C33092" w:rsidRDefault="00F84089" w:rsidP="008B1086">
            <w:pPr>
              <w:pStyle w:val="TableText0"/>
            </w:pPr>
            <w:r w:rsidRPr="00C33092">
              <w:rPr>
                <w:b/>
              </w:rPr>
              <w:t>Clinical criteria:</w:t>
            </w:r>
          </w:p>
        </w:tc>
      </w:tr>
      <w:tr w:rsidR="00F84089" w:rsidRPr="00C33092" w14:paraId="5280834D" w14:textId="77777777" w:rsidTr="008B1086">
        <w:trPr>
          <w:cantSplit/>
          <w:trHeight w:val="20"/>
        </w:trPr>
        <w:tc>
          <w:tcPr>
            <w:tcW w:w="5000" w:type="pct"/>
            <w:shd w:val="clear" w:color="auto" w:fill="FFFFFF" w:themeFill="background1"/>
            <w:vAlign w:val="center"/>
            <w:hideMark/>
          </w:tcPr>
          <w:p w14:paraId="7E5308AB" w14:textId="77777777" w:rsidR="00F84089" w:rsidRPr="00C33092" w:rsidRDefault="00F84089" w:rsidP="008B1086">
            <w:pPr>
              <w:pStyle w:val="TableText0"/>
            </w:pPr>
            <w:r w:rsidRPr="00C33092">
              <w:t>Patient must not have developed disease progression while receiving treatment with this drug for this condition</w:t>
            </w:r>
          </w:p>
        </w:tc>
      </w:tr>
      <w:tr w:rsidR="00F84089" w:rsidRPr="00C33092" w14:paraId="79E4265D" w14:textId="77777777" w:rsidTr="008B1086">
        <w:trPr>
          <w:cantSplit/>
          <w:trHeight w:val="20"/>
        </w:trPr>
        <w:tc>
          <w:tcPr>
            <w:tcW w:w="5000" w:type="pct"/>
            <w:shd w:val="clear" w:color="auto" w:fill="FFFFFF" w:themeFill="background1"/>
            <w:vAlign w:val="center"/>
            <w:hideMark/>
          </w:tcPr>
          <w:p w14:paraId="273A127E" w14:textId="77777777" w:rsidR="00F84089" w:rsidRPr="00C33092" w:rsidRDefault="00F84089" w:rsidP="008B1086">
            <w:pPr>
              <w:pStyle w:val="TableText0"/>
              <w:rPr>
                <w:b/>
                <w:bCs w:val="0"/>
              </w:rPr>
            </w:pPr>
            <w:r w:rsidRPr="00C33092">
              <w:rPr>
                <w:b/>
                <w:bCs w:val="0"/>
              </w:rPr>
              <w:t>AND</w:t>
            </w:r>
          </w:p>
        </w:tc>
      </w:tr>
      <w:tr w:rsidR="00F84089" w:rsidRPr="00C33092" w14:paraId="71E4A1CF" w14:textId="77777777" w:rsidTr="008B1086">
        <w:trPr>
          <w:cantSplit/>
          <w:trHeight w:val="20"/>
        </w:trPr>
        <w:tc>
          <w:tcPr>
            <w:tcW w:w="5000" w:type="pct"/>
            <w:shd w:val="clear" w:color="auto" w:fill="FFFFFF" w:themeFill="background1"/>
            <w:vAlign w:val="center"/>
            <w:hideMark/>
          </w:tcPr>
          <w:p w14:paraId="40A0BFA3" w14:textId="77777777" w:rsidR="00F84089" w:rsidRPr="00C33092" w:rsidRDefault="00F84089" w:rsidP="008B1086">
            <w:pPr>
              <w:pStyle w:val="TableText0"/>
            </w:pPr>
            <w:r w:rsidRPr="00C33092">
              <w:rPr>
                <w:b/>
              </w:rPr>
              <w:t>Clinical criteria:</w:t>
            </w:r>
          </w:p>
        </w:tc>
      </w:tr>
      <w:tr w:rsidR="00F84089" w:rsidRPr="00C33092" w14:paraId="581AE7E4" w14:textId="77777777" w:rsidTr="008B1086">
        <w:trPr>
          <w:cantSplit/>
          <w:trHeight w:val="20"/>
        </w:trPr>
        <w:tc>
          <w:tcPr>
            <w:tcW w:w="5000" w:type="pct"/>
            <w:shd w:val="clear" w:color="auto" w:fill="FFFFFF" w:themeFill="background1"/>
            <w:vAlign w:val="center"/>
            <w:hideMark/>
          </w:tcPr>
          <w:p w14:paraId="6B207AFB" w14:textId="77777777" w:rsidR="00F84089" w:rsidRPr="00C33092" w:rsidRDefault="00F84089" w:rsidP="008B1086">
            <w:pPr>
              <w:pStyle w:val="TableText0"/>
            </w:pPr>
            <w:r w:rsidRPr="00C33092">
              <w:t>Patient must be undergoing treatment with a triple drug-regimen, following issuance of this prescription, consisting of: (i) tucatinib, (ii) capecitabine, (iii) trastuzumab</w:t>
            </w:r>
          </w:p>
        </w:tc>
      </w:tr>
    </w:tbl>
    <w:p w14:paraId="1B3F07A6" w14:textId="77777777" w:rsidR="00F84089" w:rsidRPr="00C33092" w:rsidRDefault="00F84089" w:rsidP="00F84089">
      <w:pPr>
        <w:pStyle w:val="FooterTableFigure"/>
      </w:pPr>
      <w:r w:rsidRPr="00C33092">
        <w:t>Source: Table 1.4.5, p52 of the resubmission.</w:t>
      </w:r>
    </w:p>
    <w:p w14:paraId="5C151B68" w14:textId="77777777" w:rsidR="00F84089" w:rsidRPr="00C33092" w:rsidRDefault="00F84089" w:rsidP="00F84089">
      <w:pPr>
        <w:pStyle w:val="FooterTableFigure"/>
      </w:pPr>
      <w:r w:rsidRPr="00C33092">
        <w:t>Abbreviations: HER, human epidermal growth factor receptor; PBS, Pharmaceutical Benefits Scheme.</w:t>
      </w:r>
    </w:p>
    <w:p w14:paraId="30C95626" w14:textId="77777777" w:rsidR="00F84089" w:rsidRPr="00C33092" w:rsidRDefault="00F84089" w:rsidP="00F84089">
      <w:pPr>
        <w:pStyle w:val="FooterTableFigure"/>
      </w:pPr>
      <w:proofErr w:type="spellStart"/>
      <w:r w:rsidRPr="00C33092">
        <w:rPr>
          <w:vertAlign w:val="superscript"/>
        </w:rPr>
        <w:t>a</w:t>
      </w:r>
      <w:proofErr w:type="spellEnd"/>
      <w:r w:rsidRPr="00C33092">
        <w:t xml:space="preserve"> The type of Authority listing requested was not specified in the resubmission.</w:t>
      </w:r>
    </w:p>
    <w:p w14:paraId="4D10FC62" w14:textId="3E20E73D" w:rsidR="00F84089" w:rsidRPr="00C33092" w:rsidRDefault="00F84089" w:rsidP="00F84089">
      <w:pPr>
        <w:pStyle w:val="3-BodyText"/>
      </w:pPr>
      <w:r w:rsidRPr="00C33092">
        <w:t xml:space="preserve">The recommended dose of tucatinib is 300 mg twice daily continuously in combination with trastuzumab plus capecitabine. The requested maximum quantity is 168 tablets </w:t>
      </w:r>
      <w:r w:rsidRPr="00C33092">
        <w:lastRenderedPageBreak/>
        <w:t>(</w:t>
      </w:r>
      <w:r w:rsidR="00ED16F7">
        <w:t>i.e. a</w:t>
      </w:r>
      <w:r w:rsidRPr="00C33092">
        <w:t xml:space="preserve"> maximum quantity of two</w:t>
      </w:r>
      <w:r w:rsidR="00ED16F7">
        <w:t xml:space="preserve"> packs</w:t>
      </w:r>
      <w:r w:rsidRPr="00C33092">
        <w:t>) for the 150 mg strength and 176 tablets (</w:t>
      </w:r>
      <w:r w:rsidR="00ED16F7">
        <w:t xml:space="preserve">i.e. a </w:t>
      </w:r>
      <w:r w:rsidRPr="00C33092">
        <w:t>maximum quantity of two</w:t>
      </w:r>
      <w:r w:rsidR="00ED16F7">
        <w:t xml:space="preserve"> packs</w:t>
      </w:r>
      <w:r w:rsidRPr="00C33092">
        <w:t xml:space="preserve">) for the 50 mg strength. </w:t>
      </w:r>
      <w:r w:rsidR="00283344" w:rsidRPr="00C33092">
        <w:t>For the 150 mg strength, t</w:t>
      </w:r>
      <w:r w:rsidR="00BE0168" w:rsidRPr="00C33092">
        <w:t xml:space="preserve">his </w:t>
      </w:r>
      <w:r w:rsidR="00283344" w:rsidRPr="00C33092">
        <w:t xml:space="preserve">quantity </w:t>
      </w:r>
      <w:r w:rsidR="00BE0168" w:rsidRPr="00C33092">
        <w:t xml:space="preserve">corresponds with </w:t>
      </w:r>
      <w:r w:rsidR="00DA2F73" w:rsidRPr="00C33092">
        <w:t>4</w:t>
      </w:r>
      <w:r w:rsidR="006E7873" w:rsidRPr="00C33092">
        <w:t>2</w:t>
      </w:r>
      <w:r w:rsidR="00DA2F73" w:rsidRPr="00C33092">
        <w:t xml:space="preserve"> days of treatment </w:t>
      </w:r>
      <w:r w:rsidR="002A0D92" w:rsidRPr="00C33092">
        <w:t xml:space="preserve">per supply </w:t>
      </w:r>
      <w:r w:rsidR="002E4F5A" w:rsidRPr="00C33092">
        <w:t>at the maximum dose</w:t>
      </w:r>
      <w:r w:rsidR="002A0D92" w:rsidRPr="00C33092">
        <w:t>.</w:t>
      </w:r>
    </w:p>
    <w:p w14:paraId="1DFFC17B" w14:textId="77777777" w:rsidR="000C6612" w:rsidRDefault="00F84089" w:rsidP="00F84089">
      <w:pPr>
        <w:pStyle w:val="3-BodyText"/>
      </w:pPr>
      <w:r w:rsidRPr="00C33092">
        <w:t xml:space="preserve">The pre-PBAC response in the previous submission for tucatinib stated that the maximum quantities for both strengths of tucatinib should correspond to 21 days of therapy (i.e., the maximum quantity should be one pack, rather than two). </w:t>
      </w:r>
      <w:r w:rsidR="006B09A8">
        <w:t>In March 2021, t</w:t>
      </w:r>
      <w:r w:rsidRPr="00C33092">
        <w:t xml:space="preserve">he PBAC noted that PBS listings generally supply 28 or 30 days of therapy per dispensing (paragraph 3.2, tucatinib PSD, March 2021 PBAC meeting). This </w:t>
      </w:r>
      <w:r w:rsidR="006B09A8">
        <w:t>was</w:t>
      </w:r>
      <w:r w:rsidRPr="00C33092">
        <w:t xml:space="preserve"> not addressed in the resubmission, </w:t>
      </w:r>
      <w:r w:rsidR="006B09A8">
        <w:t xml:space="preserve">which </w:t>
      </w:r>
      <w:r w:rsidR="000C6612">
        <w:t xml:space="preserve">instead </w:t>
      </w:r>
      <w:r w:rsidR="006B09A8">
        <w:t xml:space="preserve">requested a </w:t>
      </w:r>
      <w:r w:rsidRPr="00C33092">
        <w:t>maximum quantit</w:t>
      </w:r>
      <w:r w:rsidR="006B09A8">
        <w:t>y</w:t>
      </w:r>
      <w:r w:rsidRPr="00C33092">
        <w:t xml:space="preserve"> of two packs for both strengths of tucatinib.</w:t>
      </w:r>
      <w:r w:rsidR="00192C24">
        <w:t xml:space="preserve"> </w:t>
      </w:r>
    </w:p>
    <w:p w14:paraId="1FAF0C60" w14:textId="4E075D74" w:rsidR="00F84089" w:rsidRPr="00C33092" w:rsidRDefault="00192C24" w:rsidP="00F84089">
      <w:pPr>
        <w:pStyle w:val="3-BodyText"/>
      </w:pPr>
      <w:r>
        <w:t>The PBAC considered that</w:t>
      </w:r>
      <w:r w:rsidR="002B1F7E">
        <w:t>, for the 150 mg and 50 mg strengths,</w:t>
      </w:r>
      <w:r>
        <w:t xml:space="preserve"> the maximum quantity should </w:t>
      </w:r>
      <w:r w:rsidR="00577C10">
        <w:t>be one pack</w:t>
      </w:r>
      <w:r w:rsidR="00F56C7D">
        <w:t xml:space="preserve">, noting this would </w:t>
      </w:r>
      <w:r w:rsidR="00C43B3E">
        <w:t>provide</w:t>
      </w:r>
      <w:r w:rsidR="00F56C7D">
        <w:t xml:space="preserve"> </w:t>
      </w:r>
      <w:r>
        <w:t xml:space="preserve">21 days of therapy </w:t>
      </w:r>
      <w:r w:rsidR="00577C10">
        <w:t>at the maximum dose</w:t>
      </w:r>
      <w:r w:rsidR="00C43B3E">
        <w:t xml:space="preserve"> </w:t>
      </w:r>
      <w:r w:rsidR="009E6423">
        <w:t xml:space="preserve">which </w:t>
      </w:r>
      <w:r w:rsidR="00C43B3E">
        <w:t>correspond</w:t>
      </w:r>
      <w:r w:rsidR="009E6423">
        <w:t>s</w:t>
      </w:r>
      <w:r w:rsidR="00C43B3E">
        <w:t xml:space="preserve"> with</w:t>
      </w:r>
      <w:r>
        <w:t xml:space="preserve"> </w:t>
      </w:r>
      <w:r w:rsidR="00294DC2">
        <w:rPr>
          <w:rFonts w:eastAsia="Calibri" w:cs="Calibri"/>
          <w:lang w:eastAsia="zh-CN"/>
        </w:rPr>
        <w:t xml:space="preserve">one </w:t>
      </w:r>
      <w:r w:rsidR="00294DC2" w:rsidRPr="00DE2D56">
        <w:rPr>
          <w:rFonts w:eastAsia="Calibri" w:cs="Calibri"/>
          <w:lang w:eastAsia="zh-CN"/>
        </w:rPr>
        <w:t xml:space="preserve">treatment cycle of </w:t>
      </w:r>
      <w:r w:rsidR="00294DC2" w:rsidRPr="00DE2D56">
        <w:rPr>
          <w:rFonts w:eastAsia="Calibri" w:cs="Calibri"/>
          <w:lang w:eastAsia="en-US"/>
        </w:rPr>
        <w:t>trastuzumab and capecitabine</w:t>
      </w:r>
      <w:r w:rsidR="000A73F7">
        <w:rPr>
          <w:rFonts w:eastAsia="Calibri" w:cs="Calibri"/>
          <w:lang w:eastAsia="en-US"/>
        </w:rPr>
        <w:t>. Further, the PBAC considered this may</w:t>
      </w:r>
      <w:r w:rsidR="00F231A3">
        <w:rPr>
          <w:rFonts w:eastAsia="Calibri" w:cs="Calibri"/>
          <w:lang w:eastAsia="en-US"/>
        </w:rPr>
        <w:t xml:space="preserve"> </w:t>
      </w:r>
      <w:r w:rsidR="00580FB9">
        <w:rPr>
          <w:rFonts w:eastAsia="Calibri" w:cs="Calibri"/>
          <w:lang w:eastAsia="en-US"/>
        </w:rPr>
        <w:t>reduce wastage</w:t>
      </w:r>
      <w:r w:rsidR="000A73F7">
        <w:rPr>
          <w:rFonts w:eastAsia="Calibri" w:cs="Calibri"/>
          <w:lang w:eastAsia="en-US"/>
        </w:rPr>
        <w:t xml:space="preserve"> compared with a </w:t>
      </w:r>
      <w:r w:rsidR="003B58EF">
        <w:rPr>
          <w:rFonts w:eastAsia="Calibri" w:cs="Calibri"/>
          <w:lang w:eastAsia="en-US"/>
        </w:rPr>
        <w:t xml:space="preserve">requested </w:t>
      </w:r>
      <w:r w:rsidR="000A73F7">
        <w:t>maximum quantity of two packs</w:t>
      </w:r>
      <w:r w:rsidR="00580FB9">
        <w:rPr>
          <w:rFonts w:eastAsia="Calibri" w:cs="Calibri"/>
          <w:lang w:eastAsia="en-US"/>
        </w:rPr>
        <w:t>.</w:t>
      </w:r>
      <w:r>
        <w:t xml:space="preserve"> </w:t>
      </w:r>
    </w:p>
    <w:p w14:paraId="197A9160" w14:textId="2E85EB02" w:rsidR="00F84089" w:rsidRPr="00C33092" w:rsidRDefault="00F84089" w:rsidP="00CE755B">
      <w:pPr>
        <w:pStyle w:val="3-BodyText"/>
      </w:pPr>
      <w:bookmarkStart w:id="14" w:name="_Ref206424175"/>
      <w:r w:rsidRPr="00C33092">
        <w:t xml:space="preserve">The resubmission proposed a special pricing arrangement (SPA) for tucatinib, with the proposed effective ex-manufacturer price (EMP) derived using a weighted approach based on the proposed 50:50 proportion split of the two comparators (trastuzumab plus capecitabine and T-DM1 [see </w:t>
      </w:r>
      <w:r w:rsidR="00EE5A2C" w:rsidRPr="00C33092">
        <w:t>paragraph</w:t>
      </w:r>
      <w:r w:rsidRPr="00C33092">
        <w:t xml:space="preserve"> </w:t>
      </w:r>
      <w:r w:rsidRPr="00C33092">
        <w:fldChar w:fldCharType="begin"/>
      </w:r>
      <w:r w:rsidRPr="00C33092">
        <w:instrText xml:space="preserve"> REF _Ref206163319 \r \h  \* MERGEFORMAT </w:instrText>
      </w:r>
      <w:r w:rsidRPr="00C33092">
        <w:fldChar w:fldCharType="separate"/>
      </w:r>
      <w:r w:rsidR="009B3037">
        <w:t>5.4</w:t>
      </w:r>
      <w:r w:rsidRPr="00C33092">
        <w:fldChar w:fldCharType="end"/>
      </w:r>
      <w:r w:rsidR="00C06551" w:rsidRPr="00C33092">
        <w:t>]</w:t>
      </w:r>
      <w:r w:rsidRPr="00C33092">
        <w:t>) and the effective EMPs derived from the CUA and the CMA (</w:t>
      </w:r>
      <w:r w:rsidR="00EB2205" w:rsidRPr="00C33092">
        <w:fldChar w:fldCharType="begin"/>
      </w:r>
      <w:r w:rsidR="00EB2205" w:rsidRPr="00C33092">
        <w:instrText xml:space="preserve"> REF _Ref206407859 \h </w:instrText>
      </w:r>
      <w:r w:rsidR="00C33092" w:rsidRPr="00C33092">
        <w:instrText xml:space="preserve"> \* MERGEFORMAT </w:instrText>
      </w:r>
      <w:r w:rsidR="00EB2205" w:rsidRPr="00C33092">
        <w:fldChar w:fldCharType="separate"/>
      </w:r>
      <w:r w:rsidR="009B3037" w:rsidRPr="00C33092">
        <w:t xml:space="preserve">Table </w:t>
      </w:r>
      <w:r w:rsidR="009B3037">
        <w:rPr>
          <w:noProof/>
        </w:rPr>
        <w:t>3</w:t>
      </w:r>
      <w:r w:rsidR="00EB2205" w:rsidRPr="00C33092">
        <w:fldChar w:fldCharType="end"/>
      </w:r>
      <w:r w:rsidRPr="00C33092">
        <w:t>) presented in the resubmission.</w:t>
      </w:r>
      <w:bookmarkEnd w:id="14"/>
      <w:r w:rsidRPr="00C33092">
        <w:t xml:space="preserve"> </w:t>
      </w:r>
      <w:r w:rsidR="005B5FE3" w:rsidRPr="00C33092">
        <w:t xml:space="preserve">As outlined in </w:t>
      </w:r>
      <w:r w:rsidR="00B1264B" w:rsidRPr="00C33092">
        <w:t>paragraph</w:t>
      </w:r>
      <w:r w:rsidR="0074017A" w:rsidRPr="00C33092">
        <w:t>s</w:t>
      </w:r>
      <w:r w:rsidR="00B1264B" w:rsidRPr="00C33092">
        <w:t xml:space="preserve"> </w:t>
      </w:r>
      <w:r w:rsidR="006360D1">
        <w:fldChar w:fldCharType="begin"/>
      </w:r>
      <w:r w:rsidR="006360D1">
        <w:instrText xml:space="preserve"> REF _Ref211501362 \r \h </w:instrText>
      </w:r>
      <w:r w:rsidR="006360D1">
        <w:fldChar w:fldCharType="separate"/>
      </w:r>
      <w:r w:rsidR="009B3037">
        <w:t>5.5</w:t>
      </w:r>
      <w:r w:rsidR="006360D1">
        <w:fldChar w:fldCharType="end"/>
      </w:r>
      <w:r w:rsidR="006360D1">
        <w:t xml:space="preserve"> to </w:t>
      </w:r>
      <w:r w:rsidR="006360D1">
        <w:fldChar w:fldCharType="begin"/>
      </w:r>
      <w:r w:rsidR="006360D1">
        <w:instrText xml:space="preserve"> REF _Ref211501366 \r \h </w:instrText>
      </w:r>
      <w:r w:rsidR="006360D1">
        <w:fldChar w:fldCharType="separate"/>
      </w:r>
      <w:r w:rsidR="009B3037">
        <w:t>5.12</w:t>
      </w:r>
      <w:r w:rsidR="006360D1">
        <w:fldChar w:fldCharType="end"/>
      </w:r>
      <w:r w:rsidR="005B5FE3" w:rsidRPr="00C33092">
        <w:t>, the</w:t>
      </w:r>
      <w:r w:rsidR="00FF7838">
        <w:t xml:space="preserve"> evaluation and the ESC considered the</w:t>
      </w:r>
      <w:r w:rsidR="005B5FE3" w:rsidRPr="00C33092">
        <w:t xml:space="preserve">re is </w:t>
      </w:r>
      <w:r w:rsidR="005B5FE3" w:rsidRPr="00C023D7">
        <w:t xml:space="preserve">uncertainty </w:t>
      </w:r>
      <w:r w:rsidR="0001451B" w:rsidRPr="00C023D7">
        <w:t>regarding</w:t>
      </w:r>
      <w:r w:rsidR="005B5FE3" w:rsidRPr="00C023D7">
        <w:t xml:space="preserve"> the proposed proportion</w:t>
      </w:r>
      <w:r w:rsidR="00063B0F" w:rsidRPr="00C023D7">
        <w:t>s</w:t>
      </w:r>
      <w:r w:rsidR="005B5FE3" w:rsidRPr="00C023D7">
        <w:t xml:space="preserve"> </w:t>
      </w:r>
      <w:r w:rsidR="00063B0F" w:rsidRPr="00C023D7">
        <w:t>of use</w:t>
      </w:r>
      <w:r w:rsidR="005B5FE3" w:rsidRPr="00C023D7">
        <w:t xml:space="preserve"> </w:t>
      </w:r>
      <w:r w:rsidR="00B1264B" w:rsidRPr="00C023D7">
        <w:t>between</w:t>
      </w:r>
      <w:r w:rsidR="005B5FE3" w:rsidRPr="00C023D7">
        <w:t xml:space="preserve"> the two comparators</w:t>
      </w:r>
      <w:r w:rsidR="00042E99" w:rsidRPr="00C023D7">
        <w:t>, and whether it would be appropriate to use T-DM1 as a comparator</w:t>
      </w:r>
      <w:r w:rsidR="00CE755B" w:rsidRPr="00C023D7">
        <w:t xml:space="preserve">. </w:t>
      </w:r>
    </w:p>
    <w:p w14:paraId="0E27C2D4" w14:textId="5835BDDB" w:rsidR="00F84089" w:rsidRPr="00C33092" w:rsidRDefault="00F84089" w:rsidP="00204528">
      <w:pPr>
        <w:pStyle w:val="Caption"/>
        <w:spacing w:before="240"/>
      </w:pPr>
      <w:bookmarkStart w:id="15" w:name="_Ref206407859"/>
      <w:r w:rsidRPr="00C33092">
        <w:t xml:space="preserve">Table </w:t>
      </w:r>
      <w:r w:rsidR="007000FA">
        <w:fldChar w:fldCharType="begin"/>
      </w:r>
      <w:r w:rsidR="007000FA">
        <w:instrText xml:space="preserve"> SEQ Table \* ARABIC </w:instrText>
      </w:r>
      <w:r w:rsidR="007000FA">
        <w:fldChar w:fldCharType="separate"/>
      </w:r>
      <w:r w:rsidR="009B3037">
        <w:rPr>
          <w:noProof/>
        </w:rPr>
        <w:t>3</w:t>
      </w:r>
      <w:r w:rsidR="007000FA">
        <w:rPr>
          <w:noProof/>
        </w:rPr>
        <w:fldChar w:fldCharType="end"/>
      </w:r>
      <w:bookmarkEnd w:id="15"/>
      <w:r w:rsidRPr="00C33092">
        <w:t xml:space="preserve">: Methods used to derive the proposed effective EMP for tucatinib </w:t>
      </w:r>
      <w:r w:rsidR="00DC4EB4" w:rsidRPr="00C33092">
        <w:t xml:space="preserve">as presented in </w:t>
      </w:r>
      <w:r w:rsidRPr="00C33092">
        <w:t>the resubmission</w:t>
      </w:r>
      <w:r w:rsidR="00DC4EB4" w:rsidRPr="00C33092">
        <w:t xml:space="preserve"> and </w:t>
      </w:r>
      <w:r w:rsidR="002D16F0" w:rsidRPr="00C33092">
        <w:t xml:space="preserve">sensitivity analyses conducted during </w:t>
      </w:r>
      <w:r w:rsidR="00DC4EB4" w:rsidRPr="00C33092">
        <w:t>evaluat</w:t>
      </w:r>
      <w:r w:rsidR="002D16F0" w:rsidRPr="00C33092">
        <w:t>ion</w:t>
      </w:r>
    </w:p>
    <w:tbl>
      <w:tblPr>
        <w:tblStyle w:val="TableGrid"/>
        <w:tblW w:w="5000" w:type="pct"/>
        <w:tblLook w:val="04A0" w:firstRow="1" w:lastRow="0" w:firstColumn="1" w:lastColumn="0" w:noHBand="0" w:noVBand="1"/>
        <w:tblCaption w:val="Methods used to derive the proposed effective EMP for tucatinib as presented in the resubmission and sensitivity analyses conducted during evaluation"/>
      </w:tblPr>
      <w:tblGrid>
        <w:gridCol w:w="5805"/>
        <w:gridCol w:w="3211"/>
      </w:tblGrid>
      <w:tr w:rsidR="00505844" w:rsidRPr="00C33092" w14:paraId="51AA2AF0" w14:textId="6F3676CB" w:rsidTr="00204528">
        <w:tc>
          <w:tcPr>
            <w:tcW w:w="3219" w:type="pct"/>
          </w:tcPr>
          <w:p w14:paraId="266A0646" w14:textId="0CBDBBE9" w:rsidR="00505844" w:rsidRPr="00C33092" w:rsidRDefault="00505844" w:rsidP="00CA6BDE">
            <w:pPr>
              <w:pStyle w:val="In-tableHeading"/>
            </w:pPr>
          </w:p>
        </w:tc>
        <w:tc>
          <w:tcPr>
            <w:tcW w:w="1781" w:type="pct"/>
            <w:tcBorders>
              <w:bottom w:val="single" w:sz="4" w:space="0" w:color="auto"/>
            </w:tcBorders>
          </w:tcPr>
          <w:p w14:paraId="4C7F7B4E" w14:textId="6D511F66" w:rsidR="00505844" w:rsidRPr="00C33092" w:rsidRDefault="00505844" w:rsidP="00725E7B">
            <w:pPr>
              <w:pStyle w:val="In-tableHeading"/>
              <w:jc w:val="center"/>
            </w:pPr>
            <w:r w:rsidRPr="00C33092">
              <w:t>Tucatinib EMP</w:t>
            </w:r>
          </w:p>
        </w:tc>
      </w:tr>
      <w:tr w:rsidR="00505844" w:rsidRPr="00C33092" w14:paraId="349EFAF4" w14:textId="79E95EFA" w:rsidTr="00204528">
        <w:tc>
          <w:tcPr>
            <w:tcW w:w="3219" w:type="pct"/>
            <w:vMerge w:val="restart"/>
            <w:tcBorders>
              <w:bottom w:val="single" w:sz="4" w:space="0" w:color="auto"/>
            </w:tcBorders>
            <w:vAlign w:val="center"/>
          </w:tcPr>
          <w:p w14:paraId="083E1D98" w14:textId="36D8F6F6" w:rsidR="00505844" w:rsidRPr="00C33092" w:rsidRDefault="00505844" w:rsidP="008B1086">
            <w:pPr>
              <w:pStyle w:val="TableText0"/>
              <w:rPr>
                <w:lang w:val="pt-BR"/>
              </w:rPr>
            </w:pPr>
            <w:r w:rsidRPr="00C33092">
              <w:rPr>
                <w:lang w:val="pt-BR"/>
              </w:rPr>
              <w:t>CUA derived EMP (Tucatinib vs trastuzumab + capecitabine)</w:t>
            </w:r>
          </w:p>
        </w:tc>
        <w:tc>
          <w:tcPr>
            <w:tcW w:w="1781" w:type="pct"/>
            <w:tcBorders>
              <w:bottom w:val="dotted" w:sz="4" w:space="0" w:color="auto"/>
            </w:tcBorders>
            <w:vAlign w:val="center"/>
          </w:tcPr>
          <w:p w14:paraId="520212FB" w14:textId="1FB3F994" w:rsidR="00505844" w:rsidRPr="00C33092" w:rsidRDefault="00505844" w:rsidP="00CE755B">
            <w:pPr>
              <w:pStyle w:val="TableText0"/>
              <w:jc w:val="center"/>
            </w:pPr>
            <w:r w:rsidRPr="00C33092">
              <w:t>50 mg: $</w:t>
            </w:r>
            <w:r w:rsidR="009B6432" w:rsidRPr="009B6432">
              <w:rPr>
                <w:highlight w:val="black"/>
              </w:rPr>
              <w:t>&amp;&amp;&amp;&amp;</w:t>
            </w:r>
          </w:p>
        </w:tc>
      </w:tr>
      <w:tr w:rsidR="00505844" w:rsidRPr="00C33092" w14:paraId="2AE1904B" w14:textId="6E34F1E3" w:rsidTr="00204528">
        <w:tc>
          <w:tcPr>
            <w:tcW w:w="3219" w:type="pct"/>
            <w:vMerge/>
            <w:tcBorders>
              <w:bottom w:val="single" w:sz="4" w:space="0" w:color="auto"/>
            </w:tcBorders>
            <w:vAlign w:val="center"/>
          </w:tcPr>
          <w:p w14:paraId="520E3F53" w14:textId="77777777" w:rsidR="00505844" w:rsidRPr="00C33092" w:rsidRDefault="00505844" w:rsidP="008B1086">
            <w:pPr>
              <w:pStyle w:val="TableText0"/>
            </w:pPr>
          </w:p>
        </w:tc>
        <w:tc>
          <w:tcPr>
            <w:tcW w:w="1781" w:type="pct"/>
            <w:tcBorders>
              <w:top w:val="dotted" w:sz="4" w:space="0" w:color="auto"/>
              <w:bottom w:val="single" w:sz="4" w:space="0" w:color="auto"/>
            </w:tcBorders>
            <w:vAlign w:val="center"/>
          </w:tcPr>
          <w:p w14:paraId="07A04772" w14:textId="30989FAF" w:rsidR="00505844" w:rsidRPr="00C33092" w:rsidRDefault="00505844" w:rsidP="00CE755B">
            <w:pPr>
              <w:pStyle w:val="TableText0"/>
              <w:jc w:val="center"/>
            </w:pPr>
            <w:r w:rsidRPr="00C33092">
              <w:t>150 mg: $</w:t>
            </w:r>
            <w:r w:rsidR="009B6432" w:rsidRPr="009B6432">
              <w:rPr>
                <w:highlight w:val="black"/>
              </w:rPr>
              <w:t>&amp;&amp;&amp;&amp;</w:t>
            </w:r>
          </w:p>
        </w:tc>
      </w:tr>
      <w:tr w:rsidR="00505844" w:rsidRPr="00C33092" w14:paraId="5EBC3552" w14:textId="210C176F" w:rsidTr="00204528">
        <w:tc>
          <w:tcPr>
            <w:tcW w:w="3219" w:type="pct"/>
            <w:vMerge w:val="restart"/>
            <w:tcBorders>
              <w:bottom w:val="single" w:sz="4" w:space="0" w:color="auto"/>
            </w:tcBorders>
            <w:vAlign w:val="center"/>
          </w:tcPr>
          <w:p w14:paraId="2A6969B6" w14:textId="2FF90AE4" w:rsidR="00505844" w:rsidRPr="00C33092" w:rsidRDefault="00505844" w:rsidP="008B1086">
            <w:pPr>
              <w:pStyle w:val="TableText0"/>
            </w:pPr>
            <w:r w:rsidRPr="00C33092">
              <w:t>CMA derived EMP (Tucatinib vs T-DM1)</w:t>
            </w:r>
          </w:p>
        </w:tc>
        <w:tc>
          <w:tcPr>
            <w:tcW w:w="1781" w:type="pct"/>
            <w:tcBorders>
              <w:bottom w:val="dotted" w:sz="4" w:space="0" w:color="auto"/>
            </w:tcBorders>
            <w:vAlign w:val="center"/>
          </w:tcPr>
          <w:p w14:paraId="29092424" w14:textId="3B279461" w:rsidR="00505844" w:rsidRPr="001B130B" w:rsidRDefault="00505844" w:rsidP="00CE755B">
            <w:pPr>
              <w:pStyle w:val="TableText0"/>
              <w:jc w:val="center"/>
            </w:pPr>
            <w:r w:rsidRPr="001B130B">
              <w:t>50 mg: $</w:t>
            </w:r>
            <w:r w:rsidR="009B6432" w:rsidRPr="009B6432">
              <w:rPr>
                <w:highlight w:val="black"/>
              </w:rPr>
              <w:t>&amp;&amp;&amp;&amp;</w:t>
            </w:r>
          </w:p>
        </w:tc>
      </w:tr>
      <w:tr w:rsidR="00505844" w:rsidRPr="00C33092" w14:paraId="1593B240" w14:textId="73A2E094" w:rsidTr="00204528">
        <w:tc>
          <w:tcPr>
            <w:tcW w:w="3219" w:type="pct"/>
            <w:vMerge/>
            <w:tcBorders>
              <w:bottom w:val="single" w:sz="4" w:space="0" w:color="auto"/>
            </w:tcBorders>
            <w:vAlign w:val="center"/>
          </w:tcPr>
          <w:p w14:paraId="75566620" w14:textId="77777777" w:rsidR="00505844" w:rsidRPr="00C33092" w:rsidRDefault="00505844" w:rsidP="008B1086">
            <w:pPr>
              <w:pStyle w:val="TableText0"/>
            </w:pPr>
          </w:p>
        </w:tc>
        <w:tc>
          <w:tcPr>
            <w:tcW w:w="1781" w:type="pct"/>
            <w:tcBorders>
              <w:top w:val="dotted" w:sz="4" w:space="0" w:color="auto"/>
              <w:bottom w:val="single" w:sz="4" w:space="0" w:color="auto"/>
            </w:tcBorders>
            <w:vAlign w:val="center"/>
          </w:tcPr>
          <w:p w14:paraId="0E98C394" w14:textId="19FAE83A" w:rsidR="00505844" w:rsidRPr="001B130B" w:rsidRDefault="00505844" w:rsidP="00CE755B">
            <w:pPr>
              <w:pStyle w:val="TableText0"/>
              <w:jc w:val="center"/>
            </w:pPr>
            <w:r w:rsidRPr="001B130B">
              <w:t>150 mg: $</w:t>
            </w:r>
            <w:r w:rsidR="009B6432" w:rsidRPr="009B6432">
              <w:rPr>
                <w:highlight w:val="black"/>
              </w:rPr>
              <w:t>&amp;&amp;&amp;&amp;</w:t>
            </w:r>
          </w:p>
        </w:tc>
      </w:tr>
      <w:tr w:rsidR="00505844" w:rsidRPr="00C33092" w14:paraId="65413496" w14:textId="3B89C09D" w:rsidTr="00204528">
        <w:tc>
          <w:tcPr>
            <w:tcW w:w="3219" w:type="pct"/>
            <w:vMerge w:val="restart"/>
            <w:vAlign w:val="center"/>
          </w:tcPr>
          <w:p w14:paraId="5E29FE8A" w14:textId="3D6FB8A9" w:rsidR="00505844" w:rsidRPr="00C33092" w:rsidRDefault="00505844" w:rsidP="008B1086">
            <w:pPr>
              <w:pStyle w:val="TableText0"/>
            </w:pPr>
            <w:r w:rsidRPr="00C33092">
              <w:rPr>
                <w:b/>
              </w:rPr>
              <w:t>Proposed effective EMP (based on 50:50 weighting of CUA and CMA price) as proposed in resubmission</w:t>
            </w:r>
          </w:p>
        </w:tc>
        <w:tc>
          <w:tcPr>
            <w:tcW w:w="1781" w:type="pct"/>
            <w:tcBorders>
              <w:bottom w:val="dotted" w:sz="4" w:space="0" w:color="auto"/>
            </w:tcBorders>
            <w:vAlign w:val="center"/>
          </w:tcPr>
          <w:p w14:paraId="0C16E44E" w14:textId="5B26BB99" w:rsidR="00505844" w:rsidRPr="00C33092" w:rsidRDefault="00505844" w:rsidP="00CE755B">
            <w:pPr>
              <w:pStyle w:val="TableText0"/>
              <w:jc w:val="center"/>
            </w:pPr>
            <w:r w:rsidRPr="00C33092">
              <w:rPr>
                <w:b/>
              </w:rPr>
              <w:t>50 mg: $</w:t>
            </w:r>
            <w:r w:rsidR="009B6432" w:rsidRPr="009B6432">
              <w:rPr>
                <w:b/>
                <w:highlight w:val="black"/>
              </w:rPr>
              <w:t>&amp;&amp;&amp;&amp;</w:t>
            </w:r>
          </w:p>
        </w:tc>
      </w:tr>
      <w:tr w:rsidR="00505844" w:rsidRPr="00C33092" w14:paraId="76AC59F1" w14:textId="535C4A22" w:rsidTr="00204528">
        <w:tc>
          <w:tcPr>
            <w:tcW w:w="3219" w:type="pct"/>
            <w:vMerge/>
            <w:tcBorders>
              <w:bottom w:val="single" w:sz="4" w:space="0" w:color="auto"/>
            </w:tcBorders>
            <w:vAlign w:val="center"/>
          </w:tcPr>
          <w:p w14:paraId="118B5DCC" w14:textId="77777777" w:rsidR="00505844" w:rsidRPr="00C33092" w:rsidRDefault="00505844" w:rsidP="008B1086">
            <w:pPr>
              <w:pStyle w:val="TableText0"/>
            </w:pPr>
          </w:p>
        </w:tc>
        <w:tc>
          <w:tcPr>
            <w:tcW w:w="1781" w:type="pct"/>
            <w:tcBorders>
              <w:top w:val="dotted" w:sz="4" w:space="0" w:color="auto"/>
              <w:bottom w:val="single" w:sz="4" w:space="0" w:color="auto"/>
            </w:tcBorders>
            <w:vAlign w:val="center"/>
          </w:tcPr>
          <w:p w14:paraId="2A9A25E4" w14:textId="76884E9C" w:rsidR="00505844" w:rsidRPr="00C33092" w:rsidRDefault="00505844" w:rsidP="00CE755B">
            <w:pPr>
              <w:pStyle w:val="TableText0"/>
              <w:jc w:val="center"/>
            </w:pPr>
            <w:r w:rsidRPr="00C33092">
              <w:rPr>
                <w:b/>
              </w:rPr>
              <w:t>150 mg: $</w:t>
            </w:r>
            <w:r w:rsidR="009B6432" w:rsidRPr="009B6432">
              <w:rPr>
                <w:b/>
                <w:highlight w:val="black"/>
              </w:rPr>
              <w:t>&amp;&amp;&amp;&amp;</w:t>
            </w:r>
          </w:p>
        </w:tc>
      </w:tr>
    </w:tbl>
    <w:p w14:paraId="4D0362A5" w14:textId="77777777" w:rsidR="00F84089" w:rsidRPr="00C33092" w:rsidRDefault="00F84089" w:rsidP="00F84089">
      <w:pPr>
        <w:pStyle w:val="TableFooter"/>
      </w:pPr>
      <w:r w:rsidRPr="00C33092">
        <w:t>Source: Compiled during the evaluation from Table 1.4.3, p49 of the resubmission; p198 of the resubmission.</w:t>
      </w:r>
    </w:p>
    <w:p w14:paraId="15EC2398" w14:textId="0AA114CD" w:rsidR="00F84089" w:rsidRPr="00C33092" w:rsidRDefault="00F84089" w:rsidP="00F84089">
      <w:pPr>
        <w:pStyle w:val="TableFooter"/>
      </w:pPr>
      <w:r w:rsidRPr="00C33092">
        <w:t xml:space="preserve">Abbreviations: EMP, ex-manufacturer price; CMA, cost minimisation analysis; CUA, cost utility analysis; T-DM1, trastuzumab emtansine. </w:t>
      </w:r>
    </w:p>
    <w:p w14:paraId="7D5A97B4" w14:textId="77777777" w:rsidR="00E04864" w:rsidRPr="00C33092" w:rsidRDefault="00E04864" w:rsidP="00F84089">
      <w:pPr>
        <w:pStyle w:val="TableFooter"/>
      </w:pPr>
    </w:p>
    <w:p w14:paraId="64E0E5C6" w14:textId="02623204" w:rsidR="00F84089" w:rsidRPr="00C33092" w:rsidRDefault="00F84089" w:rsidP="00E74405">
      <w:pPr>
        <w:pStyle w:val="3-BodyText"/>
      </w:pPr>
      <w:r w:rsidRPr="00C33092">
        <w:t>The resubmission requested three Authority Required restrictions for tucatinib – (i) initial treatment, (ii) continuing treatment for patients who do not have progressive disease, and (iii) grandfathering treatment for patients who have received tucatinib prior to the listing date through a patient support program and do not have progressive disease</w:t>
      </w:r>
      <w:r w:rsidR="00C637B8">
        <w:t>.</w:t>
      </w:r>
      <w:r w:rsidR="00C637B8">
        <w:rPr>
          <w:snapToGrid w:val="0"/>
          <w:lang w:eastAsia="en-US"/>
        </w:rPr>
        <w:t xml:space="preserve"> The pre-PBAC </w:t>
      </w:r>
      <w:r w:rsidR="00CC3EFA">
        <w:rPr>
          <w:snapToGrid w:val="0"/>
          <w:lang w:eastAsia="en-US"/>
        </w:rPr>
        <w:t xml:space="preserve">response outlined that it would be important for the grandfather restriction to require patients to have met the prior therapy requirements </w:t>
      </w:r>
      <w:r w:rsidR="009C38BC">
        <w:rPr>
          <w:snapToGrid w:val="0"/>
          <w:lang w:eastAsia="en-US"/>
        </w:rPr>
        <w:t>in</w:t>
      </w:r>
      <w:r w:rsidR="00CC3EFA">
        <w:rPr>
          <w:snapToGrid w:val="0"/>
          <w:lang w:eastAsia="en-US"/>
        </w:rPr>
        <w:t xml:space="preserve"> the initial listing</w:t>
      </w:r>
      <w:r w:rsidR="001467E8">
        <w:rPr>
          <w:snapToGrid w:val="0"/>
          <w:lang w:eastAsia="en-US"/>
        </w:rPr>
        <w:t xml:space="preserve"> (i.e.</w:t>
      </w:r>
      <w:r w:rsidR="00CC3EFA">
        <w:rPr>
          <w:snapToGrid w:val="0"/>
          <w:lang w:eastAsia="en-US"/>
        </w:rPr>
        <w:t xml:space="preserve"> prior to commencement of tucatinib</w:t>
      </w:r>
      <w:r w:rsidR="001467E8">
        <w:rPr>
          <w:snapToGrid w:val="0"/>
          <w:lang w:eastAsia="en-US"/>
        </w:rPr>
        <w:t>)</w:t>
      </w:r>
      <w:r w:rsidR="00E74405">
        <w:rPr>
          <w:snapToGrid w:val="0"/>
          <w:lang w:eastAsia="en-US"/>
        </w:rPr>
        <w:t xml:space="preserve"> given tucatinib is </w:t>
      </w:r>
      <w:r w:rsidR="00CC3EFA" w:rsidRPr="00CC3EFA">
        <w:rPr>
          <w:snapToGrid w:val="0"/>
          <w:lang w:eastAsia="en-US"/>
        </w:rPr>
        <w:t xml:space="preserve">being investigated in earlier lines of </w:t>
      </w:r>
      <w:proofErr w:type="spellStart"/>
      <w:r w:rsidR="00CC3EFA" w:rsidRPr="00CC3EFA">
        <w:rPr>
          <w:snapToGrid w:val="0"/>
          <w:lang w:eastAsia="en-US"/>
        </w:rPr>
        <w:t>mBC</w:t>
      </w:r>
      <w:proofErr w:type="spellEnd"/>
      <w:r w:rsidR="00CC3EFA" w:rsidRPr="00CC3EFA">
        <w:rPr>
          <w:snapToGrid w:val="0"/>
          <w:lang w:eastAsia="en-US"/>
        </w:rPr>
        <w:t xml:space="preserve"> treatment</w:t>
      </w:r>
      <w:r w:rsidR="006B2A49">
        <w:rPr>
          <w:snapToGrid w:val="0"/>
          <w:lang w:eastAsia="en-US"/>
        </w:rPr>
        <w:t xml:space="preserve">. The PBAC considered </w:t>
      </w:r>
      <w:r w:rsidR="006B2A49">
        <w:rPr>
          <w:snapToGrid w:val="0"/>
          <w:lang w:eastAsia="en-US"/>
        </w:rPr>
        <w:lastRenderedPageBreak/>
        <w:t>it would be appropriate to enable access for grandfather patients who otherwise met the PBS criteria at the time of initiatin</w:t>
      </w:r>
      <w:r w:rsidR="00302A86">
        <w:rPr>
          <w:snapToGrid w:val="0"/>
          <w:lang w:eastAsia="en-US"/>
        </w:rPr>
        <w:t>g tucatinib</w:t>
      </w:r>
      <w:r w:rsidR="006B2A49">
        <w:rPr>
          <w:snapToGrid w:val="0"/>
          <w:lang w:eastAsia="en-US"/>
        </w:rPr>
        <w:t xml:space="preserve">. </w:t>
      </w:r>
    </w:p>
    <w:p w14:paraId="22DBC4EF" w14:textId="77777777" w:rsidR="00F84089" w:rsidRPr="00C33092" w:rsidRDefault="00F84089" w:rsidP="00F84089">
      <w:pPr>
        <w:pStyle w:val="3-BodyText"/>
      </w:pPr>
      <w:r w:rsidRPr="00C33092">
        <w:t xml:space="preserve">The proposed restrictions for initial and continuing treatment closely follow the restrictions proposed in the previous submission. The key changes are: </w:t>
      </w:r>
    </w:p>
    <w:p w14:paraId="641EBCCB" w14:textId="699FA9B8" w:rsidR="00F84089" w:rsidRPr="00C33092" w:rsidRDefault="00F84089" w:rsidP="00D136AE">
      <w:pPr>
        <w:pStyle w:val="ListParagraph"/>
        <w:ind w:left="1134"/>
      </w:pPr>
      <w:r w:rsidRPr="00C33092">
        <w:t>The clinical criteri</w:t>
      </w:r>
      <w:r w:rsidR="00AE7B98">
        <w:t>on</w:t>
      </w:r>
      <w:r w:rsidRPr="00C33092">
        <w:t xml:space="preserve"> for initial treatment now specifies that ‘the condition must have progressed following treatment with at least two different HER2-directed regimens for metastatic breast cancer’ OR ‘the condition must have progressed following treatment with T-</w:t>
      </w:r>
      <w:proofErr w:type="spellStart"/>
      <w:r w:rsidRPr="00C33092">
        <w:t>DXd</w:t>
      </w:r>
      <w:proofErr w:type="spellEnd"/>
      <w:r w:rsidRPr="00C33092">
        <w:t xml:space="preserve"> for HER2+ metastatic breast cancer’. This was appropriate given T-</w:t>
      </w:r>
      <w:proofErr w:type="spellStart"/>
      <w:r w:rsidRPr="00C33092">
        <w:t>DXd</w:t>
      </w:r>
      <w:proofErr w:type="spellEnd"/>
      <w:r w:rsidRPr="00C33092">
        <w:t xml:space="preserve"> is </w:t>
      </w:r>
      <w:r w:rsidR="00A51A03" w:rsidRPr="00C33092">
        <w:t>now PBS-listed</w:t>
      </w:r>
      <w:r w:rsidRPr="00C33092">
        <w:t xml:space="preserve"> for </w:t>
      </w:r>
      <w:r w:rsidR="00A51A03" w:rsidRPr="00C33092">
        <w:t>metastatic</w:t>
      </w:r>
      <w:r w:rsidR="00692AB5" w:rsidRPr="00C33092">
        <w:t xml:space="preserve"> patients who have</w:t>
      </w:r>
      <w:r w:rsidR="00C15089" w:rsidRPr="00C33092">
        <w:t xml:space="preserve"> </w:t>
      </w:r>
      <w:r w:rsidR="00A51A03" w:rsidRPr="00C33092">
        <w:t>progressed following prior HER2-directed therapy (or re</w:t>
      </w:r>
      <w:r w:rsidR="00C15089" w:rsidRPr="00C33092">
        <w:t>lapse</w:t>
      </w:r>
      <w:r w:rsidR="00A51A03" w:rsidRPr="00C33092">
        <w:t>d</w:t>
      </w:r>
      <w:r w:rsidR="00C15089" w:rsidRPr="00C33092">
        <w:t xml:space="preserve"> during or within 6 months of adjuvant HER2 directed treatment</w:t>
      </w:r>
      <w:r w:rsidR="00A51A03" w:rsidRPr="00C33092">
        <w:t>)</w:t>
      </w:r>
      <w:r w:rsidRPr="00C33092">
        <w:t xml:space="preserve">, displacing T-DM1 to a </w:t>
      </w:r>
      <w:r w:rsidR="00A51A03" w:rsidRPr="00C33092">
        <w:t xml:space="preserve">largely </w:t>
      </w:r>
      <w:r w:rsidRPr="00C33092">
        <w:t>third-line setting.</w:t>
      </w:r>
    </w:p>
    <w:p w14:paraId="0A3DABE3" w14:textId="149970C4" w:rsidR="00F84089" w:rsidRPr="00C33092" w:rsidRDefault="00F84089" w:rsidP="00D136AE">
      <w:pPr>
        <w:pStyle w:val="ListParagraph"/>
        <w:ind w:left="1134"/>
      </w:pPr>
      <w:r w:rsidRPr="00C33092">
        <w:t xml:space="preserve">Removal of the clinical </w:t>
      </w:r>
      <w:r w:rsidR="00C85297" w:rsidRPr="00C33092">
        <w:t xml:space="preserve">criterion </w:t>
      </w:r>
      <w:r w:rsidR="00342F6D">
        <w:t>‘</w:t>
      </w:r>
      <w:r w:rsidRPr="00C33092">
        <w:t>the treatment must not be used in a patient with a left ventricular ejection fraction (LVEF) of less than 45% and/or with symptomatic heart failure</w:t>
      </w:r>
      <w:r w:rsidR="00342F6D">
        <w:t>’</w:t>
      </w:r>
      <w:r w:rsidRPr="00C33092">
        <w:t xml:space="preserve"> for both initial and continuing treatment. This was reasonable given this criterion is already included as a contraindication for trastuzumab, which is used part of the treatment regimen with tucatinib.</w:t>
      </w:r>
    </w:p>
    <w:p w14:paraId="7AF7EBC4" w14:textId="7A06F782" w:rsidR="00F84089" w:rsidRDefault="00F84089" w:rsidP="00F84089">
      <w:pPr>
        <w:pStyle w:val="3-BodyText"/>
      </w:pPr>
      <w:r w:rsidRPr="00C33092">
        <w:t>The restrictions, however, slightly differ from the patient population in the HER2CLIMB trial which require</w:t>
      </w:r>
      <w:r w:rsidR="00D20E5A" w:rsidRPr="00C33092">
        <w:t>d</w:t>
      </w:r>
      <w:r w:rsidRPr="00C33092">
        <w:t xml:space="preserve"> patients to be </w:t>
      </w:r>
      <w:r w:rsidR="0070181D" w:rsidRPr="00C33092">
        <w:t xml:space="preserve">more </w:t>
      </w:r>
      <w:r w:rsidRPr="00C33092">
        <w:t xml:space="preserve">heavily pretreated </w:t>
      </w:r>
      <w:r w:rsidR="007732E6" w:rsidRPr="00C33092">
        <w:t xml:space="preserve">i.e. </w:t>
      </w:r>
      <w:r w:rsidRPr="00C33092">
        <w:t xml:space="preserve">with pertuzumab, trastuzumab and T-DM1 (in either the neoadjuvant, adjuvant or metastatic setting), </w:t>
      </w:r>
      <w:r w:rsidR="009B42CD" w:rsidRPr="00C33092">
        <w:t xml:space="preserve">with patients in the trial having </w:t>
      </w:r>
      <w:r w:rsidRPr="00C33092">
        <w:t>receiv</w:t>
      </w:r>
      <w:r w:rsidR="009B42CD" w:rsidRPr="00C33092">
        <w:t>ed</w:t>
      </w:r>
      <w:r w:rsidRPr="00C33092">
        <w:t xml:space="preserve"> a median of four prior lines of systemic therapy in total, and a median three prior lines of therapy in the metastatic setting. </w:t>
      </w:r>
    </w:p>
    <w:p w14:paraId="35DCDEB6" w14:textId="44C41F35" w:rsidR="00FA647E" w:rsidRPr="00FA647E" w:rsidRDefault="00FA647E" w:rsidP="00FA647E">
      <w:pPr>
        <w:pStyle w:val="3-BodyText"/>
        <w:numPr>
          <w:ilvl w:val="0"/>
          <w:numId w:val="0"/>
        </w:numPr>
        <w:ind w:left="720"/>
        <w:rPr>
          <w:i/>
          <w:iCs/>
        </w:rPr>
      </w:pPr>
      <w:bookmarkStart w:id="16" w:name="_Hlk212799895"/>
      <w:r w:rsidRPr="00FA647E">
        <w:rPr>
          <w:i/>
          <w:iCs/>
        </w:rPr>
        <w:t>For more detail on PBAC’s view, see section 7 PBAC outcome.</w:t>
      </w:r>
    </w:p>
    <w:p w14:paraId="141CC946" w14:textId="41CC2C43" w:rsidR="00F84089" w:rsidRPr="00C33092" w:rsidDel="00195452" w:rsidRDefault="00F84089" w:rsidP="00F84089">
      <w:pPr>
        <w:pStyle w:val="2-SectionHeading"/>
      </w:pPr>
      <w:bookmarkStart w:id="17" w:name="_Toc208931298"/>
      <w:bookmarkEnd w:id="16"/>
      <w:r w:rsidRPr="00C33092" w:rsidDel="00195452">
        <w:t>Population and disease</w:t>
      </w:r>
      <w:bookmarkEnd w:id="17"/>
    </w:p>
    <w:p w14:paraId="2F623AB4" w14:textId="6CD79662" w:rsidR="00F84089" w:rsidRPr="00C33092" w:rsidRDefault="00F84089" w:rsidP="00F84089">
      <w:pPr>
        <w:pStyle w:val="3-BodyText"/>
        <w:rPr>
          <w:color w:val="0066FF"/>
        </w:rPr>
      </w:pPr>
      <w:r w:rsidRPr="00C33092">
        <w:t>HER2+ breast cancer is an aggressive subtype of breast cancer with a propensity for early relapse following adjuvant therapy. Patients with HER2+ breast cancer have an increased likelihood of lymph invasion and are likely to present with disease progression, particularly to distant metastases</w:t>
      </w:r>
      <w:r w:rsidRPr="00C33092">
        <w:rPr>
          <w:rStyle w:val="FootnoteReference"/>
        </w:rPr>
        <w:footnoteReference w:id="1"/>
      </w:r>
      <w:r w:rsidRPr="00C33092">
        <w:t xml:space="preserve">. </w:t>
      </w:r>
      <w:proofErr w:type="spellStart"/>
      <w:r w:rsidRPr="00C33092">
        <w:t>mBC</w:t>
      </w:r>
      <w:proofErr w:type="spellEnd"/>
      <w:r w:rsidRPr="00C33092">
        <w:t xml:space="preserve"> can also affect both physical and emotional aspects of health-related quality of life (HRQoL), including pain, discomfort, anxiety and depression. Up to 50% of patients with HER2+ </w:t>
      </w:r>
      <w:proofErr w:type="spellStart"/>
      <w:r w:rsidRPr="00C33092">
        <w:t>mBC</w:t>
      </w:r>
      <w:proofErr w:type="spellEnd"/>
      <w:r w:rsidRPr="00C33092">
        <w:t xml:space="preserve"> develop brain metastases, with a demonstrated shortened survival compared to those without brain metastases</w:t>
      </w:r>
      <w:r w:rsidR="00C447EE" w:rsidRPr="00C33092">
        <w:rPr>
          <w:rStyle w:val="FootnoteReference"/>
        </w:rPr>
        <w:footnoteReference w:id="2"/>
      </w:r>
      <w:r w:rsidRPr="00C33092">
        <w:t xml:space="preserve">. There </w:t>
      </w:r>
      <w:r w:rsidR="0032005A" w:rsidRPr="00C33092">
        <w:t xml:space="preserve">may be </w:t>
      </w:r>
      <w:r w:rsidRPr="00C33092">
        <w:t>a</w:t>
      </w:r>
      <w:r w:rsidR="005F07BD" w:rsidRPr="00C33092">
        <w:t xml:space="preserve"> </w:t>
      </w:r>
      <w:r w:rsidR="00E40956" w:rsidRPr="00C33092">
        <w:t>clinical</w:t>
      </w:r>
      <w:r w:rsidRPr="00C33092">
        <w:t xml:space="preserve"> need </w:t>
      </w:r>
      <w:r w:rsidR="00D57214" w:rsidRPr="00C33092">
        <w:t>for</w:t>
      </w:r>
      <w:r w:rsidRPr="00C33092">
        <w:t xml:space="preserve"> systemic HER2-targeted treatments</w:t>
      </w:r>
      <w:r w:rsidR="00E40956" w:rsidRPr="00C33092">
        <w:t xml:space="preserve"> like tucatinib</w:t>
      </w:r>
      <w:r w:rsidRPr="00C33092">
        <w:t xml:space="preserve"> that are able to cross the blood-brain barrier to target metastases in the </w:t>
      </w:r>
      <w:r w:rsidRPr="00C33092">
        <w:lastRenderedPageBreak/>
        <w:t>brain</w:t>
      </w:r>
      <w:r w:rsidR="00FC6524" w:rsidRPr="00C33092">
        <w:t xml:space="preserve"> (while T-</w:t>
      </w:r>
      <w:proofErr w:type="spellStart"/>
      <w:r w:rsidR="00FC6524" w:rsidRPr="00C33092">
        <w:t>DXd</w:t>
      </w:r>
      <w:proofErr w:type="spellEnd"/>
      <w:r w:rsidR="00722E47" w:rsidRPr="00C33092">
        <w:t xml:space="preserve"> has a clinical benefit in patients with brain metasta</w:t>
      </w:r>
      <w:r w:rsidR="00D03088" w:rsidRPr="00C33092">
        <w:t>s</w:t>
      </w:r>
      <w:r w:rsidR="00722E47" w:rsidRPr="00C33092">
        <w:t>es, it does not cross the blood-brain barrier)</w:t>
      </w:r>
      <w:r w:rsidRPr="00C33092">
        <w:t xml:space="preserve">. </w:t>
      </w:r>
    </w:p>
    <w:p w14:paraId="6672CEAD" w14:textId="77777777" w:rsidR="00F84089" w:rsidRPr="00C33092" w:rsidRDefault="00F84089" w:rsidP="00F84089">
      <w:pPr>
        <w:pStyle w:val="3-BodyText"/>
      </w:pPr>
      <w:r w:rsidRPr="00C33092">
        <w:t xml:space="preserve">The patient population targeted in this resubmission is HER2+ </w:t>
      </w:r>
      <w:proofErr w:type="spellStart"/>
      <w:r w:rsidRPr="00C33092">
        <w:t>mBC</w:t>
      </w:r>
      <w:proofErr w:type="spellEnd"/>
      <w:r w:rsidRPr="00C33092">
        <w:t xml:space="preserve"> patients, including those with brain metastases, who have either received two prior anti-HER2-based treatments in the metastatic setting or those who have progressed on T-</w:t>
      </w:r>
      <w:proofErr w:type="spellStart"/>
      <w:r w:rsidRPr="00C33092">
        <w:t>DXd</w:t>
      </w:r>
      <w:proofErr w:type="spellEnd"/>
      <w:r w:rsidRPr="00C33092">
        <w:t>.</w:t>
      </w:r>
    </w:p>
    <w:p w14:paraId="5D6FA108" w14:textId="77777777" w:rsidR="00F84089" w:rsidRPr="00C33092" w:rsidRDefault="00F84089" w:rsidP="00F84089">
      <w:pPr>
        <w:pStyle w:val="3-BodyText"/>
      </w:pPr>
      <w:r w:rsidRPr="00C33092">
        <w:t>Tucatinib targets HER2 overexpression and mutation in tumour cells by selectively binding and inhibiting kinase domains of HER2 receptors and initiating downstream changes in the mitogen-activated protein kinase (MAPK) and protein kinase B (AKT) pathways responsible for gene regulation in processes such as cell proliferation, differentiation and survival</w:t>
      </w:r>
      <w:r w:rsidRPr="00C33092">
        <w:rPr>
          <w:rStyle w:val="FootnoteReference"/>
        </w:rPr>
        <w:footnoteReference w:id="3"/>
      </w:r>
      <w:r w:rsidRPr="00C33092">
        <w:t>. Tucatinib has also been reported to allow penetration of the blood-brain barrier, attributed to its low molecular weight, good lipophilicity and polarity, which is important for conditions where the blood-brain barrier has not already been compromised</w:t>
      </w:r>
      <w:r w:rsidRPr="00C33092">
        <w:rPr>
          <w:rStyle w:val="FootnoteReference"/>
        </w:rPr>
        <w:footnoteReference w:id="4"/>
      </w:r>
      <w:r w:rsidRPr="00C33092">
        <w:t>.</w:t>
      </w:r>
    </w:p>
    <w:p w14:paraId="18B2DBF8" w14:textId="51B13293" w:rsidR="00243B6D" w:rsidRPr="00C33092" w:rsidRDefault="00F84089">
      <w:pPr>
        <w:pStyle w:val="3-BodyText"/>
      </w:pPr>
      <w:r w:rsidRPr="00C33092">
        <w:t>The resubmission positioned tucatinib as a third-line treatment in the metastatic setting</w:t>
      </w:r>
      <w:r w:rsidR="005242A1" w:rsidRPr="00C33092">
        <w:t xml:space="preserve"> </w:t>
      </w:r>
      <w:r w:rsidR="00744F8B" w:rsidRPr="00C33092">
        <w:t>and/or</w:t>
      </w:r>
      <w:r w:rsidRPr="00C33092">
        <w:t xml:space="preserve"> for patients who have progressed on T-</w:t>
      </w:r>
      <w:proofErr w:type="spellStart"/>
      <w:r w:rsidRPr="00C33092">
        <w:t>DXd</w:t>
      </w:r>
      <w:proofErr w:type="spellEnd"/>
      <w:r w:rsidRPr="00C33092">
        <w:t xml:space="preserve">. The PBAC previously considered that the place in therapy for tucatinib </w:t>
      </w:r>
      <w:r w:rsidR="54778499" w:rsidRPr="00C33092">
        <w:t>was appropriate</w:t>
      </w:r>
      <w:r w:rsidRPr="00C33092">
        <w:t xml:space="preserve"> (i.e., as a third- or later line treatment in patients who have progressed following treatment with at least two prior lines of HER2-directed therapy for metastatic disease</w:t>
      </w:r>
      <w:r w:rsidR="00F452FA" w:rsidRPr="00C33092">
        <w:t xml:space="preserve"> (</w:t>
      </w:r>
      <w:r w:rsidR="00EE5A2C" w:rsidRPr="00C33092">
        <w:t xml:space="preserve">paragraph </w:t>
      </w:r>
      <w:r w:rsidRPr="00C33092">
        <w:t>7.3, tucatinib PSD, March 2021 PBAC meeting).</w:t>
      </w:r>
      <w:r w:rsidR="00237D0B" w:rsidRPr="00C33092">
        <w:t xml:space="preserve"> </w:t>
      </w:r>
    </w:p>
    <w:p w14:paraId="1E81961C" w14:textId="559D0B8E" w:rsidR="00F84089" w:rsidRPr="00C33092" w:rsidRDefault="00237D0B">
      <w:pPr>
        <w:pStyle w:val="3-BodyText"/>
      </w:pPr>
      <w:r w:rsidRPr="00C33092">
        <w:t xml:space="preserve">The </w:t>
      </w:r>
      <w:r w:rsidR="005C0509">
        <w:t xml:space="preserve">evaluation </w:t>
      </w:r>
      <w:r w:rsidR="005C0509" w:rsidRPr="00D600DE">
        <w:t>and the ESC</w:t>
      </w:r>
      <w:r w:rsidR="005C0509">
        <w:t xml:space="preserve"> considered that the </w:t>
      </w:r>
      <w:r w:rsidRPr="00C33092">
        <w:t xml:space="preserve">positioning of tucatinib </w:t>
      </w:r>
      <w:r w:rsidR="00D600DE">
        <w:t>wa</w:t>
      </w:r>
      <w:r w:rsidRPr="00C33092">
        <w:t xml:space="preserve">s appropriate given </w:t>
      </w:r>
      <w:r w:rsidR="00F03C6D" w:rsidRPr="00C33092">
        <w:t>T-</w:t>
      </w:r>
      <w:proofErr w:type="spellStart"/>
      <w:r w:rsidR="00F03C6D" w:rsidRPr="00C33092">
        <w:t>DXd</w:t>
      </w:r>
      <w:proofErr w:type="spellEnd"/>
      <w:r w:rsidR="00F03C6D" w:rsidRPr="00C33092">
        <w:t xml:space="preserve"> </w:t>
      </w:r>
      <w:r w:rsidR="00FA1DE5" w:rsidRPr="00C33092">
        <w:t xml:space="preserve">has since been PBS-listed </w:t>
      </w:r>
      <w:r w:rsidR="00F03C6D" w:rsidRPr="00C33092">
        <w:t xml:space="preserve">for </w:t>
      </w:r>
      <w:r w:rsidR="00FA1DE5" w:rsidRPr="00C33092">
        <w:t>use</w:t>
      </w:r>
      <w:r w:rsidR="00F03C6D" w:rsidRPr="00C33092">
        <w:t xml:space="preserve"> in </w:t>
      </w:r>
      <w:r w:rsidR="00FA1DE5" w:rsidRPr="00C33092">
        <w:t xml:space="preserve">the </w:t>
      </w:r>
      <w:r w:rsidR="00F03C6D" w:rsidRPr="00C33092">
        <w:t>metastatic setting as</w:t>
      </w:r>
      <w:r w:rsidR="001E0EF2" w:rsidRPr="00C33092">
        <w:t xml:space="preserve"> a</w:t>
      </w:r>
      <w:r w:rsidR="00FA1DE5" w:rsidRPr="00C33092">
        <w:t>:</w:t>
      </w:r>
      <w:r w:rsidR="00F03C6D" w:rsidRPr="00C33092">
        <w:t xml:space="preserve"> first-line therapy (for patients who have had a relapse during or within 6 months of adjuvant HER2 directed treatment)</w:t>
      </w:r>
      <w:r w:rsidR="00FA1DE5" w:rsidRPr="00C33092">
        <w:t>;</w:t>
      </w:r>
      <w:r w:rsidR="00F03C6D" w:rsidRPr="00C33092">
        <w:t xml:space="preserve"> second-line therapy (for patients whose disease has progressed following treatment with one HER2-directed regimen)</w:t>
      </w:r>
      <w:r w:rsidR="00FA1DE5" w:rsidRPr="00C33092">
        <w:t>;</w:t>
      </w:r>
      <w:r w:rsidR="00F03C6D" w:rsidRPr="00C33092">
        <w:t xml:space="preserve"> or third- or later-line therapy (for patients who have received more than one regimen in the metastatic setting including at least one HER2-directed regimen).</w:t>
      </w:r>
    </w:p>
    <w:p w14:paraId="0CEAAA99" w14:textId="032EE6E2" w:rsidR="00654AFD" w:rsidRDefault="00BE33D1">
      <w:pPr>
        <w:pStyle w:val="3-BodyText"/>
      </w:pPr>
      <w:r w:rsidRPr="00C33092">
        <w:t>While referred to as the third-line setting throughout the submission</w:t>
      </w:r>
      <w:r w:rsidR="00654AFD" w:rsidRPr="00C33092">
        <w:t xml:space="preserve">, the proposed restriction positions tucatinib as </w:t>
      </w:r>
      <w:r w:rsidR="000E0CD8" w:rsidRPr="00C33092">
        <w:t>either</w:t>
      </w:r>
      <w:r w:rsidR="008E0891" w:rsidRPr="00C33092">
        <w:t>:</w:t>
      </w:r>
      <w:r w:rsidR="000E0CD8" w:rsidRPr="00C33092">
        <w:t xml:space="preserve"> third-</w:t>
      </w:r>
      <w:r w:rsidR="006F3EED" w:rsidRPr="00C33092">
        <w:t xml:space="preserve"> or later-</w:t>
      </w:r>
      <w:r w:rsidR="000E0CD8" w:rsidRPr="00C33092">
        <w:t xml:space="preserve">line </w:t>
      </w:r>
      <w:r w:rsidR="008E0891" w:rsidRPr="00C33092">
        <w:t xml:space="preserve">treatment in the metastatic setting; or second-line </w:t>
      </w:r>
      <w:r w:rsidR="008D6A53" w:rsidRPr="00C33092">
        <w:t>in the metastatic setting for the subset of patients who relapsed during or within 6 months of adjuvant HER2 directed treatment and then received T-</w:t>
      </w:r>
      <w:proofErr w:type="spellStart"/>
      <w:r w:rsidR="008D6A53" w:rsidRPr="00C33092">
        <w:t>DXd</w:t>
      </w:r>
      <w:proofErr w:type="spellEnd"/>
      <w:r w:rsidR="008D6A53" w:rsidRPr="00C33092">
        <w:t xml:space="preserve"> in the first-line metastatic setting.</w:t>
      </w:r>
    </w:p>
    <w:p w14:paraId="0074501A" w14:textId="52DF23C0" w:rsidR="00FA647E" w:rsidRPr="00FA647E" w:rsidRDefault="00FA647E" w:rsidP="00FA647E">
      <w:pPr>
        <w:pStyle w:val="3-BodyText"/>
        <w:numPr>
          <w:ilvl w:val="0"/>
          <w:numId w:val="0"/>
        </w:numPr>
        <w:ind w:left="720"/>
        <w:rPr>
          <w:i/>
          <w:iCs/>
        </w:rPr>
      </w:pPr>
      <w:r w:rsidRPr="00FA647E">
        <w:rPr>
          <w:i/>
          <w:iCs/>
        </w:rPr>
        <w:t>For more detail on PBAC’s view, see section 7 PBAC outcome.</w:t>
      </w:r>
    </w:p>
    <w:p w14:paraId="540CCA17" w14:textId="77777777" w:rsidR="00FA647E" w:rsidRPr="00FA647E" w:rsidRDefault="00FA647E" w:rsidP="00FA647E">
      <w:pPr>
        <w:pStyle w:val="3-BodyText"/>
        <w:numPr>
          <w:ilvl w:val="0"/>
          <w:numId w:val="0"/>
        </w:numPr>
        <w:ind w:left="720"/>
        <w:rPr>
          <w:i/>
          <w:iCs/>
        </w:rPr>
      </w:pPr>
    </w:p>
    <w:p w14:paraId="61B8C08F" w14:textId="77777777" w:rsidR="00F84089" w:rsidRPr="00C33092" w:rsidRDefault="00F84089" w:rsidP="00F84089">
      <w:pPr>
        <w:pStyle w:val="2-SectionHeading"/>
      </w:pPr>
      <w:bookmarkStart w:id="18" w:name="_Toc207882445"/>
      <w:bookmarkStart w:id="19" w:name="_Toc207882446"/>
      <w:bookmarkStart w:id="20" w:name="_Toc207882447"/>
      <w:bookmarkStart w:id="21" w:name="_Toc207882448"/>
      <w:bookmarkStart w:id="22" w:name="_Toc208931299"/>
      <w:bookmarkEnd w:id="18"/>
      <w:bookmarkEnd w:id="19"/>
      <w:bookmarkEnd w:id="20"/>
      <w:bookmarkEnd w:id="21"/>
      <w:r w:rsidRPr="00C33092">
        <w:lastRenderedPageBreak/>
        <w:t>Comparator</w:t>
      </w:r>
      <w:bookmarkEnd w:id="22"/>
    </w:p>
    <w:p w14:paraId="7560E1ED" w14:textId="5185CCCB" w:rsidR="00FD63E1" w:rsidRPr="00C33092" w:rsidRDefault="00F84089" w:rsidP="00342F6D">
      <w:pPr>
        <w:pStyle w:val="3-BodyText"/>
      </w:pPr>
      <w:r w:rsidRPr="00C33092">
        <w:t xml:space="preserve">Given the changes in the treatment landscape of HER2+ </w:t>
      </w:r>
      <w:proofErr w:type="spellStart"/>
      <w:r w:rsidRPr="00C33092">
        <w:t>mBC</w:t>
      </w:r>
      <w:proofErr w:type="spellEnd"/>
      <w:r w:rsidRPr="00C33092">
        <w:t xml:space="preserve"> </w:t>
      </w:r>
      <w:proofErr w:type="gramStart"/>
      <w:r w:rsidRPr="00C33092">
        <w:t>as a result of</w:t>
      </w:r>
      <w:proofErr w:type="gramEnd"/>
      <w:r w:rsidRPr="00C33092">
        <w:t xml:space="preserve"> PBS-listing of T-</w:t>
      </w:r>
      <w:proofErr w:type="spellStart"/>
      <w:r w:rsidRPr="00C33092">
        <w:t>DXd</w:t>
      </w:r>
      <w:proofErr w:type="spellEnd"/>
      <w:r w:rsidRPr="00C33092">
        <w:t>, two comparators were nominated by the resubmission</w:t>
      </w:r>
      <w:r w:rsidR="00ED5500">
        <w:t>:</w:t>
      </w:r>
      <w:r w:rsidRPr="00C33092">
        <w:t xml:space="preserve"> (i) trastuzumab plus capecitabine, and (ii) T-DM1 monotherapy. </w:t>
      </w:r>
      <w:r w:rsidR="00801F77" w:rsidRPr="00C33092">
        <w:t xml:space="preserve">The resubmission stated that tucatinib would replace: </w:t>
      </w:r>
      <w:r w:rsidR="00342F6D">
        <w:t>‘</w:t>
      </w:r>
      <w:r w:rsidR="00801F77" w:rsidRPr="00C33092">
        <w:t>current use</w:t>
      </w:r>
      <w:r w:rsidR="00342F6D">
        <w:t>’</w:t>
      </w:r>
      <w:r w:rsidR="00801F77" w:rsidRPr="00C33092">
        <w:t xml:space="preserve"> of trastuzumab plus capecitabine (</w:t>
      </w:r>
      <w:r w:rsidR="006D3FDE" w:rsidRPr="00C33092">
        <w:t>likely referring to</w:t>
      </w:r>
      <w:r w:rsidR="00801F77" w:rsidRPr="00C33092">
        <w:t xml:space="preserve"> </w:t>
      </w:r>
      <w:r w:rsidR="001E16C8" w:rsidRPr="00C33092">
        <w:t xml:space="preserve">use </w:t>
      </w:r>
      <w:r w:rsidR="009A1753" w:rsidRPr="00C33092">
        <w:t xml:space="preserve">of tucatinib </w:t>
      </w:r>
      <w:r w:rsidR="001E16C8" w:rsidRPr="00C33092">
        <w:t xml:space="preserve">in </w:t>
      </w:r>
      <w:r w:rsidR="00801F77" w:rsidRPr="00C33092">
        <w:t>patients who received T-</w:t>
      </w:r>
      <w:proofErr w:type="spellStart"/>
      <w:r w:rsidR="00801F77" w:rsidRPr="00C33092">
        <w:t>DXd</w:t>
      </w:r>
      <w:proofErr w:type="spellEnd"/>
      <w:r w:rsidR="00801F77" w:rsidRPr="00C33092">
        <w:t xml:space="preserve"> in the 3+ line setting); and </w:t>
      </w:r>
      <w:r w:rsidR="00342F6D">
        <w:t>‘</w:t>
      </w:r>
      <w:r w:rsidR="00801F77" w:rsidRPr="00C33092">
        <w:t>the majority of future use of T-DM1 in this setting</w:t>
      </w:r>
      <w:r w:rsidR="00342F6D">
        <w:t>’</w:t>
      </w:r>
      <w:r w:rsidR="00801F77" w:rsidRPr="00C33092">
        <w:t xml:space="preserve"> (</w:t>
      </w:r>
      <w:r w:rsidR="006D3FDE" w:rsidRPr="00C33092">
        <w:t>likely referring to</w:t>
      </w:r>
      <w:r w:rsidR="00801F77" w:rsidRPr="00C33092">
        <w:t xml:space="preserve"> </w:t>
      </w:r>
      <w:r w:rsidR="006D3FDE" w:rsidRPr="00C33092">
        <w:t xml:space="preserve">those </w:t>
      </w:r>
      <w:r w:rsidR="00801F77" w:rsidRPr="00C33092">
        <w:t>patients who receive T-</w:t>
      </w:r>
      <w:proofErr w:type="spellStart"/>
      <w:r w:rsidR="00801F77" w:rsidRPr="00C33092">
        <w:t>DXd</w:t>
      </w:r>
      <w:proofErr w:type="spellEnd"/>
      <w:r w:rsidR="00801F77" w:rsidRPr="00C33092">
        <w:t xml:space="preserve"> in 2L or earlier settings). </w:t>
      </w:r>
    </w:p>
    <w:p w14:paraId="07C00D09" w14:textId="385A845E" w:rsidR="00F84089" w:rsidRPr="00C33092" w:rsidRDefault="00F84089" w:rsidP="00F84089">
      <w:pPr>
        <w:pStyle w:val="3-BodyText"/>
      </w:pPr>
      <w:r w:rsidRPr="00C33092">
        <w:t>The previous submission included only trastuzumab plus capecitabine as a comparator. The PBAC previously considered that the nominated comparator of trastuzumab plus capecitabine was appropriate (paragraph 7.4, tucatinib PSD,</w:t>
      </w:r>
      <w:r w:rsidR="00A03C8E">
        <w:t xml:space="preserve"> </w:t>
      </w:r>
      <w:r w:rsidRPr="00C33092">
        <w:t>March</w:t>
      </w:r>
      <w:r w:rsidR="00A03C8E">
        <w:t> </w:t>
      </w:r>
      <w:r w:rsidRPr="00C33092">
        <w:t>2021 PBAC meeting).</w:t>
      </w:r>
      <w:r w:rsidR="008428AF" w:rsidRPr="00C33092">
        <w:t xml:space="preserve"> </w:t>
      </w:r>
    </w:p>
    <w:p w14:paraId="6DC0D900" w14:textId="61AC4264" w:rsidR="00F84089" w:rsidRPr="00C33092" w:rsidRDefault="00F84089" w:rsidP="00F84089">
      <w:pPr>
        <w:pStyle w:val="3-BodyText"/>
      </w:pPr>
      <w:r w:rsidRPr="00C33092">
        <w:t xml:space="preserve">The resubmission stated that discussions with Australian clinicians in the treatment of HER2+ </w:t>
      </w:r>
      <w:proofErr w:type="spellStart"/>
      <w:r w:rsidRPr="00C33092">
        <w:t>mBC</w:t>
      </w:r>
      <w:proofErr w:type="spellEnd"/>
      <w:r w:rsidRPr="00C33092">
        <w:t xml:space="preserve"> in June 2024 suggest</w:t>
      </w:r>
      <w:r w:rsidR="007C3C20">
        <w:t>ed</w:t>
      </w:r>
      <w:r w:rsidRPr="00C33092">
        <w:t xml:space="preserve"> that for patients who received T-</w:t>
      </w:r>
      <w:proofErr w:type="spellStart"/>
      <w:r w:rsidRPr="00C33092">
        <w:t>DXd</w:t>
      </w:r>
      <w:proofErr w:type="spellEnd"/>
      <w:r w:rsidRPr="00C33092">
        <w:t xml:space="preserve"> in the second line setting and whose disease will eventually progress, treatment options in </w:t>
      </w:r>
      <w:r w:rsidR="00E4579F">
        <w:t>third line</w:t>
      </w:r>
      <w:r w:rsidRPr="00C33092">
        <w:t xml:space="preserve"> can include either T-DM1 (that has been displaced from second to third line treatment as a result of the PBS listing of T-</w:t>
      </w:r>
      <w:proofErr w:type="spellStart"/>
      <w:r w:rsidRPr="00C33092">
        <w:t>DXd</w:t>
      </w:r>
      <w:proofErr w:type="spellEnd"/>
      <w:r w:rsidRPr="00C33092">
        <w:t>) or trastuzumab plus capecitabine. The clinicians suggested that alternative options also include enrolment in a clinical trial.</w:t>
      </w:r>
    </w:p>
    <w:p w14:paraId="7D96A45C" w14:textId="21CEA470" w:rsidR="00146B5B" w:rsidRPr="00FD1145" w:rsidRDefault="000F4974" w:rsidP="006B33DE">
      <w:pPr>
        <w:pStyle w:val="3-BodyText"/>
      </w:pPr>
      <w:bookmarkStart w:id="23" w:name="_Ref206163319"/>
      <w:r w:rsidRPr="00FD1145">
        <w:t>The resubmission proposed a 50:50 proportion split of the comparators</w:t>
      </w:r>
      <w:r w:rsidR="002D08AE" w:rsidRPr="00FD1145">
        <w:t xml:space="preserve"> (i)</w:t>
      </w:r>
      <w:r w:rsidRPr="00FD1145">
        <w:t xml:space="preserve"> trastuzumab plus capecitabine and </w:t>
      </w:r>
      <w:r w:rsidR="002D08AE" w:rsidRPr="00FD1145">
        <w:t xml:space="preserve">(ii) </w:t>
      </w:r>
      <w:r w:rsidRPr="00FD1145">
        <w:t>T-DM1</w:t>
      </w:r>
      <w:r w:rsidR="0040134A" w:rsidRPr="00FD1145">
        <w:t xml:space="preserve"> based on </w:t>
      </w:r>
      <w:r w:rsidR="00146B5B" w:rsidRPr="00FD1145">
        <w:t>data from</w:t>
      </w:r>
      <w:r w:rsidR="00942803" w:rsidRPr="00FD1145">
        <w:t xml:space="preserve"> </w:t>
      </w:r>
      <w:r w:rsidR="00C7213D" w:rsidRPr="00FD1145">
        <w:t xml:space="preserve">the following </w:t>
      </w:r>
      <w:r w:rsidR="00942803" w:rsidRPr="00FD1145">
        <w:t>(</w:t>
      </w:r>
      <w:r w:rsidR="00266363" w:rsidRPr="00FD1145">
        <w:t>as outlined in</w:t>
      </w:r>
      <w:r w:rsidR="00C7213D" w:rsidRPr="00FD1145">
        <w:t xml:space="preserve"> </w:t>
      </w:r>
      <w:r w:rsidR="00942803" w:rsidRPr="00FD1145">
        <w:fldChar w:fldCharType="begin"/>
      </w:r>
      <w:r w:rsidR="00942803" w:rsidRPr="00FD1145">
        <w:instrText xml:space="preserve"> REF _Ref206171826 \h </w:instrText>
      </w:r>
      <w:r w:rsidR="00C33092" w:rsidRPr="00FD1145">
        <w:instrText xml:space="preserve"> \* MERGEFORMAT </w:instrText>
      </w:r>
      <w:r w:rsidR="00942803" w:rsidRPr="00FD1145">
        <w:fldChar w:fldCharType="separate"/>
      </w:r>
      <w:r w:rsidR="009B3037" w:rsidRPr="00FD1145">
        <w:t xml:space="preserve">Table </w:t>
      </w:r>
      <w:r w:rsidR="009B3037">
        <w:rPr>
          <w:noProof/>
        </w:rPr>
        <w:t>4</w:t>
      </w:r>
      <w:r w:rsidR="00942803" w:rsidRPr="00FD1145">
        <w:fldChar w:fldCharType="end"/>
      </w:r>
      <w:r w:rsidR="00942803" w:rsidRPr="00FD1145">
        <w:t>)</w:t>
      </w:r>
      <w:r w:rsidR="00146B5B" w:rsidRPr="00FD1145">
        <w:t>:</w:t>
      </w:r>
    </w:p>
    <w:p w14:paraId="267C6465" w14:textId="6251EC1A" w:rsidR="00146B5B" w:rsidRPr="00FD1145" w:rsidRDefault="00146B5B" w:rsidP="00D136AE">
      <w:pPr>
        <w:pStyle w:val="ListParagraph"/>
        <w:ind w:left="1134"/>
      </w:pPr>
      <w:r w:rsidRPr="00FD1145">
        <w:t xml:space="preserve">a </w:t>
      </w:r>
      <w:r w:rsidR="002A2E03" w:rsidRPr="00FD1145">
        <w:t>s</w:t>
      </w:r>
      <w:r w:rsidRPr="00FD1145">
        <w:t xml:space="preserve">ponsor-conducted online clinician survey </w:t>
      </w:r>
      <w:r w:rsidR="00BF22AB" w:rsidRPr="00FD1145">
        <w:t xml:space="preserve">of </w:t>
      </w:r>
      <w:r w:rsidR="009F5C24" w:rsidRPr="00FD1145">
        <w:t xml:space="preserve">30 medical oncologists </w:t>
      </w:r>
      <w:r w:rsidR="000E3070" w:rsidRPr="00FD1145">
        <w:t xml:space="preserve">in </w:t>
      </w:r>
      <w:r w:rsidR="009F5C24" w:rsidRPr="00FD1145">
        <w:t>Australia</w:t>
      </w:r>
      <w:r w:rsidR="00980A98" w:rsidRPr="00FD1145">
        <w:t xml:space="preserve"> (N</w:t>
      </w:r>
      <w:r w:rsidR="00581B1A" w:rsidRPr="00FD1145">
        <w:t xml:space="preserve">ew </w:t>
      </w:r>
      <w:r w:rsidR="00980A98" w:rsidRPr="00FD1145">
        <w:t>S</w:t>
      </w:r>
      <w:r w:rsidR="00581B1A" w:rsidRPr="00FD1145">
        <w:t xml:space="preserve">outh </w:t>
      </w:r>
      <w:r w:rsidR="00980A98" w:rsidRPr="00FD1145">
        <w:t>W</w:t>
      </w:r>
      <w:r w:rsidR="00581B1A" w:rsidRPr="00FD1145">
        <w:t>ales</w:t>
      </w:r>
      <w:r w:rsidR="00980A98" w:rsidRPr="00FD1145">
        <w:t>, V</w:t>
      </w:r>
      <w:r w:rsidR="00581B1A" w:rsidRPr="00FD1145">
        <w:t>ictoria</w:t>
      </w:r>
      <w:r w:rsidR="00980A98" w:rsidRPr="00FD1145">
        <w:t>, Q</w:t>
      </w:r>
      <w:r w:rsidR="00581B1A" w:rsidRPr="00FD1145">
        <w:t>ueensland</w:t>
      </w:r>
      <w:r w:rsidR="00980A98" w:rsidRPr="00FD1145">
        <w:t xml:space="preserve"> </w:t>
      </w:r>
      <w:r w:rsidR="00581B1A" w:rsidRPr="00FD1145">
        <w:t>and</w:t>
      </w:r>
      <w:r w:rsidR="00980A98" w:rsidRPr="00FD1145">
        <w:t xml:space="preserve"> W</w:t>
      </w:r>
      <w:r w:rsidR="00581B1A" w:rsidRPr="00FD1145">
        <w:t xml:space="preserve">estern </w:t>
      </w:r>
      <w:r w:rsidR="00980A98" w:rsidRPr="00FD1145">
        <w:t>A</w:t>
      </w:r>
      <w:r w:rsidR="00581B1A" w:rsidRPr="00FD1145">
        <w:t>ustralia</w:t>
      </w:r>
      <w:r w:rsidR="00980A98" w:rsidRPr="00FD1145">
        <w:t>)</w:t>
      </w:r>
      <w:r w:rsidR="005A01B0" w:rsidRPr="00FD1145">
        <w:t xml:space="preserve"> who had at least 3 patients in their care who were receiving T-</w:t>
      </w:r>
      <w:proofErr w:type="spellStart"/>
      <w:r w:rsidR="005A01B0" w:rsidRPr="00FD1145">
        <w:t>DXd</w:t>
      </w:r>
      <w:proofErr w:type="spellEnd"/>
      <w:r w:rsidR="005A01B0" w:rsidRPr="00FD1145">
        <w:t xml:space="preserve"> for </w:t>
      </w:r>
      <w:proofErr w:type="spellStart"/>
      <w:r w:rsidR="005A01B0" w:rsidRPr="00FD1145">
        <w:t>mBC</w:t>
      </w:r>
      <w:proofErr w:type="spellEnd"/>
      <w:r w:rsidR="005A01B0" w:rsidRPr="00FD1145">
        <w:t xml:space="preserve"> (mean of 5.8 patients receiving T-</w:t>
      </w:r>
      <w:proofErr w:type="spellStart"/>
      <w:r w:rsidR="005A01B0" w:rsidRPr="00FD1145">
        <w:t>DXd</w:t>
      </w:r>
      <w:proofErr w:type="spellEnd"/>
      <w:r w:rsidR="00A452B3" w:rsidRPr="00FD1145">
        <w:t xml:space="preserve"> per clinician</w:t>
      </w:r>
      <w:r w:rsidR="005A01B0" w:rsidRPr="00FD1145">
        <w:t>)</w:t>
      </w:r>
      <w:r w:rsidR="008D107A" w:rsidRPr="00FD1145">
        <w:t xml:space="preserve">, conducted in </w:t>
      </w:r>
      <w:r w:rsidR="005A01B0" w:rsidRPr="00FD1145">
        <w:t xml:space="preserve">November and </w:t>
      </w:r>
      <w:r w:rsidR="008D107A" w:rsidRPr="00FD1145">
        <w:t>December 2024</w:t>
      </w:r>
      <w:r w:rsidR="00FE4E44" w:rsidRPr="00FD1145">
        <w:t xml:space="preserve">. </w:t>
      </w:r>
      <w:r w:rsidR="00BA4CFA" w:rsidRPr="00FD1145">
        <w:t>Only limited additional detail</w:t>
      </w:r>
      <w:r w:rsidR="0063578C">
        <w:t>s</w:t>
      </w:r>
      <w:r w:rsidR="00BA4CFA" w:rsidRPr="00FD1145">
        <w:t xml:space="preserve"> regarding the representativeness of the survey respondents w</w:t>
      </w:r>
      <w:r w:rsidR="0063578C">
        <w:t>ere</w:t>
      </w:r>
      <w:r w:rsidR="00BA4CFA" w:rsidRPr="00FD1145">
        <w:t xml:space="preserve"> included (see paragraph 5.7)</w:t>
      </w:r>
      <w:r w:rsidR="00297169" w:rsidRPr="00FD1145">
        <w:t>.</w:t>
      </w:r>
    </w:p>
    <w:p w14:paraId="374B0F99" w14:textId="41EF431D" w:rsidR="002D3DB5" w:rsidRPr="00FD1145" w:rsidRDefault="006B33DE" w:rsidP="00D136AE">
      <w:pPr>
        <w:pStyle w:val="ListParagraph"/>
        <w:ind w:left="1134"/>
      </w:pPr>
      <w:r w:rsidRPr="00FD1145">
        <w:t xml:space="preserve">analyses of </w:t>
      </w:r>
      <w:r w:rsidR="00266363" w:rsidRPr="00FD1145">
        <w:t xml:space="preserve">PBS data </w:t>
      </w:r>
      <w:r w:rsidR="00EB6F2F" w:rsidRPr="00FD1145">
        <w:t xml:space="preserve">for the </w:t>
      </w:r>
      <w:r w:rsidRPr="00FD1145">
        <w:t xml:space="preserve">subsequent </w:t>
      </w:r>
      <w:r w:rsidR="00F27859" w:rsidRPr="00FD1145">
        <w:t xml:space="preserve">anti-neoplastic </w:t>
      </w:r>
      <w:r w:rsidRPr="00FD1145">
        <w:t xml:space="preserve">therapies </w:t>
      </w:r>
      <w:r w:rsidR="00EB6F2F" w:rsidRPr="00FD1145">
        <w:t xml:space="preserve">that patients </w:t>
      </w:r>
      <w:r w:rsidRPr="00FD1145">
        <w:t>received following T-</w:t>
      </w:r>
      <w:proofErr w:type="spellStart"/>
      <w:r w:rsidRPr="00FD1145">
        <w:t>DXd</w:t>
      </w:r>
      <w:proofErr w:type="spellEnd"/>
      <w:r w:rsidRPr="00FD1145">
        <w:t xml:space="preserve"> between November 2023 (when T-</w:t>
      </w:r>
      <w:proofErr w:type="spellStart"/>
      <w:r w:rsidRPr="00FD1145">
        <w:t>DXd</w:t>
      </w:r>
      <w:proofErr w:type="spellEnd"/>
      <w:r w:rsidRPr="00FD1145">
        <w:t xml:space="preserve"> was first listed on the PBS) and April 2025 using</w:t>
      </w:r>
      <w:r w:rsidR="00CF4FB4" w:rsidRPr="00FD1145">
        <w:t>:</w:t>
      </w:r>
      <w:r w:rsidRPr="00FD1145">
        <w:t xml:space="preserve"> PBS 10% sample data (n=73)</w:t>
      </w:r>
      <w:r w:rsidR="00CF4FB4" w:rsidRPr="00FD1145">
        <w:t>;</w:t>
      </w:r>
      <w:r w:rsidRPr="00FD1145">
        <w:t xml:space="preserve"> and PBS 100% data from DUSC (n=723).</w:t>
      </w:r>
      <w:r w:rsidR="006A2DDF" w:rsidRPr="00FD1145">
        <w:t xml:space="preserve"> </w:t>
      </w:r>
      <w:r w:rsidR="00637036" w:rsidRPr="00FD1145">
        <w:t>The PBS 10% sample was a subset of the 100% data</w:t>
      </w:r>
      <w:r w:rsidR="000C03B6" w:rsidRPr="00FD1145">
        <w:t xml:space="preserve"> from DUSC</w:t>
      </w:r>
      <w:r w:rsidR="00637036" w:rsidRPr="00FD1145">
        <w:t>.</w:t>
      </w:r>
    </w:p>
    <w:p w14:paraId="38BE601E" w14:textId="081C77CB" w:rsidR="006F5E27" w:rsidRPr="00FD1145" w:rsidRDefault="006F5E27" w:rsidP="006F5E27">
      <w:pPr>
        <w:pStyle w:val="Caption"/>
      </w:pPr>
      <w:bookmarkStart w:id="24" w:name="_Ref206171826"/>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4</w:t>
      </w:r>
      <w:r w:rsidR="007000FA">
        <w:rPr>
          <w:noProof/>
        </w:rPr>
        <w:fldChar w:fldCharType="end"/>
      </w:r>
      <w:bookmarkEnd w:id="24"/>
      <w:r w:rsidRPr="00FD1145">
        <w:t xml:space="preserve">: </w:t>
      </w:r>
      <w:r w:rsidR="00221F38" w:rsidRPr="00FD1145">
        <w:t xml:space="preserve">Proportion split between trastuzumab-containing therapies and T-DM1 </w:t>
      </w:r>
    </w:p>
    <w:tbl>
      <w:tblPr>
        <w:tblStyle w:val="TableGrid"/>
        <w:tblW w:w="0" w:type="auto"/>
        <w:tblLook w:val="04A0" w:firstRow="1" w:lastRow="0" w:firstColumn="1" w:lastColumn="0" w:noHBand="0" w:noVBand="1"/>
        <w:tblCaption w:val="Proportion split between trastuzumab-containing therapies and T-DM1 "/>
      </w:tblPr>
      <w:tblGrid>
        <w:gridCol w:w="2122"/>
        <w:gridCol w:w="2579"/>
        <w:gridCol w:w="2008"/>
        <w:gridCol w:w="2307"/>
      </w:tblGrid>
      <w:tr w:rsidR="003808A2" w:rsidRPr="00FD1145" w14:paraId="4561590E" w14:textId="77777777" w:rsidTr="0004570D">
        <w:tc>
          <w:tcPr>
            <w:tcW w:w="2122" w:type="dxa"/>
            <w:vAlign w:val="center"/>
          </w:tcPr>
          <w:p w14:paraId="2FB52B98" w14:textId="77777777" w:rsidR="003808A2" w:rsidRPr="00FD1145" w:rsidRDefault="003808A2" w:rsidP="00CA6BDE">
            <w:pPr>
              <w:pStyle w:val="In-tableHeading"/>
            </w:pPr>
            <w:r w:rsidRPr="00FD1145">
              <w:t>Source</w:t>
            </w:r>
          </w:p>
        </w:tc>
        <w:tc>
          <w:tcPr>
            <w:tcW w:w="2579" w:type="dxa"/>
            <w:tcBorders>
              <w:bottom w:val="single" w:sz="4" w:space="0" w:color="auto"/>
            </w:tcBorders>
            <w:vAlign w:val="center"/>
          </w:tcPr>
          <w:p w14:paraId="5456399D" w14:textId="77777777" w:rsidR="003808A2" w:rsidRPr="00FD1145" w:rsidRDefault="003808A2" w:rsidP="00932BB4">
            <w:pPr>
              <w:pStyle w:val="In-tableHeading"/>
              <w:jc w:val="center"/>
            </w:pPr>
            <w:r w:rsidRPr="00FD1145">
              <w:t>Treatment</w:t>
            </w:r>
          </w:p>
        </w:tc>
        <w:tc>
          <w:tcPr>
            <w:tcW w:w="2008" w:type="dxa"/>
            <w:tcBorders>
              <w:bottom w:val="single" w:sz="4" w:space="0" w:color="auto"/>
            </w:tcBorders>
            <w:vAlign w:val="center"/>
          </w:tcPr>
          <w:p w14:paraId="74ACE224" w14:textId="520BBFC8" w:rsidR="003808A2" w:rsidRPr="00FD1145" w:rsidRDefault="003808A2" w:rsidP="00932BB4">
            <w:pPr>
              <w:pStyle w:val="In-tableHeading"/>
              <w:jc w:val="center"/>
            </w:pPr>
            <w:r w:rsidRPr="00FD1145">
              <w:t>Proportion split (%) including all therapies</w:t>
            </w:r>
          </w:p>
        </w:tc>
        <w:tc>
          <w:tcPr>
            <w:tcW w:w="2307" w:type="dxa"/>
            <w:tcBorders>
              <w:bottom w:val="single" w:sz="4" w:space="0" w:color="auto"/>
            </w:tcBorders>
            <w:vAlign w:val="center"/>
          </w:tcPr>
          <w:p w14:paraId="0AED1C3F" w14:textId="6181344D" w:rsidR="003808A2" w:rsidRPr="00FD1145" w:rsidRDefault="003808A2" w:rsidP="00932BB4">
            <w:pPr>
              <w:pStyle w:val="In-tableHeading"/>
              <w:jc w:val="center"/>
              <w:rPr>
                <w:vertAlign w:val="superscript"/>
              </w:rPr>
            </w:pPr>
            <w:r w:rsidRPr="00FD1145">
              <w:t>Proportion split (%) only including T-DM1 and trastuzumab</w:t>
            </w:r>
            <w:r w:rsidR="00DE5E47" w:rsidRPr="00FD1145">
              <w:t>-based regimens</w:t>
            </w:r>
            <w:r w:rsidR="00EA4148" w:rsidRPr="00FD1145">
              <w:t xml:space="preserve"> </w:t>
            </w:r>
            <w:r w:rsidR="00553F6E" w:rsidRPr="00FD1145">
              <w:rPr>
                <w:vertAlign w:val="superscript"/>
              </w:rPr>
              <w:t>a</w:t>
            </w:r>
          </w:p>
        </w:tc>
      </w:tr>
      <w:tr w:rsidR="003808A2" w:rsidRPr="00FD1145" w14:paraId="7D628F71" w14:textId="77777777" w:rsidTr="0004570D">
        <w:tc>
          <w:tcPr>
            <w:tcW w:w="2122" w:type="dxa"/>
            <w:vMerge w:val="restart"/>
            <w:vAlign w:val="center"/>
          </w:tcPr>
          <w:p w14:paraId="04B1713D" w14:textId="084436AB" w:rsidR="003808A2" w:rsidRPr="00FD1145" w:rsidRDefault="003808A2">
            <w:pPr>
              <w:pStyle w:val="TableText0"/>
              <w:rPr>
                <w:vertAlign w:val="superscript"/>
              </w:rPr>
            </w:pPr>
            <w:r w:rsidRPr="00FD1145">
              <w:t xml:space="preserve">DUSC analysis (PBS 100%) </w:t>
            </w:r>
            <w:r w:rsidRPr="00FD1145">
              <w:rPr>
                <w:vertAlign w:val="superscript"/>
              </w:rPr>
              <w:t>b</w:t>
            </w:r>
          </w:p>
        </w:tc>
        <w:tc>
          <w:tcPr>
            <w:tcW w:w="2579" w:type="dxa"/>
            <w:tcBorders>
              <w:bottom w:val="dotted" w:sz="4" w:space="0" w:color="auto"/>
            </w:tcBorders>
            <w:vAlign w:val="center"/>
          </w:tcPr>
          <w:p w14:paraId="2651DCB2" w14:textId="0B5C35F8" w:rsidR="003808A2" w:rsidRPr="00FD1145" w:rsidRDefault="003808A2">
            <w:pPr>
              <w:pStyle w:val="TableText0"/>
            </w:pPr>
            <w:r w:rsidRPr="00FD1145">
              <w:t>Trastuzumab</w:t>
            </w:r>
            <w:r w:rsidR="00B14BC0" w:rsidRPr="00FD1145">
              <w:t>-based regimens</w:t>
            </w:r>
          </w:p>
        </w:tc>
        <w:tc>
          <w:tcPr>
            <w:tcW w:w="2008" w:type="dxa"/>
            <w:tcBorders>
              <w:bottom w:val="dotted" w:sz="4" w:space="0" w:color="auto"/>
            </w:tcBorders>
            <w:vAlign w:val="center"/>
          </w:tcPr>
          <w:p w14:paraId="097D083B" w14:textId="2E5DDE19" w:rsidR="003808A2" w:rsidRPr="00FD1145" w:rsidRDefault="003808A2" w:rsidP="003808A2">
            <w:pPr>
              <w:pStyle w:val="TableText0"/>
              <w:jc w:val="center"/>
            </w:pPr>
            <w:r w:rsidRPr="00FD1145">
              <w:t>41.4%</w:t>
            </w:r>
          </w:p>
        </w:tc>
        <w:tc>
          <w:tcPr>
            <w:tcW w:w="2307" w:type="dxa"/>
            <w:tcBorders>
              <w:bottom w:val="dotted" w:sz="4" w:space="0" w:color="auto"/>
            </w:tcBorders>
            <w:vAlign w:val="center"/>
          </w:tcPr>
          <w:p w14:paraId="2D8C6099" w14:textId="0D6226F4" w:rsidR="003808A2" w:rsidRPr="00FD1145" w:rsidRDefault="003808A2" w:rsidP="003808A2">
            <w:pPr>
              <w:pStyle w:val="TableText0"/>
              <w:jc w:val="center"/>
            </w:pPr>
            <w:r w:rsidRPr="00FD1145">
              <w:t>66%</w:t>
            </w:r>
          </w:p>
        </w:tc>
      </w:tr>
      <w:tr w:rsidR="003808A2" w:rsidRPr="00FD1145" w14:paraId="063B0F94" w14:textId="77777777" w:rsidTr="0004570D">
        <w:tc>
          <w:tcPr>
            <w:tcW w:w="2122" w:type="dxa"/>
            <w:vMerge/>
            <w:vAlign w:val="center"/>
          </w:tcPr>
          <w:p w14:paraId="4925D54A" w14:textId="77777777" w:rsidR="003808A2" w:rsidRPr="00FD1145" w:rsidRDefault="003808A2">
            <w:pPr>
              <w:pStyle w:val="TableText0"/>
            </w:pPr>
          </w:p>
        </w:tc>
        <w:tc>
          <w:tcPr>
            <w:tcW w:w="2579" w:type="dxa"/>
            <w:tcBorders>
              <w:top w:val="dotted" w:sz="4" w:space="0" w:color="auto"/>
              <w:bottom w:val="single" w:sz="4" w:space="0" w:color="auto"/>
            </w:tcBorders>
            <w:vAlign w:val="center"/>
          </w:tcPr>
          <w:p w14:paraId="4B745FCF" w14:textId="77777777" w:rsidR="003808A2" w:rsidRPr="00FD1145" w:rsidRDefault="003808A2">
            <w:pPr>
              <w:pStyle w:val="TableText0"/>
            </w:pPr>
            <w:r w:rsidRPr="00FD1145">
              <w:t>T-DM1</w:t>
            </w:r>
          </w:p>
        </w:tc>
        <w:tc>
          <w:tcPr>
            <w:tcW w:w="2008" w:type="dxa"/>
            <w:tcBorders>
              <w:top w:val="dotted" w:sz="4" w:space="0" w:color="auto"/>
              <w:bottom w:val="single" w:sz="4" w:space="0" w:color="auto"/>
            </w:tcBorders>
            <w:vAlign w:val="center"/>
          </w:tcPr>
          <w:p w14:paraId="5D7B52DC" w14:textId="79A7C81A" w:rsidR="003808A2" w:rsidRPr="00FD1145" w:rsidRDefault="003808A2" w:rsidP="003808A2">
            <w:pPr>
              <w:pStyle w:val="TableText0"/>
              <w:jc w:val="center"/>
            </w:pPr>
            <w:r w:rsidRPr="00FD1145">
              <w:t>20.8%</w:t>
            </w:r>
          </w:p>
        </w:tc>
        <w:tc>
          <w:tcPr>
            <w:tcW w:w="2307" w:type="dxa"/>
            <w:tcBorders>
              <w:top w:val="dotted" w:sz="4" w:space="0" w:color="auto"/>
              <w:bottom w:val="single" w:sz="4" w:space="0" w:color="auto"/>
            </w:tcBorders>
            <w:vAlign w:val="center"/>
          </w:tcPr>
          <w:p w14:paraId="4A8C5F91" w14:textId="1CB16BA5" w:rsidR="003808A2" w:rsidRPr="00FD1145" w:rsidRDefault="003808A2" w:rsidP="003808A2">
            <w:pPr>
              <w:pStyle w:val="TableText0"/>
              <w:jc w:val="center"/>
            </w:pPr>
            <w:r w:rsidRPr="00FD1145">
              <w:t>34%</w:t>
            </w:r>
          </w:p>
        </w:tc>
      </w:tr>
      <w:tr w:rsidR="003808A2" w:rsidRPr="00FD1145" w14:paraId="00F33652" w14:textId="77777777" w:rsidTr="0004570D">
        <w:tc>
          <w:tcPr>
            <w:tcW w:w="2122" w:type="dxa"/>
            <w:vMerge/>
            <w:vAlign w:val="center"/>
          </w:tcPr>
          <w:p w14:paraId="5FA7CD1B" w14:textId="77777777" w:rsidR="003808A2" w:rsidRPr="00FD1145" w:rsidRDefault="003808A2">
            <w:pPr>
              <w:pStyle w:val="TableText0"/>
            </w:pPr>
          </w:p>
        </w:tc>
        <w:tc>
          <w:tcPr>
            <w:tcW w:w="2579" w:type="dxa"/>
            <w:tcBorders>
              <w:top w:val="dotted" w:sz="4" w:space="0" w:color="auto"/>
              <w:bottom w:val="single" w:sz="4" w:space="0" w:color="auto"/>
            </w:tcBorders>
            <w:vAlign w:val="center"/>
          </w:tcPr>
          <w:p w14:paraId="437470EE" w14:textId="7808FFF5" w:rsidR="003808A2" w:rsidRPr="00FD1145" w:rsidRDefault="003808A2">
            <w:pPr>
              <w:pStyle w:val="TableText0"/>
            </w:pPr>
            <w:r w:rsidRPr="00FD1145">
              <w:t>‘Other’ (i.e. lapatinib or chemotherapies)</w:t>
            </w:r>
          </w:p>
        </w:tc>
        <w:tc>
          <w:tcPr>
            <w:tcW w:w="2008" w:type="dxa"/>
            <w:tcBorders>
              <w:top w:val="dotted" w:sz="4" w:space="0" w:color="auto"/>
              <w:bottom w:val="single" w:sz="4" w:space="0" w:color="auto"/>
            </w:tcBorders>
            <w:vAlign w:val="center"/>
          </w:tcPr>
          <w:p w14:paraId="651D386B" w14:textId="5414EB12" w:rsidR="003808A2" w:rsidRPr="00FD1145" w:rsidRDefault="003808A2" w:rsidP="003808A2">
            <w:pPr>
              <w:pStyle w:val="TableText0"/>
              <w:jc w:val="center"/>
            </w:pPr>
            <w:r w:rsidRPr="00FD1145">
              <w:t>38.1%</w:t>
            </w:r>
          </w:p>
        </w:tc>
        <w:tc>
          <w:tcPr>
            <w:tcW w:w="2307" w:type="dxa"/>
            <w:tcBorders>
              <w:top w:val="dotted" w:sz="4" w:space="0" w:color="auto"/>
              <w:bottom w:val="single" w:sz="4" w:space="0" w:color="auto"/>
            </w:tcBorders>
            <w:vAlign w:val="center"/>
          </w:tcPr>
          <w:p w14:paraId="2D0A5888" w14:textId="3D629380" w:rsidR="003808A2" w:rsidRPr="00FD1145" w:rsidRDefault="005A01B0" w:rsidP="003808A2">
            <w:pPr>
              <w:pStyle w:val="TableText0"/>
              <w:jc w:val="center"/>
            </w:pPr>
            <w:r w:rsidRPr="00FD1145">
              <w:t>N/A</w:t>
            </w:r>
          </w:p>
        </w:tc>
      </w:tr>
      <w:tr w:rsidR="0092749D" w:rsidRPr="00FD1145" w14:paraId="50EF7059" w14:textId="77777777" w:rsidTr="0004570D">
        <w:tc>
          <w:tcPr>
            <w:tcW w:w="2122" w:type="dxa"/>
            <w:vMerge w:val="restart"/>
            <w:vAlign w:val="center"/>
          </w:tcPr>
          <w:p w14:paraId="22D14256" w14:textId="2123374A" w:rsidR="0092749D" w:rsidRPr="00FD1145" w:rsidRDefault="0092749D">
            <w:pPr>
              <w:pStyle w:val="TableText0"/>
              <w:rPr>
                <w:vertAlign w:val="superscript"/>
              </w:rPr>
            </w:pPr>
            <w:r w:rsidRPr="00FD1145">
              <w:t xml:space="preserve">Clinician survey </w:t>
            </w:r>
            <w:r w:rsidRPr="00FD1145">
              <w:rPr>
                <w:vertAlign w:val="superscript"/>
              </w:rPr>
              <w:t>c</w:t>
            </w:r>
          </w:p>
        </w:tc>
        <w:tc>
          <w:tcPr>
            <w:tcW w:w="2579" w:type="dxa"/>
            <w:tcBorders>
              <w:bottom w:val="dotted" w:sz="4" w:space="0" w:color="auto"/>
            </w:tcBorders>
            <w:vAlign w:val="center"/>
          </w:tcPr>
          <w:p w14:paraId="50EA9F1A" w14:textId="77777777" w:rsidR="0092749D" w:rsidRPr="00FD1145" w:rsidRDefault="0092749D">
            <w:pPr>
              <w:pStyle w:val="TableText0"/>
            </w:pPr>
            <w:r w:rsidRPr="00FD1145">
              <w:t>Trastuzumab + capecitabine</w:t>
            </w:r>
          </w:p>
        </w:tc>
        <w:tc>
          <w:tcPr>
            <w:tcW w:w="2008" w:type="dxa"/>
            <w:tcBorders>
              <w:bottom w:val="dotted" w:sz="4" w:space="0" w:color="auto"/>
            </w:tcBorders>
            <w:vAlign w:val="center"/>
          </w:tcPr>
          <w:p w14:paraId="698B1E7B" w14:textId="1044B3A8" w:rsidR="0092749D" w:rsidRPr="00FD1145" w:rsidRDefault="0092749D" w:rsidP="003808A2">
            <w:pPr>
              <w:pStyle w:val="TableText0"/>
              <w:jc w:val="center"/>
            </w:pPr>
            <w:r w:rsidRPr="00FD1145">
              <w:t>18%</w:t>
            </w:r>
          </w:p>
        </w:tc>
        <w:tc>
          <w:tcPr>
            <w:tcW w:w="2307" w:type="dxa"/>
            <w:tcBorders>
              <w:bottom w:val="dotted" w:sz="4" w:space="0" w:color="auto"/>
            </w:tcBorders>
            <w:vAlign w:val="center"/>
          </w:tcPr>
          <w:p w14:paraId="53E69BAF" w14:textId="5F26AB6B" w:rsidR="0092749D" w:rsidRPr="00FD1145" w:rsidRDefault="0092749D" w:rsidP="003808A2">
            <w:pPr>
              <w:pStyle w:val="TableText0"/>
              <w:jc w:val="center"/>
            </w:pPr>
            <w:r w:rsidRPr="00FD1145">
              <w:t>23%</w:t>
            </w:r>
          </w:p>
        </w:tc>
      </w:tr>
      <w:tr w:rsidR="0092749D" w:rsidRPr="00FD1145" w14:paraId="4778C7DF" w14:textId="77777777" w:rsidTr="0004570D">
        <w:tc>
          <w:tcPr>
            <w:tcW w:w="2122" w:type="dxa"/>
            <w:vMerge/>
            <w:vAlign w:val="center"/>
          </w:tcPr>
          <w:p w14:paraId="0CB5F621" w14:textId="77777777" w:rsidR="0092749D" w:rsidRPr="00FD1145" w:rsidRDefault="0092749D">
            <w:pPr>
              <w:pStyle w:val="TableText0"/>
            </w:pPr>
          </w:p>
        </w:tc>
        <w:tc>
          <w:tcPr>
            <w:tcW w:w="2579" w:type="dxa"/>
            <w:tcBorders>
              <w:top w:val="dotted" w:sz="4" w:space="0" w:color="auto"/>
              <w:bottom w:val="single" w:sz="4" w:space="0" w:color="auto"/>
            </w:tcBorders>
            <w:vAlign w:val="center"/>
          </w:tcPr>
          <w:p w14:paraId="3BB003C4" w14:textId="77777777" w:rsidR="0092749D" w:rsidRPr="00FD1145" w:rsidRDefault="0092749D">
            <w:pPr>
              <w:pStyle w:val="TableText0"/>
            </w:pPr>
            <w:r w:rsidRPr="00FD1145">
              <w:t>T-DM1</w:t>
            </w:r>
          </w:p>
        </w:tc>
        <w:tc>
          <w:tcPr>
            <w:tcW w:w="2008" w:type="dxa"/>
            <w:tcBorders>
              <w:top w:val="dotted" w:sz="4" w:space="0" w:color="auto"/>
              <w:bottom w:val="single" w:sz="4" w:space="0" w:color="auto"/>
            </w:tcBorders>
            <w:vAlign w:val="center"/>
          </w:tcPr>
          <w:p w14:paraId="12A518CA" w14:textId="26C74DEA" w:rsidR="0092749D" w:rsidRPr="00FD1145" w:rsidRDefault="0092749D" w:rsidP="003808A2">
            <w:pPr>
              <w:pStyle w:val="TableText0"/>
              <w:jc w:val="center"/>
            </w:pPr>
            <w:r w:rsidRPr="00FD1145">
              <w:t>59%</w:t>
            </w:r>
          </w:p>
        </w:tc>
        <w:tc>
          <w:tcPr>
            <w:tcW w:w="2307" w:type="dxa"/>
            <w:tcBorders>
              <w:top w:val="dotted" w:sz="4" w:space="0" w:color="auto"/>
              <w:bottom w:val="single" w:sz="4" w:space="0" w:color="auto"/>
            </w:tcBorders>
            <w:vAlign w:val="center"/>
          </w:tcPr>
          <w:p w14:paraId="6A8D3D62" w14:textId="191D4321" w:rsidR="0092749D" w:rsidRPr="00FD1145" w:rsidRDefault="0092749D" w:rsidP="003808A2">
            <w:pPr>
              <w:pStyle w:val="TableText0"/>
              <w:jc w:val="center"/>
            </w:pPr>
            <w:r w:rsidRPr="00FD1145">
              <w:t>77%</w:t>
            </w:r>
          </w:p>
        </w:tc>
      </w:tr>
      <w:tr w:rsidR="0092749D" w:rsidRPr="00FD1145" w14:paraId="07EE2367" w14:textId="77777777" w:rsidTr="0004570D">
        <w:tc>
          <w:tcPr>
            <w:tcW w:w="2122" w:type="dxa"/>
            <w:vMerge/>
            <w:vAlign w:val="center"/>
          </w:tcPr>
          <w:p w14:paraId="123897B6" w14:textId="77777777" w:rsidR="0092749D" w:rsidRPr="00FD1145" w:rsidRDefault="0092749D">
            <w:pPr>
              <w:pStyle w:val="TableText0"/>
            </w:pPr>
          </w:p>
        </w:tc>
        <w:tc>
          <w:tcPr>
            <w:tcW w:w="2579" w:type="dxa"/>
            <w:tcBorders>
              <w:top w:val="dotted" w:sz="4" w:space="0" w:color="auto"/>
              <w:bottom w:val="single" w:sz="4" w:space="0" w:color="auto"/>
            </w:tcBorders>
            <w:vAlign w:val="center"/>
          </w:tcPr>
          <w:p w14:paraId="2020DAD0" w14:textId="16139952" w:rsidR="0092749D" w:rsidRPr="00FD1145" w:rsidRDefault="0092749D">
            <w:pPr>
              <w:pStyle w:val="TableText0"/>
            </w:pPr>
            <w:r w:rsidRPr="00FD1145">
              <w:t>Lapatinib + capecitabine</w:t>
            </w:r>
          </w:p>
        </w:tc>
        <w:tc>
          <w:tcPr>
            <w:tcW w:w="2008" w:type="dxa"/>
            <w:tcBorders>
              <w:top w:val="dotted" w:sz="4" w:space="0" w:color="auto"/>
              <w:bottom w:val="single" w:sz="4" w:space="0" w:color="auto"/>
            </w:tcBorders>
            <w:vAlign w:val="center"/>
          </w:tcPr>
          <w:p w14:paraId="27773229" w14:textId="66E61F3C" w:rsidR="0092749D" w:rsidRPr="00FD1145" w:rsidRDefault="0092749D" w:rsidP="003808A2">
            <w:pPr>
              <w:pStyle w:val="TableText0"/>
              <w:jc w:val="center"/>
            </w:pPr>
            <w:r w:rsidRPr="00FD1145">
              <w:t>7%</w:t>
            </w:r>
          </w:p>
        </w:tc>
        <w:tc>
          <w:tcPr>
            <w:tcW w:w="2307" w:type="dxa"/>
            <w:vMerge w:val="restart"/>
            <w:tcBorders>
              <w:top w:val="dotted" w:sz="4" w:space="0" w:color="auto"/>
            </w:tcBorders>
            <w:vAlign w:val="center"/>
          </w:tcPr>
          <w:p w14:paraId="22CC0525" w14:textId="041FD749" w:rsidR="0092749D" w:rsidRPr="00FD1145" w:rsidRDefault="0092749D" w:rsidP="003808A2">
            <w:pPr>
              <w:pStyle w:val="TableText0"/>
              <w:jc w:val="center"/>
            </w:pPr>
            <w:r w:rsidRPr="00FD1145">
              <w:t>N/A</w:t>
            </w:r>
          </w:p>
        </w:tc>
      </w:tr>
      <w:tr w:rsidR="0092749D" w:rsidRPr="00FD1145" w14:paraId="34E5934B" w14:textId="77777777" w:rsidTr="0004570D">
        <w:tc>
          <w:tcPr>
            <w:tcW w:w="2122" w:type="dxa"/>
            <w:vMerge/>
            <w:vAlign w:val="center"/>
          </w:tcPr>
          <w:p w14:paraId="4258FEDA" w14:textId="77777777" w:rsidR="0092749D" w:rsidRPr="00FD1145" w:rsidRDefault="0092749D">
            <w:pPr>
              <w:pStyle w:val="TableText0"/>
            </w:pPr>
          </w:p>
        </w:tc>
        <w:tc>
          <w:tcPr>
            <w:tcW w:w="2579" w:type="dxa"/>
            <w:tcBorders>
              <w:top w:val="dotted" w:sz="4" w:space="0" w:color="auto"/>
              <w:bottom w:val="single" w:sz="4" w:space="0" w:color="auto"/>
            </w:tcBorders>
            <w:vAlign w:val="center"/>
          </w:tcPr>
          <w:p w14:paraId="6B35B694" w14:textId="71AE8C13" w:rsidR="0092749D" w:rsidRPr="00FD1145" w:rsidRDefault="0092749D">
            <w:pPr>
              <w:pStyle w:val="TableText0"/>
            </w:pPr>
            <w:r w:rsidRPr="00FD1145">
              <w:t>Chemotherapy alone</w:t>
            </w:r>
          </w:p>
        </w:tc>
        <w:tc>
          <w:tcPr>
            <w:tcW w:w="2008" w:type="dxa"/>
            <w:tcBorders>
              <w:top w:val="dotted" w:sz="4" w:space="0" w:color="auto"/>
              <w:bottom w:val="single" w:sz="4" w:space="0" w:color="auto"/>
            </w:tcBorders>
            <w:vAlign w:val="center"/>
          </w:tcPr>
          <w:p w14:paraId="06AA2D40" w14:textId="48092351" w:rsidR="0092749D" w:rsidRPr="00FD1145" w:rsidRDefault="0092749D" w:rsidP="003808A2">
            <w:pPr>
              <w:pStyle w:val="TableText0"/>
              <w:jc w:val="center"/>
            </w:pPr>
            <w:r w:rsidRPr="00FD1145">
              <w:t>2%</w:t>
            </w:r>
          </w:p>
        </w:tc>
        <w:tc>
          <w:tcPr>
            <w:tcW w:w="2307" w:type="dxa"/>
            <w:vMerge/>
            <w:vAlign w:val="center"/>
          </w:tcPr>
          <w:p w14:paraId="4996AFDD" w14:textId="77777777" w:rsidR="0092749D" w:rsidRPr="00FD1145" w:rsidRDefault="0092749D" w:rsidP="003808A2">
            <w:pPr>
              <w:pStyle w:val="TableText0"/>
              <w:jc w:val="center"/>
            </w:pPr>
          </w:p>
        </w:tc>
      </w:tr>
      <w:tr w:rsidR="0092749D" w:rsidRPr="00FD1145" w14:paraId="2AEA28C8" w14:textId="77777777" w:rsidTr="0004570D">
        <w:tc>
          <w:tcPr>
            <w:tcW w:w="2122" w:type="dxa"/>
            <w:vMerge/>
            <w:vAlign w:val="center"/>
          </w:tcPr>
          <w:p w14:paraId="2C62F799" w14:textId="77777777" w:rsidR="0092749D" w:rsidRPr="00FD1145" w:rsidRDefault="0092749D">
            <w:pPr>
              <w:pStyle w:val="TableText0"/>
            </w:pPr>
          </w:p>
        </w:tc>
        <w:tc>
          <w:tcPr>
            <w:tcW w:w="2579" w:type="dxa"/>
            <w:tcBorders>
              <w:top w:val="dotted" w:sz="4" w:space="0" w:color="auto"/>
              <w:bottom w:val="single" w:sz="4" w:space="0" w:color="auto"/>
            </w:tcBorders>
            <w:vAlign w:val="center"/>
          </w:tcPr>
          <w:p w14:paraId="6BC16546" w14:textId="698FE748" w:rsidR="0092749D" w:rsidRPr="00FD1145" w:rsidRDefault="0092749D">
            <w:pPr>
              <w:pStyle w:val="TableText0"/>
            </w:pPr>
            <w:r w:rsidRPr="00FD1145">
              <w:t>Clinical trial</w:t>
            </w:r>
          </w:p>
        </w:tc>
        <w:tc>
          <w:tcPr>
            <w:tcW w:w="2008" w:type="dxa"/>
            <w:tcBorders>
              <w:top w:val="dotted" w:sz="4" w:space="0" w:color="auto"/>
              <w:bottom w:val="single" w:sz="4" w:space="0" w:color="auto"/>
            </w:tcBorders>
            <w:vAlign w:val="center"/>
          </w:tcPr>
          <w:p w14:paraId="75570D36" w14:textId="60A734BD" w:rsidR="0092749D" w:rsidRPr="00FD1145" w:rsidRDefault="0092749D" w:rsidP="003808A2">
            <w:pPr>
              <w:pStyle w:val="TableText0"/>
              <w:jc w:val="center"/>
            </w:pPr>
            <w:r w:rsidRPr="00FD1145">
              <w:t>11%</w:t>
            </w:r>
          </w:p>
        </w:tc>
        <w:tc>
          <w:tcPr>
            <w:tcW w:w="2307" w:type="dxa"/>
            <w:vMerge/>
            <w:vAlign w:val="center"/>
          </w:tcPr>
          <w:p w14:paraId="27A2C848" w14:textId="77777777" w:rsidR="0092749D" w:rsidRPr="00FD1145" w:rsidRDefault="0092749D" w:rsidP="003808A2">
            <w:pPr>
              <w:pStyle w:val="TableText0"/>
              <w:jc w:val="center"/>
            </w:pPr>
          </w:p>
        </w:tc>
      </w:tr>
      <w:tr w:rsidR="0092749D" w:rsidRPr="00FD1145" w14:paraId="4173D593" w14:textId="77777777" w:rsidTr="0004570D">
        <w:tc>
          <w:tcPr>
            <w:tcW w:w="2122" w:type="dxa"/>
            <w:vMerge/>
            <w:vAlign w:val="center"/>
          </w:tcPr>
          <w:p w14:paraId="1FF4960D" w14:textId="77777777" w:rsidR="0092749D" w:rsidRPr="00FD1145" w:rsidRDefault="0092749D">
            <w:pPr>
              <w:pStyle w:val="TableText0"/>
            </w:pPr>
          </w:p>
        </w:tc>
        <w:tc>
          <w:tcPr>
            <w:tcW w:w="2579" w:type="dxa"/>
            <w:tcBorders>
              <w:top w:val="dotted" w:sz="4" w:space="0" w:color="auto"/>
              <w:bottom w:val="single" w:sz="4" w:space="0" w:color="auto"/>
            </w:tcBorders>
            <w:vAlign w:val="center"/>
          </w:tcPr>
          <w:p w14:paraId="052D28FF" w14:textId="6B88E4A8" w:rsidR="0092749D" w:rsidRPr="00FD1145" w:rsidRDefault="0092749D">
            <w:pPr>
              <w:pStyle w:val="TableText0"/>
            </w:pPr>
            <w:r w:rsidRPr="00FD1145">
              <w:t>Other or BSC only</w:t>
            </w:r>
          </w:p>
        </w:tc>
        <w:tc>
          <w:tcPr>
            <w:tcW w:w="2008" w:type="dxa"/>
            <w:tcBorders>
              <w:top w:val="dotted" w:sz="4" w:space="0" w:color="auto"/>
              <w:bottom w:val="single" w:sz="4" w:space="0" w:color="auto"/>
            </w:tcBorders>
            <w:vAlign w:val="center"/>
          </w:tcPr>
          <w:p w14:paraId="308A81EC" w14:textId="76AF5DD6" w:rsidR="0092749D" w:rsidRPr="00FD1145" w:rsidRDefault="0092749D" w:rsidP="003808A2">
            <w:pPr>
              <w:pStyle w:val="TableText0"/>
              <w:jc w:val="center"/>
            </w:pPr>
            <w:r w:rsidRPr="00FD1145">
              <w:t>3%</w:t>
            </w:r>
          </w:p>
        </w:tc>
        <w:tc>
          <w:tcPr>
            <w:tcW w:w="2307" w:type="dxa"/>
            <w:vMerge/>
            <w:tcBorders>
              <w:bottom w:val="single" w:sz="4" w:space="0" w:color="auto"/>
            </w:tcBorders>
            <w:vAlign w:val="center"/>
          </w:tcPr>
          <w:p w14:paraId="4CA718EB" w14:textId="77777777" w:rsidR="0092749D" w:rsidRPr="00FD1145" w:rsidRDefault="0092749D" w:rsidP="003808A2">
            <w:pPr>
              <w:pStyle w:val="TableText0"/>
              <w:jc w:val="center"/>
            </w:pPr>
          </w:p>
        </w:tc>
      </w:tr>
      <w:tr w:rsidR="003808A2" w:rsidRPr="00FD1145" w14:paraId="0FFCEF5C" w14:textId="77777777" w:rsidTr="0004570D">
        <w:tc>
          <w:tcPr>
            <w:tcW w:w="2122" w:type="dxa"/>
            <w:vMerge w:val="restart"/>
            <w:vAlign w:val="center"/>
          </w:tcPr>
          <w:p w14:paraId="7F9885BB" w14:textId="6B8F2E74" w:rsidR="003808A2" w:rsidRPr="00FD1145" w:rsidRDefault="005A01B0">
            <w:pPr>
              <w:pStyle w:val="TableText0"/>
              <w:rPr>
                <w:b/>
              </w:rPr>
            </w:pPr>
            <w:r w:rsidRPr="00FD1145">
              <w:rPr>
                <w:b/>
              </w:rPr>
              <w:t>Submission’s p</w:t>
            </w:r>
            <w:r w:rsidR="003808A2" w:rsidRPr="00FD1145">
              <w:rPr>
                <w:b/>
              </w:rPr>
              <w:t>roposed comparator proportion split</w:t>
            </w:r>
          </w:p>
        </w:tc>
        <w:tc>
          <w:tcPr>
            <w:tcW w:w="2579" w:type="dxa"/>
            <w:tcBorders>
              <w:top w:val="single" w:sz="4" w:space="0" w:color="auto"/>
              <w:bottom w:val="dotted" w:sz="4" w:space="0" w:color="auto"/>
            </w:tcBorders>
            <w:vAlign w:val="center"/>
          </w:tcPr>
          <w:p w14:paraId="194F6154" w14:textId="77777777" w:rsidR="003808A2" w:rsidRPr="00FD1145" w:rsidRDefault="003808A2">
            <w:pPr>
              <w:pStyle w:val="TableText0"/>
              <w:rPr>
                <w:b/>
              </w:rPr>
            </w:pPr>
            <w:r w:rsidRPr="00FD1145">
              <w:rPr>
                <w:b/>
              </w:rPr>
              <w:t>Trastuzumab + capecitabine</w:t>
            </w:r>
          </w:p>
        </w:tc>
        <w:tc>
          <w:tcPr>
            <w:tcW w:w="2008" w:type="dxa"/>
            <w:tcBorders>
              <w:top w:val="single" w:sz="4" w:space="0" w:color="auto"/>
              <w:bottom w:val="dotted" w:sz="4" w:space="0" w:color="auto"/>
            </w:tcBorders>
            <w:vAlign w:val="center"/>
          </w:tcPr>
          <w:p w14:paraId="4B83FBFA" w14:textId="77777777" w:rsidR="003808A2" w:rsidRPr="00FD1145" w:rsidRDefault="003808A2" w:rsidP="003808A2">
            <w:pPr>
              <w:pStyle w:val="TableText0"/>
              <w:jc w:val="center"/>
              <w:rPr>
                <w:b/>
              </w:rPr>
            </w:pPr>
          </w:p>
        </w:tc>
        <w:tc>
          <w:tcPr>
            <w:tcW w:w="2307" w:type="dxa"/>
            <w:tcBorders>
              <w:top w:val="single" w:sz="4" w:space="0" w:color="auto"/>
              <w:bottom w:val="dotted" w:sz="4" w:space="0" w:color="auto"/>
            </w:tcBorders>
            <w:vAlign w:val="center"/>
          </w:tcPr>
          <w:p w14:paraId="155599E0" w14:textId="62B4C204" w:rsidR="003808A2" w:rsidRPr="00FD1145" w:rsidRDefault="003808A2" w:rsidP="003808A2">
            <w:pPr>
              <w:pStyle w:val="TableText0"/>
              <w:jc w:val="center"/>
              <w:rPr>
                <w:b/>
              </w:rPr>
            </w:pPr>
            <w:r w:rsidRPr="00FD1145">
              <w:rPr>
                <w:b/>
              </w:rPr>
              <w:t>50%</w:t>
            </w:r>
          </w:p>
        </w:tc>
      </w:tr>
      <w:tr w:rsidR="003808A2" w:rsidRPr="00FD1145" w14:paraId="6FFA52A6" w14:textId="77777777" w:rsidTr="0004570D">
        <w:tc>
          <w:tcPr>
            <w:tcW w:w="2122" w:type="dxa"/>
            <w:vMerge/>
            <w:vAlign w:val="center"/>
          </w:tcPr>
          <w:p w14:paraId="75774CBF" w14:textId="77777777" w:rsidR="003808A2" w:rsidRPr="00FD1145" w:rsidRDefault="003808A2">
            <w:pPr>
              <w:pStyle w:val="TableText0"/>
            </w:pPr>
          </w:p>
        </w:tc>
        <w:tc>
          <w:tcPr>
            <w:tcW w:w="2579" w:type="dxa"/>
            <w:tcBorders>
              <w:top w:val="dotted" w:sz="4" w:space="0" w:color="auto"/>
            </w:tcBorders>
            <w:vAlign w:val="center"/>
          </w:tcPr>
          <w:p w14:paraId="7CC841A8" w14:textId="77777777" w:rsidR="003808A2" w:rsidRPr="00FD1145" w:rsidRDefault="003808A2">
            <w:pPr>
              <w:pStyle w:val="TableText0"/>
              <w:rPr>
                <w:b/>
              </w:rPr>
            </w:pPr>
            <w:r w:rsidRPr="00FD1145">
              <w:rPr>
                <w:b/>
              </w:rPr>
              <w:t>T-DM1</w:t>
            </w:r>
          </w:p>
        </w:tc>
        <w:tc>
          <w:tcPr>
            <w:tcW w:w="2008" w:type="dxa"/>
            <w:tcBorders>
              <w:top w:val="dotted" w:sz="4" w:space="0" w:color="auto"/>
            </w:tcBorders>
            <w:vAlign w:val="center"/>
          </w:tcPr>
          <w:p w14:paraId="76784E54" w14:textId="77777777" w:rsidR="003808A2" w:rsidRPr="00FD1145" w:rsidRDefault="003808A2" w:rsidP="003808A2">
            <w:pPr>
              <w:pStyle w:val="TableText0"/>
              <w:jc w:val="center"/>
              <w:rPr>
                <w:b/>
              </w:rPr>
            </w:pPr>
          </w:p>
        </w:tc>
        <w:tc>
          <w:tcPr>
            <w:tcW w:w="2307" w:type="dxa"/>
            <w:tcBorders>
              <w:top w:val="dotted" w:sz="4" w:space="0" w:color="auto"/>
            </w:tcBorders>
            <w:vAlign w:val="center"/>
          </w:tcPr>
          <w:p w14:paraId="298BB70E" w14:textId="21668E92" w:rsidR="003808A2" w:rsidRPr="00FD1145" w:rsidRDefault="003808A2" w:rsidP="003808A2">
            <w:pPr>
              <w:pStyle w:val="TableText0"/>
              <w:jc w:val="center"/>
              <w:rPr>
                <w:b/>
              </w:rPr>
            </w:pPr>
            <w:r w:rsidRPr="00FD1145">
              <w:rPr>
                <w:b/>
              </w:rPr>
              <w:t>50%</w:t>
            </w:r>
          </w:p>
        </w:tc>
      </w:tr>
    </w:tbl>
    <w:p w14:paraId="71419DD7" w14:textId="77777777" w:rsidR="006F5E27" w:rsidRPr="00FD1145" w:rsidRDefault="006F5E27" w:rsidP="006F5E27">
      <w:pPr>
        <w:pStyle w:val="TableFooter"/>
      </w:pPr>
      <w:r w:rsidRPr="00FD1145">
        <w:t>Source: Compiled during evaluation using Appendix 1.2 of resubmission, p34-37 of the resubmission.</w:t>
      </w:r>
    </w:p>
    <w:p w14:paraId="135A0A04" w14:textId="5390C742" w:rsidR="00363F2A" w:rsidRPr="00FD1145" w:rsidRDefault="006F5E27" w:rsidP="00B112F5">
      <w:pPr>
        <w:pStyle w:val="TableFooter"/>
      </w:pPr>
      <w:r w:rsidRPr="00FD1145">
        <w:t>Abbreviations: DUSC, Drug Utilisation Sub Committee; PBS. Pharmaceutical Benefits Scheme.</w:t>
      </w:r>
    </w:p>
    <w:p w14:paraId="3B1BB4B9" w14:textId="77777777" w:rsidR="00553F6E" w:rsidRPr="00FD1145" w:rsidRDefault="00553F6E" w:rsidP="00553F6E">
      <w:pPr>
        <w:pStyle w:val="TableFooter"/>
      </w:pPr>
      <w:proofErr w:type="spellStart"/>
      <w:r w:rsidRPr="00FD1145">
        <w:rPr>
          <w:vertAlign w:val="superscript"/>
        </w:rPr>
        <w:t>a</w:t>
      </w:r>
      <w:proofErr w:type="spellEnd"/>
      <w:r w:rsidRPr="00FD1145">
        <w:rPr>
          <w:vertAlign w:val="superscript"/>
        </w:rPr>
        <w:t xml:space="preserve"> </w:t>
      </w:r>
      <w:r w:rsidRPr="00FD1145">
        <w:t>The proportion splits from each data source were calculated during the evaluation after removal of treatment options not relevant to the resubmission.</w:t>
      </w:r>
    </w:p>
    <w:p w14:paraId="3878FA7F" w14:textId="7C7DF437" w:rsidR="002C4569" w:rsidRPr="00FD1145" w:rsidRDefault="00E9598B" w:rsidP="00B112F5">
      <w:pPr>
        <w:pStyle w:val="TableFooter"/>
      </w:pPr>
      <w:r w:rsidRPr="00FD1145">
        <w:rPr>
          <w:vertAlign w:val="superscript"/>
        </w:rPr>
        <w:t>b</w:t>
      </w:r>
      <w:r w:rsidR="002C4569" w:rsidRPr="00FD1145">
        <w:t xml:space="preserve"> </w:t>
      </w:r>
      <w:r w:rsidR="00AC325D" w:rsidRPr="00FD1145">
        <w:t>Based on utilisation data from 1 November 2023 (</w:t>
      </w:r>
      <w:r w:rsidR="00085BA8" w:rsidRPr="00FD1145">
        <w:t>when T-</w:t>
      </w:r>
      <w:proofErr w:type="spellStart"/>
      <w:r w:rsidR="00085BA8" w:rsidRPr="00FD1145">
        <w:t>DXd</w:t>
      </w:r>
      <w:proofErr w:type="spellEnd"/>
      <w:r w:rsidR="00085BA8" w:rsidRPr="00FD1145">
        <w:t xml:space="preserve"> was first PBS-listed) to 15 April 2025. </w:t>
      </w:r>
      <w:r w:rsidR="005934EE" w:rsidRPr="00FD1145">
        <w:t>Note that 197 of the 820 patients (i.e. 24%) who initiated T-</w:t>
      </w:r>
      <w:proofErr w:type="spellStart"/>
      <w:r w:rsidR="005934EE" w:rsidRPr="00FD1145">
        <w:t>DXd</w:t>
      </w:r>
      <w:proofErr w:type="spellEnd"/>
      <w:r w:rsidR="005934EE" w:rsidRPr="00FD1145">
        <w:t xml:space="preserve"> receive</w:t>
      </w:r>
      <w:r w:rsidR="00077CBC" w:rsidRPr="00FD1145">
        <w:t>d</w:t>
      </w:r>
      <w:r w:rsidR="005934EE" w:rsidRPr="00FD1145">
        <w:t xml:space="preserve"> further treatment from medicines in ATC code L01 – Antineoplastic agents</w:t>
      </w:r>
      <w:r w:rsidR="00BD79AF" w:rsidRPr="00FD1145">
        <w:t>.</w:t>
      </w:r>
      <w:r w:rsidR="00AC325D" w:rsidRPr="00FD1145">
        <w:t xml:space="preserve"> </w:t>
      </w:r>
      <w:r w:rsidR="00FD19D2" w:rsidRPr="00FD1145">
        <w:t xml:space="preserve">The actual split of therapies was: 41.1% involving trastuzumab; 20.8% involving T-DM1; and </w:t>
      </w:r>
      <w:r w:rsidR="00364346" w:rsidRPr="00FD1145">
        <w:t xml:space="preserve">38.1% ‘other’ (i.e. lapatinib or chemotherapies). </w:t>
      </w:r>
    </w:p>
    <w:p w14:paraId="00A82448" w14:textId="05424B10" w:rsidR="00D74711" w:rsidRPr="00FD1145" w:rsidRDefault="00E9598B" w:rsidP="00B112F5">
      <w:pPr>
        <w:pStyle w:val="TableFooter"/>
      </w:pPr>
      <w:r w:rsidRPr="00FD1145">
        <w:rPr>
          <w:vertAlign w:val="superscript"/>
        </w:rPr>
        <w:t>c</w:t>
      </w:r>
      <w:r w:rsidR="00F25DDB" w:rsidRPr="00FD1145">
        <w:t xml:space="preserve"> </w:t>
      </w:r>
      <w:r w:rsidR="00D73360" w:rsidRPr="00FD1145">
        <w:t xml:space="preserve">The resubmission stated that the clinician survey was conducted in </w:t>
      </w:r>
      <w:r w:rsidR="00DB38A8" w:rsidRPr="00FD1145">
        <w:t xml:space="preserve">November and </w:t>
      </w:r>
      <w:r w:rsidR="00D73360" w:rsidRPr="00FD1145">
        <w:t>December 2024</w:t>
      </w:r>
      <w:r w:rsidR="002B479C" w:rsidRPr="00FD1145">
        <w:t xml:space="preserve"> and</w:t>
      </w:r>
      <w:r w:rsidR="00D73360" w:rsidRPr="00FD1145">
        <w:t xml:space="preserve"> completed by 30 medical oncologists</w:t>
      </w:r>
      <w:r w:rsidR="006F6BBF" w:rsidRPr="00FD1145">
        <w:t xml:space="preserve"> </w:t>
      </w:r>
      <w:r w:rsidR="00530D58" w:rsidRPr="00FD1145">
        <w:t>who had at least 3 patients in their care who were receiving T-</w:t>
      </w:r>
      <w:proofErr w:type="spellStart"/>
      <w:r w:rsidR="00530D58" w:rsidRPr="00FD1145">
        <w:t>DXd</w:t>
      </w:r>
      <w:proofErr w:type="spellEnd"/>
      <w:r w:rsidR="00530D58" w:rsidRPr="00FD1145">
        <w:t xml:space="preserve"> for </w:t>
      </w:r>
      <w:proofErr w:type="spellStart"/>
      <w:r w:rsidR="00530D58" w:rsidRPr="00FD1145">
        <w:t>mBC</w:t>
      </w:r>
      <w:proofErr w:type="spellEnd"/>
      <w:r w:rsidR="00B734A1" w:rsidRPr="00FD1145">
        <w:t xml:space="preserve"> (mean of </w:t>
      </w:r>
      <w:r w:rsidR="00852DF4" w:rsidRPr="00FD1145">
        <w:t>5.8 patients</w:t>
      </w:r>
      <w:r w:rsidR="00B734A1" w:rsidRPr="00FD1145">
        <w:t>)</w:t>
      </w:r>
      <w:r w:rsidR="00FE4EE2" w:rsidRPr="00FD1145">
        <w:t xml:space="preserve">. </w:t>
      </w:r>
      <w:r w:rsidR="00530D58" w:rsidRPr="00FD1145">
        <w:t>Of these clinicians</w:t>
      </w:r>
      <w:r w:rsidR="006F6BBF" w:rsidRPr="00FD1145">
        <w:t xml:space="preserve">: </w:t>
      </w:r>
    </w:p>
    <w:p w14:paraId="0F41B9EF" w14:textId="18722B26" w:rsidR="00D74711" w:rsidRPr="00FD1145" w:rsidRDefault="006F6BBF" w:rsidP="00976BC6">
      <w:pPr>
        <w:pStyle w:val="TableFooter"/>
        <w:numPr>
          <w:ilvl w:val="0"/>
          <w:numId w:val="15"/>
        </w:numPr>
        <w:ind w:left="567" w:hanging="283"/>
      </w:pPr>
      <w:r w:rsidRPr="00FD1145">
        <w:t>23 were in capital cities and 7 were regional/rural</w:t>
      </w:r>
      <w:r w:rsidR="00B734A1" w:rsidRPr="00FD1145">
        <w:t>;</w:t>
      </w:r>
    </w:p>
    <w:p w14:paraId="353A35E4" w14:textId="24B01DC7" w:rsidR="00071C09" w:rsidRPr="00FD1145" w:rsidRDefault="00D74711" w:rsidP="00976BC6">
      <w:pPr>
        <w:pStyle w:val="TableFooter"/>
        <w:numPr>
          <w:ilvl w:val="0"/>
          <w:numId w:val="15"/>
        </w:numPr>
        <w:ind w:left="567" w:hanging="283"/>
      </w:pPr>
      <w:r w:rsidRPr="00FD1145">
        <w:t>18 were public only, 4 were private only and 8 were both</w:t>
      </w:r>
      <w:r w:rsidR="00D20709" w:rsidRPr="00FD1145">
        <w:t>;</w:t>
      </w:r>
      <w:r w:rsidR="002B479C" w:rsidRPr="00FD1145">
        <w:t xml:space="preserve"> and</w:t>
      </w:r>
    </w:p>
    <w:p w14:paraId="586EE4CD" w14:textId="61C44068" w:rsidR="00F25DDB" w:rsidRPr="00FD1145" w:rsidRDefault="00D13700" w:rsidP="00AA012A">
      <w:pPr>
        <w:pStyle w:val="TableFooter"/>
        <w:numPr>
          <w:ilvl w:val="0"/>
          <w:numId w:val="15"/>
        </w:numPr>
        <w:spacing w:after="240"/>
        <w:ind w:left="568" w:hanging="284"/>
      </w:pPr>
      <w:r w:rsidRPr="00FD1145">
        <w:t>6 were in NSW, 13</w:t>
      </w:r>
      <w:r w:rsidR="00403F58" w:rsidRPr="00FD1145">
        <w:t xml:space="preserve"> in</w:t>
      </w:r>
      <w:r w:rsidRPr="00FD1145">
        <w:t xml:space="preserve"> Victoria, 6 </w:t>
      </w:r>
      <w:r w:rsidR="00403F58" w:rsidRPr="00FD1145">
        <w:t xml:space="preserve">in </w:t>
      </w:r>
      <w:r w:rsidRPr="00FD1145">
        <w:t xml:space="preserve">Queensland </w:t>
      </w:r>
      <w:r w:rsidR="00B734A1" w:rsidRPr="00FD1145">
        <w:t xml:space="preserve">and </w:t>
      </w:r>
      <w:r w:rsidRPr="00FD1145">
        <w:t xml:space="preserve">5 </w:t>
      </w:r>
      <w:r w:rsidR="00403F58" w:rsidRPr="00FD1145">
        <w:t xml:space="preserve">in </w:t>
      </w:r>
      <w:r w:rsidRPr="00FD1145">
        <w:t>Western Australia</w:t>
      </w:r>
      <w:r w:rsidR="00D73360" w:rsidRPr="00FD1145">
        <w:t>.</w:t>
      </w:r>
    </w:p>
    <w:p w14:paraId="48CF9BB4" w14:textId="556F84EC" w:rsidR="00BF3468" w:rsidRPr="00FD1145" w:rsidRDefault="00076042" w:rsidP="00475398">
      <w:pPr>
        <w:pStyle w:val="3-BodyText"/>
      </w:pPr>
      <w:bookmarkStart w:id="25" w:name="_Ref211501362"/>
      <w:bookmarkStart w:id="26" w:name="_Ref206421634"/>
      <w:r w:rsidRPr="00FD1145">
        <w:t xml:space="preserve">The resubmission </w:t>
      </w:r>
      <w:r w:rsidR="009B58DC" w:rsidRPr="00FD1145">
        <w:t xml:space="preserve">and the </w:t>
      </w:r>
      <w:r w:rsidR="000E00B1">
        <w:t>Pre Sub-Committee Response (</w:t>
      </w:r>
      <w:r w:rsidR="009B58DC" w:rsidRPr="00FD1145">
        <w:t>PSCR</w:t>
      </w:r>
      <w:r w:rsidR="000E00B1">
        <w:t>)</w:t>
      </w:r>
      <w:r w:rsidR="009B58DC" w:rsidRPr="00FD1145">
        <w:t xml:space="preserve"> </w:t>
      </w:r>
      <w:r w:rsidRPr="00FD1145">
        <w:t xml:space="preserve">argued that </w:t>
      </w:r>
      <w:r w:rsidR="00A33641" w:rsidRPr="00FD1145">
        <w:t>the DUSC analysis</w:t>
      </w:r>
      <w:r w:rsidRPr="00FD1145">
        <w:t xml:space="preserve"> may have underestimated the utilisation of T-DM1 for the proposed patient population (i.e. skewed the results in favour of trastuzumab-containing therapies) as </w:t>
      </w:r>
      <w:r w:rsidR="007F50F9" w:rsidRPr="00FD1145">
        <w:t>it included</w:t>
      </w:r>
      <w:r w:rsidRPr="00FD1145">
        <w:t xml:space="preserve"> prevalent patients </w:t>
      </w:r>
      <w:r w:rsidR="007F50F9" w:rsidRPr="00FD1145">
        <w:t>who</w:t>
      </w:r>
      <w:r w:rsidRPr="00FD1145">
        <w:t xml:space="preserve"> received T-DM1 in the metastatic setting prior to the listing of T-</w:t>
      </w:r>
      <w:proofErr w:type="spellStart"/>
      <w:r w:rsidRPr="00FD1145">
        <w:t>DXd</w:t>
      </w:r>
      <w:proofErr w:type="spellEnd"/>
      <w:r w:rsidRPr="00FD1145">
        <w:t xml:space="preserve"> (i.e. patients who received T-</w:t>
      </w:r>
      <w:proofErr w:type="spellStart"/>
      <w:r w:rsidRPr="00FD1145">
        <w:t>DXd</w:t>
      </w:r>
      <w:proofErr w:type="spellEnd"/>
      <w:r w:rsidRPr="00FD1145">
        <w:t xml:space="preserve"> in the 3+ line setting). </w:t>
      </w:r>
      <w:bookmarkEnd w:id="25"/>
      <w:r w:rsidR="00BF3468" w:rsidRPr="00FD1145">
        <w:t xml:space="preserve">As such, the PSCR argued that the DUSC analysis did not capture future prescribing preferences or the evolving nature of the treatment algorithm stating </w:t>
      </w:r>
      <w:r w:rsidR="00342F6D">
        <w:t>‘</w:t>
      </w:r>
      <w:r w:rsidR="00BF3468" w:rsidRPr="00FD1145">
        <w:t>T-</w:t>
      </w:r>
      <w:proofErr w:type="spellStart"/>
      <w:r w:rsidR="00BF3468" w:rsidRPr="00FD1145">
        <w:t>DXd</w:t>
      </w:r>
      <w:proofErr w:type="spellEnd"/>
      <w:r w:rsidR="00BF3468" w:rsidRPr="00FD1145">
        <w:t xml:space="preserve"> has displaced T-DM1 from second-line to third-line treatment, but T-</w:t>
      </w:r>
      <w:proofErr w:type="spellStart"/>
      <w:r w:rsidR="00BF3468" w:rsidRPr="00FD1145">
        <w:t>DXd</w:t>
      </w:r>
      <w:proofErr w:type="spellEnd"/>
      <w:r w:rsidR="00BF3468" w:rsidRPr="00FD1145">
        <w:t xml:space="preserve"> has a relatively long treatment duration, meaning it will take time for the PBS data to mature</w:t>
      </w:r>
      <w:r w:rsidR="00342F6D">
        <w:t>’</w:t>
      </w:r>
      <w:r w:rsidR="00BF3468" w:rsidRPr="00FD1145">
        <w:t xml:space="preserve"> (noting only 24% (197/820) of patients who initiated T-</w:t>
      </w:r>
      <w:proofErr w:type="spellStart"/>
      <w:r w:rsidR="00BF3468" w:rsidRPr="00FD1145">
        <w:t>DXd</w:t>
      </w:r>
      <w:proofErr w:type="spellEnd"/>
      <w:r w:rsidR="00BF3468" w:rsidRPr="00FD1145">
        <w:t xml:space="preserve"> since November 2023 have received a subsequent antineoplastic agent). </w:t>
      </w:r>
    </w:p>
    <w:p w14:paraId="4C216AA9" w14:textId="71C70960" w:rsidR="00076042" w:rsidRPr="00FD1145" w:rsidRDefault="00076042" w:rsidP="00076042">
      <w:pPr>
        <w:pStyle w:val="3-BodyText"/>
      </w:pPr>
      <w:r w:rsidRPr="00FD1145">
        <w:t xml:space="preserve">However, the evaluation considered that, given the PBS data reflect actual usage, the DUSC 100% analysis may be a more accurate representation of how PBS subsidised medications are currently used in clinical practice. Further, the </w:t>
      </w:r>
      <w:r w:rsidR="00F34E61" w:rsidRPr="00FD1145">
        <w:t xml:space="preserve">evaluation considered that the </w:t>
      </w:r>
      <w:r w:rsidRPr="00FD1145">
        <w:t xml:space="preserve">submission may have overestimated the proportion of substitution of T-DM1 as: (a) patients who had progressive disease when treated with T-DM1 in the adjuvant setting are no longer eligible for T-DM1 in the metastatic setting; and (b) the full results of the DUSC analysis found that 38% of patients who received anti-neoplastic </w:t>
      </w:r>
      <w:r w:rsidRPr="00FD1145">
        <w:lastRenderedPageBreak/>
        <w:t>therapy following T-</w:t>
      </w:r>
      <w:proofErr w:type="spellStart"/>
      <w:r w:rsidRPr="00FD1145">
        <w:t>DXd</w:t>
      </w:r>
      <w:proofErr w:type="spellEnd"/>
      <w:r w:rsidRPr="00FD1145">
        <w:t xml:space="preserve"> received ‘other’ therapies (i.e. lapatinib or chemotherapies), indicating a larger pool of patients not treated with T-DM1 subsequent to T-</w:t>
      </w:r>
      <w:proofErr w:type="spellStart"/>
      <w:r w:rsidRPr="00FD1145">
        <w:t>DXd</w:t>
      </w:r>
      <w:proofErr w:type="spellEnd"/>
      <w:r w:rsidRPr="00FD1145">
        <w:t xml:space="preserve">. </w:t>
      </w:r>
      <w:r w:rsidR="003808A2" w:rsidRPr="00FD1145">
        <w:t xml:space="preserve"> </w:t>
      </w:r>
    </w:p>
    <w:p w14:paraId="0DD31221" w14:textId="5621E02D" w:rsidR="00EB7D56" w:rsidRPr="00FD1145" w:rsidRDefault="00EB7D56" w:rsidP="00EB7D56">
      <w:pPr>
        <w:pStyle w:val="3-BodyText"/>
      </w:pPr>
      <w:r w:rsidRPr="00FD1145">
        <w:t>The ESC noted the clinician survey was conducted across a range of settings (urban/regional</w:t>
      </w:r>
      <w:r w:rsidR="004D400D" w:rsidRPr="00FD1145">
        <w:t xml:space="preserve"> and</w:t>
      </w:r>
      <w:r w:rsidRPr="00FD1145">
        <w:t xml:space="preserve"> public/private), however the </w:t>
      </w:r>
      <w:r w:rsidR="004D400D" w:rsidRPr="00FD1145">
        <w:t xml:space="preserve">overall </w:t>
      </w:r>
      <w:r w:rsidRPr="00FD1145">
        <w:t>representativeness of the oncologist</w:t>
      </w:r>
      <w:r w:rsidR="004D400D" w:rsidRPr="00FD1145">
        <w:t>s</w:t>
      </w:r>
      <w:r w:rsidRPr="00FD1145">
        <w:t xml:space="preserve"> surveyed was unclear, declarations of potential conflicts of interest were not provided, and the response rates and range of responses were not provided. The relevant survey question was: ‘What proportion of your patients who progress following treatment with T-</w:t>
      </w:r>
      <w:proofErr w:type="spellStart"/>
      <w:r w:rsidRPr="00FD1145">
        <w:t>DXd</w:t>
      </w:r>
      <w:proofErr w:type="spellEnd"/>
      <w:r w:rsidRPr="00FD1145">
        <w:t xml:space="preserve"> in second-line HER2+ </w:t>
      </w:r>
      <w:proofErr w:type="spellStart"/>
      <w:r w:rsidRPr="00FD1145">
        <w:t>mBC</w:t>
      </w:r>
      <w:proofErr w:type="spellEnd"/>
      <w:r w:rsidRPr="00FD1145">
        <w:t xml:space="preserve">, do you anticipate you would prescribe the following available PBS-funded therapies as their third-line of treatment?’ This did not </w:t>
      </w:r>
      <w:r w:rsidR="00171B5B" w:rsidRPr="00FD1145">
        <w:t xml:space="preserve">account for </w:t>
      </w:r>
      <w:r w:rsidR="007B3883" w:rsidRPr="00FD1145">
        <w:t xml:space="preserve">differences in </w:t>
      </w:r>
      <w:r w:rsidRPr="00FD1145">
        <w:t xml:space="preserve">uptake </w:t>
      </w:r>
      <w:r w:rsidR="007B3883" w:rsidRPr="00FD1145">
        <w:t xml:space="preserve">of </w:t>
      </w:r>
      <w:r w:rsidRPr="00FD1145">
        <w:t>tucatinib</w:t>
      </w:r>
      <w:r w:rsidR="00F860E8" w:rsidRPr="00FD1145">
        <w:t xml:space="preserve"> - t</w:t>
      </w:r>
      <w:r w:rsidRPr="00FD1145">
        <w:t>he ESC considered uptake of tucatinib would likely be higher from patients who would otherwise receive trastuzumab plus capecitabine (</w:t>
      </w:r>
      <w:r w:rsidR="006E1D06" w:rsidRPr="00FD1145">
        <w:t xml:space="preserve">given the claim of superior efficacy) </w:t>
      </w:r>
      <w:r w:rsidRPr="00FD1145">
        <w:t>compared with uptake from patients who would otherwise receive T-DM1</w:t>
      </w:r>
      <w:r w:rsidR="00F25F68" w:rsidRPr="00FD1145">
        <w:t xml:space="preserve"> (given the claim on non</w:t>
      </w:r>
      <w:r w:rsidR="0002045B" w:rsidRPr="00FD1145">
        <w:t>-inferior efficacy</w:t>
      </w:r>
      <w:r w:rsidRPr="00FD1145">
        <w:t>), thus increasing the proportion of trastuzumab plus capecitabine utilisation that would be replaced by tucatinib. Overall, the ESC considered it was unclear whether the clinician survey was sufficiently reliable to inform comparator selection.</w:t>
      </w:r>
    </w:p>
    <w:p w14:paraId="3905AF3C" w14:textId="1D7E5257" w:rsidR="00076042" w:rsidRPr="00FD1145" w:rsidRDefault="000A057E" w:rsidP="00076042">
      <w:pPr>
        <w:pStyle w:val="3-BodyText"/>
      </w:pPr>
      <w:r w:rsidRPr="00FD1145">
        <w:t xml:space="preserve">The PSCR </w:t>
      </w:r>
      <w:r w:rsidR="007C55E3" w:rsidRPr="00FD1145">
        <w:t xml:space="preserve">also presented data from the </w:t>
      </w:r>
      <w:r w:rsidR="00B82146" w:rsidRPr="00FD1145">
        <w:t xml:space="preserve">pivotal trial </w:t>
      </w:r>
      <w:r w:rsidR="001E0524" w:rsidRPr="00FD1145">
        <w:t>of</w:t>
      </w:r>
      <w:r w:rsidR="00B82146" w:rsidRPr="00FD1145">
        <w:t xml:space="preserve"> T-</w:t>
      </w:r>
      <w:proofErr w:type="spellStart"/>
      <w:r w:rsidR="00B82146" w:rsidRPr="00FD1145">
        <w:t>DXd</w:t>
      </w:r>
      <w:proofErr w:type="spellEnd"/>
      <w:r w:rsidR="00B82146" w:rsidRPr="00FD1145">
        <w:t xml:space="preserve"> (DESTINY-Breast 03, which compared T-</w:t>
      </w:r>
      <w:proofErr w:type="spellStart"/>
      <w:r w:rsidR="00B82146" w:rsidRPr="00FD1145">
        <w:t>DXd</w:t>
      </w:r>
      <w:proofErr w:type="spellEnd"/>
      <w:r w:rsidR="00B82146" w:rsidRPr="00FD1145">
        <w:t xml:space="preserve"> v</w:t>
      </w:r>
      <w:r w:rsidR="005C53DF" w:rsidRPr="00FD1145">
        <w:t>ersu</w:t>
      </w:r>
      <w:r w:rsidR="00B82146" w:rsidRPr="00FD1145">
        <w:t xml:space="preserve">s T-DM1 in patients with HER2+ </w:t>
      </w:r>
      <w:proofErr w:type="spellStart"/>
      <w:r w:rsidR="00B82146" w:rsidRPr="00FD1145">
        <w:t>mBC</w:t>
      </w:r>
      <w:proofErr w:type="spellEnd"/>
      <w:r w:rsidR="00B82146" w:rsidRPr="00FD1145">
        <w:t>)</w:t>
      </w:r>
      <w:r w:rsidR="00663E4D" w:rsidRPr="00FD1145">
        <w:t xml:space="preserve">, in which </w:t>
      </w:r>
      <w:r w:rsidR="00B82146" w:rsidRPr="00FD1145">
        <w:t>approximately half (64/130</w:t>
      </w:r>
      <w:r w:rsidR="00162465" w:rsidRPr="00FD1145">
        <w:t>, 49%</w:t>
      </w:r>
      <w:r w:rsidR="00B82146" w:rsidRPr="00FD1145">
        <w:t xml:space="preserve">) of </w:t>
      </w:r>
      <w:r w:rsidR="005745D1" w:rsidRPr="00FD1145">
        <w:t xml:space="preserve">the </w:t>
      </w:r>
      <w:r w:rsidR="00B82146" w:rsidRPr="00FD1145">
        <w:t>patients</w:t>
      </w:r>
      <w:r w:rsidR="001E0524" w:rsidRPr="00FD1145">
        <w:t xml:space="preserve"> in the T-</w:t>
      </w:r>
      <w:proofErr w:type="spellStart"/>
      <w:r w:rsidR="001E0524" w:rsidRPr="00FD1145">
        <w:t>DXd</w:t>
      </w:r>
      <w:proofErr w:type="spellEnd"/>
      <w:r w:rsidR="001E0524" w:rsidRPr="00FD1145">
        <w:t xml:space="preserve"> arm</w:t>
      </w:r>
      <w:r w:rsidR="00B82146" w:rsidRPr="00FD1145">
        <w:t xml:space="preserve"> </w:t>
      </w:r>
      <w:r w:rsidR="006656E4" w:rsidRPr="00FD1145">
        <w:t xml:space="preserve">who received </w:t>
      </w:r>
      <w:r w:rsidR="001E0524" w:rsidRPr="00FD1145">
        <w:t xml:space="preserve">subsequent anti-cancer therapy </w:t>
      </w:r>
      <w:r w:rsidR="00B82146" w:rsidRPr="00FD1145">
        <w:t>received T-DM1</w:t>
      </w:r>
      <w:r w:rsidR="001E0524" w:rsidRPr="00FD1145">
        <w:t>.</w:t>
      </w:r>
      <w:r w:rsidR="00B82146" w:rsidRPr="00FD1145">
        <w:t xml:space="preserve"> </w:t>
      </w:r>
    </w:p>
    <w:p w14:paraId="00D280DE" w14:textId="06FA820C" w:rsidR="002C3E78" w:rsidRPr="00FD1145" w:rsidRDefault="00BE37D4" w:rsidP="00F84089">
      <w:pPr>
        <w:pStyle w:val="3-BodyText"/>
      </w:pPr>
      <w:r w:rsidRPr="00FD1145">
        <w:t xml:space="preserve">The </w:t>
      </w:r>
      <w:r w:rsidR="001B405F" w:rsidRPr="00FD1145">
        <w:t xml:space="preserve">evaluation considered that the </w:t>
      </w:r>
      <w:r w:rsidR="00C65E28" w:rsidRPr="00FD1145">
        <w:t xml:space="preserve">proposed 50:50 split used in the resubmission </w:t>
      </w:r>
      <w:r w:rsidR="007972FD" w:rsidRPr="00FD1145">
        <w:t>wa</w:t>
      </w:r>
      <w:r w:rsidR="00975208" w:rsidRPr="00FD1145">
        <w:t>s</w:t>
      </w:r>
      <w:r w:rsidR="00A37DAD" w:rsidRPr="00FD1145">
        <w:t xml:space="preserve"> uncertain and </w:t>
      </w:r>
      <w:bookmarkStart w:id="27" w:name="_Ref207376543"/>
      <w:bookmarkEnd w:id="23"/>
      <w:bookmarkEnd w:id="26"/>
      <w:r w:rsidR="00DD2F9A" w:rsidRPr="00FD1145">
        <w:t xml:space="preserve">noted it </w:t>
      </w:r>
      <w:r w:rsidR="00F84089" w:rsidRPr="00FD1145">
        <w:t>has an important impact on the proposed EMP</w:t>
      </w:r>
      <w:r w:rsidR="002C3E78" w:rsidRPr="00FD1145">
        <w:t xml:space="preserve">. </w:t>
      </w:r>
      <w:r w:rsidR="00343E49" w:rsidRPr="00FD1145">
        <w:t>Overall, the ESC considered that</w:t>
      </w:r>
      <w:r w:rsidR="00A150D9" w:rsidRPr="00FD1145">
        <w:t>, while</w:t>
      </w:r>
      <w:r w:rsidR="00343E49" w:rsidRPr="00FD1145">
        <w:t xml:space="preserve"> </w:t>
      </w:r>
      <w:r w:rsidR="00A150D9" w:rsidRPr="00FD1145">
        <w:t xml:space="preserve">the DESTINY-Breast 03 trial was supportive of </w:t>
      </w:r>
      <w:r w:rsidR="00343E49" w:rsidRPr="00FD1145">
        <w:t xml:space="preserve">the </w:t>
      </w:r>
      <w:r w:rsidR="00504059" w:rsidRPr="00FD1145">
        <w:t xml:space="preserve">proposed </w:t>
      </w:r>
      <w:r w:rsidR="00343E49" w:rsidRPr="00FD1145">
        <w:t>50%</w:t>
      </w:r>
      <w:r w:rsidR="00D2656B" w:rsidRPr="00FD1145">
        <w:t>:</w:t>
      </w:r>
      <w:r w:rsidR="00343E49" w:rsidRPr="00FD1145">
        <w:t>50% split</w:t>
      </w:r>
      <w:r w:rsidR="00A150D9" w:rsidRPr="00FD1145">
        <w:t>,</w:t>
      </w:r>
      <w:r w:rsidR="00D14745" w:rsidRPr="00FD1145">
        <w:t xml:space="preserve"> the proportion spli</w:t>
      </w:r>
      <w:r w:rsidR="00A150D9" w:rsidRPr="00FD1145">
        <w:t>t remained</w:t>
      </w:r>
      <w:r w:rsidR="00D2656B" w:rsidRPr="00FD1145">
        <w:t xml:space="preserve"> highl</w:t>
      </w:r>
      <w:r w:rsidR="00504059" w:rsidRPr="00FD1145">
        <w:t xml:space="preserve">y uncertain. </w:t>
      </w:r>
      <w:r w:rsidR="00343E49" w:rsidRPr="00FD1145">
        <w:t xml:space="preserve"> </w:t>
      </w:r>
    </w:p>
    <w:bookmarkEnd w:id="27"/>
    <w:p w14:paraId="46B2491D" w14:textId="170C2D11" w:rsidR="00B55C12" w:rsidRPr="00FD1145" w:rsidRDefault="005A14A2" w:rsidP="00B55C12">
      <w:pPr>
        <w:pStyle w:val="3-BodyText"/>
      </w:pPr>
      <w:r w:rsidRPr="00FD1145">
        <w:t xml:space="preserve">Further, </w:t>
      </w:r>
      <w:r w:rsidR="001B4773" w:rsidRPr="00FD1145">
        <w:t xml:space="preserve">the ESC considered </w:t>
      </w:r>
      <w:r w:rsidR="00667EAB" w:rsidRPr="00FD1145">
        <w:t>the</w:t>
      </w:r>
      <w:r w:rsidRPr="00FD1145">
        <w:t xml:space="preserve"> weighted comparator </w:t>
      </w:r>
      <w:r w:rsidR="00C45073" w:rsidRPr="00FD1145">
        <w:t xml:space="preserve">approach </w:t>
      </w:r>
      <w:r w:rsidRPr="00FD1145">
        <w:t xml:space="preserve">was </w:t>
      </w:r>
      <w:r w:rsidR="00667EAB" w:rsidRPr="00FD1145">
        <w:t>not</w:t>
      </w:r>
      <w:r w:rsidR="00256BDA" w:rsidRPr="00FD1145">
        <w:t xml:space="preserve"> </w:t>
      </w:r>
      <w:r w:rsidRPr="00FD1145">
        <w:t xml:space="preserve">appropriate </w:t>
      </w:r>
      <w:r w:rsidR="00C45073" w:rsidRPr="00FD1145">
        <w:t xml:space="preserve">given </w:t>
      </w:r>
      <w:r w:rsidR="00256BDA" w:rsidRPr="00FD1145">
        <w:t>they do not</w:t>
      </w:r>
      <w:r w:rsidR="00C45073" w:rsidRPr="00FD1145">
        <w:t xml:space="preserve"> represent different comparators for different subpopulations</w:t>
      </w:r>
      <w:r w:rsidR="00256BDA" w:rsidRPr="00FD1145">
        <w:t>, that is, there are not two clinically distinct populations</w:t>
      </w:r>
      <w:r w:rsidR="00273A3A" w:rsidRPr="00FD1145">
        <w:t>.</w:t>
      </w:r>
      <w:r w:rsidR="00C45073" w:rsidRPr="00FD1145">
        <w:t xml:space="preserve"> </w:t>
      </w:r>
      <w:r w:rsidR="00B55C12" w:rsidRPr="00FD1145">
        <w:t xml:space="preserve">The PBAC Guidelines state </w:t>
      </w:r>
      <w:r w:rsidR="00342F6D">
        <w:t>‘</w:t>
      </w:r>
      <w:r w:rsidR="00B55C12" w:rsidRPr="00FD1145">
        <w:t>it may be appropriate to use different comparators for different subpopulations where the overall target population for the proposed medicine includes one or more sub-populations and:</w:t>
      </w:r>
    </w:p>
    <w:p w14:paraId="40ABAF5B" w14:textId="77777777" w:rsidR="00B55C12" w:rsidRPr="00FD1145" w:rsidRDefault="00B55C12" w:rsidP="00B55C12">
      <w:pPr>
        <w:pStyle w:val="ListParagraph"/>
        <w:ind w:left="1134"/>
      </w:pPr>
      <w:r w:rsidRPr="00FD1145">
        <w:t>the proposed medicine is claimed to be significantly more effective or significantly less toxic than the main alternative comparator therapy in the subpopulation(s) (but not in the remainder of the target population), or,</w:t>
      </w:r>
    </w:p>
    <w:p w14:paraId="15731D63" w14:textId="4929AFF4" w:rsidR="00B55C12" w:rsidRPr="00FD1145" w:rsidRDefault="00B55C12" w:rsidP="00B55C12">
      <w:pPr>
        <w:pStyle w:val="ListParagraph"/>
        <w:ind w:left="1134"/>
      </w:pPr>
      <w:r w:rsidRPr="00FD1145">
        <w:t>where the main comparator therapy used to treat the overall target population cannot be used. That therapy is, therefore, not an alternative therapy for that subpopulation</w:t>
      </w:r>
      <w:r w:rsidR="00342F6D">
        <w:t>’</w:t>
      </w:r>
      <w:r w:rsidRPr="00FD1145">
        <w:t xml:space="preserve"> </w:t>
      </w:r>
      <w:r w:rsidR="008C1361" w:rsidRPr="00FD1145">
        <w:t>(</w:t>
      </w:r>
      <w:r w:rsidRPr="00FD1145">
        <w:t>page 14 of the Guidelines for preparing a submission to the PBAC, Version 5.0, September 2016)</w:t>
      </w:r>
      <w:r w:rsidR="008C1361" w:rsidRPr="00FD1145">
        <w:t>.</w:t>
      </w:r>
    </w:p>
    <w:p w14:paraId="1A2EC738" w14:textId="77777777" w:rsidR="003808A2" w:rsidRPr="00FD1145" w:rsidRDefault="00637036" w:rsidP="00637036">
      <w:pPr>
        <w:pStyle w:val="3-BodyText"/>
      </w:pPr>
      <w:r w:rsidRPr="00FD1145">
        <w:t xml:space="preserve">Further, the ESC considered that the cost-minimisation approach versus T-DM1 was problematic because T-DM1 was recommended based on clinical evidence and a price that reflected a generally second-line </w:t>
      </w:r>
      <w:proofErr w:type="spellStart"/>
      <w:r w:rsidRPr="00FD1145">
        <w:t>mBC</w:t>
      </w:r>
      <w:proofErr w:type="spellEnd"/>
      <w:r w:rsidRPr="00FD1145">
        <w:t xml:space="preserve"> setting, which has limited relevance given the proposed place for tucatinib is in a generally third-line setting. Given this, the ESC </w:t>
      </w:r>
      <w:r w:rsidRPr="00FD1145">
        <w:lastRenderedPageBreak/>
        <w:t xml:space="preserve">considered that a single comparator of trastuzumab plus capecitabine would be more appropriate. </w:t>
      </w:r>
    </w:p>
    <w:p w14:paraId="5CE1F0EF" w14:textId="3288CFA2" w:rsidR="00637036" w:rsidRDefault="00637036" w:rsidP="00637036">
      <w:pPr>
        <w:pStyle w:val="3-BodyText"/>
      </w:pPr>
      <w:bookmarkStart w:id="28" w:name="_Ref211501366"/>
      <w:r w:rsidRPr="00FD1145">
        <w:t xml:space="preserve">In addition, the ESC noted that </w:t>
      </w:r>
      <w:r w:rsidR="00391B83" w:rsidRPr="00FD1145">
        <w:t xml:space="preserve">the DUSC analysis showed that </w:t>
      </w:r>
      <w:r w:rsidR="00412010" w:rsidRPr="00FD1145">
        <w:t>38%</w:t>
      </w:r>
      <w:r w:rsidRPr="00FD1145">
        <w:t xml:space="preserve"> of patients received ‘other’ therapies (i.e. lapatinib or chemotherapies) following T-</w:t>
      </w:r>
      <w:proofErr w:type="spellStart"/>
      <w:r w:rsidRPr="00FD1145">
        <w:t>DXd</w:t>
      </w:r>
      <w:proofErr w:type="spellEnd"/>
      <w:r w:rsidRPr="00FD1145">
        <w:t xml:space="preserve">, </w:t>
      </w:r>
      <w:r w:rsidR="003808A2" w:rsidRPr="00FD1145">
        <w:t>which was higher than the proportion who received T-DM1 following T-</w:t>
      </w:r>
      <w:proofErr w:type="spellStart"/>
      <w:r w:rsidR="003808A2" w:rsidRPr="00FD1145">
        <w:t>DXd</w:t>
      </w:r>
      <w:proofErr w:type="spellEnd"/>
      <w:r w:rsidR="003808A2" w:rsidRPr="00FD1145">
        <w:t xml:space="preserve"> (21%)</w:t>
      </w:r>
      <w:r w:rsidR="006B60E4" w:rsidRPr="00FD1145">
        <w:t xml:space="preserve"> in the DUSC analysis</w:t>
      </w:r>
      <w:r w:rsidRPr="00FD1145">
        <w:t>.</w:t>
      </w:r>
      <w:r w:rsidR="003808A2" w:rsidRPr="00FD1145">
        <w:t xml:space="preserve"> Given the range of therapies </w:t>
      </w:r>
      <w:r w:rsidR="00042E99" w:rsidRPr="00FD1145">
        <w:t xml:space="preserve">that patients </w:t>
      </w:r>
      <w:r w:rsidR="003808A2" w:rsidRPr="00FD1145">
        <w:t>receive following T-</w:t>
      </w:r>
      <w:proofErr w:type="spellStart"/>
      <w:r w:rsidR="003808A2" w:rsidRPr="00FD1145">
        <w:t>DXd</w:t>
      </w:r>
      <w:proofErr w:type="spellEnd"/>
      <w:r w:rsidR="003808A2" w:rsidRPr="00FD1145">
        <w:t xml:space="preserve">, the ESC considered that a single comparator approach </w:t>
      </w:r>
      <w:r w:rsidR="00042E99" w:rsidRPr="00FD1145">
        <w:t>would be more</w:t>
      </w:r>
      <w:r w:rsidR="003808A2" w:rsidRPr="00FD1145">
        <w:t xml:space="preserve"> appropriate rather than weighting between a variety of </w:t>
      </w:r>
      <w:r w:rsidR="00042E99" w:rsidRPr="00FD1145">
        <w:t>therapies</w:t>
      </w:r>
      <w:r w:rsidR="006103CD" w:rsidRPr="00FD1145">
        <w:t>,</w:t>
      </w:r>
      <w:r w:rsidR="00042E99" w:rsidRPr="00FD1145">
        <w:t xml:space="preserve"> </w:t>
      </w:r>
      <w:r w:rsidR="00967466" w:rsidRPr="00FD1145">
        <w:t>noting the</w:t>
      </w:r>
      <w:r w:rsidR="003808A2" w:rsidRPr="00FD1145">
        <w:t xml:space="preserve"> </w:t>
      </w:r>
      <w:r w:rsidR="00042E99" w:rsidRPr="00FD1145">
        <w:t xml:space="preserve">high level of </w:t>
      </w:r>
      <w:r w:rsidR="003808A2" w:rsidRPr="00FD1145">
        <w:t>uncertain</w:t>
      </w:r>
      <w:r w:rsidR="00042E99" w:rsidRPr="00FD1145">
        <w:t>ty regarding the</w:t>
      </w:r>
      <w:r w:rsidR="003808A2" w:rsidRPr="00FD1145">
        <w:t xml:space="preserve"> </w:t>
      </w:r>
      <w:r w:rsidR="00042E99" w:rsidRPr="00FD1145">
        <w:t xml:space="preserve">proportion of </w:t>
      </w:r>
      <w:r w:rsidR="006103CD" w:rsidRPr="00FD1145">
        <w:t xml:space="preserve">each </w:t>
      </w:r>
      <w:r w:rsidR="00C72F53" w:rsidRPr="00FD1145">
        <w:t>therap</w:t>
      </w:r>
      <w:r w:rsidR="006103CD" w:rsidRPr="00FD1145">
        <w:t>y</w:t>
      </w:r>
      <w:r w:rsidR="00C72F53" w:rsidRPr="00FD1145">
        <w:t xml:space="preserve"> likely to be </w:t>
      </w:r>
      <w:r w:rsidR="00042E99" w:rsidRPr="00FD1145">
        <w:t>replace</w:t>
      </w:r>
      <w:r w:rsidR="00C72F53" w:rsidRPr="00FD1145">
        <w:t>d</w:t>
      </w:r>
      <w:r w:rsidR="001C7954" w:rsidRPr="00FD1145">
        <w:t xml:space="preserve"> </w:t>
      </w:r>
      <w:r w:rsidR="00C01A92" w:rsidRPr="00FD1145">
        <w:t>(</w:t>
      </w:r>
      <w:r w:rsidR="001C7954" w:rsidRPr="00FD1145">
        <w:t>including uncertainty regarding the level of uptake of tucatinib from each of these therapies</w:t>
      </w:r>
      <w:r w:rsidR="00C01A92" w:rsidRPr="00FD1145">
        <w:t>)</w:t>
      </w:r>
      <w:r w:rsidR="00042E99" w:rsidRPr="00FD1145">
        <w:t>.</w:t>
      </w:r>
      <w:bookmarkEnd w:id="28"/>
      <w:r w:rsidR="003808A2" w:rsidRPr="00FD1145">
        <w:t xml:space="preserve"> </w:t>
      </w:r>
    </w:p>
    <w:p w14:paraId="60902C4E" w14:textId="1AD488A9" w:rsidR="00E81238" w:rsidRPr="00E81238" w:rsidRDefault="009E4A41" w:rsidP="00E81238">
      <w:pPr>
        <w:pStyle w:val="3-BodyText"/>
      </w:pPr>
      <w:r>
        <w:t xml:space="preserve">The pre-PBAC response </w:t>
      </w:r>
      <w:r w:rsidR="00B82281">
        <w:t xml:space="preserve">maintained that </w:t>
      </w:r>
      <w:r w:rsidR="00B82281" w:rsidRPr="00B82281">
        <w:t xml:space="preserve">tucatinib </w:t>
      </w:r>
      <w:r w:rsidR="006C5B71">
        <w:t>would</w:t>
      </w:r>
      <w:r w:rsidR="00B82281" w:rsidRPr="00B82281">
        <w:t xml:space="preserve"> substitute for both trastuzumab </w:t>
      </w:r>
      <w:r w:rsidR="00827B23">
        <w:t>plus</w:t>
      </w:r>
      <w:r w:rsidR="00B82281" w:rsidRPr="00B82281">
        <w:t xml:space="preserve"> capecitabine and T-DM1</w:t>
      </w:r>
      <w:r w:rsidR="00B82281">
        <w:t xml:space="preserve">, </w:t>
      </w:r>
      <w:r>
        <w:t>stat</w:t>
      </w:r>
      <w:r w:rsidR="00B82281">
        <w:t>ing</w:t>
      </w:r>
      <w:r>
        <w:t xml:space="preserve"> </w:t>
      </w:r>
      <w:r w:rsidR="00342F6D">
        <w:t>‘</w:t>
      </w:r>
      <w:r w:rsidR="00390B49">
        <w:t>c</w:t>
      </w:r>
      <w:r w:rsidR="00390B49" w:rsidRPr="00390B49">
        <w:t>urrently, selection of treatment is made on an individual patient basis, as there aren’t any distinct subgroups of patients for whom one treatment is clearly favoured over another</w:t>
      </w:r>
      <w:r w:rsidR="00342F6D">
        <w:t>’</w:t>
      </w:r>
      <w:r w:rsidR="00390B49">
        <w:t xml:space="preserve">. </w:t>
      </w:r>
      <w:r w:rsidR="00E81238">
        <w:t xml:space="preserve">The pre-PBAC response further stated </w:t>
      </w:r>
      <w:r w:rsidR="00342F6D">
        <w:t>‘</w:t>
      </w:r>
      <w:r w:rsidR="00581915">
        <w:t>i</w:t>
      </w:r>
      <w:r w:rsidR="00E22700" w:rsidRPr="00E22700">
        <w:t>f listed on the PBS, tucatinib will become the new SoC in the post-T-</w:t>
      </w:r>
      <w:proofErr w:type="spellStart"/>
      <w:r w:rsidR="00E22700" w:rsidRPr="00E22700">
        <w:t>DXd</w:t>
      </w:r>
      <w:proofErr w:type="spellEnd"/>
      <w:r w:rsidR="00E22700" w:rsidRPr="00E22700">
        <w:t xml:space="preserve"> progression setting and will substitute for both trastuzumab</w:t>
      </w:r>
      <w:r w:rsidR="00581915">
        <w:t xml:space="preserve"> plus </w:t>
      </w:r>
      <w:r w:rsidR="00E22700" w:rsidRPr="00E22700">
        <w:t xml:space="preserve">capecitabine and T-DM1 in the majority of </w:t>
      </w:r>
      <w:proofErr w:type="gramStart"/>
      <w:r w:rsidR="00E22700" w:rsidRPr="00E22700">
        <w:t>patients</w:t>
      </w:r>
      <w:r w:rsidR="00342F6D">
        <w:t>’</w:t>
      </w:r>
      <w:proofErr w:type="gramEnd"/>
      <w:r w:rsidR="00E22700" w:rsidRPr="00E22700">
        <w:t xml:space="preserve">. </w:t>
      </w:r>
      <w:r w:rsidR="00390B49">
        <w:t xml:space="preserve">However, the PBAC considered that </w:t>
      </w:r>
      <w:r w:rsidR="00A46D4B">
        <w:t xml:space="preserve">there was no clinical rationale for clinicians to </w:t>
      </w:r>
      <w:r w:rsidR="00257092">
        <w:t>switch patients who would otherwise be treated with T-DM1 to tucatinib</w:t>
      </w:r>
      <w:r w:rsidR="00872AF5">
        <w:t>. Further,</w:t>
      </w:r>
      <w:r w:rsidR="00E81238" w:rsidRPr="00E81238">
        <w:t xml:space="preserve"> the Committee considered that most patients with brain metastases would currently use trastuzumab plus capecitabine, and clinicians would likely add tucatinib onto this combination. As such, the PBAC considered that a single comparator of trastuzumab plus capecitabine was appropriate.</w:t>
      </w:r>
    </w:p>
    <w:p w14:paraId="1E216F77" w14:textId="28939E8B" w:rsidR="00FA647E" w:rsidRPr="00FA647E" w:rsidRDefault="00FA647E" w:rsidP="00FA647E">
      <w:pPr>
        <w:pStyle w:val="3-BodyText"/>
        <w:numPr>
          <w:ilvl w:val="0"/>
          <w:numId w:val="0"/>
        </w:numPr>
        <w:spacing w:before="120"/>
        <w:ind w:left="720"/>
        <w:rPr>
          <w:i/>
          <w:iCs/>
        </w:rPr>
      </w:pPr>
      <w:r w:rsidRPr="00FA647E">
        <w:rPr>
          <w:i/>
          <w:iCs/>
        </w:rPr>
        <w:t>For more detail on PBAC’s view, see section 7 PBAC outcome.</w:t>
      </w:r>
    </w:p>
    <w:p w14:paraId="5F64385A" w14:textId="77777777" w:rsidR="00F84089" w:rsidRPr="00C33092" w:rsidRDefault="00F84089" w:rsidP="00F84089">
      <w:pPr>
        <w:pStyle w:val="2-SectionHeading"/>
      </w:pPr>
      <w:bookmarkStart w:id="29" w:name="_Toc208931300"/>
      <w:bookmarkStart w:id="30" w:name="_Toc22897640"/>
      <w:r w:rsidRPr="00C33092">
        <w:t>Consideration of the evidence</w:t>
      </w:r>
      <w:bookmarkEnd w:id="29"/>
    </w:p>
    <w:p w14:paraId="10CDA603" w14:textId="77777777" w:rsidR="00B64CCD" w:rsidRPr="00B64CCD" w:rsidRDefault="00B64CCD" w:rsidP="002B6804">
      <w:pPr>
        <w:keepNext/>
        <w:spacing w:before="120" w:after="120"/>
        <w:outlineLvl w:val="2"/>
        <w:rPr>
          <w:rFonts w:asciiTheme="minorHAnsi" w:eastAsiaTheme="majorEastAsia" w:hAnsiTheme="minorHAnsi" w:cstheme="majorBidi"/>
          <w:b/>
          <w:i/>
          <w:spacing w:val="5"/>
          <w:kern w:val="28"/>
          <w:sz w:val="28"/>
          <w:szCs w:val="36"/>
        </w:rPr>
      </w:pPr>
      <w:bookmarkStart w:id="31" w:name="_Hlk76375935"/>
      <w:bookmarkStart w:id="32" w:name="_Toc208931301"/>
      <w:r w:rsidRPr="00B64CCD">
        <w:rPr>
          <w:rFonts w:asciiTheme="minorHAnsi" w:eastAsiaTheme="majorEastAsia" w:hAnsiTheme="minorHAnsi" w:cstheme="majorBidi"/>
          <w:b/>
          <w:i/>
          <w:spacing w:val="5"/>
          <w:kern w:val="28"/>
          <w:sz w:val="28"/>
          <w:szCs w:val="36"/>
        </w:rPr>
        <w:t>Sponsor hearing</w:t>
      </w:r>
    </w:p>
    <w:p w14:paraId="3C666AD3" w14:textId="1DD96DA8" w:rsidR="00B64CCD" w:rsidRPr="00B64CCD" w:rsidRDefault="00B64CCD" w:rsidP="00B64CCD">
      <w:pPr>
        <w:widowControl w:val="0"/>
        <w:numPr>
          <w:ilvl w:val="1"/>
          <w:numId w:val="4"/>
        </w:numPr>
        <w:spacing w:after="120"/>
        <w:rPr>
          <w:rFonts w:asciiTheme="minorHAnsi" w:hAnsiTheme="minorHAnsi"/>
          <w:bCs/>
          <w:snapToGrid w:val="0"/>
          <w:lang w:eastAsia="en-US"/>
        </w:rPr>
      </w:pPr>
      <w:bookmarkStart w:id="33" w:name="_Hlk76382586"/>
      <w:r w:rsidRPr="00B64CCD">
        <w:rPr>
          <w:rFonts w:asciiTheme="minorHAnsi" w:hAnsiTheme="minorHAnsi"/>
          <w:bCs/>
          <w:snapToGrid w:val="0"/>
          <w:lang w:eastAsia="en-US"/>
        </w:rPr>
        <w:t xml:space="preserve">The sponsor requested a hearing for this item. </w:t>
      </w:r>
      <w:r w:rsidR="00BE2124">
        <w:rPr>
          <w:rFonts w:asciiTheme="minorHAnsi" w:hAnsiTheme="minorHAnsi"/>
          <w:bCs/>
          <w:snapToGrid w:val="0"/>
          <w:lang w:eastAsia="en-US"/>
        </w:rPr>
        <w:t xml:space="preserve">The clinician presented the results of the HER2CLIMB trial </w:t>
      </w:r>
      <w:r w:rsidR="005C03D8">
        <w:rPr>
          <w:rFonts w:asciiTheme="minorHAnsi" w:hAnsiTheme="minorHAnsi"/>
          <w:bCs/>
          <w:snapToGrid w:val="0"/>
          <w:lang w:eastAsia="en-US"/>
        </w:rPr>
        <w:t xml:space="preserve">and outlined </w:t>
      </w:r>
      <w:r w:rsidR="009D2367">
        <w:rPr>
          <w:rFonts w:asciiTheme="minorHAnsi" w:hAnsiTheme="minorHAnsi"/>
          <w:bCs/>
          <w:snapToGrid w:val="0"/>
          <w:lang w:eastAsia="en-US"/>
        </w:rPr>
        <w:t xml:space="preserve">the </w:t>
      </w:r>
      <w:r w:rsidR="001155C5">
        <w:rPr>
          <w:rFonts w:asciiTheme="minorHAnsi" w:hAnsiTheme="minorHAnsi"/>
          <w:bCs/>
          <w:snapToGrid w:val="0"/>
          <w:lang w:eastAsia="en-US"/>
        </w:rPr>
        <w:t>improved overall survival</w:t>
      </w:r>
      <w:r w:rsidR="002D1916">
        <w:rPr>
          <w:rFonts w:asciiTheme="minorHAnsi" w:hAnsiTheme="minorHAnsi"/>
          <w:bCs/>
          <w:snapToGrid w:val="0"/>
          <w:lang w:eastAsia="en-US"/>
        </w:rPr>
        <w:t xml:space="preserve"> and CNS responses</w:t>
      </w:r>
      <w:r w:rsidR="001155C5">
        <w:rPr>
          <w:rFonts w:asciiTheme="minorHAnsi" w:hAnsiTheme="minorHAnsi"/>
          <w:bCs/>
          <w:snapToGrid w:val="0"/>
          <w:lang w:eastAsia="en-US"/>
        </w:rPr>
        <w:t xml:space="preserve"> </w:t>
      </w:r>
      <w:r w:rsidR="00FB249E">
        <w:rPr>
          <w:rFonts w:asciiTheme="minorHAnsi" w:hAnsiTheme="minorHAnsi"/>
          <w:bCs/>
          <w:snapToGrid w:val="0"/>
          <w:lang w:eastAsia="en-US"/>
        </w:rPr>
        <w:t xml:space="preserve">that were observed </w:t>
      </w:r>
      <w:r w:rsidR="001155C5">
        <w:rPr>
          <w:rFonts w:asciiTheme="minorHAnsi" w:hAnsiTheme="minorHAnsi"/>
          <w:bCs/>
          <w:snapToGrid w:val="0"/>
          <w:lang w:eastAsia="en-US"/>
        </w:rPr>
        <w:t>in patients with brain metastases.</w:t>
      </w:r>
      <w:r w:rsidR="00404218">
        <w:rPr>
          <w:rFonts w:asciiTheme="minorHAnsi" w:hAnsiTheme="minorHAnsi"/>
          <w:bCs/>
          <w:snapToGrid w:val="0"/>
          <w:lang w:eastAsia="en-US"/>
        </w:rPr>
        <w:t xml:space="preserve"> T</w:t>
      </w:r>
      <w:r w:rsidR="00404218" w:rsidRPr="00404218">
        <w:rPr>
          <w:rFonts w:asciiTheme="minorHAnsi" w:hAnsiTheme="minorHAnsi"/>
          <w:bCs/>
          <w:snapToGrid w:val="0"/>
          <w:lang w:eastAsia="en-US"/>
        </w:rPr>
        <w:t xml:space="preserve">he </w:t>
      </w:r>
      <w:r w:rsidR="008877C9">
        <w:rPr>
          <w:rFonts w:asciiTheme="minorHAnsi" w:hAnsiTheme="minorHAnsi"/>
          <w:bCs/>
          <w:snapToGrid w:val="0"/>
          <w:lang w:eastAsia="en-US"/>
        </w:rPr>
        <w:t xml:space="preserve">clinician outlined that </w:t>
      </w:r>
      <w:r w:rsidR="00701B93">
        <w:rPr>
          <w:rFonts w:asciiTheme="minorHAnsi" w:hAnsiTheme="minorHAnsi"/>
          <w:bCs/>
          <w:snapToGrid w:val="0"/>
          <w:lang w:eastAsia="en-US"/>
        </w:rPr>
        <w:t>the addition of t</w:t>
      </w:r>
      <w:r w:rsidR="00404218">
        <w:rPr>
          <w:rFonts w:asciiTheme="minorHAnsi" w:hAnsiTheme="minorHAnsi"/>
          <w:bCs/>
          <w:snapToGrid w:val="0"/>
          <w:lang w:eastAsia="en-US"/>
        </w:rPr>
        <w:t xml:space="preserve">ucatinib to </w:t>
      </w:r>
      <w:r w:rsidR="004D7954">
        <w:rPr>
          <w:rFonts w:asciiTheme="minorHAnsi" w:hAnsiTheme="minorHAnsi"/>
          <w:bCs/>
          <w:snapToGrid w:val="0"/>
          <w:lang w:eastAsia="en-US"/>
        </w:rPr>
        <w:t>trastuzumab</w:t>
      </w:r>
      <w:r w:rsidR="004D7954" w:rsidRPr="00FD1145">
        <w:rPr>
          <w:lang w:eastAsia="en-US"/>
        </w:rPr>
        <w:t xml:space="preserve"> </w:t>
      </w:r>
      <w:r w:rsidR="004D7954">
        <w:rPr>
          <w:lang w:eastAsia="en-US"/>
        </w:rPr>
        <w:t xml:space="preserve">and </w:t>
      </w:r>
      <w:r w:rsidR="004D7954" w:rsidRPr="00FD1145">
        <w:rPr>
          <w:lang w:eastAsia="en-US"/>
        </w:rPr>
        <w:t>capecitabine</w:t>
      </w:r>
      <w:r w:rsidR="004D7954">
        <w:rPr>
          <w:rFonts w:asciiTheme="minorHAnsi" w:hAnsiTheme="minorHAnsi"/>
          <w:bCs/>
          <w:snapToGrid w:val="0"/>
          <w:lang w:eastAsia="en-US"/>
        </w:rPr>
        <w:t xml:space="preserve"> </w:t>
      </w:r>
      <w:r w:rsidR="008877C9">
        <w:rPr>
          <w:rFonts w:asciiTheme="minorHAnsi" w:hAnsiTheme="minorHAnsi"/>
          <w:bCs/>
          <w:snapToGrid w:val="0"/>
          <w:lang w:eastAsia="en-US"/>
        </w:rPr>
        <w:t>has</w:t>
      </w:r>
      <w:r w:rsidR="00404218" w:rsidRPr="00404218">
        <w:rPr>
          <w:rFonts w:asciiTheme="minorHAnsi" w:hAnsiTheme="minorHAnsi"/>
          <w:bCs/>
          <w:snapToGrid w:val="0"/>
          <w:lang w:eastAsia="en-US"/>
        </w:rPr>
        <w:t xml:space="preserve"> manageable </w:t>
      </w:r>
      <w:r w:rsidR="00BC4121">
        <w:rPr>
          <w:rFonts w:asciiTheme="minorHAnsi" w:hAnsiTheme="minorHAnsi"/>
          <w:bCs/>
          <w:snapToGrid w:val="0"/>
          <w:lang w:eastAsia="en-US"/>
        </w:rPr>
        <w:t>adverse</w:t>
      </w:r>
      <w:r w:rsidR="00404218" w:rsidRPr="00404218">
        <w:rPr>
          <w:rFonts w:asciiTheme="minorHAnsi" w:hAnsiTheme="minorHAnsi"/>
          <w:bCs/>
          <w:snapToGrid w:val="0"/>
          <w:lang w:eastAsia="en-US"/>
        </w:rPr>
        <w:t xml:space="preserve"> effects</w:t>
      </w:r>
      <w:r w:rsidR="00834087">
        <w:rPr>
          <w:rFonts w:asciiTheme="minorHAnsi" w:hAnsiTheme="minorHAnsi"/>
          <w:bCs/>
          <w:snapToGrid w:val="0"/>
          <w:lang w:eastAsia="en-US"/>
        </w:rPr>
        <w:t xml:space="preserve"> (particularly </w:t>
      </w:r>
      <w:r w:rsidR="00E6388F">
        <w:rPr>
          <w:rFonts w:asciiTheme="minorHAnsi" w:hAnsiTheme="minorHAnsi"/>
          <w:bCs/>
          <w:snapToGrid w:val="0"/>
          <w:lang w:eastAsia="en-US"/>
        </w:rPr>
        <w:t>given</w:t>
      </w:r>
      <w:r w:rsidR="000226B1">
        <w:rPr>
          <w:rFonts w:asciiTheme="minorHAnsi" w:hAnsiTheme="minorHAnsi"/>
          <w:bCs/>
          <w:snapToGrid w:val="0"/>
          <w:lang w:eastAsia="en-US"/>
        </w:rPr>
        <w:t xml:space="preserve"> </w:t>
      </w:r>
      <w:r w:rsidR="00834087">
        <w:rPr>
          <w:rFonts w:asciiTheme="minorHAnsi" w:hAnsiTheme="minorHAnsi"/>
          <w:bCs/>
          <w:snapToGrid w:val="0"/>
          <w:lang w:eastAsia="en-US"/>
        </w:rPr>
        <w:t>dose reductions</w:t>
      </w:r>
      <w:r w:rsidR="00E6388F">
        <w:rPr>
          <w:rFonts w:asciiTheme="minorHAnsi" w:hAnsiTheme="minorHAnsi"/>
          <w:bCs/>
          <w:snapToGrid w:val="0"/>
          <w:lang w:eastAsia="en-US"/>
        </w:rPr>
        <w:t xml:space="preserve"> may be used to manage adverse effects</w:t>
      </w:r>
      <w:r w:rsidR="000226B1">
        <w:rPr>
          <w:rFonts w:asciiTheme="minorHAnsi" w:hAnsiTheme="minorHAnsi"/>
          <w:bCs/>
          <w:snapToGrid w:val="0"/>
          <w:lang w:eastAsia="en-US"/>
        </w:rPr>
        <w:t xml:space="preserve"> </w:t>
      </w:r>
      <w:r w:rsidR="00834087">
        <w:rPr>
          <w:rFonts w:asciiTheme="minorHAnsi" w:hAnsiTheme="minorHAnsi"/>
          <w:bCs/>
          <w:snapToGrid w:val="0"/>
          <w:lang w:eastAsia="en-US"/>
        </w:rPr>
        <w:t>in clinical practice)</w:t>
      </w:r>
      <w:r w:rsidR="00D51040">
        <w:rPr>
          <w:rFonts w:asciiTheme="minorHAnsi" w:hAnsiTheme="minorHAnsi"/>
          <w:bCs/>
          <w:snapToGrid w:val="0"/>
          <w:lang w:eastAsia="en-US"/>
        </w:rPr>
        <w:t xml:space="preserve"> and</w:t>
      </w:r>
      <w:r w:rsidR="00404218" w:rsidRPr="00404218">
        <w:rPr>
          <w:rFonts w:asciiTheme="minorHAnsi" w:hAnsiTheme="minorHAnsi"/>
          <w:bCs/>
          <w:snapToGrid w:val="0"/>
          <w:lang w:eastAsia="en-US"/>
        </w:rPr>
        <w:t xml:space="preserve"> preserve</w:t>
      </w:r>
      <w:r w:rsidR="009E742C">
        <w:rPr>
          <w:rFonts w:asciiTheme="minorHAnsi" w:hAnsiTheme="minorHAnsi"/>
          <w:bCs/>
          <w:snapToGrid w:val="0"/>
          <w:lang w:eastAsia="en-US"/>
        </w:rPr>
        <w:t>s</w:t>
      </w:r>
      <w:r w:rsidR="00404218" w:rsidRPr="00404218">
        <w:rPr>
          <w:rFonts w:asciiTheme="minorHAnsi" w:hAnsiTheme="minorHAnsi"/>
          <w:bCs/>
          <w:snapToGrid w:val="0"/>
          <w:lang w:eastAsia="en-US"/>
        </w:rPr>
        <w:t xml:space="preserve"> quality of life.</w:t>
      </w:r>
      <w:r w:rsidR="001D12C8">
        <w:rPr>
          <w:rFonts w:asciiTheme="minorHAnsi" w:hAnsiTheme="minorHAnsi"/>
          <w:bCs/>
          <w:snapToGrid w:val="0"/>
          <w:lang w:eastAsia="en-US"/>
        </w:rPr>
        <w:t xml:space="preserve"> The clinician outlined the benefit of fewer Emergency Department admissions due to more effective CNS control</w:t>
      </w:r>
      <w:r w:rsidR="00B4508A">
        <w:rPr>
          <w:rFonts w:asciiTheme="minorHAnsi" w:hAnsiTheme="minorHAnsi"/>
          <w:bCs/>
          <w:snapToGrid w:val="0"/>
          <w:lang w:eastAsia="en-US"/>
        </w:rPr>
        <w:t>,</w:t>
      </w:r>
      <w:r w:rsidR="00B4508A" w:rsidRPr="00B4508A">
        <w:rPr>
          <w:rFonts w:asciiTheme="minorHAnsi" w:hAnsiTheme="minorHAnsi"/>
          <w:bCs/>
          <w:snapToGrid w:val="0"/>
          <w:lang w:eastAsia="en-US"/>
        </w:rPr>
        <w:t xml:space="preserve"> </w:t>
      </w:r>
      <w:proofErr w:type="gramStart"/>
      <w:r w:rsidR="00B4508A" w:rsidRPr="00404218">
        <w:rPr>
          <w:rFonts w:asciiTheme="minorHAnsi" w:hAnsiTheme="minorHAnsi"/>
          <w:bCs/>
          <w:snapToGrid w:val="0"/>
          <w:lang w:eastAsia="en-US"/>
        </w:rPr>
        <w:t xml:space="preserve">and </w:t>
      </w:r>
      <w:r w:rsidR="00B4508A">
        <w:rPr>
          <w:rFonts w:asciiTheme="minorHAnsi" w:hAnsiTheme="minorHAnsi"/>
          <w:bCs/>
          <w:snapToGrid w:val="0"/>
          <w:lang w:eastAsia="en-US"/>
        </w:rPr>
        <w:t>also</w:t>
      </w:r>
      <w:proofErr w:type="gramEnd"/>
      <w:r w:rsidR="00B4508A">
        <w:rPr>
          <w:rFonts w:asciiTheme="minorHAnsi" w:hAnsiTheme="minorHAnsi"/>
          <w:bCs/>
          <w:snapToGrid w:val="0"/>
          <w:lang w:eastAsia="en-US"/>
        </w:rPr>
        <w:t xml:space="preserve"> the </w:t>
      </w:r>
      <w:r w:rsidR="00B4508A" w:rsidRPr="00404218">
        <w:rPr>
          <w:rFonts w:asciiTheme="minorHAnsi" w:hAnsiTheme="minorHAnsi"/>
          <w:bCs/>
          <w:snapToGrid w:val="0"/>
          <w:lang w:eastAsia="en-US"/>
        </w:rPr>
        <w:t>ease of administration</w:t>
      </w:r>
      <w:r w:rsidR="00B4508A">
        <w:rPr>
          <w:rFonts w:asciiTheme="minorHAnsi" w:hAnsiTheme="minorHAnsi"/>
          <w:bCs/>
          <w:snapToGrid w:val="0"/>
          <w:lang w:eastAsia="en-US"/>
        </w:rPr>
        <w:t xml:space="preserve"> </w:t>
      </w:r>
      <w:r w:rsidR="003F4061">
        <w:rPr>
          <w:rFonts w:asciiTheme="minorHAnsi" w:hAnsiTheme="minorHAnsi"/>
          <w:bCs/>
          <w:snapToGrid w:val="0"/>
          <w:lang w:eastAsia="en-US"/>
        </w:rPr>
        <w:t>given it is</w:t>
      </w:r>
      <w:r w:rsidR="00B4508A">
        <w:rPr>
          <w:rFonts w:asciiTheme="minorHAnsi" w:hAnsiTheme="minorHAnsi"/>
          <w:bCs/>
          <w:snapToGrid w:val="0"/>
          <w:lang w:eastAsia="en-US"/>
        </w:rPr>
        <w:t xml:space="preserve"> an oral/sub-cutaneous regimen </w:t>
      </w:r>
      <w:r w:rsidR="00750737">
        <w:rPr>
          <w:rFonts w:asciiTheme="minorHAnsi" w:hAnsiTheme="minorHAnsi"/>
          <w:bCs/>
          <w:snapToGrid w:val="0"/>
          <w:lang w:eastAsia="en-US"/>
        </w:rPr>
        <w:t>(</w:t>
      </w:r>
      <w:r w:rsidR="001D6CC0">
        <w:rPr>
          <w:rFonts w:asciiTheme="minorHAnsi" w:hAnsiTheme="minorHAnsi"/>
          <w:bCs/>
          <w:snapToGrid w:val="0"/>
          <w:lang w:eastAsia="en-US"/>
        </w:rPr>
        <w:t>which can be a particular advantage</w:t>
      </w:r>
      <w:r w:rsidR="00650483">
        <w:rPr>
          <w:rFonts w:asciiTheme="minorHAnsi" w:hAnsiTheme="minorHAnsi"/>
          <w:bCs/>
          <w:snapToGrid w:val="0"/>
          <w:lang w:eastAsia="en-US"/>
        </w:rPr>
        <w:t xml:space="preserve"> in </w:t>
      </w:r>
      <w:r w:rsidR="00D13035">
        <w:rPr>
          <w:rFonts w:asciiTheme="minorHAnsi" w:hAnsiTheme="minorHAnsi"/>
          <w:bCs/>
          <w:snapToGrid w:val="0"/>
          <w:lang w:eastAsia="en-US"/>
        </w:rPr>
        <w:t xml:space="preserve">patients who are </w:t>
      </w:r>
      <w:r w:rsidR="00650483">
        <w:rPr>
          <w:rFonts w:asciiTheme="minorHAnsi" w:hAnsiTheme="minorHAnsi"/>
          <w:bCs/>
          <w:snapToGrid w:val="0"/>
          <w:lang w:eastAsia="en-US"/>
        </w:rPr>
        <w:t>working</w:t>
      </w:r>
      <w:r w:rsidR="001D6CC0">
        <w:rPr>
          <w:rFonts w:asciiTheme="minorHAnsi" w:hAnsiTheme="minorHAnsi"/>
          <w:bCs/>
          <w:snapToGrid w:val="0"/>
          <w:lang w:eastAsia="en-US"/>
        </w:rPr>
        <w:t>,</w:t>
      </w:r>
      <w:r w:rsidR="00650483">
        <w:rPr>
          <w:rFonts w:asciiTheme="minorHAnsi" w:hAnsiTheme="minorHAnsi"/>
          <w:bCs/>
          <w:snapToGrid w:val="0"/>
          <w:lang w:eastAsia="en-US"/>
        </w:rPr>
        <w:t xml:space="preserve"> </w:t>
      </w:r>
      <w:r w:rsidR="00D13035">
        <w:rPr>
          <w:rFonts w:asciiTheme="minorHAnsi" w:hAnsiTheme="minorHAnsi"/>
          <w:bCs/>
          <w:snapToGrid w:val="0"/>
          <w:lang w:eastAsia="en-US"/>
        </w:rPr>
        <w:t>or</w:t>
      </w:r>
      <w:r w:rsidR="008D1646">
        <w:rPr>
          <w:rFonts w:asciiTheme="minorHAnsi" w:hAnsiTheme="minorHAnsi"/>
          <w:bCs/>
          <w:snapToGrid w:val="0"/>
          <w:lang w:eastAsia="en-US"/>
        </w:rPr>
        <w:t xml:space="preserve"> who live</w:t>
      </w:r>
      <w:r w:rsidR="00D13035">
        <w:rPr>
          <w:rFonts w:asciiTheme="minorHAnsi" w:hAnsiTheme="minorHAnsi"/>
          <w:bCs/>
          <w:snapToGrid w:val="0"/>
          <w:lang w:eastAsia="en-US"/>
        </w:rPr>
        <w:t xml:space="preserve"> in regional/rural </w:t>
      </w:r>
      <w:r w:rsidR="008D1646">
        <w:rPr>
          <w:rFonts w:asciiTheme="minorHAnsi" w:hAnsiTheme="minorHAnsi"/>
          <w:bCs/>
          <w:snapToGrid w:val="0"/>
          <w:lang w:eastAsia="en-US"/>
        </w:rPr>
        <w:t>location</w:t>
      </w:r>
      <w:r w:rsidR="00D13035">
        <w:rPr>
          <w:rFonts w:asciiTheme="minorHAnsi" w:hAnsiTheme="minorHAnsi"/>
          <w:bCs/>
          <w:snapToGrid w:val="0"/>
          <w:lang w:eastAsia="en-US"/>
        </w:rPr>
        <w:t>s</w:t>
      </w:r>
      <w:r w:rsidR="00650483">
        <w:rPr>
          <w:rFonts w:asciiTheme="minorHAnsi" w:hAnsiTheme="minorHAnsi"/>
          <w:bCs/>
          <w:snapToGrid w:val="0"/>
          <w:lang w:eastAsia="en-US"/>
        </w:rPr>
        <w:t xml:space="preserve">). </w:t>
      </w:r>
      <w:r w:rsidR="007E31D7">
        <w:rPr>
          <w:rFonts w:asciiTheme="minorHAnsi" w:hAnsiTheme="minorHAnsi"/>
          <w:bCs/>
          <w:snapToGrid w:val="0"/>
          <w:lang w:eastAsia="en-US"/>
        </w:rPr>
        <w:t xml:space="preserve">In response to questions, the clinician outlined that </w:t>
      </w:r>
      <w:r w:rsidR="00F753CC">
        <w:rPr>
          <w:rFonts w:asciiTheme="minorHAnsi" w:hAnsiTheme="minorHAnsi"/>
          <w:bCs/>
          <w:snapToGrid w:val="0"/>
          <w:lang w:eastAsia="en-US"/>
        </w:rPr>
        <w:t>tucatinib would likely be used in preference to T-DM1</w:t>
      </w:r>
      <w:r w:rsidR="007404EA">
        <w:rPr>
          <w:rFonts w:asciiTheme="minorHAnsi" w:hAnsiTheme="minorHAnsi"/>
          <w:bCs/>
          <w:snapToGrid w:val="0"/>
          <w:lang w:eastAsia="en-US"/>
        </w:rPr>
        <w:t>:</w:t>
      </w:r>
      <w:r w:rsidR="00F753CC">
        <w:rPr>
          <w:rFonts w:asciiTheme="minorHAnsi" w:hAnsiTheme="minorHAnsi"/>
          <w:bCs/>
          <w:snapToGrid w:val="0"/>
          <w:lang w:eastAsia="en-US"/>
        </w:rPr>
        <w:t xml:space="preserve"> </w:t>
      </w:r>
      <w:r w:rsidR="007404EA">
        <w:rPr>
          <w:rFonts w:asciiTheme="minorHAnsi" w:hAnsiTheme="minorHAnsi"/>
          <w:bCs/>
          <w:snapToGrid w:val="0"/>
          <w:lang w:eastAsia="en-US"/>
        </w:rPr>
        <w:t>in patients with brain metastases;</w:t>
      </w:r>
      <w:r w:rsidR="00F753CC">
        <w:rPr>
          <w:rFonts w:asciiTheme="minorHAnsi" w:hAnsiTheme="minorHAnsi"/>
          <w:bCs/>
          <w:snapToGrid w:val="0"/>
          <w:lang w:eastAsia="en-US"/>
        </w:rPr>
        <w:t xml:space="preserve"> in situations where an oral</w:t>
      </w:r>
      <w:r w:rsidR="00483491">
        <w:rPr>
          <w:rFonts w:asciiTheme="minorHAnsi" w:hAnsiTheme="minorHAnsi"/>
          <w:bCs/>
          <w:snapToGrid w:val="0"/>
          <w:lang w:eastAsia="en-US"/>
        </w:rPr>
        <w:t>/sub-cutaneous regimen</w:t>
      </w:r>
      <w:r w:rsidR="00F753CC">
        <w:rPr>
          <w:rFonts w:asciiTheme="minorHAnsi" w:hAnsiTheme="minorHAnsi"/>
          <w:bCs/>
          <w:snapToGrid w:val="0"/>
          <w:lang w:eastAsia="en-US"/>
        </w:rPr>
        <w:t xml:space="preserve"> is preferred</w:t>
      </w:r>
      <w:r w:rsidR="007404EA">
        <w:rPr>
          <w:rFonts w:asciiTheme="minorHAnsi" w:hAnsiTheme="minorHAnsi"/>
          <w:bCs/>
          <w:snapToGrid w:val="0"/>
          <w:lang w:eastAsia="en-US"/>
        </w:rPr>
        <w:t>;</w:t>
      </w:r>
      <w:r w:rsidR="006C76AB">
        <w:rPr>
          <w:rFonts w:asciiTheme="minorHAnsi" w:hAnsiTheme="minorHAnsi"/>
          <w:bCs/>
          <w:snapToGrid w:val="0"/>
          <w:lang w:eastAsia="en-US"/>
        </w:rPr>
        <w:t xml:space="preserve"> or </w:t>
      </w:r>
      <w:r w:rsidR="004B2662">
        <w:rPr>
          <w:rFonts w:asciiTheme="minorHAnsi" w:hAnsiTheme="minorHAnsi"/>
          <w:bCs/>
          <w:snapToGrid w:val="0"/>
          <w:lang w:eastAsia="en-US"/>
        </w:rPr>
        <w:t>depending on the prior regimens received</w:t>
      </w:r>
      <w:r w:rsidR="006E5F2C">
        <w:rPr>
          <w:rFonts w:asciiTheme="minorHAnsi" w:hAnsiTheme="minorHAnsi"/>
          <w:bCs/>
          <w:snapToGrid w:val="0"/>
          <w:lang w:eastAsia="en-US"/>
        </w:rPr>
        <w:t>.</w:t>
      </w:r>
      <w:r w:rsidR="006151FC">
        <w:rPr>
          <w:rFonts w:asciiTheme="minorHAnsi" w:hAnsiTheme="minorHAnsi"/>
          <w:bCs/>
          <w:snapToGrid w:val="0"/>
          <w:lang w:eastAsia="en-US"/>
        </w:rPr>
        <w:t xml:space="preserve"> </w:t>
      </w:r>
    </w:p>
    <w:bookmarkEnd w:id="33"/>
    <w:p w14:paraId="42011013" w14:textId="77777777" w:rsidR="00B64CCD" w:rsidRPr="00B64CCD" w:rsidRDefault="00B64CCD" w:rsidP="002B6804">
      <w:pPr>
        <w:keepNext/>
        <w:spacing w:before="120" w:after="120"/>
        <w:outlineLvl w:val="2"/>
        <w:rPr>
          <w:rFonts w:asciiTheme="minorHAnsi" w:eastAsiaTheme="majorEastAsia" w:hAnsiTheme="minorHAnsi" w:cstheme="majorBidi"/>
          <w:b/>
          <w:i/>
          <w:spacing w:val="5"/>
          <w:kern w:val="28"/>
          <w:sz w:val="28"/>
          <w:szCs w:val="36"/>
        </w:rPr>
      </w:pPr>
      <w:r w:rsidRPr="00B64CCD">
        <w:rPr>
          <w:rFonts w:asciiTheme="minorHAnsi" w:eastAsiaTheme="majorEastAsia" w:hAnsiTheme="minorHAnsi" w:cstheme="majorBidi"/>
          <w:b/>
          <w:i/>
          <w:spacing w:val="5"/>
          <w:kern w:val="28"/>
          <w:sz w:val="28"/>
          <w:szCs w:val="36"/>
        </w:rPr>
        <w:lastRenderedPageBreak/>
        <w:t>Consumer comments</w:t>
      </w:r>
    </w:p>
    <w:p w14:paraId="70D0E49C" w14:textId="6C8B10C2" w:rsidR="00680EDA" w:rsidRPr="00680EDA" w:rsidRDefault="00B64CCD" w:rsidP="00551CEE">
      <w:pPr>
        <w:widowControl w:val="0"/>
        <w:numPr>
          <w:ilvl w:val="1"/>
          <w:numId w:val="4"/>
        </w:numPr>
        <w:spacing w:after="120"/>
        <w:rPr>
          <w:snapToGrid w:val="0"/>
          <w:lang w:eastAsia="en-US"/>
        </w:rPr>
      </w:pPr>
      <w:bookmarkStart w:id="34" w:name="_Hlk76382618"/>
      <w:r w:rsidRPr="00BA7A50">
        <w:rPr>
          <w:snapToGrid w:val="0"/>
          <w:lang w:eastAsia="en-US"/>
        </w:rPr>
        <w:t>The PBAC noted and welcomed the input from individuals (</w:t>
      </w:r>
      <w:r w:rsidR="009E2EFB" w:rsidRPr="00BA7A50">
        <w:rPr>
          <w:snapToGrid w:val="0"/>
          <w:lang w:eastAsia="en-US"/>
        </w:rPr>
        <w:t>5</w:t>
      </w:r>
      <w:r w:rsidRPr="00BA7A50">
        <w:rPr>
          <w:snapToGrid w:val="0"/>
          <w:lang w:eastAsia="en-US"/>
        </w:rPr>
        <w:t xml:space="preserve">), </w:t>
      </w:r>
      <w:r w:rsidR="00CE429B" w:rsidRPr="00BA7A50">
        <w:rPr>
          <w:snapToGrid w:val="0"/>
          <w:lang w:eastAsia="en-US"/>
        </w:rPr>
        <w:t xml:space="preserve">a </w:t>
      </w:r>
      <w:r w:rsidRPr="00BA7A50">
        <w:rPr>
          <w:snapToGrid w:val="0"/>
          <w:lang w:eastAsia="en-US"/>
        </w:rPr>
        <w:t>health care professional (1) and organisations (</w:t>
      </w:r>
      <w:r w:rsidR="008A01A8" w:rsidRPr="00BA7A50">
        <w:rPr>
          <w:snapToGrid w:val="0"/>
          <w:lang w:eastAsia="en-US"/>
        </w:rPr>
        <w:t>4</w:t>
      </w:r>
      <w:r w:rsidRPr="00BA7A50">
        <w:rPr>
          <w:snapToGrid w:val="0"/>
          <w:lang w:eastAsia="en-US"/>
        </w:rPr>
        <w:t xml:space="preserve">) via the Consumer Comments facility on the PBS website. </w:t>
      </w:r>
      <w:r w:rsidR="008A01A8" w:rsidRPr="00BA7A50">
        <w:rPr>
          <w:snapToGrid w:val="0"/>
          <w:lang w:eastAsia="en-US"/>
        </w:rPr>
        <w:t xml:space="preserve">The comments described </w:t>
      </w:r>
      <w:r w:rsidR="00680EDA" w:rsidRPr="00680EDA">
        <w:rPr>
          <w:snapToGrid w:val="0"/>
          <w:lang w:eastAsia="en-US"/>
        </w:rPr>
        <w:t>the significant challenges faced by people living with metastatic HER2-positive breast cancer (third line and beyond</w:t>
      </w:r>
      <w:r w:rsidR="00946D26">
        <w:rPr>
          <w:snapToGrid w:val="0"/>
          <w:lang w:eastAsia="en-US"/>
        </w:rPr>
        <w:t>) including</w:t>
      </w:r>
      <w:r w:rsidR="00680EDA" w:rsidRPr="00680EDA">
        <w:rPr>
          <w:snapToGrid w:val="0"/>
          <w:lang w:eastAsia="en-US"/>
        </w:rPr>
        <w:t xml:space="preserve"> pain, anxiety, fatigue and neurological symptoms, with a substantial impact on quality of life and ability to work. </w:t>
      </w:r>
      <w:r w:rsidR="00E07714">
        <w:rPr>
          <w:snapToGrid w:val="0"/>
          <w:lang w:eastAsia="en-US"/>
        </w:rPr>
        <w:t xml:space="preserve">The comments also outlined </w:t>
      </w:r>
      <w:r w:rsidR="006372C1">
        <w:rPr>
          <w:snapToGrid w:val="0"/>
          <w:lang w:eastAsia="en-US"/>
        </w:rPr>
        <w:t xml:space="preserve">that the condition </w:t>
      </w:r>
      <w:r w:rsidR="00E211BF">
        <w:rPr>
          <w:snapToGrid w:val="0"/>
          <w:lang w:eastAsia="en-US"/>
        </w:rPr>
        <w:t xml:space="preserve">often </w:t>
      </w:r>
      <w:r w:rsidR="006372C1">
        <w:rPr>
          <w:snapToGrid w:val="0"/>
          <w:lang w:eastAsia="en-US"/>
        </w:rPr>
        <w:t>affects</w:t>
      </w:r>
      <w:r w:rsidR="00BE46BB">
        <w:rPr>
          <w:snapToGrid w:val="0"/>
          <w:lang w:eastAsia="en-US"/>
        </w:rPr>
        <w:t xml:space="preserve"> young women, </w:t>
      </w:r>
      <w:r w:rsidR="006372C1">
        <w:rPr>
          <w:snapToGrid w:val="0"/>
          <w:lang w:eastAsia="en-US"/>
        </w:rPr>
        <w:t>and the burden</w:t>
      </w:r>
      <w:r w:rsidR="00E07714">
        <w:rPr>
          <w:snapToGrid w:val="0"/>
          <w:lang w:eastAsia="en-US"/>
        </w:rPr>
        <w:t xml:space="preserve"> </w:t>
      </w:r>
      <w:r w:rsidR="00262EE0">
        <w:rPr>
          <w:snapToGrid w:val="0"/>
          <w:lang w:eastAsia="en-US"/>
        </w:rPr>
        <w:t xml:space="preserve">it places </w:t>
      </w:r>
      <w:r w:rsidR="00E07714">
        <w:rPr>
          <w:snapToGrid w:val="0"/>
          <w:lang w:eastAsia="en-US"/>
        </w:rPr>
        <w:t xml:space="preserve">on mothers with young </w:t>
      </w:r>
      <w:r w:rsidR="000A0185">
        <w:rPr>
          <w:snapToGrid w:val="0"/>
          <w:lang w:eastAsia="en-US"/>
        </w:rPr>
        <w:t xml:space="preserve">children. </w:t>
      </w:r>
      <w:r w:rsidR="00680EDA" w:rsidRPr="00680EDA">
        <w:rPr>
          <w:snapToGrid w:val="0"/>
          <w:lang w:eastAsia="en-US"/>
        </w:rPr>
        <w:t xml:space="preserve">Survival is typically limited </w:t>
      </w:r>
      <w:r w:rsidR="00C0102B" w:rsidRPr="00BA7A50">
        <w:rPr>
          <w:snapToGrid w:val="0"/>
          <w:lang w:eastAsia="en-US"/>
        </w:rPr>
        <w:t xml:space="preserve">with </w:t>
      </w:r>
      <w:r w:rsidR="00D4461F">
        <w:rPr>
          <w:snapToGrid w:val="0"/>
          <w:lang w:eastAsia="en-US"/>
        </w:rPr>
        <w:t>few</w:t>
      </w:r>
      <w:r w:rsidR="00680EDA" w:rsidRPr="00680EDA">
        <w:rPr>
          <w:snapToGrid w:val="0"/>
          <w:lang w:eastAsia="en-US"/>
        </w:rPr>
        <w:t xml:space="preserve"> treatment options after failure of more effective therapies</w:t>
      </w:r>
      <w:r w:rsidR="00BC5B7F">
        <w:rPr>
          <w:snapToGrid w:val="0"/>
          <w:lang w:eastAsia="en-US"/>
        </w:rPr>
        <w:t xml:space="preserve">, </w:t>
      </w:r>
      <w:r w:rsidR="00680EDA" w:rsidRPr="00680EDA">
        <w:rPr>
          <w:snapToGrid w:val="0"/>
          <w:lang w:eastAsia="en-US"/>
        </w:rPr>
        <w:t xml:space="preserve">especially for those with brain metastases. </w:t>
      </w:r>
    </w:p>
    <w:p w14:paraId="4C6EC50B" w14:textId="46F806A9" w:rsidR="001C4272" w:rsidRPr="00BB5C17" w:rsidRDefault="00F40527" w:rsidP="001C4272">
      <w:pPr>
        <w:widowControl w:val="0"/>
        <w:numPr>
          <w:ilvl w:val="1"/>
          <w:numId w:val="4"/>
        </w:numPr>
        <w:spacing w:after="120"/>
        <w:rPr>
          <w:snapToGrid w:val="0"/>
          <w:lang w:eastAsia="en-US"/>
        </w:rPr>
      </w:pPr>
      <w:r>
        <w:rPr>
          <w:snapToGrid w:val="0"/>
          <w:lang w:eastAsia="en-US"/>
        </w:rPr>
        <w:t xml:space="preserve">Input </w:t>
      </w:r>
      <w:r w:rsidR="004B4BB8" w:rsidRPr="000448B6">
        <w:rPr>
          <w:snapToGrid w:val="0"/>
          <w:lang w:eastAsia="en-US"/>
        </w:rPr>
        <w:t>emphasi</w:t>
      </w:r>
      <w:r w:rsidR="004B4BB8">
        <w:rPr>
          <w:snapToGrid w:val="0"/>
          <w:lang w:eastAsia="en-US"/>
        </w:rPr>
        <w:t>sed</w:t>
      </w:r>
      <w:r w:rsidR="000448B6" w:rsidRPr="000448B6">
        <w:rPr>
          <w:snapToGrid w:val="0"/>
          <w:lang w:eastAsia="en-US"/>
        </w:rPr>
        <w:t xml:space="preserve"> the significant clinical benefits of </w:t>
      </w:r>
      <w:r w:rsidR="004B4BB8">
        <w:rPr>
          <w:snapToGrid w:val="0"/>
          <w:lang w:eastAsia="en-US"/>
        </w:rPr>
        <w:t>t</w:t>
      </w:r>
      <w:r w:rsidR="000448B6" w:rsidRPr="000448B6">
        <w:rPr>
          <w:snapToGrid w:val="0"/>
          <w:lang w:eastAsia="en-US"/>
        </w:rPr>
        <w:t>ucatinib in improving progression-free and overall survival, particularly for those with brain metastases</w:t>
      </w:r>
      <w:r w:rsidR="004B4BB8">
        <w:rPr>
          <w:snapToGrid w:val="0"/>
          <w:lang w:eastAsia="en-US"/>
        </w:rPr>
        <w:t>.</w:t>
      </w:r>
      <w:r w:rsidR="00277DD8" w:rsidRPr="00277DD8">
        <w:rPr>
          <w:snapToGrid w:val="0"/>
          <w:lang w:eastAsia="en-US"/>
        </w:rPr>
        <w:t xml:space="preserve"> </w:t>
      </w:r>
      <w:r w:rsidR="00277DD8" w:rsidRPr="00680EDA">
        <w:rPr>
          <w:snapToGrid w:val="0"/>
          <w:lang w:eastAsia="en-US"/>
        </w:rPr>
        <w:t xml:space="preserve">The high cost of tucatinib means many patients cannot afford it </w:t>
      </w:r>
      <w:r w:rsidR="00277DD8">
        <w:rPr>
          <w:snapToGrid w:val="0"/>
          <w:lang w:eastAsia="en-US"/>
        </w:rPr>
        <w:t xml:space="preserve">or need to make the difficult decision to access </w:t>
      </w:r>
      <w:r w:rsidR="00277DD8" w:rsidRPr="00680EDA">
        <w:rPr>
          <w:snapToGrid w:val="0"/>
          <w:lang w:eastAsia="en-US"/>
        </w:rPr>
        <w:t>superannuation</w:t>
      </w:r>
      <w:r w:rsidR="00277DD8">
        <w:rPr>
          <w:snapToGrid w:val="0"/>
          <w:lang w:eastAsia="en-US"/>
        </w:rPr>
        <w:t xml:space="preserve"> to fund treatment</w:t>
      </w:r>
      <w:r w:rsidR="00277DD8" w:rsidRPr="00680EDA">
        <w:rPr>
          <w:snapToGrid w:val="0"/>
          <w:lang w:eastAsia="en-US"/>
        </w:rPr>
        <w:t xml:space="preserve">. </w:t>
      </w:r>
      <w:r w:rsidR="00277DD8" w:rsidRPr="00BA7A50">
        <w:rPr>
          <w:snapToGrid w:val="0"/>
          <w:lang w:eastAsia="en-US"/>
        </w:rPr>
        <w:t>The comments stated that w</w:t>
      </w:r>
      <w:r w:rsidR="00277DD8" w:rsidRPr="00680EDA">
        <w:rPr>
          <w:snapToGrid w:val="0"/>
          <w:lang w:eastAsia="en-US"/>
        </w:rPr>
        <w:t xml:space="preserve">hile </w:t>
      </w:r>
      <w:r w:rsidR="00277DD8" w:rsidRPr="00BA7A50">
        <w:rPr>
          <w:snapToGrid w:val="0"/>
          <w:lang w:eastAsia="en-US"/>
        </w:rPr>
        <w:t>adverse</w:t>
      </w:r>
      <w:r w:rsidR="00277DD8" w:rsidRPr="00680EDA">
        <w:rPr>
          <w:snapToGrid w:val="0"/>
          <w:lang w:eastAsia="en-US"/>
        </w:rPr>
        <w:t xml:space="preserve"> effects are expected, they are generally manageable. Consumers identified improved survival </w:t>
      </w:r>
      <w:r w:rsidR="00277DD8">
        <w:rPr>
          <w:snapToGrid w:val="0"/>
          <w:lang w:eastAsia="en-US"/>
        </w:rPr>
        <w:t xml:space="preserve">(extending life) </w:t>
      </w:r>
      <w:r w:rsidR="00277DD8" w:rsidRPr="00680EDA">
        <w:rPr>
          <w:snapToGrid w:val="0"/>
          <w:lang w:eastAsia="en-US"/>
        </w:rPr>
        <w:t xml:space="preserve">as the most important unmet clinical need at this stage of the </w:t>
      </w:r>
      <w:r w:rsidR="00166F3B">
        <w:rPr>
          <w:snapToGrid w:val="0"/>
          <w:lang w:eastAsia="en-US"/>
        </w:rPr>
        <w:t>condition</w:t>
      </w:r>
      <w:r w:rsidR="00277DD8" w:rsidRPr="00680EDA">
        <w:rPr>
          <w:snapToGrid w:val="0"/>
          <w:lang w:eastAsia="en-US"/>
        </w:rPr>
        <w:t>.</w:t>
      </w:r>
    </w:p>
    <w:bookmarkEnd w:id="31"/>
    <w:bookmarkEnd w:id="34"/>
    <w:p w14:paraId="03BE416B" w14:textId="0F3D2646" w:rsidR="00B64CCD" w:rsidRPr="006372C1" w:rsidRDefault="00B64CCD" w:rsidP="006372C1">
      <w:pPr>
        <w:pStyle w:val="3-BodyText"/>
        <w:rPr>
          <w:bCs/>
          <w:snapToGrid w:val="0"/>
          <w:lang w:eastAsia="en-US"/>
        </w:rPr>
      </w:pPr>
      <w:r w:rsidRPr="006372C1">
        <w:rPr>
          <w:snapToGrid w:val="0"/>
          <w:lang w:eastAsia="en-US"/>
        </w:rPr>
        <w:t>The</w:t>
      </w:r>
      <w:r w:rsidRPr="006372C1">
        <w:rPr>
          <w:bCs/>
          <w:snapToGrid w:val="0"/>
          <w:lang w:eastAsia="en-US"/>
        </w:rPr>
        <w:t xml:space="preserve"> Medical Oncology Group of Australia (MOGA) also expressed its strong support for </w:t>
      </w:r>
      <w:r w:rsidR="006372C1">
        <w:rPr>
          <w:bCs/>
          <w:snapToGrid w:val="0"/>
          <w:lang w:eastAsia="en-US"/>
        </w:rPr>
        <w:t>tucatinib</w:t>
      </w:r>
      <w:r w:rsidRPr="006372C1">
        <w:rPr>
          <w:bCs/>
          <w:snapToGrid w:val="0"/>
          <w:lang w:eastAsia="en-US"/>
        </w:rPr>
        <w:t xml:space="preserve">, categorising it as one of the therapies of </w:t>
      </w:r>
      <w:r w:rsidR="00342F6D">
        <w:rPr>
          <w:bCs/>
          <w:snapToGrid w:val="0"/>
          <w:lang w:eastAsia="en-US"/>
        </w:rPr>
        <w:t>‘</w:t>
      </w:r>
      <w:r w:rsidRPr="006372C1">
        <w:rPr>
          <w:bCs/>
          <w:snapToGrid w:val="0"/>
          <w:lang w:eastAsia="en-US"/>
        </w:rPr>
        <w:t>highest priority for PBS listing</w:t>
      </w:r>
      <w:r w:rsidR="00342F6D">
        <w:rPr>
          <w:bCs/>
          <w:snapToGrid w:val="0"/>
          <w:lang w:eastAsia="en-US"/>
        </w:rPr>
        <w:t>’</w:t>
      </w:r>
      <w:r w:rsidRPr="006372C1">
        <w:rPr>
          <w:bCs/>
          <w:snapToGrid w:val="0"/>
          <w:lang w:eastAsia="en-US"/>
        </w:rPr>
        <w:t xml:space="preserve"> </w:t>
      </w:r>
      <w:proofErr w:type="gramStart"/>
      <w:r w:rsidRPr="006372C1">
        <w:rPr>
          <w:bCs/>
          <w:snapToGrid w:val="0"/>
          <w:lang w:eastAsia="en-US"/>
        </w:rPr>
        <w:t>on the basis of</w:t>
      </w:r>
      <w:proofErr w:type="gramEnd"/>
      <w:r w:rsidRPr="006372C1">
        <w:rPr>
          <w:bCs/>
          <w:snapToGrid w:val="0"/>
          <w:lang w:eastAsia="en-US"/>
        </w:rPr>
        <w:t xml:space="preserve"> the </w:t>
      </w:r>
      <w:r w:rsidR="006372C1">
        <w:rPr>
          <w:bCs/>
          <w:snapToGrid w:val="0"/>
          <w:lang w:eastAsia="en-US"/>
        </w:rPr>
        <w:t>HER2CLIMB</w:t>
      </w:r>
      <w:r w:rsidRPr="006372C1">
        <w:rPr>
          <w:bCs/>
          <w:snapToGrid w:val="0"/>
          <w:lang w:eastAsia="en-US"/>
        </w:rPr>
        <w:t xml:space="preserve"> trial. The PBAC noted that the MOGA presented a European Society for Medical Oncology Magnitude of Clinical Benefit Scale (ESMO-MCBS) for </w:t>
      </w:r>
      <w:r w:rsidR="00E10095">
        <w:rPr>
          <w:bCs/>
          <w:snapToGrid w:val="0"/>
          <w:lang w:eastAsia="en-US"/>
        </w:rPr>
        <w:t>tucatinib</w:t>
      </w:r>
      <w:r w:rsidRPr="006372C1">
        <w:rPr>
          <w:bCs/>
          <w:snapToGrid w:val="0"/>
          <w:lang w:eastAsia="en-US"/>
        </w:rPr>
        <w:t xml:space="preserve">, which was limited to </w:t>
      </w:r>
      <w:r w:rsidR="00E10095">
        <w:rPr>
          <w:bCs/>
          <w:snapToGrid w:val="0"/>
          <w:lang w:eastAsia="en-US"/>
        </w:rPr>
        <w:t>4</w:t>
      </w:r>
      <w:r w:rsidRPr="006372C1">
        <w:rPr>
          <w:bCs/>
          <w:snapToGrid w:val="0"/>
          <w:lang w:eastAsia="en-US"/>
        </w:rPr>
        <w:t xml:space="preserve"> (out of a maximum of 5, where 5 and 4 represent the grades with substantial improvement)</w:t>
      </w:r>
      <w:r w:rsidR="000B6F61">
        <w:rPr>
          <w:bCs/>
          <w:snapToGrid w:val="0"/>
          <w:lang w:eastAsia="en-US"/>
        </w:rPr>
        <w:t>,</w:t>
      </w:r>
      <w:r w:rsidR="000B6F61">
        <w:rPr>
          <w:rStyle w:val="FootnoteReference"/>
          <w:bCs/>
          <w:snapToGrid w:val="0"/>
          <w:lang w:eastAsia="en-US"/>
        </w:rPr>
        <w:footnoteReference w:id="5"/>
      </w:r>
      <w:r w:rsidRPr="006372C1">
        <w:rPr>
          <w:bCs/>
          <w:snapToGrid w:val="0"/>
          <w:lang w:eastAsia="en-US"/>
        </w:rPr>
        <w:t xml:space="preserve"> based on a comparison with </w:t>
      </w:r>
      <w:r w:rsidR="00043981" w:rsidRPr="00043981">
        <w:rPr>
          <w:bCs/>
          <w:snapToGrid w:val="0"/>
          <w:lang w:eastAsia="en-US"/>
        </w:rPr>
        <w:t>trastuzumab + capecitabine</w:t>
      </w:r>
      <w:r w:rsidR="000B6F61">
        <w:rPr>
          <w:bCs/>
          <w:snapToGrid w:val="0"/>
          <w:lang w:eastAsia="en-US"/>
        </w:rPr>
        <w:t>.</w:t>
      </w:r>
    </w:p>
    <w:p w14:paraId="22D2C5FD" w14:textId="392C57F0" w:rsidR="00F84089" w:rsidRPr="00C33092" w:rsidRDefault="00F84089" w:rsidP="00230B9C">
      <w:pPr>
        <w:pStyle w:val="4-SubsectionHeading"/>
      </w:pPr>
      <w:r w:rsidRPr="00C33092">
        <w:t xml:space="preserve">Clinical </w:t>
      </w:r>
      <w:bookmarkEnd w:id="30"/>
      <w:r w:rsidRPr="00C33092">
        <w:t>trials</w:t>
      </w:r>
      <w:bookmarkEnd w:id="32"/>
    </w:p>
    <w:p w14:paraId="0B0246F7" w14:textId="23F2FDEA" w:rsidR="00F84089" w:rsidRPr="00FD1145" w:rsidRDefault="00F84089" w:rsidP="00F84089">
      <w:pPr>
        <w:pStyle w:val="3-BodyText"/>
        <w:rPr>
          <w:lang w:eastAsia="en-US"/>
        </w:rPr>
      </w:pPr>
      <w:r w:rsidRPr="00FD1145">
        <w:rPr>
          <w:lang w:eastAsia="en-US"/>
        </w:rPr>
        <w:t xml:space="preserve">The resubmission was based on one randomised controlled trial (RCT) comparing tucatinib (in combination with trastuzumab plus capecitabine) with placebo (in combination with trastuzumab plus capecitabine in patients with HER2+ </w:t>
      </w:r>
      <w:proofErr w:type="spellStart"/>
      <w:r w:rsidRPr="00FD1145">
        <w:rPr>
          <w:lang w:eastAsia="en-US"/>
        </w:rPr>
        <w:t>mBC</w:t>
      </w:r>
      <w:proofErr w:type="spellEnd"/>
      <w:r w:rsidRPr="00FD1145">
        <w:rPr>
          <w:lang w:eastAsia="en-US"/>
        </w:rPr>
        <w:t xml:space="preserve"> who had received prior therapy for metastatic disease (N=612) (HER2CLIMB). This trial </w:t>
      </w:r>
      <w:r w:rsidR="00A03B92" w:rsidRPr="00FD1145">
        <w:rPr>
          <w:lang w:eastAsia="en-US"/>
        </w:rPr>
        <w:t>was</w:t>
      </w:r>
      <w:r w:rsidRPr="00FD1145">
        <w:rPr>
          <w:lang w:eastAsia="en-US"/>
        </w:rPr>
        <w:t xml:space="preserve"> previously considered by the PBAC in the March 2021 submission for tucatinib. The resubmission presented additional follow-up data for OS</w:t>
      </w:r>
      <w:r w:rsidR="00584AA3" w:rsidRPr="00FD1145">
        <w:rPr>
          <w:lang w:eastAsia="en-US"/>
        </w:rPr>
        <w:t xml:space="preserve"> up to </w:t>
      </w:r>
      <w:r w:rsidR="00EC5A62" w:rsidRPr="00FD1145">
        <w:rPr>
          <w:lang w:eastAsia="en-US"/>
        </w:rPr>
        <w:t>29.6 months</w:t>
      </w:r>
      <w:r w:rsidRPr="00FD1145">
        <w:rPr>
          <w:lang w:eastAsia="en-US"/>
        </w:rPr>
        <w:t>.</w:t>
      </w:r>
    </w:p>
    <w:p w14:paraId="71693337" w14:textId="53964792" w:rsidR="00F84089" w:rsidRPr="00FD1145" w:rsidRDefault="00F84089" w:rsidP="00F84089">
      <w:pPr>
        <w:pStyle w:val="3-BodyText"/>
        <w:rPr>
          <w:lang w:eastAsia="en-US"/>
        </w:rPr>
      </w:pPr>
      <w:bookmarkStart w:id="35" w:name="_Ref207184722"/>
      <w:r w:rsidRPr="00FD1145">
        <w:rPr>
          <w:lang w:eastAsia="en-US"/>
        </w:rPr>
        <w:t xml:space="preserve">Following the primary analysis (previously considered by the PBAC), patients in the HER2CLIMB trial were unblinded and permitted to cross over from the placebo arm to receive tucatinib (in combination with trastuzumab plus capecitabine). The first patient crossed over in February 2020, with the resubmission presenting extended follow-up data for key secondary outcomes (OS in the ‘all comers’ population, PFS for the subgroup of patients with brain metastases, safety) until the final data cutoff (8 </w:t>
      </w:r>
      <w:r w:rsidRPr="00FD1145">
        <w:rPr>
          <w:lang w:eastAsia="en-US"/>
        </w:rPr>
        <w:lastRenderedPageBreak/>
        <w:t xml:space="preserve">February 2021). Extended follow-up data from the HER2CLIMB trial following the primary analysis has not been previously considered by the PBAC. </w:t>
      </w:r>
      <w:r w:rsidR="00234551" w:rsidRPr="00FD1145">
        <w:rPr>
          <w:lang w:eastAsia="en-US"/>
        </w:rPr>
        <w:t xml:space="preserve">However, as </w:t>
      </w:r>
      <w:r w:rsidR="005E17B1" w:rsidRPr="00FD1145">
        <w:rPr>
          <w:lang w:eastAsia="en-US"/>
        </w:rPr>
        <w:t xml:space="preserve">the HER2CLIMB trial had already met the prespecified </w:t>
      </w:r>
      <w:r w:rsidR="00515553" w:rsidRPr="00FD1145">
        <w:rPr>
          <w:lang w:eastAsia="en-US"/>
        </w:rPr>
        <w:t>criteria for significance for PFS and OS in the primary analysis, prior to patient cross over, the results in the final an</w:t>
      </w:r>
      <w:r w:rsidR="00825EFA" w:rsidRPr="00FD1145">
        <w:rPr>
          <w:lang w:eastAsia="en-US"/>
        </w:rPr>
        <w:t xml:space="preserve">alysis were descriptive only. </w:t>
      </w:r>
      <w:bookmarkEnd w:id="35"/>
    </w:p>
    <w:p w14:paraId="6BDEBBBD" w14:textId="66910118" w:rsidR="00F84089" w:rsidRPr="00FD1145" w:rsidRDefault="00F84089" w:rsidP="00F84089">
      <w:pPr>
        <w:pStyle w:val="3-BodyText"/>
        <w:rPr>
          <w:lang w:eastAsia="en-US"/>
        </w:rPr>
      </w:pPr>
      <w:r w:rsidRPr="00FD1145">
        <w:rPr>
          <w:lang w:eastAsia="en-US"/>
        </w:rPr>
        <w:t xml:space="preserve">No head-to-head studies were identified that directly compared tucatinib in combination with trastuzumab plus capecitabine with T-DM1 monotherapy for HER2+ </w:t>
      </w:r>
      <w:proofErr w:type="spellStart"/>
      <w:r w:rsidRPr="00FD1145">
        <w:rPr>
          <w:lang w:eastAsia="en-US"/>
        </w:rPr>
        <w:t>mBC</w:t>
      </w:r>
      <w:proofErr w:type="spellEnd"/>
      <w:r w:rsidRPr="00FD1145">
        <w:rPr>
          <w:lang w:eastAsia="en-US"/>
        </w:rPr>
        <w:t>. In the absence of direct comparative trials, the resubmission presented an indirect treatment comparison (ITC) of tucatinib in combination with trastuzumab plus capecitabine with T-DM1 using a network meta-analysis (NMA). The indirect comparison of tucatinib (HER2CLIMB) with T-DM1 (EMILIA [N=991]) was connected through the CEREBEL (N=540) and ELTOP (N=86) trials (which compared the relative effect between the comparators in HER2CLIMB [trastuzumab and capecitabine] and EMILIA [lapatinib + capecitabine]).</w:t>
      </w:r>
    </w:p>
    <w:p w14:paraId="550600A6" w14:textId="2B564D64" w:rsidR="00F84089" w:rsidRPr="00FD1145" w:rsidRDefault="00F84089" w:rsidP="00F84089">
      <w:pPr>
        <w:pStyle w:val="3-BodyText"/>
      </w:pPr>
      <w:r w:rsidRPr="00FD1145">
        <w:t xml:space="preserve">Details of the trials presented in the submission are provided in </w:t>
      </w:r>
      <w:r w:rsidRPr="00FD1145">
        <w:fldChar w:fldCharType="begin"/>
      </w:r>
      <w:r w:rsidRPr="00FD1145">
        <w:instrText xml:space="preserve"> REF _Ref104803956 \h </w:instrText>
      </w:r>
      <w:r w:rsidR="00C33092" w:rsidRPr="00FD1145">
        <w:instrText xml:space="preserve"> \* MERGEFORMAT </w:instrText>
      </w:r>
      <w:r w:rsidRPr="00FD1145">
        <w:fldChar w:fldCharType="separate"/>
      </w:r>
      <w:r w:rsidR="009B3037" w:rsidRPr="00FD1145">
        <w:t xml:space="preserve">Table </w:t>
      </w:r>
      <w:r w:rsidR="009B3037">
        <w:rPr>
          <w:noProof/>
        </w:rPr>
        <w:t>5</w:t>
      </w:r>
      <w:r w:rsidRPr="00FD1145">
        <w:fldChar w:fldCharType="end"/>
      </w:r>
      <w:r w:rsidRPr="00FD1145">
        <w:t xml:space="preserve">. </w:t>
      </w:r>
    </w:p>
    <w:p w14:paraId="6253C202" w14:textId="29060D4A" w:rsidR="00F84089" w:rsidRPr="00FD1145" w:rsidRDefault="00F84089" w:rsidP="00230CDC">
      <w:pPr>
        <w:pStyle w:val="Caption"/>
        <w:rPr>
          <w:rStyle w:val="CommentReference"/>
          <w:b/>
          <w:szCs w:val="24"/>
        </w:rPr>
      </w:pPr>
      <w:bookmarkStart w:id="36" w:name="_Ref104803956"/>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5</w:t>
      </w:r>
      <w:r w:rsidR="007000FA">
        <w:rPr>
          <w:noProof/>
        </w:rPr>
        <w:fldChar w:fldCharType="end"/>
      </w:r>
      <w:bookmarkEnd w:id="36"/>
      <w:r w:rsidRPr="00FD1145">
        <w:t>:</w:t>
      </w:r>
      <w:r w:rsidRPr="00FD1145">
        <w:rPr>
          <w:rStyle w:val="CommentReference"/>
          <w:b/>
          <w:szCs w:val="24"/>
        </w:rPr>
        <w:t xml:space="preserve"> Trials/studies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rials/studies and associated reports presented in the submission"/>
      </w:tblPr>
      <w:tblGrid>
        <w:gridCol w:w="1406"/>
        <w:gridCol w:w="5554"/>
        <w:gridCol w:w="2056"/>
      </w:tblGrid>
      <w:tr w:rsidR="00F84089" w:rsidRPr="00FD1145" w14:paraId="1DAC7FA7" w14:textId="77777777" w:rsidTr="008B1086">
        <w:trPr>
          <w:tblHeader/>
        </w:trPr>
        <w:tc>
          <w:tcPr>
            <w:tcW w:w="780" w:type="pct"/>
            <w:vAlign w:val="center"/>
          </w:tcPr>
          <w:p w14:paraId="4246C189" w14:textId="77777777" w:rsidR="00F84089" w:rsidRPr="00FD1145" w:rsidRDefault="00F84089" w:rsidP="00230CDC">
            <w:pPr>
              <w:pStyle w:val="In-tableHeading"/>
            </w:pPr>
            <w:r w:rsidRPr="00FD1145">
              <w:t>Trial ID</w:t>
            </w:r>
          </w:p>
        </w:tc>
        <w:tc>
          <w:tcPr>
            <w:tcW w:w="3080" w:type="pct"/>
            <w:vAlign w:val="center"/>
          </w:tcPr>
          <w:p w14:paraId="2F7B7372" w14:textId="77777777" w:rsidR="00F84089" w:rsidRPr="00FD1145" w:rsidRDefault="00F84089" w:rsidP="00230CDC">
            <w:pPr>
              <w:pStyle w:val="In-tableHeading"/>
            </w:pPr>
            <w:r w:rsidRPr="00FD1145">
              <w:t>Protocol title/ Publication title</w:t>
            </w:r>
          </w:p>
        </w:tc>
        <w:tc>
          <w:tcPr>
            <w:tcW w:w="1140" w:type="pct"/>
            <w:vAlign w:val="center"/>
          </w:tcPr>
          <w:p w14:paraId="2E08AB9D" w14:textId="77777777" w:rsidR="00F84089" w:rsidRPr="00FD1145" w:rsidRDefault="00F84089" w:rsidP="00230CDC">
            <w:pPr>
              <w:pStyle w:val="In-tableHeading"/>
            </w:pPr>
            <w:r w:rsidRPr="00FD1145">
              <w:t>Publication citation</w:t>
            </w:r>
          </w:p>
        </w:tc>
      </w:tr>
      <w:tr w:rsidR="00F84089" w:rsidRPr="00FD1145" w14:paraId="5193C250" w14:textId="77777777" w:rsidTr="008B1086">
        <w:tc>
          <w:tcPr>
            <w:tcW w:w="780" w:type="pct"/>
            <w:vMerge w:val="restart"/>
            <w:vAlign w:val="center"/>
          </w:tcPr>
          <w:p w14:paraId="7DA9E66E" w14:textId="77777777" w:rsidR="00F84089" w:rsidRPr="00FD1145" w:rsidRDefault="00F84089" w:rsidP="00230CDC">
            <w:pPr>
              <w:pStyle w:val="TableText0"/>
            </w:pPr>
            <w:r w:rsidRPr="00FD1145">
              <w:t>HER2CLIMB</w:t>
            </w:r>
          </w:p>
          <w:p w14:paraId="79FA1613" w14:textId="77777777" w:rsidR="00F84089" w:rsidRPr="00FD1145" w:rsidRDefault="00F84089" w:rsidP="00230CDC">
            <w:pPr>
              <w:pStyle w:val="TableText0"/>
            </w:pPr>
            <w:r w:rsidRPr="00FD1145">
              <w:t>(NCT02614794)</w:t>
            </w:r>
          </w:p>
        </w:tc>
        <w:tc>
          <w:tcPr>
            <w:tcW w:w="3080" w:type="pct"/>
            <w:tcBorders>
              <w:bottom w:val="nil"/>
            </w:tcBorders>
            <w:shd w:val="clear" w:color="auto" w:fill="B8CCE4" w:themeFill="accent1" w:themeFillTint="66"/>
            <w:vAlign w:val="center"/>
          </w:tcPr>
          <w:p w14:paraId="0A2DCA85" w14:textId="77777777" w:rsidR="00F84089" w:rsidRPr="00FD1145" w:rsidRDefault="00F84089" w:rsidP="00230CDC">
            <w:pPr>
              <w:pStyle w:val="TableText0"/>
              <w:rPr>
                <w:szCs w:val="18"/>
                <w:lang w:val="pt-BR"/>
              </w:rPr>
            </w:pPr>
            <w:r w:rsidRPr="00FD1145">
              <w:rPr>
                <w:szCs w:val="18"/>
                <w:lang w:val="pt-BR"/>
              </w:rPr>
              <w:t>Protocol number ONT-380-206 (Final Version)</w:t>
            </w:r>
          </w:p>
        </w:tc>
        <w:tc>
          <w:tcPr>
            <w:tcW w:w="1140" w:type="pct"/>
            <w:tcBorders>
              <w:bottom w:val="nil"/>
            </w:tcBorders>
            <w:shd w:val="clear" w:color="auto" w:fill="B8CCE4" w:themeFill="accent1" w:themeFillTint="66"/>
            <w:vAlign w:val="center"/>
          </w:tcPr>
          <w:p w14:paraId="19BF0E49" w14:textId="77777777" w:rsidR="00F84089" w:rsidRPr="00FD1145" w:rsidRDefault="00F84089" w:rsidP="00230CDC">
            <w:pPr>
              <w:pStyle w:val="TableText0"/>
            </w:pPr>
            <w:r w:rsidRPr="00FD1145">
              <w:t>30 June 2021</w:t>
            </w:r>
          </w:p>
        </w:tc>
      </w:tr>
      <w:tr w:rsidR="00F84089" w:rsidRPr="00FD1145" w14:paraId="6E5F6CB1" w14:textId="77777777" w:rsidTr="008B1086">
        <w:tc>
          <w:tcPr>
            <w:tcW w:w="780" w:type="pct"/>
            <w:vMerge/>
            <w:vAlign w:val="center"/>
          </w:tcPr>
          <w:p w14:paraId="2C924EF4" w14:textId="77777777" w:rsidR="00F84089" w:rsidRPr="00FD1145" w:rsidRDefault="00F84089" w:rsidP="00230CDC">
            <w:pPr>
              <w:pStyle w:val="TableText0"/>
            </w:pPr>
          </w:p>
        </w:tc>
        <w:tc>
          <w:tcPr>
            <w:tcW w:w="3080" w:type="pct"/>
            <w:tcBorders>
              <w:top w:val="nil"/>
              <w:bottom w:val="nil"/>
            </w:tcBorders>
            <w:shd w:val="clear" w:color="auto" w:fill="B8CCE4" w:themeFill="accent1" w:themeFillTint="66"/>
            <w:vAlign w:val="center"/>
          </w:tcPr>
          <w:p w14:paraId="03EBC2F5" w14:textId="77777777" w:rsidR="00F84089" w:rsidRPr="00FD1145" w:rsidRDefault="00F84089" w:rsidP="00230CDC">
            <w:pPr>
              <w:pStyle w:val="TableText0"/>
              <w:rPr>
                <w:szCs w:val="18"/>
              </w:rPr>
            </w:pPr>
            <w:r w:rsidRPr="00FD1145">
              <w:rPr>
                <w:szCs w:val="18"/>
              </w:rPr>
              <w:t>CSR (Primary Analysis)</w:t>
            </w:r>
          </w:p>
        </w:tc>
        <w:tc>
          <w:tcPr>
            <w:tcW w:w="1140" w:type="pct"/>
            <w:tcBorders>
              <w:top w:val="nil"/>
              <w:bottom w:val="nil"/>
            </w:tcBorders>
            <w:shd w:val="clear" w:color="auto" w:fill="B8CCE4" w:themeFill="accent1" w:themeFillTint="66"/>
            <w:vAlign w:val="center"/>
          </w:tcPr>
          <w:p w14:paraId="06A2DC17" w14:textId="77777777" w:rsidR="00F84089" w:rsidRPr="00FD1145" w:rsidRDefault="00F84089" w:rsidP="00230CDC">
            <w:pPr>
              <w:pStyle w:val="TableText0"/>
            </w:pPr>
            <w:r w:rsidRPr="00FD1145">
              <w:t>7 November 2019</w:t>
            </w:r>
          </w:p>
          <w:p w14:paraId="30E222D7" w14:textId="77777777" w:rsidR="00F84089" w:rsidRPr="00FD1145" w:rsidRDefault="00F84089" w:rsidP="00230CDC">
            <w:pPr>
              <w:pStyle w:val="TableText0"/>
            </w:pPr>
            <w:r w:rsidRPr="00FD1145">
              <w:t>(4 September 2019 data cutoff)</w:t>
            </w:r>
          </w:p>
        </w:tc>
      </w:tr>
      <w:tr w:rsidR="00F84089" w:rsidRPr="00FD1145" w14:paraId="0A3236F6" w14:textId="77777777" w:rsidTr="008B1086">
        <w:tc>
          <w:tcPr>
            <w:tcW w:w="780" w:type="pct"/>
            <w:vMerge/>
            <w:vAlign w:val="center"/>
          </w:tcPr>
          <w:p w14:paraId="5DD9B34B" w14:textId="77777777" w:rsidR="00F84089" w:rsidRPr="00FD1145" w:rsidRDefault="00F84089" w:rsidP="00230CDC">
            <w:pPr>
              <w:pStyle w:val="TableText0"/>
            </w:pPr>
          </w:p>
        </w:tc>
        <w:tc>
          <w:tcPr>
            <w:tcW w:w="3080" w:type="pct"/>
            <w:tcBorders>
              <w:top w:val="nil"/>
              <w:bottom w:val="nil"/>
            </w:tcBorders>
            <w:vAlign w:val="center"/>
          </w:tcPr>
          <w:p w14:paraId="03C01ACB" w14:textId="77777777" w:rsidR="00F84089" w:rsidRPr="00FD1145" w:rsidRDefault="00F84089" w:rsidP="00230CDC">
            <w:pPr>
              <w:pStyle w:val="TableText0"/>
              <w:rPr>
                <w:szCs w:val="18"/>
              </w:rPr>
            </w:pPr>
            <w:proofErr w:type="spellStart"/>
            <w:r w:rsidRPr="00FD1145">
              <w:rPr>
                <w:szCs w:val="18"/>
                <w:lang w:val="fr-CA"/>
              </w:rPr>
              <w:t>Curigliano</w:t>
            </w:r>
            <w:proofErr w:type="spellEnd"/>
            <w:r w:rsidRPr="00FD1145">
              <w:rPr>
                <w:szCs w:val="18"/>
                <w:lang w:val="fr-CA"/>
              </w:rPr>
              <w:t xml:space="preserve"> G, Mueller V, Borges V, et al. </w:t>
            </w:r>
            <w:r w:rsidRPr="00FD1145">
              <w:rPr>
                <w:szCs w:val="18"/>
              </w:rPr>
              <w:t>Tucatinib versus placebo added to trastuzumab and capecitabine for patients with pretreated HER2+ metastatic breast cancer with and without brain metastases (HER2CLIMB): final overall survival analysis.</w:t>
            </w:r>
          </w:p>
        </w:tc>
        <w:tc>
          <w:tcPr>
            <w:tcW w:w="1140" w:type="pct"/>
            <w:tcBorders>
              <w:top w:val="nil"/>
              <w:bottom w:val="nil"/>
            </w:tcBorders>
            <w:vAlign w:val="center"/>
          </w:tcPr>
          <w:p w14:paraId="7BD0895A" w14:textId="77777777" w:rsidR="00F84089" w:rsidRPr="00FD1145" w:rsidRDefault="00F84089" w:rsidP="00230CDC">
            <w:pPr>
              <w:pStyle w:val="TableText0"/>
              <w:rPr>
                <w:szCs w:val="18"/>
              </w:rPr>
            </w:pPr>
            <w:r w:rsidRPr="00FD1145">
              <w:rPr>
                <w:szCs w:val="18"/>
              </w:rPr>
              <w:t>Annals of Oncol. 2022; 22(3):322</w:t>
            </w:r>
            <w:r w:rsidRPr="00FD1145">
              <w:rPr>
                <w:rFonts w:ascii="Cambria Math" w:hAnsi="Cambria Math" w:cs="Cambria Math"/>
                <w:szCs w:val="18"/>
              </w:rPr>
              <w:t>‐</w:t>
            </w:r>
            <w:r w:rsidRPr="00FD1145">
              <w:rPr>
                <w:szCs w:val="18"/>
              </w:rPr>
              <w:t>329</w:t>
            </w:r>
          </w:p>
        </w:tc>
      </w:tr>
      <w:tr w:rsidR="00F84089" w:rsidRPr="00FD1145" w14:paraId="273121CD" w14:textId="77777777" w:rsidTr="008B1086">
        <w:tc>
          <w:tcPr>
            <w:tcW w:w="780" w:type="pct"/>
            <w:vMerge/>
            <w:vAlign w:val="center"/>
          </w:tcPr>
          <w:p w14:paraId="4373392F" w14:textId="77777777" w:rsidR="00F84089" w:rsidRPr="00FD1145" w:rsidRDefault="00F84089" w:rsidP="00230CDC">
            <w:pPr>
              <w:pStyle w:val="TableText0"/>
            </w:pPr>
          </w:p>
        </w:tc>
        <w:tc>
          <w:tcPr>
            <w:tcW w:w="3080" w:type="pct"/>
            <w:tcBorders>
              <w:top w:val="nil"/>
              <w:bottom w:val="nil"/>
            </w:tcBorders>
            <w:shd w:val="clear" w:color="auto" w:fill="B8CCE4" w:themeFill="accent1" w:themeFillTint="66"/>
            <w:vAlign w:val="center"/>
          </w:tcPr>
          <w:p w14:paraId="3665944B" w14:textId="77777777" w:rsidR="00F84089" w:rsidRPr="00FD1145" w:rsidRDefault="00F84089" w:rsidP="00230CDC">
            <w:pPr>
              <w:pStyle w:val="TableText0"/>
              <w:rPr>
                <w:szCs w:val="18"/>
              </w:rPr>
            </w:pPr>
            <w:r w:rsidRPr="00FD1145">
              <w:rPr>
                <w:szCs w:val="18"/>
              </w:rPr>
              <w:t>Murthy RK, Loi S, Okines A, et al. Tucatinib, Trastuzumab, and Capecitabine for HER2+ Metastatic Breast Cancer</w:t>
            </w:r>
          </w:p>
        </w:tc>
        <w:tc>
          <w:tcPr>
            <w:tcW w:w="1140" w:type="pct"/>
            <w:tcBorders>
              <w:top w:val="nil"/>
              <w:bottom w:val="nil"/>
            </w:tcBorders>
            <w:shd w:val="clear" w:color="auto" w:fill="B8CCE4" w:themeFill="accent1" w:themeFillTint="66"/>
            <w:vAlign w:val="center"/>
          </w:tcPr>
          <w:p w14:paraId="71F6E160" w14:textId="77777777" w:rsidR="00F84089" w:rsidRPr="00FD1145" w:rsidRDefault="00F84089" w:rsidP="00230CDC">
            <w:pPr>
              <w:pStyle w:val="TableText0"/>
              <w:rPr>
                <w:szCs w:val="18"/>
              </w:rPr>
            </w:pPr>
            <w:r w:rsidRPr="00FD1145">
              <w:rPr>
                <w:szCs w:val="18"/>
              </w:rPr>
              <w:t>N Engl J Med. 2020; 382(7):597</w:t>
            </w:r>
            <w:r w:rsidRPr="00FD1145">
              <w:rPr>
                <w:rFonts w:ascii="Cambria Math" w:hAnsi="Cambria Math" w:cs="Cambria Math"/>
                <w:szCs w:val="18"/>
              </w:rPr>
              <w:t>‐</w:t>
            </w:r>
            <w:r w:rsidRPr="00FD1145">
              <w:rPr>
                <w:szCs w:val="18"/>
              </w:rPr>
              <w:t>609</w:t>
            </w:r>
          </w:p>
        </w:tc>
      </w:tr>
      <w:tr w:rsidR="00F84089" w:rsidRPr="00FD1145" w14:paraId="6EE384EA" w14:textId="77777777" w:rsidTr="008B1086">
        <w:tc>
          <w:tcPr>
            <w:tcW w:w="780" w:type="pct"/>
            <w:vMerge/>
            <w:vAlign w:val="center"/>
          </w:tcPr>
          <w:p w14:paraId="22EA8E1D" w14:textId="77777777" w:rsidR="00F84089" w:rsidRPr="00FD1145" w:rsidRDefault="00F84089" w:rsidP="00230CDC">
            <w:pPr>
              <w:pStyle w:val="TableText0"/>
            </w:pPr>
          </w:p>
        </w:tc>
        <w:tc>
          <w:tcPr>
            <w:tcW w:w="3080" w:type="pct"/>
            <w:tcBorders>
              <w:top w:val="nil"/>
              <w:bottom w:val="nil"/>
            </w:tcBorders>
            <w:vAlign w:val="center"/>
          </w:tcPr>
          <w:p w14:paraId="1B5AC3CE" w14:textId="77777777" w:rsidR="00F84089" w:rsidRPr="00FD1145" w:rsidRDefault="00F84089" w:rsidP="00230CDC">
            <w:pPr>
              <w:pStyle w:val="TableText0"/>
              <w:rPr>
                <w:szCs w:val="18"/>
              </w:rPr>
            </w:pPr>
            <w:r w:rsidRPr="00FD1145">
              <w:rPr>
                <w:szCs w:val="18"/>
                <w:lang w:val="fr-CA"/>
              </w:rPr>
              <w:t xml:space="preserve">Lin NU, Murthy RK, Abramson V, et al. </w:t>
            </w:r>
            <w:r w:rsidRPr="00FD1145">
              <w:rPr>
                <w:szCs w:val="18"/>
              </w:rPr>
              <w:t>Tucatinib vs Placebo, Both in Combination With Trastuzumab and Capecitabine, for Previously Treated ERBB2 (HER2)-Positive Metastatic Breast Cancer in Patients With Brain Metastases Updated Exploratory Analysis of the HER2CLIMB Randomized Clinical Trial.</w:t>
            </w:r>
          </w:p>
        </w:tc>
        <w:tc>
          <w:tcPr>
            <w:tcW w:w="1140" w:type="pct"/>
            <w:tcBorders>
              <w:top w:val="nil"/>
              <w:bottom w:val="nil"/>
            </w:tcBorders>
            <w:vAlign w:val="center"/>
          </w:tcPr>
          <w:p w14:paraId="04168471" w14:textId="77777777" w:rsidR="00F84089" w:rsidRPr="00FD1145" w:rsidRDefault="00F84089" w:rsidP="00230CDC">
            <w:pPr>
              <w:pStyle w:val="TableText0"/>
              <w:rPr>
                <w:szCs w:val="18"/>
              </w:rPr>
            </w:pPr>
            <w:r w:rsidRPr="00FD1145">
              <w:rPr>
                <w:szCs w:val="18"/>
              </w:rPr>
              <w:t>JAMA Oncol. 2023; 9(2):197-205</w:t>
            </w:r>
          </w:p>
        </w:tc>
      </w:tr>
      <w:tr w:rsidR="00F84089" w:rsidRPr="00FD1145" w14:paraId="4EB33A17" w14:textId="77777777" w:rsidTr="008B1086">
        <w:tc>
          <w:tcPr>
            <w:tcW w:w="780" w:type="pct"/>
            <w:vMerge/>
            <w:vAlign w:val="center"/>
          </w:tcPr>
          <w:p w14:paraId="296F091C" w14:textId="77777777" w:rsidR="00F84089" w:rsidRPr="00FD1145" w:rsidRDefault="00F84089" w:rsidP="00230CDC">
            <w:pPr>
              <w:pStyle w:val="TableText0"/>
            </w:pPr>
          </w:p>
        </w:tc>
        <w:tc>
          <w:tcPr>
            <w:tcW w:w="3080" w:type="pct"/>
            <w:tcBorders>
              <w:top w:val="nil"/>
              <w:bottom w:val="nil"/>
            </w:tcBorders>
            <w:shd w:val="clear" w:color="auto" w:fill="B8CCE4" w:themeFill="accent1" w:themeFillTint="66"/>
            <w:vAlign w:val="center"/>
          </w:tcPr>
          <w:p w14:paraId="23BD33A4" w14:textId="77777777" w:rsidR="00F84089" w:rsidRPr="00FD1145" w:rsidRDefault="00F84089" w:rsidP="00230CDC">
            <w:pPr>
              <w:pStyle w:val="TableText0"/>
              <w:rPr>
                <w:szCs w:val="18"/>
              </w:rPr>
            </w:pPr>
            <w:r w:rsidRPr="00FD1145">
              <w:rPr>
                <w:szCs w:val="18"/>
                <w:lang w:val="fr-CA"/>
              </w:rPr>
              <w:t xml:space="preserve">Lin NU, Borges V, Anders C, et al. </w:t>
            </w:r>
            <w:r w:rsidRPr="00FD1145">
              <w:rPr>
                <w:szCs w:val="18"/>
              </w:rPr>
              <w:t>Intracranial efficacy and survival with tucatinib plus trastuzumab and capecitabine for previously treated HER2+ breast cancer with brain metastases in the HER2CLIMB Trial.</w:t>
            </w:r>
          </w:p>
        </w:tc>
        <w:tc>
          <w:tcPr>
            <w:tcW w:w="1140" w:type="pct"/>
            <w:tcBorders>
              <w:top w:val="nil"/>
              <w:bottom w:val="nil"/>
            </w:tcBorders>
            <w:shd w:val="clear" w:color="auto" w:fill="B8CCE4" w:themeFill="accent1" w:themeFillTint="66"/>
            <w:vAlign w:val="center"/>
          </w:tcPr>
          <w:p w14:paraId="2C72E475" w14:textId="77777777" w:rsidR="00F84089" w:rsidRPr="00FD1145" w:rsidRDefault="00F84089" w:rsidP="00230CDC">
            <w:pPr>
              <w:pStyle w:val="TableText0"/>
              <w:rPr>
                <w:szCs w:val="18"/>
              </w:rPr>
            </w:pPr>
            <w:r w:rsidRPr="00FD1145">
              <w:rPr>
                <w:szCs w:val="18"/>
              </w:rPr>
              <w:t>J Clin Oncol. 2020; 38(23):2610-2619</w:t>
            </w:r>
          </w:p>
        </w:tc>
      </w:tr>
      <w:tr w:rsidR="00F84089" w:rsidRPr="00FD1145" w14:paraId="7DEB24FD" w14:textId="77777777" w:rsidTr="008B1086">
        <w:tc>
          <w:tcPr>
            <w:tcW w:w="780" w:type="pct"/>
            <w:vMerge/>
            <w:vAlign w:val="center"/>
          </w:tcPr>
          <w:p w14:paraId="4CC8592D" w14:textId="77777777" w:rsidR="00F84089" w:rsidRPr="00FD1145" w:rsidRDefault="00F84089" w:rsidP="00230CDC">
            <w:pPr>
              <w:pStyle w:val="TableText0"/>
            </w:pPr>
          </w:p>
        </w:tc>
        <w:tc>
          <w:tcPr>
            <w:tcW w:w="3080" w:type="pct"/>
            <w:tcBorders>
              <w:top w:val="nil"/>
              <w:bottom w:val="nil"/>
            </w:tcBorders>
            <w:vAlign w:val="center"/>
          </w:tcPr>
          <w:p w14:paraId="3D11DE80" w14:textId="77777777" w:rsidR="00F84089" w:rsidRPr="00FD1145" w:rsidRDefault="00F84089" w:rsidP="00230CDC">
            <w:pPr>
              <w:pStyle w:val="TableText0"/>
              <w:rPr>
                <w:szCs w:val="18"/>
              </w:rPr>
            </w:pPr>
            <w:r w:rsidRPr="00FD1145">
              <w:rPr>
                <w:szCs w:val="18"/>
                <w:lang w:val="fr-CA"/>
              </w:rPr>
              <w:t xml:space="preserve">Bachelot T, Lin NU, Murthy RK, et al. </w:t>
            </w:r>
            <w:r w:rsidRPr="00FD1145">
              <w:rPr>
                <w:szCs w:val="18"/>
              </w:rPr>
              <w:t>Impact of tucatinib on progression free survival in patients with HER2+ metastatic breast cancer and stable or active brain metastases.</w:t>
            </w:r>
          </w:p>
        </w:tc>
        <w:tc>
          <w:tcPr>
            <w:tcW w:w="1140" w:type="pct"/>
            <w:tcBorders>
              <w:top w:val="nil"/>
              <w:bottom w:val="nil"/>
            </w:tcBorders>
            <w:vAlign w:val="center"/>
          </w:tcPr>
          <w:p w14:paraId="7191B574" w14:textId="77777777" w:rsidR="00F84089" w:rsidRPr="00FD1145" w:rsidRDefault="00F84089" w:rsidP="00230CDC">
            <w:pPr>
              <w:pStyle w:val="TableText0"/>
              <w:rPr>
                <w:szCs w:val="18"/>
              </w:rPr>
            </w:pPr>
            <w:r w:rsidRPr="00FD1145">
              <w:rPr>
                <w:szCs w:val="18"/>
              </w:rPr>
              <w:t>Annals of Oncol. 2020; 31(S4): S359</w:t>
            </w:r>
            <w:r w:rsidRPr="00FD1145">
              <w:rPr>
                <w:rFonts w:ascii="Cambria Math" w:hAnsi="Cambria Math" w:cs="Cambria Math"/>
                <w:szCs w:val="18"/>
              </w:rPr>
              <w:t>‐</w:t>
            </w:r>
            <w:r w:rsidRPr="00FD1145">
              <w:rPr>
                <w:szCs w:val="18"/>
              </w:rPr>
              <w:t>S360</w:t>
            </w:r>
          </w:p>
        </w:tc>
      </w:tr>
      <w:tr w:rsidR="00F84089" w:rsidRPr="00FD1145" w14:paraId="62E9CDC0" w14:textId="77777777" w:rsidTr="008B1086">
        <w:tc>
          <w:tcPr>
            <w:tcW w:w="780" w:type="pct"/>
            <w:vMerge/>
            <w:tcBorders>
              <w:bottom w:val="nil"/>
            </w:tcBorders>
            <w:vAlign w:val="center"/>
          </w:tcPr>
          <w:p w14:paraId="40F6F5DF" w14:textId="77777777" w:rsidR="00F84089" w:rsidRPr="00FD1145" w:rsidRDefault="00F84089" w:rsidP="00230CDC">
            <w:pPr>
              <w:pStyle w:val="TableText0"/>
            </w:pPr>
          </w:p>
        </w:tc>
        <w:tc>
          <w:tcPr>
            <w:tcW w:w="3080" w:type="pct"/>
            <w:tcBorders>
              <w:top w:val="nil"/>
              <w:bottom w:val="nil"/>
            </w:tcBorders>
            <w:vAlign w:val="center"/>
          </w:tcPr>
          <w:p w14:paraId="5D433E82" w14:textId="77777777" w:rsidR="00F84089" w:rsidRPr="00FD1145" w:rsidRDefault="00F84089" w:rsidP="00230CDC">
            <w:pPr>
              <w:pStyle w:val="TableText0"/>
              <w:rPr>
                <w:szCs w:val="18"/>
              </w:rPr>
            </w:pPr>
            <w:r w:rsidRPr="00FD1145">
              <w:rPr>
                <w:szCs w:val="18"/>
                <w:lang w:val="es-ES"/>
              </w:rPr>
              <w:t xml:space="preserve">Mueller V, Wardley A, </w:t>
            </w:r>
            <w:proofErr w:type="spellStart"/>
            <w:r w:rsidRPr="00FD1145">
              <w:rPr>
                <w:szCs w:val="18"/>
                <w:lang w:val="es-ES"/>
              </w:rPr>
              <w:t>Paplomata</w:t>
            </w:r>
            <w:proofErr w:type="spellEnd"/>
            <w:r w:rsidRPr="00FD1145">
              <w:rPr>
                <w:szCs w:val="18"/>
                <w:lang w:val="es-ES"/>
              </w:rPr>
              <w:t xml:space="preserve"> E, et al. </w:t>
            </w:r>
            <w:r w:rsidRPr="00FD1145">
              <w:rPr>
                <w:szCs w:val="18"/>
              </w:rPr>
              <w:t>Preservation of quality of life in patients with human epidermal growth factor receptor 2-positive metastatic breast cancer treated with tucatinib or placebo when added to trastuzumab and capecitabine (HER2CLIMB trial).</w:t>
            </w:r>
          </w:p>
        </w:tc>
        <w:tc>
          <w:tcPr>
            <w:tcW w:w="1140" w:type="pct"/>
            <w:tcBorders>
              <w:top w:val="nil"/>
              <w:bottom w:val="nil"/>
            </w:tcBorders>
            <w:vAlign w:val="center"/>
          </w:tcPr>
          <w:p w14:paraId="77C1DA8A" w14:textId="77777777" w:rsidR="00F84089" w:rsidRPr="00FD1145" w:rsidRDefault="00F84089" w:rsidP="00230CDC">
            <w:pPr>
              <w:pStyle w:val="TableText0"/>
              <w:rPr>
                <w:szCs w:val="18"/>
              </w:rPr>
            </w:pPr>
            <w:proofErr w:type="spellStart"/>
            <w:r w:rsidRPr="00FD1145">
              <w:rPr>
                <w:szCs w:val="18"/>
              </w:rPr>
              <w:t>Eur</w:t>
            </w:r>
            <w:proofErr w:type="spellEnd"/>
            <w:r w:rsidRPr="00FD1145">
              <w:rPr>
                <w:szCs w:val="18"/>
              </w:rPr>
              <w:t xml:space="preserve"> J Can. 2021; 153: 223e233</w:t>
            </w:r>
          </w:p>
        </w:tc>
      </w:tr>
      <w:tr w:rsidR="00F84089" w:rsidRPr="00FD1145" w14:paraId="64A3D331" w14:textId="77777777" w:rsidTr="008B1086">
        <w:tc>
          <w:tcPr>
            <w:tcW w:w="780" w:type="pct"/>
            <w:vMerge w:val="restart"/>
            <w:vAlign w:val="center"/>
          </w:tcPr>
          <w:p w14:paraId="3E873510" w14:textId="77777777" w:rsidR="00F84089" w:rsidRPr="00FD1145" w:rsidRDefault="00F84089" w:rsidP="00230CDC">
            <w:pPr>
              <w:pStyle w:val="TableText0"/>
            </w:pPr>
            <w:r w:rsidRPr="00FD1145">
              <w:t>EMILIA</w:t>
            </w:r>
          </w:p>
          <w:p w14:paraId="640B7962" w14:textId="77777777" w:rsidR="00F84089" w:rsidRPr="00FD1145" w:rsidRDefault="00F84089" w:rsidP="00230CDC">
            <w:pPr>
              <w:pStyle w:val="TableText0"/>
            </w:pPr>
            <w:r w:rsidRPr="00FD1145">
              <w:t>(NCT00829166)</w:t>
            </w:r>
          </w:p>
        </w:tc>
        <w:tc>
          <w:tcPr>
            <w:tcW w:w="3080" w:type="pct"/>
            <w:tcBorders>
              <w:bottom w:val="nil"/>
            </w:tcBorders>
            <w:vAlign w:val="center"/>
          </w:tcPr>
          <w:p w14:paraId="273C84E3" w14:textId="77777777" w:rsidR="00F84089" w:rsidRPr="00FD1145" w:rsidRDefault="00F84089" w:rsidP="00230CDC">
            <w:pPr>
              <w:pStyle w:val="TableText0"/>
            </w:pPr>
            <w:proofErr w:type="spellStart"/>
            <w:r w:rsidRPr="00FD1145">
              <w:rPr>
                <w:szCs w:val="18"/>
                <w:lang w:val="es-ES"/>
              </w:rPr>
              <w:t>Diéras</w:t>
            </w:r>
            <w:proofErr w:type="spellEnd"/>
            <w:r w:rsidRPr="00FD1145">
              <w:rPr>
                <w:szCs w:val="18"/>
                <w:lang w:val="es-ES"/>
              </w:rPr>
              <w:t xml:space="preserve"> V, Miles D, </w:t>
            </w:r>
            <w:proofErr w:type="spellStart"/>
            <w:r w:rsidRPr="00FD1145">
              <w:rPr>
                <w:szCs w:val="18"/>
                <w:lang w:val="es-ES"/>
              </w:rPr>
              <w:t>Vermaet</w:t>
            </w:r>
            <w:proofErr w:type="spellEnd"/>
            <w:r w:rsidRPr="00FD1145">
              <w:rPr>
                <w:szCs w:val="18"/>
                <w:lang w:val="es-ES"/>
              </w:rPr>
              <w:t xml:space="preserve"> S, al. al. </w:t>
            </w:r>
            <w:r w:rsidRPr="00FD1145">
              <w:rPr>
                <w:szCs w:val="18"/>
              </w:rPr>
              <w:t>Trastuzumab emtansine versus capecitabine plus lapatinib in patients with previously treated HER2-positive advanced breast cancer (EMILIA): a descriptive analysis of final overall survival results from a randomised, open-label, phase 3 trial.</w:t>
            </w:r>
          </w:p>
        </w:tc>
        <w:tc>
          <w:tcPr>
            <w:tcW w:w="1140" w:type="pct"/>
            <w:tcBorders>
              <w:bottom w:val="nil"/>
            </w:tcBorders>
            <w:vAlign w:val="center"/>
          </w:tcPr>
          <w:p w14:paraId="57C2BB99" w14:textId="77777777" w:rsidR="00F84089" w:rsidRPr="00FD1145" w:rsidRDefault="00F84089" w:rsidP="00230CDC">
            <w:pPr>
              <w:pStyle w:val="TableText0"/>
            </w:pPr>
            <w:r w:rsidRPr="00FD1145">
              <w:t>Lancet Oncol. 2017; 18(6):732-742</w:t>
            </w:r>
          </w:p>
        </w:tc>
      </w:tr>
      <w:tr w:rsidR="00F84089" w:rsidRPr="00FD1145" w14:paraId="3D279E6F" w14:textId="77777777" w:rsidTr="008B1086">
        <w:tc>
          <w:tcPr>
            <w:tcW w:w="780" w:type="pct"/>
            <w:vMerge/>
            <w:vAlign w:val="center"/>
          </w:tcPr>
          <w:p w14:paraId="7BE9ED3E" w14:textId="77777777" w:rsidR="00F84089" w:rsidRPr="00FD1145" w:rsidRDefault="00F84089" w:rsidP="00230CDC">
            <w:pPr>
              <w:pStyle w:val="TableText0"/>
            </w:pPr>
          </w:p>
        </w:tc>
        <w:tc>
          <w:tcPr>
            <w:tcW w:w="3080" w:type="pct"/>
            <w:tcBorders>
              <w:top w:val="nil"/>
              <w:bottom w:val="nil"/>
            </w:tcBorders>
            <w:vAlign w:val="center"/>
          </w:tcPr>
          <w:p w14:paraId="583F59AF" w14:textId="77777777" w:rsidR="00F84089" w:rsidRPr="00FD1145" w:rsidRDefault="00F84089" w:rsidP="00230CDC">
            <w:pPr>
              <w:pStyle w:val="TableText0"/>
              <w:rPr>
                <w:szCs w:val="18"/>
              </w:rPr>
            </w:pPr>
            <w:r w:rsidRPr="00FD1145">
              <w:rPr>
                <w:szCs w:val="18"/>
              </w:rPr>
              <w:t>Verma S, Miles D, Gianni L, et al. Trastuzumab Emtansine for HER2-Positive Advanced Breast Cancer.</w:t>
            </w:r>
          </w:p>
        </w:tc>
        <w:tc>
          <w:tcPr>
            <w:tcW w:w="1140" w:type="pct"/>
            <w:tcBorders>
              <w:top w:val="nil"/>
              <w:bottom w:val="nil"/>
            </w:tcBorders>
            <w:vAlign w:val="center"/>
          </w:tcPr>
          <w:p w14:paraId="116079A6" w14:textId="77777777" w:rsidR="00F84089" w:rsidRPr="00FD1145" w:rsidRDefault="00F84089" w:rsidP="00230CDC">
            <w:pPr>
              <w:pStyle w:val="TableText0"/>
            </w:pPr>
            <w:r w:rsidRPr="00FD1145">
              <w:rPr>
                <w:szCs w:val="18"/>
              </w:rPr>
              <w:t>N Engl J Med. 2012; 367(18):1783-1791</w:t>
            </w:r>
          </w:p>
        </w:tc>
      </w:tr>
      <w:tr w:rsidR="00F84089" w:rsidRPr="00FD1145" w14:paraId="2E3693B2" w14:textId="77777777" w:rsidTr="008B1086">
        <w:tc>
          <w:tcPr>
            <w:tcW w:w="780" w:type="pct"/>
            <w:vMerge/>
            <w:tcBorders>
              <w:bottom w:val="single" w:sz="4" w:space="0" w:color="auto"/>
            </w:tcBorders>
            <w:vAlign w:val="center"/>
          </w:tcPr>
          <w:p w14:paraId="33F5ECF4" w14:textId="77777777" w:rsidR="00F84089" w:rsidRPr="00FD1145" w:rsidRDefault="00F84089" w:rsidP="00230CDC">
            <w:pPr>
              <w:pStyle w:val="TableText0"/>
            </w:pPr>
          </w:p>
        </w:tc>
        <w:tc>
          <w:tcPr>
            <w:tcW w:w="3080" w:type="pct"/>
            <w:tcBorders>
              <w:top w:val="nil"/>
              <w:bottom w:val="single" w:sz="4" w:space="0" w:color="auto"/>
            </w:tcBorders>
            <w:vAlign w:val="center"/>
          </w:tcPr>
          <w:p w14:paraId="7C90244E" w14:textId="77777777" w:rsidR="00F84089" w:rsidRPr="00FD1145" w:rsidRDefault="00F84089" w:rsidP="00230CDC">
            <w:pPr>
              <w:pStyle w:val="TableText0"/>
              <w:rPr>
                <w:szCs w:val="18"/>
              </w:rPr>
            </w:pPr>
            <w:proofErr w:type="spellStart"/>
            <w:r w:rsidRPr="00FD1145">
              <w:rPr>
                <w:szCs w:val="18"/>
                <w:lang w:val="fr-CA"/>
              </w:rPr>
              <w:t>Welslau</w:t>
            </w:r>
            <w:proofErr w:type="spellEnd"/>
            <w:r w:rsidRPr="00FD1145">
              <w:rPr>
                <w:szCs w:val="18"/>
                <w:lang w:val="fr-CA"/>
              </w:rPr>
              <w:t xml:space="preserve"> M, </w:t>
            </w:r>
            <w:proofErr w:type="spellStart"/>
            <w:r w:rsidRPr="00FD1145">
              <w:rPr>
                <w:szCs w:val="18"/>
                <w:lang w:val="fr-CA"/>
              </w:rPr>
              <w:t>Diéras</w:t>
            </w:r>
            <w:proofErr w:type="spellEnd"/>
            <w:r w:rsidRPr="00FD1145">
              <w:rPr>
                <w:szCs w:val="18"/>
                <w:lang w:val="fr-CA"/>
              </w:rPr>
              <w:t xml:space="preserve"> V, Sohn JH, et al. </w:t>
            </w:r>
            <w:r w:rsidRPr="00FD1145">
              <w:rPr>
                <w:szCs w:val="18"/>
              </w:rPr>
              <w:t>Patient-reported outcomes from EMILIA, a randomized phase 3 study of trastuzumab emtansine (T-DM1) versus capecitabine and lapatinib in human epidermal growth factor receptor 2-positive locally advanced or metastatic breast cancer.</w:t>
            </w:r>
          </w:p>
        </w:tc>
        <w:tc>
          <w:tcPr>
            <w:tcW w:w="1140" w:type="pct"/>
            <w:tcBorders>
              <w:top w:val="nil"/>
              <w:bottom w:val="single" w:sz="4" w:space="0" w:color="auto"/>
            </w:tcBorders>
            <w:vAlign w:val="center"/>
          </w:tcPr>
          <w:p w14:paraId="40CDB21B" w14:textId="77777777" w:rsidR="00F84089" w:rsidRPr="00FD1145" w:rsidRDefault="00F84089" w:rsidP="00230CDC">
            <w:pPr>
              <w:pStyle w:val="TableText0"/>
            </w:pPr>
            <w:r w:rsidRPr="00FD1145">
              <w:rPr>
                <w:szCs w:val="18"/>
              </w:rPr>
              <w:t>Cancer. 2014;120(5):642-51</w:t>
            </w:r>
          </w:p>
        </w:tc>
      </w:tr>
      <w:tr w:rsidR="00F84089" w:rsidRPr="00FD1145" w14:paraId="34096086" w14:textId="77777777" w:rsidTr="008B1086">
        <w:tc>
          <w:tcPr>
            <w:tcW w:w="780" w:type="pct"/>
            <w:tcBorders>
              <w:top w:val="single" w:sz="4" w:space="0" w:color="auto"/>
              <w:bottom w:val="single" w:sz="4" w:space="0" w:color="auto"/>
            </w:tcBorders>
            <w:vAlign w:val="center"/>
          </w:tcPr>
          <w:p w14:paraId="7ECCDDFD" w14:textId="77777777" w:rsidR="00F84089" w:rsidRPr="00FD1145" w:rsidRDefault="00F84089" w:rsidP="00230CDC">
            <w:pPr>
              <w:pStyle w:val="TableText0"/>
            </w:pPr>
            <w:r w:rsidRPr="00FD1145">
              <w:t>ELTOP</w:t>
            </w:r>
          </w:p>
          <w:p w14:paraId="146D3A4F" w14:textId="77777777" w:rsidR="00F84089" w:rsidRPr="00FD1145" w:rsidRDefault="00F84089" w:rsidP="00230CDC">
            <w:pPr>
              <w:pStyle w:val="TableText0"/>
            </w:pPr>
            <w:r w:rsidRPr="00FD1145">
              <w:t>(UMIN000005219)</w:t>
            </w:r>
          </w:p>
        </w:tc>
        <w:tc>
          <w:tcPr>
            <w:tcW w:w="3080" w:type="pct"/>
            <w:tcBorders>
              <w:top w:val="single" w:sz="4" w:space="0" w:color="auto"/>
              <w:bottom w:val="single" w:sz="4" w:space="0" w:color="auto"/>
            </w:tcBorders>
            <w:vAlign w:val="center"/>
          </w:tcPr>
          <w:p w14:paraId="3D62A4DE" w14:textId="77777777" w:rsidR="00F84089" w:rsidRPr="00FD1145" w:rsidRDefault="00F84089" w:rsidP="00230CDC">
            <w:pPr>
              <w:pStyle w:val="TableText0"/>
              <w:rPr>
                <w:szCs w:val="18"/>
              </w:rPr>
            </w:pPr>
            <w:r w:rsidRPr="00FD1145">
              <w:rPr>
                <w:szCs w:val="18"/>
                <w:lang w:val="fr-CA"/>
              </w:rPr>
              <w:t xml:space="preserve">Takano T, Tsurutani J, Takahashi M, et al. </w:t>
            </w:r>
            <w:r w:rsidRPr="00FD1145">
              <w:rPr>
                <w:szCs w:val="18"/>
              </w:rPr>
              <w:t>A randomized phase II trial of trastuzumab plus capecitabine versus lapatinib plus capecitabine in patients with HER2-positive metastatic breast cancer previously treated with trastuzumab and taxanes: WJOG6110B/ELTOP</w:t>
            </w:r>
          </w:p>
        </w:tc>
        <w:tc>
          <w:tcPr>
            <w:tcW w:w="1140" w:type="pct"/>
            <w:tcBorders>
              <w:top w:val="single" w:sz="4" w:space="0" w:color="auto"/>
              <w:bottom w:val="single" w:sz="4" w:space="0" w:color="auto"/>
            </w:tcBorders>
            <w:vAlign w:val="center"/>
          </w:tcPr>
          <w:p w14:paraId="0C5BAD05" w14:textId="77777777" w:rsidR="00F84089" w:rsidRPr="00FD1145" w:rsidRDefault="00F84089" w:rsidP="00230CDC">
            <w:pPr>
              <w:pStyle w:val="TableText0"/>
              <w:rPr>
                <w:szCs w:val="18"/>
              </w:rPr>
            </w:pPr>
            <w:r w:rsidRPr="00FD1145">
              <w:rPr>
                <w:szCs w:val="18"/>
              </w:rPr>
              <w:t>The Breast. 2018; 40: 67-75</w:t>
            </w:r>
          </w:p>
        </w:tc>
      </w:tr>
      <w:tr w:rsidR="00F84089" w:rsidRPr="00FD1145" w14:paraId="1FD33B41" w14:textId="77777777" w:rsidTr="008B1086">
        <w:tc>
          <w:tcPr>
            <w:tcW w:w="780" w:type="pct"/>
            <w:tcBorders>
              <w:top w:val="single" w:sz="4" w:space="0" w:color="auto"/>
              <w:bottom w:val="single" w:sz="4" w:space="0" w:color="auto"/>
            </w:tcBorders>
            <w:vAlign w:val="center"/>
          </w:tcPr>
          <w:p w14:paraId="66C8C7FF" w14:textId="77777777" w:rsidR="00F84089" w:rsidRPr="00FD1145" w:rsidRDefault="00F84089" w:rsidP="00230CDC">
            <w:pPr>
              <w:pStyle w:val="TableText0"/>
            </w:pPr>
            <w:r w:rsidRPr="00FD1145">
              <w:t>CEREBEL</w:t>
            </w:r>
          </w:p>
          <w:p w14:paraId="3FAD813D" w14:textId="77777777" w:rsidR="00F84089" w:rsidRPr="00FD1145" w:rsidRDefault="00F84089" w:rsidP="00230CDC">
            <w:pPr>
              <w:pStyle w:val="TableText0"/>
            </w:pPr>
            <w:r w:rsidRPr="00FD1145">
              <w:t>(NCT00820222)</w:t>
            </w:r>
          </w:p>
        </w:tc>
        <w:tc>
          <w:tcPr>
            <w:tcW w:w="3080" w:type="pct"/>
            <w:tcBorders>
              <w:top w:val="single" w:sz="4" w:space="0" w:color="auto"/>
              <w:bottom w:val="single" w:sz="4" w:space="0" w:color="auto"/>
            </w:tcBorders>
            <w:vAlign w:val="center"/>
          </w:tcPr>
          <w:p w14:paraId="7E43E7CF" w14:textId="77777777" w:rsidR="00F84089" w:rsidRPr="00FD1145" w:rsidRDefault="00F84089" w:rsidP="00230CDC">
            <w:pPr>
              <w:pStyle w:val="TableText0"/>
              <w:rPr>
                <w:szCs w:val="18"/>
              </w:rPr>
            </w:pPr>
            <w:r w:rsidRPr="00FD1145">
              <w:rPr>
                <w:szCs w:val="18"/>
              </w:rPr>
              <w:t xml:space="preserve">Pivot X, </w:t>
            </w:r>
            <w:proofErr w:type="spellStart"/>
            <w:r w:rsidRPr="00FD1145">
              <w:rPr>
                <w:szCs w:val="18"/>
              </w:rPr>
              <w:t>Manikhas</w:t>
            </w:r>
            <w:proofErr w:type="spellEnd"/>
            <w:r w:rsidRPr="00FD1145">
              <w:rPr>
                <w:szCs w:val="18"/>
              </w:rPr>
              <w:t xml:space="preserve"> A, Zurawski B, et al. CEREBEL (EGF111438): A Phase III, Randomized, Open-Label Study of Lapatinib Plus Capecitabine Versus Trastuzumab Plus Capecitabine in Patients With Human Epidermal Growth Factor Receptor 2–Positive Metastatic Breast Cancer.</w:t>
            </w:r>
          </w:p>
        </w:tc>
        <w:tc>
          <w:tcPr>
            <w:tcW w:w="1140" w:type="pct"/>
            <w:tcBorders>
              <w:top w:val="single" w:sz="4" w:space="0" w:color="auto"/>
              <w:bottom w:val="single" w:sz="4" w:space="0" w:color="auto"/>
            </w:tcBorders>
            <w:vAlign w:val="center"/>
          </w:tcPr>
          <w:p w14:paraId="0E20EA8F" w14:textId="77777777" w:rsidR="00F84089" w:rsidRPr="00FD1145" w:rsidRDefault="00F84089" w:rsidP="00230CDC">
            <w:pPr>
              <w:pStyle w:val="TableText0"/>
              <w:rPr>
                <w:szCs w:val="18"/>
              </w:rPr>
            </w:pPr>
            <w:r w:rsidRPr="00FD1145">
              <w:rPr>
                <w:szCs w:val="18"/>
              </w:rPr>
              <w:t>J Clin Oncol. 2015; 33(14): 1564-1573</w:t>
            </w:r>
          </w:p>
        </w:tc>
      </w:tr>
    </w:tbl>
    <w:p w14:paraId="0594F526" w14:textId="77777777" w:rsidR="00F84089" w:rsidRPr="00FD1145" w:rsidRDefault="00F84089" w:rsidP="00230CDC">
      <w:pPr>
        <w:pStyle w:val="FooterTableFigure"/>
        <w:keepNext/>
        <w:keepLines/>
      </w:pPr>
      <w:r w:rsidRPr="00FD1145">
        <w:t>Source: Compiled during the evaluation using Table 2.2.1, p65-66 of the resubmission, Pivot et al, 2015 and Takano et al, 2018.</w:t>
      </w:r>
    </w:p>
    <w:p w14:paraId="3E8D5FB0" w14:textId="77777777" w:rsidR="00F84089" w:rsidRPr="00FD1145" w:rsidRDefault="00F84089" w:rsidP="00230CDC">
      <w:pPr>
        <w:pStyle w:val="FooterTableFigure"/>
        <w:keepNext/>
        <w:keepLines/>
      </w:pPr>
      <w:r w:rsidRPr="00FD1145">
        <w:t>Abbreviations: CSR, clinical study report; NMA, network meta-analysis; PBAC, Pharmaceutical Benefits Advisory Committee.</w:t>
      </w:r>
    </w:p>
    <w:p w14:paraId="509CB535" w14:textId="77777777" w:rsidR="00F84089" w:rsidRPr="00FD1145" w:rsidRDefault="00F84089" w:rsidP="00230CDC">
      <w:pPr>
        <w:pStyle w:val="FooterTableFigure"/>
        <w:keepNext/>
        <w:keepLines/>
        <w:rPr>
          <w:rStyle w:val="CommentReference"/>
          <w:b w:val="0"/>
          <w:sz w:val="18"/>
          <w:szCs w:val="22"/>
        </w:rPr>
      </w:pPr>
      <w:r w:rsidRPr="00FD1145">
        <w:rPr>
          <w:shd w:val="clear" w:color="auto" w:fill="B8CCE4" w:themeFill="accent1" w:themeFillTint="66"/>
        </w:rPr>
        <w:t>Blue shading</w:t>
      </w:r>
      <w:r w:rsidRPr="00FD1145">
        <w:t xml:space="preserve"> indicates studies previously seen by the PBAC.</w:t>
      </w:r>
    </w:p>
    <w:p w14:paraId="26E09D07" w14:textId="473532C9" w:rsidR="00F84089" w:rsidRPr="00FD1145" w:rsidRDefault="00F84089" w:rsidP="00F84089">
      <w:pPr>
        <w:pStyle w:val="3-BodyText"/>
        <w:rPr>
          <w:color w:val="0066FF"/>
        </w:rPr>
      </w:pPr>
      <w:r w:rsidRPr="00FD1145">
        <w:t xml:space="preserve">The key features of the direct randomised trial are summarised in </w:t>
      </w:r>
      <w:r w:rsidRPr="00FD1145">
        <w:fldChar w:fldCharType="begin"/>
      </w:r>
      <w:r w:rsidRPr="00FD1145">
        <w:instrText xml:space="preserve"> REF _Ref104804098 \h  \* MERGEFORMAT </w:instrText>
      </w:r>
      <w:r w:rsidRPr="00FD1145">
        <w:fldChar w:fldCharType="separate"/>
      </w:r>
      <w:r w:rsidR="009B3037" w:rsidRPr="009B3037">
        <w:t>Table 6</w:t>
      </w:r>
      <w:r w:rsidRPr="00FD1145">
        <w:fldChar w:fldCharType="end"/>
      </w:r>
      <w:r w:rsidRPr="00FD1145">
        <w:t>.</w:t>
      </w:r>
    </w:p>
    <w:p w14:paraId="11F4E92B" w14:textId="6D38ADE9" w:rsidR="00F84089" w:rsidRPr="00FD1145" w:rsidRDefault="00F84089" w:rsidP="00F84089">
      <w:pPr>
        <w:pStyle w:val="Caption"/>
        <w:rPr>
          <w:rStyle w:val="CommentReference"/>
          <w:rFonts w:eastAsiaTheme="majorEastAsia" w:cstheme="majorBidi"/>
          <w:b/>
          <w:szCs w:val="24"/>
        </w:rPr>
      </w:pPr>
      <w:bookmarkStart w:id="37" w:name="_Ref104804098"/>
      <w:r w:rsidRPr="00FD1145">
        <w:rPr>
          <w:rFonts w:eastAsiaTheme="majorEastAsia"/>
        </w:rPr>
        <w:lastRenderedPageBreak/>
        <w:t xml:space="preserve">Table </w:t>
      </w:r>
      <w:r w:rsidRPr="00FD1145">
        <w:rPr>
          <w:rFonts w:eastAsiaTheme="majorEastAsia"/>
        </w:rPr>
        <w:fldChar w:fldCharType="begin"/>
      </w:r>
      <w:r w:rsidRPr="00FD1145">
        <w:rPr>
          <w:rStyle w:val="CommentReference"/>
          <w:rFonts w:eastAsiaTheme="majorEastAsia" w:cstheme="majorBidi"/>
          <w:b/>
          <w:szCs w:val="24"/>
        </w:rPr>
        <w:instrText xml:space="preserve"> SEQ Table \* ARABIC </w:instrText>
      </w:r>
      <w:r w:rsidRPr="00FD1145">
        <w:rPr>
          <w:rFonts w:eastAsiaTheme="majorEastAsia"/>
        </w:rPr>
        <w:fldChar w:fldCharType="separate"/>
      </w:r>
      <w:r w:rsidR="009B3037">
        <w:rPr>
          <w:rStyle w:val="CommentReference"/>
          <w:rFonts w:eastAsiaTheme="majorEastAsia" w:cstheme="majorBidi"/>
          <w:b/>
          <w:noProof/>
          <w:szCs w:val="24"/>
        </w:rPr>
        <w:t>6</w:t>
      </w:r>
      <w:r w:rsidRPr="00FD1145">
        <w:rPr>
          <w:rFonts w:eastAsiaTheme="majorEastAsia"/>
        </w:rPr>
        <w:fldChar w:fldCharType="end"/>
      </w:r>
      <w:bookmarkEnd w:id="37"/>
      <w:r w:rsidRPr="00FD1145">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Key features of the included evidence"/>
      </w:tblPr>
      <w:tblGrid>
        <w:gridCol w:w="1112"/>
        <w:gridCol w:w="548"/>
        <w:gridCol w:w="1736"/>
        <w:gridCol w:w="992"/>
        <w:gridCol w:w="1726"/>
        <w:gridCol w:w="1535"/>
        <w:gridCol w:w="1367"/>
      </w:tblGrid>
      <w:tr w:rsidR="00F84089" w:rsidRPr="00FD1145" w14:paraId="13166F8B" w14:textId="77777777" w:rsidTr="008B1086">
        <w:trPr>
          <w:cantSplit/>
          <w:tblHeader/>
        </w:trPr>
        <w:tc>
          <w:tcPr>
            <w:tcW w:w="617" w:type="pct"/>
            <w:vAlign w:val="center"/>
          </w:tcPr>
          <w:p w14:paraId="7BA1BF01" w14:textId="77777777" w:rsidR="00F84089" w:rsidRPr="00FD1145" w:rsidRDefault="00F84089" w:rsidP="00CA6BDE">
            <w:pPr>
              <w:pStyle w:val="In-tableHeading"/>
            </w:pPr>
            <w:r w:rsidRPr="00FD1145">
              <w:t>Trial</w:t>
            </w:r>
          </w:p>
        </w:tc>
        <w:tc>
          <w:tcPr>
            <w:tcW w:w="304" w:type="pct"/>
            <w:vAlign w:val="center"/>
          </w:tcPr>
          <w:p w14:paraId="072985E6" w14:textId="77777777" w:rsidR="00F84089" w:rsidRPr="00FD1145" w:rsidRDefault="00F84089" w:rsidP="00CA6BDE">
            <w:pPr>
              <w:pStyle w:val="In-tableHeading"/>
            </w:pPr>
            <w:r w:rsidRPr="00FD1145">
              <w:t>N</w:t>
            </w:r>
          </w:p>
        </w:tc>
        <w:tc>
          <w:tcPr>
            <w:tcW w:w="963" w:type="pct"/>
            <w:vAlign w:val="center"/>
          </w:tcPr>
          <w:p w14:paraId="5F0277D5" w14:textId="77777777" w:rsidR="00F84089" w:rsidRPr="00FD1145" w:rsidRDefault="00F84089" w:rsidP="00CA6BDE">
            <w:pPr>
              <w:pStyle w:val="In-tableHeading"/>
            </w:pPr>
            <w:r w:rsidRPr="00FD1145">
              <w:t>Design</w:t>
            </w:r>
            <w:r w:rsidRPr="00FD1145">
              <w:br/>
              <w:t>Duration (median FU)</w:t>
            </w:r>
          </w:p>
        </w:tc>
        <w:tc>
          <w:tcPr>
            <w:tcW w:w="550" w:type="pct"/>
            <w:vAlign w:val="center"/>
          </w:tcPr>
          <w:p w14:paraId="7CBC17D1" w14:textId="77777777" w:rsidR="00F84089" w:rsidRPr="00FD1145" w:rsidRDefault="00F84089" w:rsidP="00CA6BDE">
            <w:pPr>
              <w:pStyle w:val="In-tableHeading"/>
            </w:pPr>
            <w:r w:rsidRPr="00FD1145">
              <w:t>Risk of bias</w:t>
            </w:r>
          </w:p>
        </w:tc>
        <w:tc>
          <w:tcPr>
            <w:tcW w:w="957" w:type="pct"/>
            <w:vAlign w:val="center"/>
          </w:tcPr>
          <w:p w14:paraId="56EAAD47" w14:textId="77777777" w:rsidR="00F84089" w:rsidRPr="00FD1145" w:rsidRDefault="00F84089" w:rsidP="00CA6BDE">
            <w:pPr>
              <w:pStyle w:val="In-tableHeading"/>
            </w:pPr>
            <w:r w:rsidRPr="00FD1145">
              <w:t>Patient population</w:t>
            </w:r>
          </w:p>
        </w:tc>
        <w:tc>
          <w:tcPr>
            <w:tcW w:w="851" w:type="pct"/>
            <w:vAlign w:val="center"/>
          </w:tcPr>
          <w:p w14:paraId="04065C7B" w14:textId="77777777" w:rsidR="00F84089" w:rsidRPr="00FD1145" w:rsidRDefault="00F84089" w:rsidP="00CA6BDE">
            <w:pPr>
              <w:pStyle w:val="In-tableHeading"/>
            </w:pPr>
            <w:r w:rsidRPr="00FD1145">
              <w:t>Outcome(s)</w:t>
            </w:r>
          </w:p>
        </w:tc>
        <w:tc>
          <w:tcPr>
            <w:tcW w:w="758" w:type="pct"/>
            <w:vAlign w:val="center"/>
          </w:tcPr>
          <w:p w14:paraId="03168C71" w14:textId="77777777" w:rsidR="00F84089" w:rsidRPr="00FD1145" w:rsidRDefault="00F84089" w:rsidP="00CA6BDE">
            <w:pPr>
              <w:pStyle w:val="In-tableHeading"/>
            </w:pPr>
            <w:r w:rsidRPr="00FD1145">
              <w:t>Use in modelled evaluation</w:t>
            </w:r>
          </w:p>
        </w:tc>
      </w:tr>
      <w:tr w:rsidR="00F84089" w:rsidRPr="00FD1145" w14:paraId="509DECBD" w14:textId="77777777" w:rsidTr="008B1086">
        <w:trPr>
          <w:cantSplit/>
        </w:trPr>
        <w:tc>
          <w:tcPr>
            <w:tcW w:w="5000" w:type="pct"/>
            <w:gridSpan w:val="7"/>
            <w:vAlign w:val="center"/>
          </w:tcPr>
          <w:p w14:paraId="5EC1EC95" w14:textId="2B13E899" w:rsidR="00F84089" w:rsidRPr="00FD1145" w:rsidRDefault="002E30C2" w:rsidP="00CA6BDE">
            <w:pPr>
              <w:pStyle w:val="In-tableHeading"/>
            </w:pPr>
            <w:r w:rsidRPr="00FD1145">
              <w:t>T</w:t>
            </w:r>
            <w:r w:rsidR="00F84089" w:rsidRPr="00FD1145">
              <w:t>ucatinib + trastuzumab + capecitabine vs. placebo + trastuzumab + capecitabine</w:t>
            </w:r>
          </w:p>
        </w:tc>
      </w:tr>
      <w:tr w:rsidR="00F84089" w:rsidRPr="00FD1145" w14:paraId="77C33BAB" w14:textId="77777777" w:rsidTr="008B1086">
        <w:trPr>
          <w:cantSplit/>
        </w:trPr>
        <w:tc>
          <w:tcPr>
            <w:tcW w:w="617" w:type="pct"/>
            <w:shd w:val="clear" w:color="auto" w:fill="B8CCE4" w:themeFill="accent1" w:themeFillTint="66"/>
            <w:vAlign w:val="center"/>
          </w:tcPr>
          <w:p w14:paraId="558FFBFB" w14:textId="77777777" w:rsidR="00F84089" w:rsidRPr="00FD1145" w:rsidRDefault="00F84089" w:rsidP="008B1086">
            <w:pPr>
              <w:pStyle w:val="TableText0"/>
            </w:pPr>
            <w:r w:rsidRPr="00FD1145">
              <w:t>HER2CLIMB</w:t>
            </w:r>
          </w:p>
        </w:tc>
        <w:tc>
          <w:tcPr>
            <w:tcW w:w="304" w:type="pct"/>
            <w:shd w:val="clear" w:color="auto" w:fill="B8CCE4" w:themeFill="accent1" w:themeFillTint="66"/>
            <w:vAlign w:val="center"/>
          </w:tcPr>
          <w:p w14:paraId="0FC2A68D" w14:textId="77777777" w:rsidR="00F84089" w:rsidRPr="00FD1145" w:rsidRDefault="00F84089" w:rsidP="008B1086">
            <w:pPr>
              <w:pStyle w:val="TableText0"/>
              <w:jc w:val="center"/>
            </w:pPr>
            <w:r w:rsidRPr="00FD1145">
              <w:t>612</w:t>
            </w:r>
          </w:p>
        </w:tc>
        <w:tc>
          <w:tcPr>
            <w:tcW w:w="963" w:type="pct"/>
            <w:vAlign w:val="center"/>
          </w:tcPr>
          <w:p w14:paraId="397C24F2" w14:textId="77777777" w:rsidR="00F84089" w:rsidRPr="00FD1145" w:rsidRDefault="00F84089" w:rsidP="008B1086">
            <w:pPr>
              <w:pStyle w:val="TableText0"/>
              <w:shd w:val="clear" w:color="auto" w:fill="B8CCE4" w:themeFill="accent1" w:themeFillTint="66"/>
              <w:jc w:val="center"/>
              <w:rPr>
                <w:lang w:val="pt-BR"/>
              </w:rPr>
            </w:pPr>
            <w:r w:rsidRPr="00FD1145">
              <w:rPr>
                <w:lang w:val="pt-BR"/>
              </w:rPr>
              <w:t>R, DB, MC, PC</w:t>
            </w:r>
          </w:p>
          <w:p w14:paraId="6AA23AD1" w14:textId="77777777" w:rsidR="00F84089" w:rsidRPr="00FD1145" w:rsidRDefault="00F84089" w:rsidP="008B1086">
            <w:pPr>
              <w:pStyle w:val="TableText0"/>
              <w:shd w:val="clear" w:color="auto" w:fill="B8CCE4" w:themeFill="accent1" w:themeFillTint="66"/>
              <w:jc w:val="center"/>
              <w:rPr>
                <w:lang w:val="pt-BR"/>
              </w:rPr>
            </w:pPr>
            <w:r w:rsidRPr="00FD1145">
              <w:rPr>
                <w:u w:val="single"/>
                <w:lang w:val="pt-BR"/>
              </w:rPr>
              <w:t>PA</w:t>
            </w:r>
            <w:r w:rsidRPr="00FD1145">
              <w:rPr>
                <w:lang w:val="pt-BR"/>
              </w:rPr>
              <w:t>: 14 mo</w:t>
            </w:r>
          </w:p>
          <w:p w14:paraId="6CB75B22" w14:textId="77777777" w:rsidR="00F84089" w:rsidRPr="00FD1145" w:rsidRDefault="00F84089" w:rsidP="008B1086">
            <w:pPr>
              <w:pStyle w:val="TableText0"/>
              <w:jc w:val="center"/>
              <w:rPr>
                <w:lang w:val="pt-BR"/>
              </w:rPr>
            </w:pPr>
            <w:r w:rsidRPr="00FD1145">
              <w:rPr>
                <w:u w:val="single"/>
                <w:lang w:val="pt-BR"/>
              </w:rPr>
              <w:t>FA</w:t>
            </w:r>
            <w:r w:rsidRPr="00FD1145">
              <w:rPr>
                <w:lang w:val="pt-BR"/>
              </w:rPr>
              <w:t>: 29.6 mo for OS</w:t>
            </w:r>
          </w:p>
        </w:tc>
        <w:tc>
          <w:tcPr>
            <w:tcW w:w="550" w:type="pct"/>
            <w:vAlign w:val="center"/>
          </w:tcPr>
          <w:p w14:paraId="5130272E" w14:textId="77777777" w:rsidR="00F84089" w:rsidRPr="00FD1145" w:rsidRDefault="00F84089" w:rsidP="008B1086">
            <w:pPr>
              <w:pStyle w:val="TableText0"/>
              <w:shd w:val="clear" w:color="auto" w:fill="B8CCE4" w:themeFill="accent1" w:themeFillTint="66"/>
              <w:jc w:val="center"/>
            </w:pPr>
            <w:r w:rsidRPr="00FD1145">
              <w:rPr>
                <w:u w:val="single"/>
              </w:rPr>
              <w:t>PA</w:t>
            </w:r>
            <w:r w:rsidRPr="00FD1145">
              <w:t>: Low</w:t>
            </w:r>
          </w:p>
          <w:p w14:paraId="3F5BE50E" w14:textId="77777777" w:rsidR="00F84089" w:rsidRPr="00FD1145" w:rsidRDefault="00F84089" w:rsidP="008B1086">
            <w:pPr>
              <w:pStyle w:val="TableText0"/>
              <w:jc w:val="center"/>
            </w:pPr>
            <w:r w:rsidRPr="00FD1145">
              <w:rPr>
                <w:u w:val="single"/>
              </w:rPr>
              <w:t>FA</w:t>
            </w:r>
            <w:r w:rsidRPr="00FD1145">
              <w:t>: High</w:t>
            </w:r>
          </w:p>
        </w:tc>
        <w:tc>
          <w:tcPr>
            <w:tcW w:w="957" w:type="pct"/>
            <w:shd w:val="clear" w:color="auto" w:fill="B8CCE4" w:themeFill="accent1" w:themeFillTint="66"/>
            <w:vAlign w:val="center"/>
          </w:tcPr>
          <w:p w14:paraId="436F1FA7" w14:textId="77777777" w:rsidR="00F84089" w:rsidRPr="00FD1145" w:rsidRDefault="00F84089" w:rsidP="008B1086">
            <w:pPr>
              <w:pStyle w:val="TableText0"/>
              <w:jc w:val="center"/>
            </w:pPr>
            <w:r w:rsidRPr="00FD1145">
              <w:t xml:space="preserve">HER2+ </w:t>
            </w:r>
            <w:proofErr w:type="spellStart"/>
            <w:r w:rsidRPr="00FD1145">
              <w:t>mBC</w:t>
            </w:r>
            <w:proofErr w:type="spellEnd"/>
            <w:r w:rsidRPr="00FD1145">
              <w:t>, progressed after ≥1 HER2-directed therapy</w:t>
            </w:r>
          </w:p>
        </w:tc>
        <w:tc>
          <w:tcPr>
            <w:tcW w:w="851" w:type="pct"/>
            <w:shd w:val="clear" w:color="auto" w:fill="B8CCE4" w:themeFill="accent1" w:themeFillTint="66"/>
            <w:vAlign w:val="center"/>
          </w:tcPr>
          <w:p w14:paraId="191E3425" w14:textId="77777777" w:rsidR="00F84089" w:rsidRPr="00FD1145" w:rsidRDefault="00F84089" w:rsidP="008B1086">
            <w:pPr>
              <w:pStyle w:val="TableText0"/>
              <w:jc w:val="center"/>
              <w:rPr>
                <w:lang w:val="pt-BR"/>
              </w:rPr>
            </w:pPr>
            <w:r w:rsidRPr="00FD1145">
              <w:rPr>
                <w:shd w:val="clear" w:color="auto" w:fill="B8CCE4" w:themeFill="accent1" w:themeFillTint="66"/>
                <w:lang w:val="pt-BR"/>
              </w:rPr>
              <w:t xml:space="preserve">PFS, </w:t>
            </w:r>
            <w:r w:rsidRPr="00FD1145">
              <w:rPr>
                <w:lang w:val="pt-BR"/>
              </w:rPr>
              <w:t>OS, ORR, PFS(BrainMets)</w:t>
            </w:r>
          </w:p>
        </w:tc>
        <w:tc>
          <w:tcPr>
            <w:tcW w:w="758" w:type="pct"/>
            <w:shd w:val="clear" w:color="auto" w:fill="B8CCE4" w:themeFill="accent1" w:themeFillTint="66"/>
            <w:vAlign w:val="center"/>
          </w:tcPr>
          <w:p w14:paraId="36C32730" w14:textId="77777777" w:rsidR="00F84089" w:rsidRPr="00FD1145" w:rsidRDefault="00F84089" w:rsidP="008B1086">
            <w:pPr>
              <w:pStyle w:val="TableText0"/>
              <w:jc w:val="center"/>
            </w:pPr>
            <w:r w:rsidRPr="00FD1145">
              <w:t>PFS, OS, HRQoL, safety</w:t>
            </w:r>
          </w:p>
        </w:tc>
      </w:tr>
    </w:tbl>
    <w:p w14:paraId="17D50A28" w14:textId="3FE669DD" w:rsidR="00F84089" w:rsidRPr="00FD1145" w:rsidRDefault="00F84089" w:rsidP="00F84089">
      <w:pPr>
        <w:pStyle w:val="FooterTableFigure"/>
      </w:pPr>
      <w:r w:rsidRPr="00FD1145">
        <w:t xml:space="preserve">Source: Table 3, </w:t>
      </w:r>
      <w:r w:rsidR="00EE5A2C" w:rsidRPr="00FD1145">
        <w:t>paragraph</w:t>
      </w:r>
      <w:r w:rsidRPr="00FD1145">
        <w:t xml:space="preserve"> 6.6, tucatinib PSD, March 2021 PBAC meeting; </w:t>
      </w:r>
      <w:proofErr w:type="spellStart"/>
      <w:r w:rsidRPr="00FD1145">
        <w:t>Curigliano</w:t>
      </w:r>
      <w:proofErr w:type="spellEnd"/>
      <w:r w:rsidRPr="00FD1145">
        <w:t xml:space="preserve"> et al, 2022.</w:t>
      </w:r>
    </w:p>
    <w:p w14:paraId="62F35DE5" w14:textId="77777777" w:rsidR="00F84089" w:rsidRPr="00FD1145" w:rsidRDefault="00F84089" w:rsidP="00F84089">
      <w:pPr>
        <w:pStyle w:val="FooterTableFigure"/>
      </w:pPr>
      <w:r w:rsidRPr="00FD1145">
        <w:t xml:space="preserve">Abbreviations: DB, double blinded; FA, final analysis; FU, follow up; HER2+, human epidermal growth factor receptor 2-positive; HRQoL, health-related quality of life; </w:t>
      </w:r>
      <w:proofErr w:type="spellStart"/>
      <w:r w:rsidRPr="00FD1145">
        <w:t>mBC</w:t>
      </w:r>
      <w:proofErr w:type="spellEnd"/>
      <w:r w:rsidRPr="00FD1145">
        <w:t>, metastatic breast cancer; MC, multicentre; ORR, overall response rate; OS, overall survival; PA, primary analysis; PBAC, Pharmaceutical Benefits Advisory Committee; PC, placebo controlled; PFS, progression-free survival; R, randomised.</w:t>
      </w:r>
    </w:p>
    <w:p w14:paraId="2D661154" w14:textId="0EB537AC" w:rsidR="00F84089" w:rsidRPr="00FD1145" w:rsidRDefault="00F84089" w:rsidP="00F84089">
      <w:pPr>
        <w:pStyle w:val="3-BodyText"/>
      </w:pPr>
      <w:r w:rsidRPr="00FD1145">
        <w:t>The PBAC previously noted that patients with brain metastases were permitted to enrol in HER2CLIMB, including those with treated and previously untreated brain metastases. Patients with brain metastases comprised 48% of the ITT-OS population. Updated data from the exploratory analysis previously considered by the PBAC, and an additional exploratory analysis w</w:t>
      </w:r>
      <w:r w:rsidR="00850E29" w:rsidRPr="00FD1145">
        <w:t>ere</w:t>
      </w:r>
      <w:r w:rsidRPr="00FD1145">
        <w:t xml:space="preserve"> included in the resubmission.</w:t>
      </w:r>
    </w:p>
    <w:p w14:paraId="418291F8" w14:textId="701769A3" w:rsidR="001D3C20" w:rsidRPr="00FD1145" w:rsidRDefault="004F77DF">
      <w:pPr>
        <w:pStyle w:val="3-BodyText"/>
      </w:pPr>
      <w:r w:rsidRPr="00FD1145">
        <w:t>While</w:t>
      </w:r>
      <w:r w:rsidR="009F7B8A" w:rsidRPr="00FD1145">
        <w:t xml:space="preserve"> the </w:t>
      </w:r>
      <w:r w:rsidR="00FD3282" w:rsidRPr="00FD1145">
        <w:t>final analysis</w:t>
      </w:r>
      <w:r w:rsidR="00FC7871" w:rsidRPr="00FD1145">
        <w:t xml:space="preserve"> </w:t>
      </w:r>
      <w:r w:rsidR="001655C5" w:rsidRPr="00FD1145">
        <w:t xml:space="preserve">of HER2CLIMB </w:t>
      </w:r>
      <w:r w:rsidR="00FC7871" w:rsidRPr="00FD1145">
        <w:t>was</w:t>
      </w:r>
      <w:r w:rsidR="001655C5" w:rsidRPr="00FD1145">
        <w:t xml:space="preserve"> impacted by</w:t>
      </w:r>
      <w:r w:rsidR="00FC7871" w:rsidRPr="00FD1145">
        <w:t xml:space="preserve"> </w:t>
      </w:r>
      <w:r w:rsidR="00F84089" w:rsidRPr="00FD1145">
        <w:t xml:space="preserve">unblinding and cross over of patients from the placebo arm </w:t>
      </w:r>
      <w:r w:rsidR="001655C5" w:rsidRPr="00FD1145">
        <w:t>(</w:t>
      </w:r>
      <w:r w:rsidR="00F84089" w:rsidRPr="00FD1145">
        <w:t>following the primary analysis</w:t>
      </w:r>
      <w:r w:rsidR="001655C5" w:rsidRPr="00FD1145">
        <w:t xml:space="preserve">), </w:t>
      </w:r>
      <w:r w:rsidR="00F84089" w:rsidRPr="00FD1145">
        <w:t xml:space="preserve">the </w:t>
      </w:r>
      <w:r w:rsidR="00887318" w:rsidRPr="00FD1145">
        <w:t xml:space="preserve">evaluation considered the </w:t>
      </w:r>
      <w:r w:rsidR="00F84089" w:rsidRPr="00FD1145">
        <w:t xml:space="preserve">overall risk of bias </w:t>
      </w:r>
      <w:r w:rsidR="00C45A1C" w:rsidRPr="00FD1145">
        <w:t xml:space="preserve">in the trial </w:t>
      </w:r>
      <w:r w:rsidR="001D3C20" w:rsidRPr="00FD1145">
        <w:t xml:space="preserve">was </w:t>
      </w:r>
      <w:r w:rsidR="00F84089" w:rsidRPr="00FD1145">
        <w:t>low given</w:t>
      </w:r>
      <w:r w:rsidR="001D3C20" w:rsidRPr="00FD1145">
        <w:t>:</w:t>
      </w:r>
      <w:r w:rsidR="00F84089" w:rsidRPr="00FD1145">
        <w:t xml:space="preserve"> (a) the trial had already met the prespecified criteria for significance for the primary endpoint (PFS) and key secondary endpoints prior to unblinding</w:t>
      </w:r>
      <w:r w:rsidR="001D3C20" w:rsidRPr="00FD1145">
        <w:t>;</w:t>
      </w:r>
      <w:r w:rsidR="00F84089" w:rsidRPr="00FD1145">
        <w:t xml:space="preserve"> and (b) only a small number of patients crossed over from the placebo group (</w:t>
      </w:r>
      <w:r w:rsidR="00CB54D1" w:rsidRPr="00FD1145">
        <w:t>N</w:t>
      </w:r>
      <w:r w:rsidR="00F84089" w:rsidRPr="00FD1145">
        <w:t>=26 [13.2%]).</w:t>
      </w:r>
    </w:p>
    <w:p w14:paraId="0276E24A" w14:textId="0B4C3E7A" w:rsidR="00AF7B74" w:rsidRPr="00FD1145" w:rsidRDefault="006F7D9A">
      <w:pPr>
        <w:pStyle w:val="3-BodyText"/>
      </w:pPr>
      <w:r w:rsidRPr="00FD1145">
        <w:t>Patients enrolled in the HER2</w:t>
      </w:r>
      <w:r w:rsidR="00457D4F" w:rsidRPr="00FD1145">
        <w:t>CLIMB trial</w:t>
      </w:r>
      <w:r w:rsidR="0031522B" w:rsidRPr="00FD1145">
        <w:t xml:space="preserve"> were required to be treated with pertuzumab, trastuzumab and T-DM1</w:t>
      </w:r>
      <w:r w:rsidR="00E12FA4" w:rsidRPr="00FD1145">
        <w:t xml:space="preserve">, </w:t>
      </w:r>
      <w:r w:rsidR="00091740" w:rsidRPr="00FD1145">
        <w:t xml:space="preserve">and </w:t>
      </w:r>
      <w:r w:rsidR="00E12FA4" w:rsidRPr="00FD1145">
        <w:t xml:space="preserve">thus had a median of three prior systematic therapies in the metastatic setting. </w:t>
      </w:r>
      <w:r w:rsidR="0097336D" w:rsidRPr="00FD1145">
        <w:t>Given the listing of T-</w:t>
      </w:r>
      <w:proofErr w:type="spellStart"/>
      <w:r w:rsidR="0097336D" w:rsidRPr="00FD1145">
        <w:t>DXd</w:t>
      </w:r>
      <w:proofErr w:type="spellEnd"/>
      <w:r w:rsidR="0097336D" w:rsidRPr="00FD1145">
        <w:t xml:space="preserve"> and subsequent displacement of T-DM1 as a third</w:t>
      </w:r>
      <w:r w:rsidR="009D211E" w:rsidRPr="00FD1145">
        <w:t>-</w:t>
      </w:r>
      <w:r w:rsidR="0097336D" w:rsidRPr="00FD1145">
        <w:t>line therapy, it is less likely that Australian patients will be pre-treated with T-DM1 (unless in the adjuvant setting). Th</w:t>
      </w:r>
      <w:r w:rsidR="003C3DF6" w:rsidRPr="00FD1145">
        <w:t>e evaluation and the ESC considered that th</w:t>
      </w:r>
      <w:r w:rsidR="0097336D" w:rsidRPr="00FD1145">
        <w:t xml:space="preserve">is </w:t>
      </w:r>
      <w:r w:rsidR="00091740" w:rsidRPr="00FD1145">
        <w:t>may</w:t>
      </w:r>
      <w:r w:rsidR="00E07378" w:rsidRPr="00FD1145">
        <w:t xml:space="preserve"> reduce the</w:t>
      </w:r>
      <w:r w:rsidR="0097336D" w:rsidRPr="00FD1145">
        <w:t xml:space="preserve"> applicability of the trial evidence to the proposed patient population in the </w:t>
      </w:r>
      <w:r w:rsidR="009D211E" w:rsidRPr="00FD1145">
        <w:t>resubmission</w:t>
      </w:r>
      <w:r w:rsidR="00477336" w:rsidRPr="00FD1145">
        <w:t xml:space="preserve">. </w:t>
      </w:r>
    </w:p>
    <w:p w14:paraId="6BF7BF09" w14:textId="3D601E85" w:rsidR="00F84089" w:rsidRPr="00FD1145" w:rsidRDefault="00F84089" w:rsidP="00F84089">
      <w:pPr>
        <w:pStyle w:val="3-BodyText"/>
      </w:pPr>
      <w:r w:rsidRPr="00FD1145">
        <w:t xml:space="preserve">The key features of the trials included in the ITC are summarised in </w:t>
      </w:r>
      <w:r w:rsidRPr="00FD1145">
        <w:fldChar w:fldCharType="begin"/>
      </w:r>
      <w:r w:rsidRPr="00FD1145">
        <w:instrText xml:space="preserve"> REF _Ref206062445 \h </w:instrText>
      </w:r>
      <w:r w:rsidR="00C33092" w:rsidRPr="00FD1145">
        <w:instrText xml:space="preserve"> \* MERGEFORMAT </w:instrText>
      </w:r>
      <w:r w:rsidRPr="00FD1145">
        <w:fldChar w:fldCharType="separate"/>
      </w:r>
      <w:r w:rsidR="009B3037" w:rsidRPr="00FD1145">
        <w:t xml:space="preserve">Table </w:t>
      </w:r>
      <w:r w:rsidR="009B3037">
        <w:rPr>
          <w:noProof/>
        </w:rPr>
        <w:t>7</w:t>
      </w:r>
      <w:r w:rsidRPr="00FD1145">
        <w:fldChar w:fldCharType="end"/>
      </w:r>
      <w:r w:rsidRPr="00FD1145">
        <w:t>.</w:t>
      </w:r>
    </w:p>
    <w:p w14:paraId="1A68B282" w14:textId="63691734" w:rsidR="00F84089" w:rsidRPr="00FD1145" w:rsidRDefault="00F84089" w:rsidP="00F84089">
      <w:pPr>
        <w:pStyle w:val="TableFigureHeading"/>
        <w:rPr>
          <w:rStyle w:val="CommentReference"/>
          <w:b/>
          <w:szCs w:val="24"/>
        </w:rPr>
      </w:pPr>
      <w:bookmarkStart w:id="38" w:name="_Ref206062445"/>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7</w:t>
      </w:r>
      <w:r w:rsidR="007000FA">
        <w:rPr>
          <w:noProof/>
        </w:rPr>
        <w:fldChar w:fldCharType="end"/>
      </w:r>
      <w:bookmarkEnd w:id="38"/>
      <w:r w:rsidRPr="00FD1145">
        <w:t xml:space="preserve">: </w:t>
      </w:r>
      <w:r w:rsidRPr="00FD1145">
        <w:rPr>
          <w:rStyle w:val="CommentReference"/>
          <w:b/>
          <w:szCs w:val="24"/>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 indirect comparison"/>
      </w:tblPr>
      <w:tblGrid>
        <w:gridCol w:w="849"/>
        <w:gridCol w:w="424"/>
        <w:gridCol w:w="1984"/>
        <w:gridCol w:w="710"/>
        <w:gridCol w:w="2413"/>
        <w:gridCol w:w="1051"/>
        <w:gridCol w:w="1585"/>
      </w:tblGrid>
      <w:tr w:rsidR="00F84089" w:rsidRPr="00FD1145" w14:paraId="03E21B01" w14:textId="77777777" w:rsidTr="008B1086">
        <w:trPr>
          <w:tblHeader/>
        </w:trPr>
        <w:tc>
          <w:tcPr>
            <w:tcW w:w="471" w:type="pct"/>
            <w:vAlign w:val="center"/>
          </w:tcPr>
          <w:p w14:paraId="3D94F0FB" w14:textId="77777777" w:rsidR="00F84089" w:rsidRPr="00FD1145" w:rsidRDefault="00F84089" w:rsidP="00CA6BDE">
            <w:pPr>
              <w:pStyle w:val="In-tableHeading"/>
            </w:pPr>
            <w:r w:rsidRPr="00FD1145">
              <w:t>Trial</w:t>
            </w:r>
          </w:p>
        </w:tc>
        <w:tc>
          <w:tcPr>
            <w:tcW w:w="235" w:type="pct"/>
            <w:vAlign w:val="center"/>
          </w:tcPr>
          <w:p w14:paraId="15ED992A" w14:textId="77777777" w:rsidR="00F84089" w:rsidRPr="00FD1145" w:rsidRDefault="00F84089" w:rsidP="00CA6BDE">
            <w:pPr>
              <w:pStyle w:val="In-tableHeading"/>
            </w:pPr>
            <w:r w:rsidRPr="00FD1145">
              <w:t>N</w:t>
            </w:r>
          </w:p>
        </w:tc>
        <w:tc>
          <w:tcPr>
            <w:tcW w:w="1100" w:type="pct"/>
            <w:vAlign w:val="center"/>
          </w:tcPr>
          <w:p w14:paraId="57199AC7" w14:textId="77777777" w:rsidR="00F84089" w:rsidRPr="00FD1145" w:rsidRDefault="00F84089" w:rsidP="00CA6BDE">
            <w:pPr>
              <w:pStyle w:val="In-tableHeading"/>
            </w:pPr>
            <w:r w:rsidRPr="00FD1145">
              <w:t>Design</w:t>
            </w:r>
            <w:r w:rsidRPr="00FD1145">
              <w:br/>
              <w:t>Duration (median FU)</w:t>
            </w:r>
          </w:p>
        </w:tc>
        <w:tc>
          <w:tcPr>
            <w:tcW w:w="394" w:type="pct"/>
            <w:vAlign w:val="center"/>
          </w:tcPr>
          <w:p w14:paraId="0C5398D1" w14:textId="77777777" w:rsidR="00F84089" w:rsidRPr="00FD1145" w:rsidRDefault="00F84089" w:rsidP="00CA6BDE">
            <w:pPr>
              <w:pStyle w:val="In-tableHeading"/>
            </w:pPr>
            <w:r w:rsidRPr="00FD1145">
              <w:t>Risk of bias</w:t>
            </w:r>
          </w:p>
        </w:tc>
        <w:tc>
          <w:tcPr>
            <w:tcW w:w="1338" w:type="pct"/>
            <w:vAlign w:val="center"/>
          </w:tcPr>
          <w:p w14:paraId="7E1A3934" w14:textId="77777777" w:rsidR="00F84089" w:rsidRPr="00FD1145" w:rsidRDefault="00F84089" w:rsidP="00CA6BDE">
            <w:pPr>
              <w:pStyle w:val="In-tableHeading"/>
            </w:pPr>
            <w:r w:rsidRPr="00FD1145">
              <w:t>Patient population</w:t>
            </w:r>
          </w:p>
        </w:tc>
        <w:tc>
          <w:tcPr>
            <w:tcW w:w="583" w:type="pct"/>
            <w:vAlign w:val="center"/>
          </w:tcPr>
          <w:p w14:paraId="4F117155" w14:textId="77777777" w:rsidR="00F84089" w:rsidRPr="00FD1145" w:rsidRDefault="00F84089" w:rsidP="00CA6BDE">
            <w:pPr>
              <w:pStyle w:val="In-tableHeading"/>
            </w:pPr>
            <w:r w:rsidRPr="00FD1145">
              <w:t>Outcome(s)</w:t>
            </w:r>
          </w:p>
        </w:tc>
        <w:tc>
          <w:tcPr>
            <w:tcW w:w="879" w:type="pct"/>
            <w:vAlign w:val="center"/>
          </w:tcPr>
          <w:p w14:paraId="6B35A404" w14:textId="77777777" w:rsidR="00F84089" w:rsidRPr="00FD1145" w:rsidRDefault="00F84089" w:rsidP="00CA6BDE">
            <w:pPr>
              <w:pStyle w:val="In-tableHeading"/>
            </w:pPr>
            <w:r w:rsidRPr="00FD1145">
              <w:t>Use in modelled evaluation</w:t>
            </w:r>
          </w:p>
        </w:tc>
      </w:tr>
      <w:tr w:rsidR="00F84089" w:rsidRPr="00FD1145" w14:paraId="74002EBE" w14:textId="77777777" w:rsidTr="008B1086">
        <w:tc>
          <w:tcPr>
            <w:tcW w:w="5000" w:type="pct"/>
            <w:gridSpan w:val="7"/>
            <w:vAlign w:val="center"/>
          </w:tcPr>
          <w:p w14:paraId="1432980F" w14:textId="77777777" w:rsidR="00F84089" w:rsidRPr="00FD1145" w:rsidRDefault="00F84089" w:rsidP="00CA6BDE">
            <w:pPr>
              <w:pStyle w:val="In-tableHeading"/>
            </w:pPr>
            <w:r w:rsidRPr="00FD1145">
              <w:t>T-DM1 vs. lapatinib + capecitabine</w:t>
            </w:r>
          </w:p>
        </w:tc>
      </w:tr>
      <w:tr w:rsidR="00F84089" w:rsidRPr="00FD1145" w14:paraId="2ED14E01" w14:textId="77777777" w:rsidTr="008B1086">
        <w:tc>
          <w:tcPr>
            <w:tcW w:w="471" w:type="pct"/>
            <w:vAlign w:val="center"/>
          </w:tcPr>
          <w:p w14:paraId="460E312D" w14:textId="77777777" w:rsidR="00F84089" w:rsidRPr="00FD1145" w:rsidRDefault="00F84089" w:rsidP="008B1086">
            <w:pPr>
              <w:pStyle w:val="TableText0"/>
            </w:pPr>
            <w:r w:rsidRPr="00FD1145">
              <w:t>EMILIA</w:t>
            </w:r>
          </w:p>
        </w:tc>
        <w:tc>
          <w:tcPr>
            <w:tcW w:w="235" w:type="pct"/>
            <w:vAlign w:val="center"/>
          </w:tcPr>
          <w:p w14:paraId="29815275" w14:textId="77777777" w:rsidR="00F84089" w:rsidRPr="00FD1145" w:rsidRDefault="00F84089" w:rsidP="008B1086">
            <w:pPr>
              <w:pStyle w:val="TableText0"/>
              <w:jc w:val="center"/>
            </w:pPr>
            <w:r w:rsidRPr="00FD1145">
              <w:t>991</w:t>
            </w:r>
          </w:p>
        </w:tc>
        <w:tc>
          <w:tcPr>
            <w:tcW w:w="1100" w:type="pct"/>
            <w:vAlign w:val="center"/>
          </w:tcPr>
          <w:p w14:paraId="61451470" w14:textId="77777777" w:rsidR="00F84089" w:rsidRPr="00FD1145" w:rsidRDefault="00F84089" w:rsidP="008B1086">
            <w:pPr>
              <w:pStyle w:val="TableText0"/>
              <w:jc w:val="center"/>
              <w:rPr>
                <w:lang w:val="pt-BR"/>
              </w:rPr>
            </w:pPr>
            <w:r w:rsidRPr="00FD1145">
              <w:rPr>
                <w:lang w:val="pt-BR"/>
              </w:rPr>
              <w:t>R, OL, MC</w:t>
            </w:r>
          </w:p>
          <w:p w14:paraId="322E06E6" w14:textId="77777777" w:rsidR="00F84089" w:rsidRPr="00FD1145" w:rsidRDefault="00F84089" w:rsidP="008B1086">
            <w:pPr>
              <w:pStyle w:val="TableText0"/>
              <w:jc w:val="center"/>
              <w:rPr>
                <w:lang w:val="pt-BR"/>
              </w:rPr>
            </w:pPr>
            <w:r w:rsidRPr="00FD1145">
              <w:rPr>
                <w:u w:val="single"/>
                <w:lang w:val="pt-BR"/>
              </w:rPr>
              <w:t>PA</w:t>
            </w:r>
            <w:r w:rsidRPr="00FD1145">
              <w:rPr>
                <w:lang w:val="pt-BR"/>
              </w:rPr>
              <w:t xml:space="preserve">: 12.4 mo control; </w:t>
            </w:r>
            <w:r w:rsidRPr="00FD1145">
              <w:rPr>
                <w:lang w:val="pt-BR"/>
              </w:rPr>
              <w:br/>
              <w:t>12.9 mo T-DM1</w:t>
            </w:r>
          </w:p>
          <w:p w14:paraId="2ACB62D9" w14:textId="77777777" w:rsidR="00F84089" w:rsidRPr="00FD1145" w:rsidRDefault="00F84089" w:rsidP="008B1086">
            <w:pPr>
              <w:pStyle w:val="TableText0"/>
              <w:jc w:val="center"/>
              <w:rPr>
                <w:lang w:val="pt-BR"/>
              </w:rPr>
            </w:pPr>
            <w:r w:rsidRPr="00FD1145">
              <w:rPr>
                <w:u w:val="single"/>
                <w:lang w:val="pt-BR"/>
              </w:rPr>
              <w:t>IA</w:t>
            </w:r>
            <w:r w:rsidRPr="00FD1145">
              <w:rPr>
                <w:lang w:val="pt-BR"/>
              </w:rPr>
              <w:t xml:space="preserve">: 18.6 mo control; </w:t>
            </w:r>
            <w:r w:rsidRPr="00FD1145">
              <w:rPr>
                <w:lang w:val="pt-BR"/>
              </w:rPr>
              <w:br/>
              <w:t>19.1 mo T-DM1</w:t>
            </w:r>
          </w:p>
          <w:p w14:paraId="579BE8A3" w14:textId="77777777" w:rsidR="00F84089" w:rsidRPr="00FD1145" w:rsidRDefault="00F84089" w:rsidP="008B1086">
            <w:pPr>
              <w:pStyle w:val="TableText0"/>
              <w:jc w:val="center"/>
              <w:rPr>
                <w:lang w:val="es-ES"/>
              </w:rPr>
            </w:pPr>
            <w:r w:rsidRPr="00FD1145">
              <w:rPr>
                <w:u w:val="single"/>
                <w:lang w:val="es-ES"/>
              </w:rPr>
              <w:t>FA</w:t>
            </w:r>
            <w:r w:rsidRPr="00FD1145">
              <w:rPr>
                <w:lang w:val="es-ES"/>
              </w:rPr>
              <w:t xml:space="preserve">: 41.9 mo control; </w:t>
            </w:r>
            <w:r w:rsidRPr="00FD1145">
              <w:rPr>
                <w:lang w:val="es-ES"/>
              </w:rPr>
              <w:br/>
              <w:t>47.8 mo T-DM1</w:t>
            </w:r>
          </w:p>
        </w:tc>
        <w:tc>
          <w:tcPr>
            <w:tcW w:w="394" w:type="pct"/>
            <w:vAlign w:val="center"/>
          </w:tcPr>
          <w:p w14:paraId="13388BD6" w14:textId="77777777" w:rsidR="00F84089" w:rsidRPr="00FD1145" w:rsidRDefault="00F84089" w:rsidP="008B1086">
            <w:pPr>
              <w:pStyle w:val="TableText0"/>
              <w:jc w:val="center"/>
            </w:pPr>
            <w:r w:rsidRPr="00FD1145">
              <w:t>High</w:t>
            </w:r>
          </w:p>
        </w:tc>
        <w:tc>
          <w:tcPr>
            <w:tcW w:w="1338" w:type="pct"/>
            <w:vAlign w:val="center"/>
          </w:tcPr>
          <w:p w14:paraId="7B594351" w14:textId="77777777" w:rsidR="00F84089" w:rsidRPr="00FD1145" w:rsidRDefault="00F84089" w:rsidP="008B1086">
            <w:pPr>
              <w:pStyle w:val="TableText0"/>
              <w:jc w:val="center"/>
            </w:pPr>
            <w:r w:rsidRPr="00FD1145">
              <w:t xml:space="preserve">HER2+ unresectable, locally advanced breast cancer or </w:t>
            </w:r>
            <w:proofErr w:type="spellStart"/>
            <w:r w:rsidRPr="00FD1145">
              <w:t>mBC</w:t>
            </w:r>
            <w:proofErr w:type="spellEnd"/>
            <w:r w:rsidRPr="00FD1145">
              <w:t xml:space="preserve"> previously treated with trastuzumab and a taxane</w:t>
            </w:r>
          </w:p>
        </w:tc>
        <w:tc>
          <w:tcPr>
            <w:tcW w:w="583" w:type="pct"/>
            <w:vAlign w:val="center"/>
          </w:tcPr>
          <w:p w14:paraId="2A786B92" w14:textId="77777777" w:rsidR="00F84089" w:rsidRPr="00FD1145" w:rsidRDefault="00F84089" w:rsidP="008B1086">
            <w:pPr>
              <w:pStyle w:val="TableText0"/>
              <w:jc w:val="center"/>
            </w:pPr>
            <w:r w:rsidRPr="00FD1145">
              <w:t>PFS, OS</w:t>
            </w:r>
          </w:p>
        </w:tc>
        <w:tc>
          <w:tcPr>
            <w:tcW w:w="879" w:type="pct"/>
            <w:vAlign w:val="center"/>
          </w:tcPr>
          <w:p w14:paraId="68C37E4D" w14:textId="77777777" w:rsidR="00F84089" w:rsidRPr="00FD1145" w:rsidRDefault="00F84089" w:rsidP="008B1086">
            <w:pPr>
              <w:pStyle w:val="TableText0"/>
              <w:jc w:val="center"/>
            </w:pPr>
            <w:r w:rsidRPr="00FD1145">
              <w:t>PFS, OS</w:t>
            </w:r>
          </w:p>
        </w:tc>
      </w:tr>
      <w:tr w:rsidR="00F84089" w:rsidRPr="00FD1145" w14:paraId="54F6BA60" w14:textId="77777777" w:rsidTr="008B1086">
        <w:tc>
          <w:tcPr>
            <w:tcW w:w="5000" w:type="pct"/>
            <w:gridSpan w:val="7"/>
            <w:vAlign w:val="center"/>
          </w:tcPr>
          <w:p w14:paraId="2EAA43C5" w14:textId="77777777" w:rsidR="00F84089" w:rsidRPr="00FD1145" w:rsidRDefault="00F84089" w:rsidP="008B1086">
            <w:pPr>
              <w:pStyle w:val="TableText0"/>
              <w:rPr>
                <w:lang w:val="pt-BR"/>
              </w:rPr>
            </w:pPr>
            <w:r w:rsidRPr="00FD1145">
              <w:rPr>
                <w:b/>
                <w:bCs w:val="0"/>
                <w:lang w:val="pt-BR"/>
              </w:rPr>
              <w:t>Lapatinib + capecitabine vs. trastuzumab + capecitabine</w:t>
            </w:r>
          </w:p>
        </w:tc>
      </w:tr>
      <w:tr w:rsidR="00F84089" w:rsidRPr="00FD1145" w14:paraId="5FDC7AA7" w14:textId="77777777" w:rsidTr="008B1086">
        <w:tc>
          <w:tcPr>
            <w:tcW w:w="471" w:type="pct"/>
            <w:vAlign w:val="center"/>
          </w:tcPr>
          <w:p w14:paraId="1858DE9A" w14:textId="77777777" w:rsidR="00F84089" w:rsidRPr="00FD1145" w:rsidRDefault="00F84089" w:rsidP="008B1086">
            <w:pPr>
              <w:pStyle w:val="TableText0"/>
            </w:pPr>
            <w:r w:rsidRPr="00FD1145">
              <w:t>CEREBEL</w:t>
            </w:r>
          </w:p>
        </w:tc>
        <w:tc>
          <w:tcPr>
            <w:tcW w:w="235" w:type="pct"/>
            <w:vAlign w:val="center"/>
          </w:tcPr>
          <w:p w14:paraId="246078BD" w14:textId="77777777" w:rsidR="00F84089" w:rsidRPr="00FD1145" w:rsidRDefault="00F84089" w:rsidP="008B1086">
            <w:pPr>
              <w:pStyle w:val="TableText0"/>
              <w:jc w:val="center"/>
            </w:pPr>
            <w:r w:rsidRPr="00FD1145">
              <w:t>540</w:t>
            </w:r>
          </w:p>
        </w:tc>
        <w:tc>
          <w:tcPr>
            <w:tcW w:w="1100" w:type="pct"/>
            <w:vAlign w:val="center"/>
          </w:tcPr>
          <w:p w14:paraId="2404A661" w14:textId="77777777" w:rsidR="00F84089" w:rsidRPr="00FD1145" w:rsidRDefault="00F84089" w:rsidP="008B1086">
            <w:pPr>
              <w:pStyle w:val="TableText0"/>
              <w:jc w:val="center"/>
            </w:pPr>
            <w:r w:rsidRPr="00FD1145">
              <w:t>R, OL, MC</w:t>
            </w:r>
          </w:p>
          <w:p w14:paraId="616FA829" w14:textId="77777777" w:rsidR="00F84089" w:rsidRPr="00FD1145" w:rsidRDefault="00F84089" w:rsidP="008B1086">
            <w:pPr>
              <w:pStyle w:val="TableText0"/>
              <w:jc w:val="center"/>
            </w:pPr>
            <w:r w:rsidRPr="00FD1145">
              <w:t>NR</w:t>
            </w:r>
          </w:p>
        </w:tc>
        <w:tc>
          <w:tcPr>
            <w:tcW w:w="394" w:type="pct"/>
            <w:vAlign w:val="center"/>
          </w:tcPr>
          <w:p w14:paraId="13930D55" w14:textId="77777777" w:rsidR="00F84089" w:rsidRPr="00FD1145" w:rsidRDefault="00F84089" w:rsidP="008B1086">
            <w:pPr>
              <w:pStyle w:val="TableText0"/>
              <w:jc w:val="center"/>
            </w:pPr>
            <w:r w:rsidRPr="00FD1145">
              <w:t>High</w:t>
            </w:r>
          </w:p>
        </w:tc>
        <w:tc>
          <w:tcPr>
            <w:tcW w:w="1338" w:type="pct"/>
            <w:vAlign w:val="center"/>
          </w:tcPr>
          <w:p w14:paraId="0B732097" w14:textId="77777777" w:rsidR="00F84089" w:rsidRPr="00FD1145" w:rsidRDefault="00F84089" w:rsidP="008B1086">
            <w:pPr>
              <w:pStyle w:val="TableText0"/>
              <w:jc w:val="center"/>
            </w:pPr>
            <w:r w:rsidRPr="00FD1145">
              <w:t xml:space="preserve">HER2+ </w:t>
            </w:r>
            <w:proofErr w:type="spellStart"/>
            <w:r w:rsidRPr="00FD1145">
              <w:t>mBC</w:t>
            </w:r>
            <w:proofErr w:type="spellEnd"/>
            <w:r w:rsidRPr="00FD1145">
              <w:t xml:space="preserve"> previously treated with anthracycline and/or taxanes for (neo)adjuvant or metastatic disease</w:t>
            </w:r>
          </w:p>
        </w:tc>
        <w:tc>
          <w:tcPr>
            <w:tcW w:w="583" w:type="pct"/>
            <w:vAlign w:val="center"/>
          </w:tcPr>
          <w:p w14:paraId="5AB608DC" w14:textId="77777777" w:rsidR="00F84089" w:rsidRPr="00FD1145" w:rsidRDefault="00F84089" w:rsidP="008B1086">
            <w:pPr>
              <w:pStyle w:val="TableText0"/>
              <w:jc w:val="center"/>
            </w:pPr>
            <w:r w:rsidRPr="00FD1145">
              <w:t>PFS, OS</w:t>
            </w:r>
          </w:p>
        </w:tc>
        <w:tc>
          <w:tcPr>
            <w:tcW w:w="879" w:type="pct"/>
            <w:vAlign w:val="center"/>
          </w:tcPr>
          <w:p w14:paraId="147ECF1E" w14:textId="77777777" w:rsidR="00F84089" w:rsidRPr="00FD1145" w:rsidRDefault="00F84089" w:rsidP="008B1086">
            <w:pPr>
              <w:pStyle w:val="TableText0"/>
              <w:jc w:val="center"/>
            </w:pPr>
            <w:r w:rsidRPr="00FD1145">
              <w:t>PFS, OS</w:t>
            </w:r>
          </w:p>
        </w:tc>
      </w:tr>
      <w:tr w:rsidR="00F84089" w:rsidRPr="00FD1145" w14:paraId="63E3AB91" w14:textId="77777777" w:rsidTr="008B1086">
        <w:tc>
          <w:tcPr>
            <w:tcW w:w="471" w:type="pct"/>
            <w:vAlign w:val="center"/>
          </w:tcPr>
          <w:p w14:paraId="285A40D2" w14:textId="77777777" w:rsidR="00F84089" w:rsidRPr="00FD1145" w:rsidRDefault="00F84089" w:rsidP="008B1086">
            <w:pPr>
              <w:pStyle w:val="TableText0"/>
            </w:pPr>
            <w:r w:rsidRPr="00FD1145">
              <w:t>ELTOP</w:t>
            </w:r>
          </w:p>
        </w:tc>
        <w:tc>
          <w:tcPr>
            <w:tcW w:w="235" w:type="pct"/>
            <w:vAlign w:val="center"/>
          </w:tcPr>
          <w:p w14:paraId="29757E33" w14:textId="77777777" w:rsidR="00F84089" w:rsidRPr="00FD1145" w:rsidRDefault="00F84089" w:rsidP="008B1086">
            <w:pPr>
              <w:pStyle w:val="TableText0"/>
              <w:jc w:val="center"/>
            </w:pPr>
            <w:r w:rsidRPr="00FD1145">
              <w:t>75</w:t>
            </w:r>
          </w:p>
        </w:tc>
        <w:tc>
          <w:tcPr>
            <w:tcW w:w="1100" w:type="pct"/>
            <w:vAlign w:val="center"/>
          </w:tcPr>
          <w:p w14:paraId="1B773010" w14:textId="77777777" w:rsidR="00F84089" w:rsidRPr="00FD1145" w:rsidRDefault="00F84089" w:rsidP="008B1086">
            <w:pPr>
              <w:pStyle w:val="TableText0"/>
              <w:jc w:val="center"/>
            </w:pPr>
            <w:r w:rsidRPr="00FD1145">
              <w:t>R, OL, MC</w:t>
            </w:r>
          </w:p>
          <w:p w14:paraId="467B9EDE" w14:textId="77777777" w:rsidR="00F84089" w:rsidRPr="00FD1145" w:rsidRDefault="00F84089" w:rsidP="008B1086">
            <w:pPr>
              <w:pStyle w:val="TableText0"/>
              <w:jc w:val="center"/>
            </w:pPr>
            <w:r w:rsidRPr="00FD1145">
              <w:t>44.6 mo</w:t>
            </w:r>
          </w:p>
        </w:tc>
        <w:tc>
          <w:tcPr>
            <w:tcW w:w="394" w:type="pct"/>
            <w:vAlign w:val="center"/>
          </w:tcPr>
          <w:p w14:paraId="0F8A8850" w14:textId="77777777" w:rsidR="00F84089" w:rsidRPr="00FD1145" w:rsidRDefault="00F84089" w:rsidP="008B1086">
            <w:pPr>
              <w:pStyle w:val="TableText0"/>
              <w:jc w:val="center"/>
            </w:pPr>
            <w:r w:rsidRPr="00FD1145">
              <w:t>High</w:t>
            </w:r>
          </w:p>
        </w:tc>
        <w:tc>
          <w:tcPr>
            <w:tcW w:w="1338" w:type="pct"/>
            <w:vAlign w:val="center"/>
          </w:tcPr>
          <w:p w14:paraId="509C1A7C" w14:textId="77777777" w:rsidR="00F84089" w:rsidRPr="00FD1145" w:rsidRDefault="00F84089" w:rsidP="008B1086">
            <w:pPr>
              <w:pStyle w:val="TableText0"/>
              <w:jc w:val="center"/>
            </w:pPr>
            <w:r w:rsidRPr="00FD1145">
              <w:t xml:space="preserve">HER2+ </w:t>
            </w:r>
            <w:proofErr w:type="spellStart"/>
            <w:r w:rsidRPr="00FD1145">
              <w:t>mBC</w:t>
            </w:r>
            <w:proofErr w:type="spellEnd"/>
            <w:r w:rsidRPr="00FD1145">
              <w:t xml:space="preserve"> previously treated with trastuzumab and taxanes</w:t>
            </w:r>
          </w:p>
        </w:tc>
        <w:tc>
          <w:tcPr>
            <w:tcW w:w="583" w:type="pct"/>
            <w:vAlign w:val="center"/>
          </w:tcPr>
          <w:p w14:paraId="0FB0F472" w14:textId="77777777" w:rsidR="00F84089" w:rsidRPr="00FD1145" w:rsidRDefault="00F84089" w:rsidP="008B1086">
            <w:pPr>
              <w:pStyle w:val="TableText0"/>
              <w:jc w:val="center"/>
            </w:pPr>
            <w:r w:rsidRPr="00FD1145">
              <w:t>PFS, OS</w:t>
            </w:r>
          </w:p>
        </w:tc>
        <w:tc>
          <w:tcPr>
            <w:tcW w:w="879" w:type="pct"/>
            <w:vAlign w:val="center"/>
          </w:tcPr>
          <w:p w14:paraId="129E7463" w14:textId="77777777" w:rsidR="00F84089" w:rsidRPr="00FD1145" w:rsidRDefault="00F84089" w:rsidP="008B1086">
            <w:pPr>
              <w:pStyle w:val="TableText0"/>
              <w:jc w:val="center"/>
            </w:pPr>
            <w:r w:rsidRPr="00FD1145">
              <w:t>PFS, OS</w:t>
            </w:r>
          </w:p>
        </w:tc>
      </w:tr>
    </w:tbl>
    <w:p w14:paraId="3039BCF5" w14:textId="77777777" w:rsidR="00F84089" w:rsidRPr="00FD1145" w:rsidRDefault="00F84089" w:rsidP="00F84089">
      <w:pPr>
        <w:pStyle w:val="FooterTableFigure"/>
        <w:rPr>
          <w:lang w:val="fr-CA"/>
        </w:rPr>
      </w:pPr>
      <w:r w:rsidRPr="00FD1145">
        <w:rPr>
          <w:lang w:val="fr-CA"/>
        </w:rPr>
        <w:t xml:space="preserve">Source: </w:t>
      </w:r>
      <w:proofErr w:type="spellStart"/>
      <w:r w:rsidRPr="00FD1145">
        <w:rPr>
          <w:lang w:val="fr-CA"/>
        </w:rPr>
        <w:t>Dieras</w:t>
      </w:r>
      <w:proofErr w:type="spellEnd"/>
      <w:r w:rsidRPr="00FD1145">
        <w:rPr>
          <w:lang w:val="fr-CA"/>
        </w:rPr>
        <w:t xml:space="preserve"> et al, 2017; Pivot et al, 2015; Takano et al, 2018.</w:t>
      </w:r>
    </w:p>
    <w:p w14:paraId="3212D055" w14:textId="77777777" w:rsidR="00F84089" w:rsidRPr="00FD1145" w:rsidRDefault="00F84089" w:rsidP="00F84089">
      <w:pPr>
        <w:pStyle w:val="FooterTableFigure"/>
      </w:pPr>
      <w:r w:rsidRPr="00FD1145">
        <w:t xml:space="preserve">Abbreviations: FA, final analysis; FU, follow up; HER2+, human epidermal growth factor receptor 2-positive; HRQoL, health-related quality of life; IA, interim analysis; </w:t>
      </w:r>
      <w:proofErr w:type="spellStart"/>
      <w:r w:rsidRPr="00FD1145">
        <w:t>mBC</w:t>
      </w:r>
      <w:proofErr w:type="spellEnd"/>
      <w:r w:rsidRPr="00FD1145">
        <w:t>, metastatic breast cancer; MC, multicentre; NR, not reported; OL, open label; OS, overall survival; PA, primary analysis; PC, placebo controlled; PFS, progression-free survival; R, randomised.</w:t>
      </w:r>
    </w:p>
    <w:p w14:paraId="0C53F9F6" w14:textId="0B86E898" w:rsidR="00F84089" w:rsidRPr="00FD1145" w:rsidRDefault="00F84089">
      <w:pPr>
        <w:pStyle w:val="3-BodyText"/>
      </w:pPr>
      <w:r w:rsidRPr="00FD1145">
        <w:t xml:space="preserve">Overall, </w:t>
      </w:r>
      <w:r w:rsidR="00EE0914" w:rsidRPr="00FD1145">
        <w:t xml:space="preserve">the evaluation considered that </w:t>
      </w:r>
      <w:r w:rsidRPr="00FD1145">
        <w:t xml:space="preserve">EMILIA, ELTOP and CEREBEL </w:t>
      </w:r>
      <w:r w:rsidR="00EE0914" w:rsidRPr="00FD1145">
        <w:t>had</w:t>
      </w:r>
      <w:r w:rsidR="00B43751" w:rsidRPr="00FD1145">
        <w:t xml:space="preserve"> a</w:t>
      </w:r>
      <w:r w:rsidRPr="00FD1145">
        <w:t xml:space="preserve"> high risk of bias due to their open-label design. Detection bias was mitigated somewhat in EMILIA and ELTOP trials </w:t>
      </w:r>
      <w:proofErr w:type="gramStart"/>
      <w:r w:rsidRPr="00FD1145">
        <w:t>through the use of</w:t>
      </w:r>
      <w:proofErr w:type="gramEnd"/>
      <w:r w:rsidRPr="00FD1145">
        <w:t xml:space="preserve"> an independent review committee (IRC), masked to treatment assignment, to assess the primary endpoint of PFS (EMILIA) and incidence of brain metastases as site of first relapse (ELTOP).</w:t>
      </w:r>
    </w:p>
    <w:p w14:paraId="100EFC47" w14:textId="19B6E83F" w:rsidR="00A2000E" w:rsidRPr="00FD1145" w:rsidRDefault="00A2000E" w:rsidP="00A2000E">
      <w:pPr>
        <w:pStyle w:val="3-BodyText"/>
        <w:rPr>
          <w:lang w:eastAsia="en-US"/>
        </w:rPr>
      </w:pPr>
      <w:bookmarkStart w:id="39" w:name="_Ref206165444"/>
      <w:r w:rsidRPr="00FD1145">
        <w:rPr>
          <w:lang w:eastAsia="en-US"/>
        </w:rPr>
        <w:t xml:space="preserve">There were </w:t>
      </w:r>
      <w:proofErr w:type="gramStart"/>
      <w:r w:rsidRPr="00FD1145">
        <w:rPr>
          <w:lang w:eastAsia="en-US"/>
        </w:rPr>
        <w:t>a number of</w:t>
      </w:r>
      <w:proofErr w:type="gramEnd"/>
      <w:r w:rsidRPr="00FD1145">
        <w:rPr>
          <w:lang w:eastAsia="en-US"/>
        </w:rPr>
        <w:t xml:space="preserve"> key differences across the trials that result</w:t>
      </w:r>
      <w:r w:rsidR="004F1A01" w:rsidRPr="00FD1145">
        <w:rPr>
          <w:lang w:eastAsia="en-US"/>
        </w:rPr>
        <w:t>ed</w:t>
      </w:r>
      <w:r w:rsidRPr="00FD1145">
        <w:rPr>
          <w:lang w:eastAsia="en-US"/>
        </w:rPr>
        <w:t xml:space="preserve"> in transitivity issues for the ITC, including:</w:t>
      </w:r>
      <w:bookmarkEnd w:id="39"/>
    </w:p>
    <w:p w14:paraId="33BEE6B7" w14:textId="01964845" w:rsidR="001655C5" w:rsidRPr="00FD1145" w:rsidRDefault="001655C5" w:rsidP="001655C5">
      <w:pPr>
        <w:pStyle w:val="ListParagraph"/>
        <w:ind w:left="1134"/>
        <w:rPr>
          <w:lang w:eastAsia="en-US"/>
        </w:rPr>
      </w:pPr>
      <w:r w:rsidRPr="00FD1145">
        <w:t>Prior</w:t>
      </w:r>
      <w:r w:rsidRPr="00FD1145">
        <w:rPr>
          <w:lang w:eastAsia="en-US"/>
        </w:rPr>
        <w:t xml:space="preserve"> therapies: HER2CLIMB reported a median number of previous therapies in the metastatic stage of 3. Although the median number of therapies were not explicitly reported in the other trials, most patients in EMILIA and ELTOP had only 0 or 1 prior lines of therapy. As such, the patient population in HER2CLIMB represents a more heavily pre-treated population.</w:t>
      </w:r>
    </w:p>
    <w:p w14:paraId="18D5C50B" w14:textId="2EE03BCE" w:rsidR="00A2000E" w:rsidRPr="00FD1145" w:rsidRDefault="00A2000E" w:rsidP="00D136AE">
      <w:pPr>
        <w:pStyle w:val="ListParagraph"/>
        <w:ind w:left="1134"/>
        <w:rPr>
          <w:lang w:eastAsia="en-US"/>
        </w:rPr>
      </w:pPr>
      <w:r w:rsidRPr="00FD1145">
        <w:t>Presence</w:t>
      </w:r>
      <w:r w:rsidRPr="00FD1145">
        <w:rPr>
          <w:lang w:eastAsia="en-US"/>
        </w:rPr>
        <w:t xml:space="preserve"> of brain metastases: Nearly 50% of patients in HER2CLIMB had brain metastases compared to 16% in ELTOP and 0% in EMILIA (brain metastases were not reported in CEREBEL).</w:t>
      </w:r>
    </w:p>
    <w:p w14:paraId="5BF4F988" w14:textId="30EAD5CA" w:rsidR="00A2000E" w:rsidRPr="00FD1145" w:rsidRDefault="00A2000E" w:rsidP="00D136AE">
      <w:pPr>
        <w:pStyle w:val="ListParagraph"/>
        <w:ind w:left="1134"/>
        <w:rPr>
          <w:lang w:eastAsia="en-US"/>
        </w:rPr>
      </w:pPr>
      <w:r w:rsidRPr="00FD1145">
        <w:rPr>
          <w:lang w:eastAsia="en-US"/>
        </w:rPr>
        <w:t xml:space="preserve">Patient functional status: Approximately 50% of patients in HER2CLIMB had an Eastern Cooperative Oncology Group Performance Status (ECOG PS) of 0, compared to 60% of patients in EMILIA and 72% of patients in ELTOP (96% of patients had an ECOG PS of 0 or 1 in CEREBEL). </w:t>
      </w:r>
    </w:p>
    <w:p w14:paraId="4C7092A4" w14:textId="7715DF61" w:rsidR="004A4775" w:rsidRPr="00FD1145" w:rsidRDefault="004A4775" w:rsidP="00DD2042">
      <w:pPr>
        <w:pStyle w:val="3-BodyText"/>
        <w:rPr>
          <w:lang w:eastAsia="en-US"/>
        </w:rPr>
      </w:pPr>
      <w:r w:rsidRPr="00FD1145">
        <w:rPr>
          <w:lang w:eastAsia="en-US"/>
        </w:rPr>
        <w:t xml:space="preserve">Overall, the ESC </w:t>
      </w:r>
      <w:r w:rsidR="002540AE" w:rsidRPr="00FD1145">
        <w:rPr>
          <w:lang w:eastAsia="en-US"/>
        </w:rPr>
        <w:t xml:space="preserve">noted the </w:t>
      </w:r>
      <w:r w:rsidR="00155EAC" w:rsidRPr="00FD1145">
        <w:rPr>
          <w:lang w:eastAsia="en-US"/>
        </w:rPr>
        <w:t>heterogeneity between the trials</w:t>
      </w:r>
      <w:r w:rsidR="001655C5" w:rsidRPr="00FD1145">
        <w:rPr>
          <w:lang w:eastAsia="en-US"/>
        </w:rPr>
        <w:t>, particular</w:t>
      </w:r>
      <w:r w:rsidR="002C0AB8" w:rsidRPr="00FD1145">
        <w:rPr>
          <w:lang w:eastAsia="en-US"/>
        </w:rPr>
        <w:t xml:space="preserve">ly the differences in </w:t>
      </w:r>
      <w:r w:rsidR="00BE5E14" w:rsidRPr="00FD1145">
        <w:rPr>
          <w:lang w:eastAsia="en-US"/>
        </w:rPr>
        <w:t xml:space="preserve">the number of </w:t>
      </w:r>
      <w:r w:rsidR="002C0AB8" w:rsidRPr="00FD1145">
        <w:rPr>
          <w:lang w:eastAsia="en-US"/>
        </w:rPr>
        <w:t xml:space="preserve">lines of </w:t>
      </w:r>
      <w:r w:rsidR="00BE5E14" w:rsidRPr="00FD1145">
        <w:rPr>
          <w:lang w:eastAsia="en-US"/>
        </w:rPr>
        <w:t xml:space="preserve">prior </w:t>
      </w:r>
      <w:r w:rsidR="002C0AB8" w:rsidRPr="00FD1145">
        <w:rPr>
          <w:lang w:eastAsia="en-US"/>
        </w:rPr>
        <w:t xml:space="preserve">therapy </w:t>
      </w:r>
      <w:r w:rsidR="005D1437" w:rsidRPr="00FD1145">
        <w:rPr>
          <w:lang w:eastAsia="en-US"/>
        </w:rPr>
        <w:t>(</w:t>
      </w:r>
      <w:r w:rsidR="001655C5" w:rsidRPr="00FD1145">
        <w:rPr>
          <w:lang w:eastAsia="en-US"/>
        </w:rPr>
        <w:t xml:space="preserve">the EMILIA trial of T-DM1 </w:t>
      </w:r>
      <w:r w:rsidR="005D1437" w:rsidRPr="00FD1145">
        <w:rPr>
          <w:lang w:eastAsia="en-US"/>
        </w:rPr>
        <w:t>was</w:t>
      </w:r>
      <w:r w:rsidR="001655C5" w:rsidRPr="00FD1145">
        <w:rPr>
          <w:lang w:eastAsia="en-US"/>
        </w:rPr>
        <w:t xml:space="preserve"> in a generally second-line </w:t>
      </w:r>
      <w:proofErr w:type="spellStart"/>
      <w:r w:rsidR="001655C5" w:rsidRPr="00FD1145">
        <w:rPr>
          <w:lang w:eastAsia="en-US"/>
        </w:rPr>
        <w:t>mBC</w:t>
      </w:r>
      <w:proofErr w:type="spellEnd"/>
      <w:r w:rsidR="001655C5" w:rsidRPr="00FD1145">
        <w:rPr>
          <w:lang w:eastAsia="en-US"/>
        </w:rPr>
        <w:t xml:space="preserve"> setting, while the HER2CLIMB trial of tucatinib was in a generally third-line or later-line setting</w:t>
      </w:r>
      <w:r w:rsidR="005D1437" w:rsidRPr="00FD1145">
        <w:rPr>
          <w:lang w:eastAsia="en-US"/>
        </w:rPr>
        <w:t>)</w:t>
      </w:r>
      <w:r w:rsidR="001655C5" w:rsidRPr="00FD1145">
        <w:rPr>
          <w:lang w:eastAsia="en-US"/>
        </w:rPr>
        <w:t xml:space="preserve">. </w:t>
      </w:r>
      <w:r w:rsidR="0076561E" w:rsidRPr="00FD1145">
        <w:rPr>
          <w:lang w:eastAsia="en-US"/>
        </w:rPr>
        <w:t xml:space="preserve">Overall, it was unclear </w:t>
      </w:r>
      <w:r w:rsidR="00A87C07" w:rsidRPr="00FD1145">
        <w:rPr>
          <w:lang w:eastAsia="en-US"/>
        </w:rPr>
        <w:t xml:space="preserve">whether these </w:t>
      </w:r>
      <w:r w:rsidR="00155EAC" w:rsidRPr="00FD1145">
        <w:rPr>
          <w:lang w:eastAsia="en-US"/>
        </w:rPr>
        <w:t xml:space="preserve">differences </w:t>
      </w:r>
      <w:r w:rsidR="00A64A3D" w:rsidRPr="00FD1145">
        <w:rPr>
          <w:lang w:eastAsia="en-US"/>
        </w:rPr>
        <w:t>were</w:t>
      </w:r>
      <w:r w:rsidR="00155EAC" w:rsidRPr="00FD1145">
        <w:rPr>
          <w:lang w:eastAsia="en-US"/>
        </w:rPr>
        <w:t xml:space="preserve"> relative treatment effect</w:t>
      </w:r>
      <w:r w:rsidR="00A64A3D" w:rsidRPr="00FD1145">
        <w:rPr>
          <w:lang w:eastAsia="en-US"/>
        </w:rPr>
        <w:t xml:space="preserve"> modifiers</w:t>
      </w:r>
      <w:r w:rsidR="00156EFE" w:rsidRPr="00FD1145">
        <w:rPr>
          <w:lang w:eastAsia="en-US"/>
        </w:rPr>
        <w:t xml:space="preserve"> in the NMA</w:t>
      </w:r>
      <w:r w:rsidR="00155EAC" w:rsidRPr="00FD1145">
        <w:rPr>
          <w:lang w:eastAsia="en-US"/>
        </w:rPr>
        <w:t xml:space="preserve">. </w:t>
      </w:r>
      <w:r w:rsidR="001655C5" w:rsidRPr="00FD1145">
        <w:rPr>
          <w:lang w:eastAsia="en-US"/>
        </w:rPr>
        <w:t xml:space="preserve">Further, </w:t>
      </w:r>
      <w:r w:rsidR="00074272" w:rsidRPr="00FD1145">
        <w:rPr>
          <w:lang w:eastAsia="en-US"/>
        </w:rPr>
        <w:t xml:space="preserve">the ESC considered there were applicability issues in terms of prior therapies </w:t>
      </w:r>
      <w:r w:rsidR="00DB1601" w:rsidRPr="00FD1145">
        <w:rPr>
          <w:lang w:eastAsia="en-US"/>
        </w:rPr>
        <w:t>as</w:t>
      </w:r>
      <w:r w:rsidR="00074272" w:rsidRPr="00FD1145">
        <w:rPr>
          <w:lang w:eastAsia="en-US"/>
        </w:rPr>
        <w:t xml:space="preserve">: the trials did </w:t>
      </w:r>
      <w:r w:rsidR="00074272" w:rsidRPr="00FD1145">
        <w:rPr>
          <w:lang w:eastAsia="en-US"/>
        </w:rPr>
        <w:lastRenderedPageBreak/>
        <w:t>not include T-</w:t>
      </w:r>
      <w:proofErr w:type="spellStart"/>
      <w:r w:rsidR="00074272" w:rsidRPr="00FD1145">
        <w:rPr>
          <w:lang w:eastAsia="en-US"/>
        </w:rPr>
        <w:t>DXd</w:t>
      </w:r>
      <w:proofErr w:type="spellEnd"/>
      <w:r w:rsidR="00074272" w:rsidRPr="00FD1145">
        <w:rPr>
          <w:lang w:eastAsia="en-US"/>
        </w:rPr>
        <w:t xml:space="preserve"> as a prior therapy; and most patients in HER2CLIMB received prior T-DM1</w:t>
      </w:r>
      <w:r w:rsidR="00DD2042" w:rsidRPr="00FD1145">
        <w:rPr>
          <w:lang w:eastAsia="en-US"/>
        </w:rPr>
        <w:t xml:space="preserve">. </w:t>
      </w:r>
    </w:p>
    <w:p w14:paraId="0CA9046C" w14:textId="77777777" w:rsidR="00F84089" w:rsidRPr="00FD1145" w:rsidRDefault="00F84089" w:rsidP="00230B9C">
      <w:pPr>
        <w:pStyle w:val="4-SubsectionHeading"/>
      </w:pPr>
      <w:bookmarkStart w:id="40" w:name="_Toc22897641"/>
      <w:bookmarkStart w:id="41" w:name="_Toc208931302"/>
      <w:r w:rsidRPr="00FD1145">
        <w:t>Comparative effectiveness</w:t>
      </w:r>
      <w:bookmarkEnd w:id="40"/>
      <w:bookmarkEnd w:id="41"/>
    </w:p>
    <w:p w14:paraId="4B1B6399" w14:textId="77777777" w:rsidR="00F84089" w:rsidRPr="00FD1145" w:rsidRDefault="00F84089" w:rsidP="00F84089">
      <w:pPr>
        <w:pStyle w:val="5-SubsectionSubheading"/>
        <w:rPr>
          <w:i/>
          <w:iCs/>
          <w:lang w:eastAsia="en-US"/>
        </w:rPr>
      </w:pPr>
      <w:bookmarkStart w:id="42" w:name="_Toc208931303"/>
      <w:r w:rsidRPr="00FD1145">
        <w:rPr>
          <w:i/>
          <w:iCs/>
          <w:lang w:eastAsia="en-US"/>
        </w:rPr>
        <w:t>Direct comparison</w:t>
      </w:r>
      <w:bookmarkEnd w:id="42"/>
    </w:p>
    <w:p w14:paraId="74C8BF8B" w14:textId="430E2CE5" w:rsidR="00F84089" w:rsidRPr="00FD1145" w:rsidRDefault="00F84089" w:rsidP="00F84089">
      <w:pPr>
        <w:pStyle w:val="3-BodyText"/>
        <w:rPr>
          <w:lang w:eastAsia="en-US"/>
        </w:rPr>
      </w:pPr>
      <w:r w:rsidRPr="00FD1145">
        <w:rPr>
          <w:lang w:eastAsia="en-US"/>
        </w:rPr>
        <w:t xml:space="preserve">The PBAC previously considered that the data from the HER2CLIMB trial supported the claim that the addition of tucatinib to trastuzumab and capecitabine improved PFS and OS in patients with HER2+ </w:t>
      </w:r>
      <w:proofErr w:type="spellStart"/>
      <w:r w:rsidRPr="00FD1145">
        <w:rPr>
          <w:lang w:eastAsia="en-US"/>
        </w:rPr>
        <w:t>mBC</w:t>
      </w:r>
      <w:proofErr w:type="spellEnd"/>
      <w:r w:rsidRPr="00FD1145">
        <w:rPr>
          <w:lang w:eastAsia="en-US"/>
        </w:rPr>
        <w:t xml:space="preserve"> who have previously received treatment with pertuzumab, trastuzumab and T-DM1. Statistically significant increases in overall response rate and PFS were also observed in those with brain metastases (</w:t>
      </w:r>
      <w:r w:rsidR="00EE5A2C" w:rsidRPr="00FD1145">
        <w:rPr>
          <w:lang w:eastAsia="en-US"/>
        </w:rPr>
        <w:t>paragraph</w:t>
      </w:r>
      <w:r w:rsidRPr="00FD1145">
        <w:rPr>
          <w:lang w:eastAsia="en-US"/>
        </w:rPr>
        <w:t xml:space="preserve"> 7.9, tucatinib PSD, March 2021 PBAC meeting).</w:t>
      </w:r>
    </w:p>
    <w:p w14:paraId="546924F7" w14:textId="6C2C4FB4" w:rsidR="00F84089" w:rsidRPr="00FD1145" w:rsidRDefault="00F84089" w:rsidP="00F84089">
      <w:pPr>
        <w:pStyle w:val="3-BodyText"/>
        <w:rPr>
          <w:lang w:eastAsia="en-US"/>
        </w:rPr>
      </w:pPr>
      <w:r w:rsidRPr="00FD1145">
        <w:rPr>
          <w:lang w:eastAsia="en-US"/>
        </w:rPr>
        <w:t>The PBAC previously noted that tucatinib resulted in a statistically significant improvement in PFS (HR = 0.54; 95% confidence interval [CI]: 0.42, 0.71; median improvement of 2.2 months) and OS (HR = 0.66; 95% CI: 0.50, 0.88; median improvement of 4.5 months) compared to placebo (</w:t>
      </w:r>
      <w:r w:rsidR="00EE5A2C" w:rsidRPr="00FD1145">
        <w:rPr>
          <w:lang w:eastAsia="en-US"/>
        </w:rPr>
        <w:t>paragraph</w:t>
      </w:r>
      <w:r w:rsidRPr="00FD1145">
        <w:rPr>
          <w:lang w:eastAsia="en-US"/>
        </w:rPr>
        <w:t xml:space="preserve"> 7.7, tucatinib PSD, March 2021 PBAC meeting).</w:t>
      </w:r>
    </w:p>
    <w:p w14:paraId="60BC001B" w14:textId="7E48EE8D" w:rsidR="00F84089" w:rsidRPr="00FD1145" w:rsidRDefault="00F84089" w:rsidP="00F84089">
      <w:pPr>
        <w:pStyle w:val="3-BodyText"/>
        <w:rPr>
          <w:lang w:eastAsia="en-US"/>
        </w:rPr>
      </w:pPr>
      <w:r w:rsidRPr="00FD1145">
        <w:rPr>
          <w:lang w:eastAsia="en-US"/>
        </w:rPr>
        <w:t>The PBAC previously noted that in patients with brain metastases, tucatinib also resulted in a statistically significant improvement in PFS (HR = 0.48; 95% CI: 0.34, 0.69; median improvement of 2.2 months) compared to placebo. The PBAC previously noted that an exploratory analysis resulted in a statistically significant improvement in OS in patients with brain metastases (HR = 0.58; 95% CI: 0.40, 0.85) (</w:t>
      </w:r>
      <w:r w:rsidR="00EE5A2C" w:rsidRPr="00FD1145">
        <w:rPr>
          <w:lang w:eastAsia="en-US"/>
        </w:rPr>
        <w:t>paragraph</w:t>
      </w:r>
      <w:r w:rsidRPr="00FD1145">
        <w:rPr>
          <w:lang w:eastAsia="en-US"/>
        </w:rPr>
        <w:t xml:space="preserve"> 7.8, tucatinib PSD, March 2021 PBAC meeting).</w:t>
      </w:r>
    </w:p>
    <w:p w14:paraId="4CDF3114" w14:textId="16456328" w:rsidR="00595C6E" w:rsidRPr="00FD1145" w:rsidRDefault="00057253" w:rsidP="00EA6ED4">
      <w:pPr>
        <w:pStyle w:val="3-BodyText"/>
      </w:pPr>
      <w:r w:rsidRPr="00FD1145">
        <w:t xml:space="preserve">The </w:t>
      </w:r>
      <w:r w:rsidR="00552F0B" w:rsidRPr="00FD1145">
        <w:t>PFS and OS</w:t>
      </w:r>
      <w:r w:rsidR="00974806" w:rsidRPr="00FD1145">
        <w:t xml:space="preserve"> results from the final analysis are presented in </w:t>
      </w:r>
      <w:r w:rsidR="00974806" w:rsidRPr="00FD1145">
        <w:fldChar w:fldCharType="begin"/>
      </w:r>
      <w:r w:rsidR="00974806" w:rsidRPr="00FD1145">
        <w:instrText xml:space="preserve"> REF _Ref206072653 \h  \* MERGEFORMAT </w:instrText>
      </w:r>
      <w:r w:rsidR="00974806" w:rsidRPr="00FD1145">
        <w:fldChar w:fldCharType="separate"/>
      </w:r>
      <w:r w:rsidR="009B3037" w:rsidRPr="009B3037">
        <w:t xml:space="preserve">Table </w:t>
      </w:r>
      <w:r w:rsidR="009B3037" w:rsidRPr="009B3037">
        <w:rPr>
          <w:rStyle w:val="CommentReference"/>
          <w:rFonts w:asciiTheme="minorHAnsi" w:hAnsiTheme="minorHAnsi"/>
          <w:b w:val="0"/>
          <w:sz w:val="24"/>
          <w:szCs w:val="22"/>
        </w:rPr>
        <w:t>8</w:t>
      </w:r>
      <w:r w:rsidR="00974806" w:rsidRPr="00FD1145">
        <w:fldChar w:fldCharType="end"/>
      </w:r>
      <w:r w:rsidR="00974806" w:rsidRPr="00FD1145">
        <w:t xml:space="preserve">, </w:t>
      </w:r>
      <w:r w:rsidR="00974806" w:rsidRPr="00FD1145">
        <w:rPr>
          <w:lang w:eastAsia="en-US"/>
        </w:rPr>
        <w:fldChar w:fldCharType="begin"/>
      </w:r>
      <w:r w:rsidR="00974806" w:rsidRPr="00FD1145">
        <w:rPr>
          <w:lang w:eastAsia="en-US"/>
        </w:rPr>
        <w:instrText xml:space="preserve"> REF _Ref206065773 \h  \* MERGEFORMAT </w:instrText>
      </w:r>
      <w:r w:rsidR="00974806" w:rsidRPr="00FD1145">
        <w:rPr>
          <w:lang w:eastAsia="en-US"/>
        </w:rPr>
      </w:r>
      <w:r w:rsidR="00974806" w:rsidRPr="00FD1145">
        <w:rPr>
          <w:lang w:eastAsia="en-US"/>
        </w:rPr>
        <w:fldChar w:fldCharType="separate"/>
      </w:r>
      <w:r w:rsidR="009B3037" w:rsidRPr="00FD1145">
        <w:t xml:space="preserve">Figure </w:t>
      </w:r>
      <w:r w:rsidR="009B3037">
        <w:rPr>
          <w:noProof/>
        </w:rPr>
        <w:t>1</w:t>
      </w:r>
      <w:r w:rsidR="00974806" w:rsidRPr="00FD1145">
        <w:rPr>
          <w:lang w:eastAsia="en-US"/>
        </w:rPr>
        <w:fldChar w:fldCharType="end"/>
      </w:r>
      <w:r w:rsidR="00974806" w:rsidRPr="00FD1145">
        <w:rPr>
          <w:lang w:eastAsia="en-US"/>
        </w:rPr>
        <w:t xml:space="preserve"> and </w:t>
      </w:r>
      <w:r w:rsidR="00974806" w:rsidRPr="00FD1145">
        <w:rPr>
          <w:lang w:eastAsia="en-US"/>
        </w:rPr>
        <w:fldChar w:fldCharType="begin"/>
      </w:r>
      <w:r w:rsidR="00974806" w:rsidRPr="00FD1145">
        <w:rPr>
          <w:lang w:eastAsia="en-US"/>
        </w:rPr>
        <w:instrText xml:space="preserve"> REF _Ref206065760 \h  \* MERGEFORMAT </w:instrText>
      </w:r>
      <w:r w:rsidR="00974806" w:rsidRPr="00FD1145">
        <w:rPr>
          <w:lang w:eastAsia="en-US"/>
        </w:rPr>
      </w:r>
      <w:r w:rsidR="00974806" w:rsidRPr="00FD1145">
        <w:rPr>
          <w:lang w:eastAsia="en-US"/>
        </w:rPr>
        <w:fldChar w:fldCharType="separate"/>
      </w:r>
      <w:r w:rsidR="009B3037" w:rsidRPr="00FD1145">
        <w:t xml:space="preserve">Figure </w:t>
      </w:r>
      <w:r w:rsidR="009B3037">
        <w:rPr>
          <w:noProof/>
        </w:rPr>
        <w:t>2</w:t>
      </w:r>
      <w:r w:rsidR="00974806" w:rsidRPr="00FD1145">
        <w:rPr>
          <w:lang w:eastAsia="en-US"/>
        </w:rPr>
        <w:fldChar w:fldCharType="end"/>
      </w:r>
      <w:r w:rsidR="00974806" w:rsidRPr="00FD1145">
        <w:rPr>
          <w:lang w:eastAsia="en-US"/>
        </w:rPr>
        <w:t xml:space="preserve">. </w:t>
      </w:r>
      <w:r w:rsidR="006E76B7" w:rsidRPr="00FD1145">
        <w:rPr>
          <w:lang w:eastAsia="en-US"/>
        </w:rPr>
        <w:t>A</w:t>
      </w:r>
      <w:r w:rsidR="00521E67" w:rsidRPr="00FD1145">
        <w:rPr>
          <w:lang w:eastAsia="en-US"/>
        </w:rPr>
        <w:t xml:space="preserve"> small number of participants in the placebo arm (13%) crossed over and received treatment with </w:t>
      </w:r>
      <w:r w:rsidR="004906BE" w:rsidRPr="00FD1145">
        <w:t>tucatinib</w:t>
      </w:r>
      <w:r w:rsidR="0077030A" w:rsidRPr="00FD1145">
        <w:t xml:space="preserve"> </w:t>
      </w:r>
      <w:r w:rsidR="00521E67" w:rsidRPr="00FD1145">
        <w:rPr>
          <w:lang w:eastAsia="en-US"/>
        </w:rPr>
        <w:t>following the primary analysis in HER2CLIMB</w:t>
      </w:r>
      <w:r w:rsidR="00D8231C" w:rsidRPr="00FD1145">
        <w:rPr>
          <w:lang w:eastAsia="en-US"/>
        </w:rPr>
        <w:t xml:space="preserve">. </w:t>
      </w:r>
      <w:r w:rsidR="00FF4CE9" w:rsidRPr="00FD1145">
        <w:rPr>
          <w:lang w:eastAsia="en-US"/>
        </w:rPr>
        <w:t xml:space="preserve">The </w:t>
      </w:r>
      <w:r w:rsidR="00974806" w:rsidRPr="00FD1145">
        <w:rPr>
          <w:lang w:eastAsia="en-US"/>
        </w:rPr>
        <w:t>PFS and OS results remain consistent with those previously seen by the PBAC from the primary analysis.</w:t>
      </w:r>
      <w:r w:rsidR="007D6A6A" w:rsidRPr="00FD1145">
        <w:rPr>
          <w:lang w:eastAsia="en-US"/>
        </w:rPr>
        <w:t xml:space="preserve"> </w:t>
      </w:r>
      <w:r w:rsidR="007D6A6A" w:rsidRPr="00FD1145">
        <w:t xml:space="preserve">Additionally, sensitivity analyses </w:t>
      </w:r>
      <w:r w:rsidR="0082300B" w:rsidRPr="00FD1145">
        <w:t xml:space="preserve">that </w:t>
      </w:r>
      <w:r w:rsidR="007D6A6A" w:rsidRPr="00FD1145">
        <w:t>were conducted to account for patient cross over at the final analysis show</w:t>
      </w:r>
      <w:r w:rsidR="004906BE" w:rsidRPr="00FD1145">
        <w:t xml:space="preserve"> that results were largely consistent with the ITT analysis with estimated OS HRs ranging from 0.71-0.72.</w:t>
      </w:r>
    </w:p>
    <w:p w14:paraId="72E9AF7F" w14:textId="576BDE17" w:rsidR="00292040" w:rsidRPr="00FD1145" w:rsidRDefault="00292040" w:rsidP="007000FA">
      <w:pPr>
        <w:keepNext/>
        <w:keepLines/>
        <w:jc w:val="left"/>
        <w:rPr>
          <w:rStyle w:val="CommentReference"/>
          <w:rFonts w:eastAsiaTheme="majorEastAsia" w:cstheme="majorBidi"/>
          <w:b w:val="0"/>
          <w:szCs w:val="24"/>
        </w:rPr>
      </w:pPr>
      <w:bookmarkStart w:id="43" w:name="_Ref206072653"/>
      <w:r w:rsidRPr="00FD1145">
        <w:rPr>
          <w:rStyle w:val="CommentReference"/>
          <w:rFonts w:eastAsiaTheme="majorEastAsia" w:cstheme="majorBidi"/>
          <w:szCs w:val="24"/>
        </w:rPr>
        <w:lastRenderedPageBreak/>
        <w:t xml:space="preserve">Table </w:t>
      </w:r>
      <w:r w:rsidRPr="00FD1145">
        <w:rPr>
          <w:rStyle w:val="CommentReference"/>
          <w:rFonts w:eastAsiaTheme="majorEastAsia" w:cstheme="majorBidi"/>
          <w:b w:val="0"/>
          <w:szCs w:val="24"/>
        </w:rPr>
        <w:fldChar w:fldCharType="begin"/>
      </w:r>
      <w:r w:rsidRPr="00FD1145">
        <w:rPr>
          <w:rStyle w:val="CommentReference"/>
          <w:rFonts w:eastAsiaTheme="majorEastAsia" w:cstheme="majorBidi"/>
          <w:szCs w:val="24"/>
        </w:rPr>
        <w:instrText xml:space="preserve"> SEQ Table \* ARABIC </w:instrText>
      </w:r>
      <w:r w:rsidRPr="00FD1145">
        <w:rPr>
          <w:rStyle w:val="CommentReference"/>
          <w:rFonts w:eastAsiaTheme="majorEastAsia" w:cstheme="majorBidi"/>
          <w:b w:val="0"/>
          <w:szCs w:val="24"/>
        </w:rPr>
        <w:fldChar w:fldCharType="separate"/>
      </w:r>
      <w:r w:rsidR="009B3037">
        <w:rPr>
          <w:rStyle w:val="CommentReference"/>
          <w:rFonts w:eastAsiaTheme="majorEastAsia" w:cstheme="majorBidi"/>
          <w:noProof/>
          <w:szCs w:val="24"/>
        </w:rPr>
        <w:t>8</w:t>
      </w:r>
      <w:r w:rsidRPr="00FD1145">
        <w:rPr>
          <w:rStyle w:val="CommentReference"/>
          <w:rFonts w:eastAsiaTheme="majorEastAsia" w:cstheme="majorBidi"/>
          <w:b w:val="0"/>
          <w:szCs w:val="24"/>
        </w:rPr>
        <w:fldChar w:fldCharType="end"/>
      </w:r>
      <w:bookmarkEnd w:id="43"/>
      <w:r w:rsidRPr="00FD1145">
        <w:rPr>
          <w:rStyle w:val="CommentReference"/>
          <w:rFonts w:eastAsiaTheme="majorEastAsia" w:cstheme="majorBidi"/>
          <w:szCs w:val="24"/>
        </w:rPr>
        <w:t>: Summary of key outcomes in HER2CLIMB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ummary of key outcomes in HER2CLIMB"/>
      </w:tblPr>
      <w:tblGrid>
        <w:gridCol w:w="1803"/>
        <w:gridCol w:w="2020"/>
        <w:gridCol w:w="1984"/>
        <w:gridCol w:w="1700"/>
        <w:gridCol w:w="1509"/>
      </w:tblGrid>
      <w:tr w:rsidR="00292040" w:rsidRPr="00FD1145" w14:paraId="74B63B18" w14:textId="77777777" w:rsidTr="00EA6ED4">
        <w:trPr>
          <w:cantSplit/>
          <w:tblHeader/>
        </w:trPr>
        <w:tc>
          <w:tcPr>
            <w:tcW w:w="1000" w:type="pct"/>
            <w:vAlign w:val="center"/>
          </w:tcPr>
          <w:p w14:paraId="09FE7F2B" w14:textId="77777777" w:rsidR="00292040" w:rsidRPr="00FD1145" w:rsidRDefault="00292040" w:rsidP="007000FA">
            <w:pPr>
              <w:pStyle w:val="In-tableHeading"/>
            </w:pPr>
          </w:p>
        </w:tc>
        <w:tc>
          <w:tcPr>
            <w:tcW w:w="1120" w:type="pct"/>
            <w:vAlign w:val="center"/>
          </w:tcPr>
          <w:p w14:paraId="03615AFC" w14:textId="77777777" w:rsidR="00292040" w:rsidRPr="00FD1145" w:rsidRDefault="00292040" w:rsidP="007000FA">
            <w:pPr>
              <w:pStyle w:val="In-tableHeading"/>
            </w:pPr>
            <w:proofErr w:type="spellStart"/>
            <w:r w:rsidRPr="00FD1145">
              <w:t>Tuc+Tra+Cap</w:t>
            </w:r>
            <w:proofErr w:type="spellEnd"/>
          </w:p>
        </w:tc>
        <w:tc>
          <w:tcPr>
            <w:tcW w:w="1100" w:type="pct"/>
            <w:vAlign w:val="center"/>
          </w:tcPr>
          <w:p w14:paraId="48EC182A" w14:textId="77777777" w:rsidR="00292040" w:rsidRPr="00FD1145" w:rsidRDefault="00292040" w:rsidP="007000FA">
            <w:pPr>
              <w:pStyle w:val="In-tableHeading"/>
            </w:pPr>
            <w:proofErr w:type="spellStart"/>
            <w:r w:rsidRPr="00FD1145">
              <w:t>Pbo+Tra+Cap</w:t>
            </w:r>
            <w:proofErr w:type="spellEnd"/>
          </w:p>
        </w:tc>
        <w:tc>
          <w:tcPr>
            <w:tcW w:w="943" w:type="pct"/>
            <w:vAlign w:val="center"/>
          </w:tcPr>
          <w:p w14:paraId="2467D9F4" w14:textId="77777777" w:rsidR="00292040" w:rsidRPr="00FD1145" w:rsidRDefault="00292040" w:rsidP="007000FA">
            <w:pPr>
              <w:pStyle w:val="In-tableHeading"/>
            </w:pPr>
            <w:r w:rsidRPr="00FD1145">
              <w:t>Absolute difference</w:t>
            </w:r>
          </w:p>
        </w:tc>
        <w:tc>
          <w:tcPr>
            <w:tcW w:w="837" w:type="pct"/>
            <w:vAlign w:val="center"/>
          </w:tcPr>
          <w:p w14:paraId="3F211F30" w14:textId="77777777" w:rsidR="00292040" w:rsidRPr="00FD1145" w:rsidRDefault="00292040" w:rsidP="007000FA">
            <w:pPr>
              <w:pStyle w:val="In-tableHeading"/>
            </w:pPr>
            <w:r w:rsidRPr="00FD1145">
              <w:t>HR (95% CI)</w:t>
            </w:r>
          </w:p>
        </w:tc>
      </w:tr>
      <w:tr w:rsidR="00292040" w:rsidRPr="00FD1145" w14:paraId="145189C3" w14:textId="5E49BCFC" w:rsidTr="00EA6ED4">
        <w:trPr>
          <w:cantSplit/>
        </w:trPr>
        <w:tc>
          <w:tcPr>
            <w:tcW w:w="5000" w:type="pct"/>
            <w:gridSpan w:val="5"/>
            <w:shd w:val="clear" w:color="auto" w:fill="B8CCE4" w:themeFill="accent1" w:themeFillTint="66"/>
            <w:vAlign w:val="center"/>
          </w:tcPr>
          <w:p w14:paraId="0E05EC93" w14:textId="2234CA83" w:rsidR="00292040" w:rsidRPr="00FD1145" w:rsidRDefault="00292040" w:rsidP="007000FA">
            <w:pPr>
              <w:pStyle w:val="In-tableHeading"/>
            </w:pPr>
            <w:r w:rsidRPr="00FD1145">
              <w:t>Evidence presented in previous submission from HER2CLIMB primary analysis (04 September 2019)</w:t>
            </w:r>
          </w:p>
        </w:tc>
      </w:tr>
      <w:tr w:rsidR="00292040" w:rsidRPr="00FD1145" w14:paraId="12BE3CFC" w14:textId="6905C4D9" w:rsidTr="00EA6ED4">
        <w:trPr>
          <w:cantSplit/>
        </w:trPr>
        <w:tc>
          <w:tcPr>
            <w:tcW w:w="5000" w:type="pct"/>
            <w:gridSpan w:val="5"/>
            <w:shd w:val="clear" w:color="auto" w:fill="B8CCE4" w:themeFill="accent1" w:themeFillTint="66"/>
            <w:vAlign w:val="center"/>
          </w:tcPr>
          <w:p w14:paraId="171EC6D3" w14:textId="60279180" w:rsidR="00292040" w:rsidRPr="00FD1145" w:rsidRDefault="00292040" w:rsidP="007000FA">
            <w:pPr>
              <w:pStyle w:val="In-tableHeading"/>
            </w:pPr>
            <w:r w:rsidRPr="00FD1145">
              <w:t>Progression-free survival per BICR (ITT-PFS population = first 480 patients randomised)</w:t>
            </w:r>
          </w:p>
        </w:tc>
      </w:tr>
      <w:tr w:rsidR="00292040" w:rsidRPr="00FD1145" w14:paraId="003F94FC" w14:textId="16148E9B" w:rsidTr="00EA6ED4">
        <w:trPr>
          <w:cantSplit/>
        </w:trPr>
        <w:tc>
          <w:tcPr>
            <w:tcW w:w="1000" w:type="pct"/>
            <w:shd w:val="clear" w:color="auto" w:fill="B8CCE4" w:themeFill="accent1" w:themeFillTint="66"/>
            <w:vAlign w:val="center"/>
          </w:tcPr>
          <w:p w14:paraId="27364918" w14:textId="2C09C88D" w:rsidR="00292040" w:rsidRPr="00FD1145" w:rsidRDefault="00292040" w:rsidP="007000FA">
            <w:pPr>
              <w:pStyle w:val="In-tableHeading"/>
              <w:rPr>
                <w:b w:val="0"/>
                <w:bCs/>
              </w:rPr>
            </w:pPr>
            <w:r w:rsidRPr="00FD1145">
              <w:rPr>
                <w:b w:val="0"/>
                <w:bCs/>
              </w:rPr>
              <w:t>N</w:t>
            </w:r>
          </w:p>
        </w:tc>
        <w:tc>
          <w:tcPr>
            <w:tcW w:w="1120" w:type="pct"/>
            <w:shd w:val="clear" w:color="auto" w:fill="B8CCE4" w:themeFill="accent1" w:themeFillTint="66"/>
            <w:vAlign w:val="center"/>
          </w:tcPr>
          <w:p w14:paraId="689EE460" w14:textId="0461811C" w:rsidR="00292040" w:rsidRPr="00FD1145" w:rsidRDefault="00292040" w:rsidP="007000FA">
            <w:pPr>
              <w:pStyle w:val="In-tableHeading"/>
              <w:jc w:val="center"/>
              <w:rPr>
                <w:b w:val="0"/>
                <w:bCs/>
              </w:rPr>
            </w:pPr>
            <w:r w:rsidRPr="00FD1145">
              <w:rPr>
                <w:b w:val="0"/>
                <w:bCs/>
              </w:rPr>
              <w:t>320</w:t>
            </w:r>
          </w:p>
        </w:tc>
        <w:tc>
          <w:tcPr>
            <w:tcW w:w="1100" w:type="pct"/>
            <w:shd w:val="clear" w:color="auto" w:fill="B8CCE4" w:themeFill="accent1" w:themeFillTint="66"/>
            <w:vAlign w:val="center"/>
          </w:tcPr>
          <w:p w14:paraId="32AC1BBB" w14:textId="20B2CDB7" w:rsidR="00292040" w:rsidRPr="00FD1145" w:rsidRDefault="00292040" w:rsidP="007000FA">
            <w:pPr>
              <w:pStyle w:val="In-tableHeading"/>
              <w:jc w:val="center"/>
              <w:rPr>
                <w:b w:val="0"/>
                <w:bCs/>
              </w:rPr>
            </w:pPr>
            <w:r w:rsidRPr="00FD1145">
              <w:rPr>
                <w:b w:val="0"/>
                <w:bCs/>
              </w:rPr>
              <w:t>160</w:t>
            </w:r>
          </w:p>
        </w:tc>
        <w:tc>
          <w:tcPr>
            <w:tcW w:w="943" w:type="pct"/>
            <w:shd w:val="clear" w:color="auto" w:fill="B8CCE4" w:themeFill="accent1" w:themeFillTint="66"/>
            <w:vAlign w:val="center"/>
          </w:tcPr>
          <w:p w14:paraId="0FB09B25" w14:textId="1300084B" w:rsidR="00292040" w:rsidRPr="00FD1145" w:rsidRDefault="00292040" w:rsidP="007000FA">
            <w:pPr>
              <w:pStyle w:val="In-tableHeading"/>
              <w:jc w:val="center"/>
              <w:rPr>
                <w:b w:val="0"/>
                <w:bCs/>
              </w:rPr>
            </w:pPr>
            <w:r w:rsidRPr="00FD1145">
              <w:rPr>
                <w:b w:val="0"/>
                <w:bCs/>
              </w:rPr>
              <w:t>-</w:t>
            </w:r>
          </w:p>
        </w:tc>
        <w:tc>
          <w:tcPr>
            <w:tcW w:w="837" w:type="pct"/>
            <w:shd w:val="clear" w:color="auto" w:fill="B8CCE4" w:themeFill="accent1" w:themeFillTint="66"/>
            <w:vAlign w:val="center"/>
          </w:tcPr>
          <w:p w14:paraId="053C957D" w14:textId="6A4938CA" w:rsidR="00292040" w:rsidRPr="00FD1145" w:rsidRDefault="00292040" w:rsidP="007000FA">
            <w:pPr>
              <w:pStyle w:val="In-tableHeading"/>
              <w:jc w:val="center"/>
              <w:rPr>
                <w:b w:val="0"/>
                <w:bCs/>
              </w:rPr>
            </w:pPr>
            <w:r w:rsidRPr="00FD1145">
              <w:rPr>
                <w:b w:val="0"/>
                <w:bCs/>
              </w:rPr>
              <w:t>-</w:t>
            </w:r>
          </w:p>
        </w:tc>
      </w:tr>
      <w:tr w:rsidR="00292040" w:rsidRPr="00FD1145" w14:paraId="269EB6DA" w14:textId="303E11C6" w:rsidTr="00EA6ED4">
        <w:trPr>
          <w:cantSplit/>
        </w:trPr>
        <w:tc>
          <w:tcPr>
            <w:tcW w:w="1000" w:type="pct"/>
            <w:shd w:val="clear" w:color="auto" w:fill="B8CCE4" w:themeFill="accent1" w:themeFillTint="66"/>
            <w:vAlign w:val="center"/>
          </w:tcPr>
          <w:p w14:paraId="22434058" w14:textId="41B5C3D0" w:rsidR="00292040" w:rsidRPr="00FD1145" w:rsidRDefault="00292040" w:rsidP="007000FA">
            <w:pPr>
              <w:pStyle w:val="In-tableHeading"/>
              <w:rPr>
                <w:b w:val="0"/>
                <w:bCs/>
              </w:rPr>
            </w:pPr>
            <w:r w:rsidRPr="00FD1145">
              <w:rPr>
                <w:b w:val="0"/>
                <w:bCs/>
              </w:rPr>
              <w:t>Events, n (%)</w:t>
            </w:r>
          </w:p>
        </w:tc>
        <w:tc>
          <w:tcPr>
            <w:tcW w:w="1120" w:type="pct"/>
            <w:shd w:val="clear" w:color="auto" w:fill="B8CCE4" w:themeFill="accent1" w:themeFillTint="66"/>
            <w:vAlign w:val="center"/>
          </w:tcPr>
          <w:p w14:paraId="09083DAD" w14:textId="472C3C9C" w:rsidR="00292040" w:rsidRPr="00FD1145" w:rsidRDefault="00292040" w:rsidP="007000FA">
            <w:pPr>
              <w:pStyle w:val="In-tableHeading"/>
              <w:jc w:val="center"/>
              <w:rPr>
                <w:b w:val="0"/>
                <w:bCs/>
              </w:rPr>
            </w:pPr>
            <w:r w:rsidRPr="00FD1145">
              <w:rPr>
                <w:b w:val="0"/>
                <w:bCs/>
              </w:rPr>
              <w:t>178 (55.6%)</w:t>
            </w:r>
          </w:p>
        </w:tc>
        <w:tc>
          <w:tcPr>
            <w:tcW w:w="1100" w:type="pct"/>
            <w:shd w:val="clear" w:color="auto" w:fill="B8CCE4" w:themeFill="accent1" w:themeFillTint="66"/>
            <w:vAlign w:val="center"/>
          </w:tcPr>
          <w:p w14:paraId="1C32BF36" w14:textId="25402906" w:rsidR="00292040" w:rsidRPr="00FD1145" w:rsidRDefault="00292040" w:rsidP="007000FA">
            <w:pPr>
              <w:pStyle w:val="In-tableHeading"/>
              <w:jc w:val="center"/>
              <w:rPr>
                <w:b w:val="0"/>
                <w:bCs/>
              </w:rPr>
            </w:pPr>
            <w:r w:rsidRPr="00FD1145">
              <w:rPr>
                <w:b w:val="0"/>
                <w:bCs/>
              </w:rPr>
              <w:t>97 (60.6%)</w:t>
            </w:r>
          </w:p>
        </w:tc>
        <w:tc>
          <w:tcPr>
            <w:tcW w:w="943" w:type="pct"/>
            <w:shd w:val="clear" w:color="auto" w:fill="B8CCE4" w:themeFill="accent1" w:themeFillTint="66"/>
            <w:vAlign w:val="center"/>
          </w:tcPr>
          <w:p w14:paraId="61DE3848" w14:textId="2AEFE7FF" w:rsidR="00292040" w:rsidRPr="00FD1145" w:rsidRDefault="00292040" w:rsidP="007000FA">
            <w:pPr>
              <w:pStyle w:val="In-tableHeading"/>
              <w:jc w:val="center"/>
              <w:rPr>
                <w:b w:val="0"/>
                <w:bCs/>
              </w:rPr>
            </w:pPr>
            <w:r w:rsidRPr="00FD1145">
              <w:rPr>
                <w:b w:val="0"/>
                <w:bCs/>
              </w:rPr>
              <w:t>-</w:t>
            </w:r>
          </w:p>
        </w:tc>
        <w:tc>
          <w:tcPr>
            <w:tcW w:w="837" w:type="pct"/>
            <w:shd w:val="clear" w:color="auto" w:fill="B8CCE4" w:themeFill="accent1" w:themeFillTint="66"/>
            <w:vAlign w:val="center"/>
          </w:tcPr>
          <w:p w14:paraId="25220ECE" w14:textId="390281E5" w:rsidR="00292040" w:rsidRPr="00FD1145" w:rsidRDefault="00292040" w:rsidP="007000FA">
            <w:pPr>
              <w:pStyle w:val="In-tableHeading"/>
              <w:jc w:val="center"/>
              <w:rPr>
                <w:b w:val="0"/>
                <w:bCs/>
              </w:rPr>
            </w:pPr>
            <w:r w:rsidRPr="00FD1145">
              <w:rPr>
                <w:b w:val="0"/>
                <w:bCs/>
              </w:rPr>
              <w:t>-</w:t>
            </w:r>
          </w:p>
        </w:tc>
      </w:tr>
      <w:tr w:rsidR="00292040" w:rsidRPr="00FD1145" w14:paraId="5B5E5774" w14:textId="2268B783" w:rsidTr="00EA6ED4">
        <w:trPr>
          <w:cantSplit/>
        </w:trPr>
        <w:tc>
          <w:tcPr>
            <w:tcW w:w="1000" w:type="pct"/>
            <w:shd w:val="clear" w:color="auto" w:fill="B8CCE4" w:themeFill="accent1" w:themeFillTint="66"/>
            <w:vAlign w:val="center"/>
          </w:tcPr>
          <w:p w14:paraId="31D97DA5" w14:textId="283088F1" w:rsidR="00292040" w:rsidRPr="00FD1145" w:rsidRDefault="00292040" w:rsidP="007000FA">
            <w:pPr>
              <w:pStyle w:val="In-tableHeading"/>
              <w:rPr>
                <w:b w:val="0"/>
                <w:bCs/>
              </w:rPr>
            </w:pPr>
            <w:r w:rsidRPr="00FD1145">
              <w:rPr>
                <w:b w:val="0"/>
                <w:bCs/>
              </w:rPr>
              <w:t>Median PFS, months (95% CI)</w:t>
            </w:r>
          </w:p>
        </w:tc>
        <w:tc>
          <w:tcPr>
            <w:tcW w:w="1120" w:type="pct"/>
            <w:shd w:val="clear" w:color="auto" w:fill="B8CCE4" w:themeFill="accent1" w:themeFillTint="66"/>
            <w:vAlign w:val="center"/>
          </w:tcPr>
          <w:p w14:paraId="7FB60279" w14:textId="1AE17333" w:rsidR="00292040" w:rsidRPr="00FD1145" w:rsidRDefault="00292040" w:rsidP="007000FA">
            <w:pPr>
              <w:pStyle w:val="In-tableHeading"/>
              <w:jc w:val="center"/>
              <w:rPr>
                <w:b w:val="0"/>
                <w:bCs/>
              </w:rPr>
            </w:pPr>
            <w:r w:rsidRPr="00FD1145">
              <w:rPr>
                <w:b w:val="0"/>
                <w:bCs/>
              </w:rPr>
              <w:t>7.8 (7.5, 9.6)</w:t>
            </w:r>
          </w:p>
        </w:tc>
        <w:tc>
          <w:tcPr>
            <w:tcW w:w="1100" w:type="pct"/>
            <w:shd w:val="clear" w:color="auto" w:fill="B8CCE4" w:themeFill="accent1" w:themeFillTint="66"/>
            <w:vAlign w:val="center"/>
          </w:tcPr>
          <w:p w14:paraId="0489CC81" w14:textId="5519E51B" w:rsidR="00292040" w:rsidRPr="00FD1145" w:rsidRDefault="00292040" w:rsidP="007000FA">
            <w:pPr>
              <w:pStyle w:val="In-tableHeading"/>
              <w:jc w:val="center"/>
              <w:rPr>
                <w:b w:val="0"/>
                <w:bCs/>
              </w:rPr>
            </w:pPr>
            <w:r w:rsidRPr="00FD1145">
              <w:rPr>
                <w:b w:val="0"/>
                <w:bCs/>
              </w:rPr>
              <w:t>5.6 (4.2, 7.1)</w:t>
            </w:r>
          </w:p>
        </w:tc>
        <w:tc>
          <w:tcPr>
            <w:tcW w:w="943" w:type="pct"/>
            <w:shd w:val="clear" w:color="auto" w:fill="B8CCE4" w:themeFill="accent1" w:themeFillTint="66"/>
            <w:vAlign w:val="center"/>
          </w:tcPr>
          <w:p w14:paraId="35771DBF" w14:textId="3DC9432C" w:rsidR="00292040" w:rsidRPr="00FD1145" w:rsidRDefault="00292040" w:rsidP="007000FA">
            <w:pPr>
              <w:pStyle w:val="In-tableHeading"/>
              <w:jc w:val="center"/>
              <w:rPr>
                <w:b w:val="0"/>
                <w:bCs/>
              </w:rPr>
            </w:pPr>
            <w:r w:rsidRPr="00FD1145">
              <w:rPr>
                <w:b w:val="0"/>
                <w:bCs/>
              </w:rPr>
              <w:t>2.2 months</w:t>
            </w:r>
          </w:p>
        </w:tc>
        <w:tc>
          <w:tcPr>
            <w:tcW w:w="837" w:type="pct"/>
            <w:shd w:val="clear" w:color="auto" w:fill="B8CCE4" w:themeFill="accent1" w:themeFillTint="66"/>
            <w:vAlign w:val="center"/>
          </w:tcPr>
          <w:p w14:paraId="35BCFAA9" w14:textId="6C8760EA" w:rsidR="00292040" w:rsidRPr="00FD1145" w:rsidRDefault="00292040" w:rsidP="007000FA">
            <w:pPr>
              <w:pStyle w:val="In-tableHeading"/>
              <w:jc w:val="center"/>
            </w:pPr>
            <w:r w:rsidRPr="00FD1145">
              <w:t>0.54 (0.42, 0.71)</w:t>
            </w:r>
          </w:p>
          <w:p w14:paraId="2DE8E9CE" w14:textId="63A0945E" w:rsidR="00292040" w:rsidRPr="00FD1145" w:rsidRDefault="00292040" w:rsidP="007000FA">
            <w:pPr>
              <w:pStyle w:val="In-tableHeading"/>
              <w:jc w:val="center"/>
              <w:rPr>
                <w:b w:val="0"/>
                <w:bCs/>
              </w:rPr>
            </w:pPr>
            <w:r w:rsidRPr="00FD1145">
              <w:t>p&lt; 0.00001</w:t>
            </w:r>
          </w:p>
        </w:tc>
      </w:tr>
      <w:tr w:rsidR="00292040" w:rsidRPr="00FD1145" w14:paraId="634D7151" w14:textId="28F1481C" w:rsidTr="00EA6ED4">
        <w:trPr>
          <w:cantSplit/>
        </w:trPr>
        <w:tc>
          <w:tcPr>
            <w:tcW w:w="1000" w:type="pct"/>
            <w:shd w:val="clear" w:color="auto" w:fill="B8CCE4" w:themeFill="accent1" w:themeFillTint="66"/>
          </w:tcPr>
          <w:p w14:paraId="4D4DF241" w14:textId="45E19597" w:rsidR="00292040" w:rsidRPr="00FD1145" w:rsidRDefault="00292040" w:rsidP="007000FA">
            <w:pPr>
              <w:pStyle w:val="In-tableHeading"/>
              <w:rPr>
                <w:b w:val="0"/>
                <w:bCs/>
              </w:rPr>
            </w:pPr>
            <w:r w:rsidRPr="00FD1145">
              <w:rPr>
                <w:b w:val="0"/>
                <w:bCs/>
              </w:rPr>
              <w:t>% not progressed at 6 months (95% CI)</w:t>
            </w:r>
          </w:p>
        </w:tc>
        <w:tc>
          <w:tcPr>
            <w:tcW w:w="1120" w:type="pct"/>
            <w:shd w:val="clear" w:color="auto" w:fill="B8CCE4" w:themeFill="accent1" w:themeFillTint="66"/>
            <w:vAlign w:val="center"/>
          </w:tcPr>
          <w:p w14:paraId="42537DC8" w14:textId="4A15F98E" w:rsidR="00292040" w:rsidRPr="00FD1145" w:rsidRDefault="00292040" w:rsidP="007000FA">
            <w:pPr>
              <w:pStyle w:val="In-tableHeading"/>
              <w:jc w:val="center"/>
              <w:rPr>
                <w:b w:val="0"/>
                <w:bCs/>
              </w:rPr>
            </w:pPr>
            <w:r w:rsidRPr="00FD1145">
              <w:rPr>
                <w:b w:val="0"/>
                <w:bCs/>
              </w:rPr>
              <w:t>62.9% (56.9%, 68.4%)</w:t>
            </w:r>
          </w:p>
        </w:tc>
        <w:tc>
          <w:tcPr>
            <w:tcW w:w="1100" w:type="pct"/>
            <w:shd w:val="clear" w:color="auto" w:fill="B8CCE4" w:themeFill="accent1" w:themeFillTint="66"/>
            <w:vAlign w:val="center"/>
          </w:tcPr>
          <w:p w14:paraId="180D3727" w14:textId="14AE3289" w:rsidR="00292040" w:rsidRPr="00FD1145" w:rsidRDefault="00292040" w:rsidP="007000FA">
            <w:pPr>
              <w:pStyle w:val="In-tableHeading"/>
              <w:jc w:val="center"/>
              <w:rPr>
                <w:b w:val="0"/>
                <w:bCs/>
              </w:rPr>
            </w:pPr>
            <w:r w:rsidRPr="00FD1145">
              <w:rPr>
                <w:b w:val="0"/>
                <w:bCs/>
              </w:rPr>
              <w:t>46.3% (37.2%, 54.9%)</w:t>
            </w:r>
          </w:p>
        </w:tc>
        <w:tc>
          <w:tcPr>
            <w:tcW w:w="943" w:type="pct"/>
            <w:shd w:val="clear" w:color="auto" w:fill="B8CCE4" w:themeFill="accent1" w:themeFillTint="66"/>
            <w:vAlign w:val="center"/>
          </w:tcPr>
          <w:p w14:paraId="4E09904F" w14:textId="0A355817" w:rsidR="00292040" w:rsidRPr="00FD1145" w:rsidRDefault="00292040" w:rsidP="007000FA">
            <w:pPr>
              <w:pStyle w:val="In-tableHeading"/>
              <w:jc w:val="center"/>
              <w:rPr>
                <w:b w:val="0"/>
                <w:bCs/>
              </w:rPr>
            </w:pPr>
            <w:r w:rsidRPr="00FD1145">
              <w:rPr>
                <w:b w:val="0"/>
                <w:bCs/>
              </w:rPr>
              <w:t>16.6%</w:t>
            </w:r>
          </w:p>
        </w:tc>
        <w:tc>
          <w:tcPr>
            <w:tcW w:w="837" w:type="pct"/>
            <w:shd w:val="clear" w:color="auto" w:fill="B8CCE4" w:themeFill="accent1" w:themeFillTint="66"/>
            <w:vAlign w:val="center"/>
          </w:tcPr>
          <w:p w14:paraId="5FF208EE" w14:textId="61F2569A" w:rsidR="00292040" w:rsidRPr="00FD1145" w:rsidRDefault="00292040" w:rsidP="007000FA">
            <w:pPr>
              <w:pStyle w:val="In-tableHeading"/>
              <w:jc w:val="center"/>
              <w:rPr>
                <w:b w:val="0"/>
                <w:bCs/>
              </w:rPr>
            </w:pPr>
            <w:r w:rsidRPr="00FD1145">
              <w:rPr>
                <w:b w:val="0"/>
                <w:bCs/>
              </w:rPr>
              <w:t>-</w:t>
            </w:r>
          </w:p>
        </w:tc>
      </w:tr>
      <w:tr w:rsidR="00292040" w:rsidRPr="00FD1145" w14:paraId="1CD635EF" w14:textId="2CA158A6" w:rsidTr="00EA6ED4">
        <w:trPr>
          <w:cantSplit/>
        </w:trPr>
        <w:tc>
          <w:tcPr>
            <w:tcW w:w="1000" w:type="pct"/>
            <w:shd w:val="clear" w:color="auto" w:fill="B8CCE4" w:themeFill="accent1" w:themeFillTint="66"/>
          </w:tcPr>
          <w:p w14:paraId="2D012EFB" w14:textId="14F4EE6E" w:rsidR="00292040" w:rsidRPr="00FD1145" w:rsidRDefault="00292040" w:rsidP="007000FA">
            <w:pPr>
              <w:pStyle w:val="In-tableHeading"/>
              <w:rPr>
                <w:b w:val="0"/>
                <w:bCs/>
              </w:rPr>
            </w:pPr>
            <w:r w:rsidRPr="00FD1145">
              <w:rPr>
                <w:b w:val="0"/>
                <w:bCs/>
              </w:rPr>
              <w:t>% not progressed at 12 months (95% CI)</w:t>
            </w:r>
          </w:p>
        </w:tc>
        <w:tc>
          <w:tcPr>
            <w:tcW w:w="1120" w:type="pct"/>
            <w:shd w:val="clear" w:color="auto" w:fill="B8CCE4" w:themeFill="accent1" w:themeFillTint="66"/>
            <w:vAlign w:val="center"/>
          </w:tcPr>
          <w:p w14:paraId="21742502" w14:textId="613C56B5" w:rsidR="00292040" w:rsidRPr="00FD1145" w:rsidRDefault="00292040" w:rsidP="007000FA">
            <w:pPr>
              <w:pStyle w:val="In-tableHeading"/>
              <w:jc w:val="center"/>
              <w:rPr>
                <w:b w:val="0"/>
                <w:bCs/>
              </w:rPr>
            </w:pPr>
            <w:r w:rsidRPr="00FD1145">
              <w:rPr>
                <w:b w:val="0"/>
                <w:bCs/>
              </w:rPr>
              <w:t>33.1% (26.6%, 39.7%)</w:t>
            </w:r>
          </w:p>
        </w:tc>
        <w:tc>
          <w:tcPr>
            <w:tcW w:w="1100" w:type="pct"/>
            <w:shd w:val="clear" w:color="auto" w:fill="B8CCE4" w:themeFill="accent1" w:themeFillTint="66"/>
            <w:vAlign w:val="center"/>
          </w:tcPr>
          <w:p w14:paraId="7FBC7EB0" w14:textId="78502CCF" w:rsidR="00292040" w:rsidRPr="00FD1145" w:rsidRDefault="00292040" w:rsidP="007000FA">
            <w:pPr>
              <w:pStyle w:val="In-tableHeading"/>
              <w:jc w:val="center"/>
              <w:rPr>
                <w:b w:val="0"/>
                <w:bCs/>
              </w:rPr>
            </w:pPr>
            <w:r w:rsidRPr="00FD1145">
              <w:rPr>
                <w:b w:val="0"/>
                <w:bCs/>
              </w:rPr>
              <w:t>12.3% (6.0%, 20.9%)</w:t>
            </w:r>
          </w:p>
        </w:tc>
        <w:tc>
          <w:tcPr>
            <w:tcW w:w="943" w:type="pct"/>
            <w:shd w:val="clear" w:color="auto" w:fill="B8CCE4" w:themeFill="accent1" w:themeFillTint="66"/>
            <w:vAlign w:val="center"/>
          </w:tcPr>
          <w:p w14:paraId="7D551248" w14:textId="7BA5FC6C" w:rsidR="00292040" w:rsidRPr="00FD1145" w:rsidRDefault="00292040" w:rsidP="007000FA">
            <w:pPr>
              <w:pStyle w:val="In-tableHeading"/>
              <w:jc w:val="center"/>
              <w:rPr>
                <w:b w:val="0"/>
                <w:bCs/>
              </w:rPr>
            </w:pPr>
            <w:r w:rsidRPr="00FD1145">
              <w:rPr>
                <w:b w:val="0"/>
                <w:bCs/>
              </w:rPr>
              <w:t>20.8%</w:t>
            </w:r>
          </w:p>
        </w:tc>
        <w:tc>
          <w:tcPr>
            <w:tcW w:w="837" w:type="pct"/>
            <w:shd w:val="clear" w:color="auto" w:fill="B8CCE4" w:themeFill="accent1" w:themeFillTint="66"/>
            <w:vAlign w:val="center"/>
          </w:tcPr>
          <w:p w14:paraId="43AB472C" w14:textId="6FD3D50D" w:rsidR="00292040" w:rsidRPr="00FD1145" w:rsidRDefault="00292040" w:rsidP="007000FA">
            <w:pPr>
              <w:pStyle w:val="In-tableHeading"/>
              <w:jc w:val="center"/>
              <w:rPr>
                <w:b w:val="0"/>
                <w:bCs/>
              </w:rPr>
            </w:pPr>
            <w:r w:rsidRPr="00FD1145">
              <w:rPr>
                <w:b w:val="0"/>
                <w:bCs/>
              </w:rPr>
              <w:t>-</w:t>
            </w:r>
          </w:p>
        </w:tc>
      </w:tr>
      <w:tr w:rsidR="00292040" w:rsidRPr="00FD1145" w14:paraId="0411079B" w14:textId="4D1BCED6" w:rsidTr="00EA6ED4">
        <w:trPr>
          <w:cantSplit/>
        </w:trPr>
        <w:tc>
          <w:tcPr>
            <w:tcW w:w="5000" w:type="pct"/>
            <w:gridSpan w:val="5"/>
            <w:shd w:val="clear" w:color="auto" w:fill="B8CCE4" w:themeFill="accent1" w:themeFillTint="66"/>
            <w:vAlign w:val="center"/>
          </w:tcPr>
          <w:p w14:paraId="60DFC838" w14:textId="339097C9" w:rsidR="00292040" w:rsidRPr="00FD1145" w:rsidRDefault="00292040" w:rsidP="007000FA">
            <w:pPr>
              <w:pStyle w:val="In-tableHeading"/>
            </w:pPr>
            <w:r w:rsidRPr="00FD1145">
              <w:t>Overall survival (ITT-OS population = ‘all-comers’ population)</w:t>
            </w:r>
          </w:p>
        </w:tc>
      </w:tr>
      <w:tr w:rsidR="00292040" w:rsidRPr="00FD1145" w14:paraId="451177B9" w14:textId="6C06AAD0" w:rsidTr="00EA6ED4">
        <w:trPr>
          <w:cantSplit/>
        </w:trPr>
        <w:tc>
          <w:tcPr>
            <w:tcW w:w="1000" w:type="pct"/>
            <w:shd w:val="clear" w:color="auto" w:fill="B8CCE4" w:themeFill="accent1" w:themeFillTint="66"/>
            <w:vAlign w:val="center"/>
          </w:tcPr>
          <w:p w14:paraId="1C5D7112" w14:textId="6CCD99EE" w:rsidR="00292040" w:rsidRPr="00FD1145" w:rsidRDefault="00292040" w:rsidP="007000FA">
            <w:pPr>
              <w:pStyle w:val="In-tableHeading"/>
              <w:rPr>
                <w:b w:val="0"/>
                <w:bCs/>
              </w:rPr>
            </w:pPr>
            <w:r w:rsidRPr="00FD1145">
              <w:rPr>
                <w:b w:val="0"/>
                <w:bCs/>
              </w:rPr>
              <w:t>N</w:t>
            </w:r>
          </w:p>
        </w:tc>
        <w:tc>
          <w:tcPr>
            <w:tcW w:w="1120" w:type="pct"/>
            <w:shd w:val="clear" w:color="auto" w:fill="B8CCE4" w:themeFill="accent1" w:themeFillTint="66"/>
            <w:vAlign w:val="center"/>
          </w:tcPr>
          <w:p w14:paraId="47C77603" w14:textId="13B16BAA" w:rsidR="00292040" w:rsidRPr="00FD1145" w:rsidRDefault="00292040" w:rsidP="007000FA">
            <w:pPr>
              <w:pStyle w:val="In-tableHeading"/>
              <w:jc w:val="center"/>
              <w:rPr>
                <w:b w:val="0"/>
                <w:bCs/>
              </w:rPr>
            </w:pPr>
            <w:r w:rsidRPr="00FD1145">
              <w:rPr>
                <w:b w:val="0"/>
                <w:bCs/>
              </w:rPr>
              <w:t>410</w:t>
            </w:r>
          </w:p>
        </w:tc>
        <w:tc>
          <w:tcPr>
            <w:tcW w:w="1100" w:type="pct"/>
            <w:shd w:val="clear" w:color="auto" w:fill="B8CCE4" w:themeFill="accent1" w:themeFillTint="66"/>
            <w:vAlign w:val="center"/>
          </w:tcPr>
          <w:p w14:paraId="4A072CF4" w14:textId="68D19845" w:rsidR="00292040" w:rsidRPr="00FD1145" w:rsidRDefault="00292040" w:rsidP="007000FA">
            <w:pPr>
              <w:pStyle w:val="In-tableHeading"/>
              <w:jc w:val="center"/>
              <w:rPr>
                <w:b w:val="0"/>
                <w:bCs/>
              </w:rPr>
            </w:pPr>
            <w:r w:rsidRPr="00FD1145">
              <w:rPr>
                <w:b w:val="0"/>
                <w:bCs/>
              </w:rPr>
              <w:t>212</w:t>
            </w:r>
          </w:p>
        </w:tc>
        <w:tc>
          <w:tcPr>
            <w:tcW w:w="943" w:type="pct"/>
            <w:shd w:val="clear" w:color="auto" w:fill="B8CCE4" w:themeFill="accent1" w:themeFillTint="66"/>
            <w:vAlign w:val="center"/>
          </w:tcPr>
          <w:p w14:paraId="10545AA5" w14:textId="591954B2" w:rsidR="00292040" w:rsidRPr="00FD1145" w:rsidRDefault="00292040" w:rsidP="007000FA">
            <w:pPr>
              <w:pStyle w:val="In-tableHeading"/>
              <w:jc w:val="center"/>
              <w:rPr>
                <w:b w:val="0"/>
                <w:bCs/>
              </w:rPr>
            </w:pPr>
            <w:r w:rsidRPr="00FD1145">
              <w:rPr>
                <w:b w:val="0"/>
                <w:bCs/>
              </w:rPr>
              <w:t>-</w:t>
            </w:r>
          </w:p>
        </w:tc>
        <w:tc>
          <w:tcPr>
            <w:tcW w:w="837" w:type="pct"/>
            <w:shd w:val="clear" w:color="auto" w:fill="B8CCE4" w:themeFill="accent1" w:themeFillTint="66"/>
            <w:vAlign w:val="center"/>
          </w:tcPr>
          <w:p w14:paraId="0F2622CB" w14:textId="2E6B78D1" w:rsidR="00292040" w:rsidRPr="00FD1145" w:rsidRDefault="00292040" w:rsidP="007000FA">
            <w:pPr>
              <w:pStyle w:val="In-tableHeading"/>
              <w:jc w:val="center"/>
              <w:rPr>
                <w:b w:val="0"/>
                <w:bCs/>
              </w:rPr>
            </w:pPr>
            <w:r w:rsidRPr="00FD1145">
              <w:rPr>
                <w:b w:val="0"/>
                <w:bCs/>
              </w:rPr>
              <w:t>-</w:t>
            </w:r>
          </w:p>
        </w:tc>
      </w:tr>
      <w:tr w:rsidR="00292040" w:rsidRPr="00FD1145" w14:paraId="66042BB9" w14:textId="296B8ADA" w:rsidTr="00EA6ED4">
        <w:trPr>
          <w:cantSplit/>
        </w:trPr>
        <w:tc>
          <w:tcPr>
            <w:tcW w:w="1000" w:type="pct"/>
            <w:shd w:val="clear" w:color="auto" w:fill="B8CCE4" w:themeFill="accent1" w:themeFillTint="66"/>
            <w:vAlign w:val="center"/>
          </w:tcPr>
          <w:p w14:paraId="4A2AD3F7" w14:textId="17503840" w:rsidR="00292040" w:rsidRPr="00FD1145" w:rsidRDefault="00292040" w:rsidP="007000FA">
            <w:pPr>
              <w:pStyle w:val="In-tableHeading"/>
              <w:rPr>
                <w:b w:val="0"/>
                <w:bCs/>
              </w:rPr>
            </w:pPr>
            <w:r w:rsidRPr="00FD1145">
              <w:rPr>
                <w:b w:val="0"/>
                <w:bCs/>
              </w:rPr>
              <w:t>Deaths, n (%)</w:t>
            </w:r>
          </w:p>
        </w:tc>
        <w:tc>
          <w:tcPr>
            <w:tcW w:w="1120" w:type="pct"/>
            <w:shd w:val="clear" w:color="auto" w:fill="B8CCE4" w:themeFill="accent1" w:themeFillTint="66"/>
            <w:vAlign w:val="center"/>
          </w:tcPr>
          <w:p w14:paraId="681289D0" w14:textId="09052A32" w:rsidR="00292040" w:rsidRPr="00FD1145" w:rsidRDefault="00292040" w:rsidP="007000FA">
            <w:pPr>
              <w:pStyle w:val="In-tableHeading"/>
              <w:jc w:val="center"/>
              <w:rPr>
                <w:b w:val="0"/>
                <w:bCs/>
              </w:rPr>
            </w:pPr>
            <w:r w:rsidRPr="00FD1145">
              <w:rPr>
                <w:b w:val="0"/>
                <w:bCs/>
              </w:rPr>
              <w:t>130 (31.7%)</w:t>
            </w:r>
          </w:p>
        </w:tc>
        <w:tc>
          <w:tcPr>
            <w:tcW w:w="1100" w:type="pct"/>
            <w:shd w:val="clear" w:color="auto" w:fill="B8CCE4" w:themeFill="accent1" w:themeFillTint="66"/>
            <w:vAlign w:val="center"/>
          </w:tcPr>
          <w:p w14:paraId="2A3DDDA9" w14:textId="71CD821A" w:rsidR="00292040" w:rsidRPr="00FD1145" w:rsidRDefault="00292040" w:rsidP="007000FA">
            <w:pPr>
              <w:pStyle w:val="In-tableHeading"/>
              <w:jc w:val="center"/>
              <w:rPr>
                <w:b w:val="0"/>
                <w:bCs/>
              </w:rPr>
            </w:pPr>
            <w:r w:rsidRPr="00FD1145">
              <w:rPr>
                <w:b w:val="0"/>
                <w:bCs/>
              </w:rPr>
              <w:t>85 (42.1%)</w:t>
            </w:r>
          </w:p>
        </w:tc>
        <w:tc>
          <w:tcPr>
            <w:tcW w:w="943" w:type="pct"/>
            <w:shd w:val="clear" w:color="auto" w:fill="B8CCE4" w:themeFill="accent1" w:themeFillTint="66"/>
            <w:vAlign w:val="center"/>
          </w:tcPr>
          <w:p w14:paraId="226D61DB" w14:textId="000879AC" w:rsidR="00292040" w:rsidRPr="00FD1145" w:rsidRDefault="00292040" w:rsidP="007000FA">
            <w:pPr>
              <w:pStyle w:val="In-tableHeading"/>
              <w:jc w:val="center"/>
              <w:rPr>
                <w:b w:val="0"/>
                <w:bCs/>
              </w:rPr>
            </w:pPr>
            <w:r w:rsidRPr="00FD1145">
              <w:rPr>
                <w:b w:val="0"/>
                <w:bCs/>
              </w:rPr>
              <w:t>-</w:t>
            </w:r>
          </w:p>
        </w:tc>
        <w:tc>
          <w:tcPr>
            <w:tcW w:w="837" w:type="pct"/>
            <w:shd w:val="clear" w:color="auto" w:fill="B8CCE4" w:themeFill="accent1" w:themeFillTint="66"/>
            <w:vAlign w:val="center"/>
          </w:tcPr>
          <w:p w14:paraId="594FD0A5" w14:textId="3D9C1F5A" w:rsidR="00292040" w:rsidRPr="00FD1145" w:rsidRDefault="00292040" w:rsidP="007000FA">
            <w:pPr>
              <w:pStyle w:val="In-tableHeading"/>
              <w:jc w:val="center"/>
              <w:rPr>
                <w:b w:val="0"/>
                <w:bCs/>
              </w:rPr>
            </w:pPr>
            <w:r w:rsidRPr="00FD1145">
              <w:rPr>
                <w:b w:val="0"/>
                <w:bCs/>
              </w:rPr>
              <w:t>-</w:t>
            </w:r>
          </w:p>
        </w:tc>
      </w:tr>
      <w:tr w:rsidR="00292040" w:rsidRPr="00FD1145" w14:paraId="7FCF6EBB" w14:textId="00047FC7" w:rsidTr="00EA6ED4">
        <w:trPr>
          <w:cantSplit/>
        </w:trPr>
        <w:tc>
          <w:tcPr>
            <w:tcW w:w="1000" w:type="pct"/>
            <w:shd w:val="clear" w:color="auto" w:fill="B8CCE4" w:themeFill="accent1" w:themeFillTint="66"/>
            <w:vAlign w:val="center"/>
          </w:tcPr>
          <w:p w14:paraId="490E339F" w14:textId="17F82BDF" w:rsidR="00292040" w:rsidRPr="00FD1145" w:rsidRDefault="00292040" w:rsidP="007000FA">
            <w:pPr>
              <w:pStyle w:val="In-tableHeading"/>
              <w:rPr>
                <w:b w:val="0"/>
                <w:bCs/>
              </w:rPr>
            </w:pPr>
            <w:r w:rsidRPr="00FD1145">
              <w:rPr>
                <w:b w:val="0"/>
                <w:bCs/>
              </w:rPr>
              <w:t>Median months OS (95% CI)</w:t>
            </w:r>
          </w:p>
        </w:tc>
        <w:tc>
          <w:tcPr>
            <w:tcW w:w="1120" w:type="pct"/>
            <w:shd w:val="clear" w:color="auto" w:fill="B8CCE4" w:themeFill="accent1" w:themeFillTint="66"/>
            <w:vAlign w:val="center"/>
          </w:tcPr>
          <w:p w14:paraId="40DF2551" w14:textId="766DE238" w:rsidR="00292040" w:rsidRPr="00FD1145" w:rsidRDefault="00292040" w:rsidP="007000FA">
            <w:pPr>
              <w:pStyle w:val="In-tableHeading"/>
              <w:jc w:val="center"/>
              <w:rPr>
                <w:b w:val="0"/>
                <w:bCs/>
              </w:rPr>
            </w:pPr>
            <w:r w:rsidRPr="00FD1145">
              <w:rPr>
                <w:b w:val="0"/>
                <w:bCs/>
              </w:rPr>
              <w:t>21.9 (18.3, 31.0)</w:t>
            </w:r>
          </w:p>
        </w:tc>
        <w:tc>
          <w:tcPr>
            <w:tcW w:w="1100" w:type="pct"/>
            <w:shd w:val="clear" w:color="auto" w:fill="B8CCE4" w:themeFill="accent1" w:themeFillTint="66"/>
            <w:vAlign w:val="center"/>
          </w:tcPr>
          <w:p w14:paraId="4BA76400" w14:textId="585E3880" w:rsidR="00292040" w:rsidRPr="00FD1145" w:rsidRDefault="00292040" w:rsidP="007000FA">
            <w:pPr>
              <w:pStyle w:val="In-tableHeading"/>
              <w:jc w:val="center"/>
              <w:rPr>
                <w:b w:val="0"/>
                <w:bCs/>
              </w:rPr>
            </w:pPr>
            <w:r w:rsidRPr="00FD1145">
              <w:rPr>
                <w:b w:val="0"/>
                <w:bCs/>
              </w:rPr>
              <w:t>17.4 (13.6, 19.9)</w:t>
            </w:r>
          </w:p>
        </w:tc>
        <w:tc>
          <w:tcPr>
            <w:tcW w:w="943" w:type="pct"/>
            <w:shd w:val="clear" w:color="auto" w:fill="B8CCE4" w:themeFill="accent1" w:themeFillTint="66"/>
            <w:vAlign w:val="center"/>
          </w:tcPr>
          <w:p w14:paraId="6FB42A17" w14:textId="7152AEDC" w:rsidR="00292040" w:rsidRPr="00FD1145" w:rsidRDefault="00292040" w:rsidP="007000FA">
            <w:pPr>
              <w:pStyle w:val="In-tableHeading"/>
              <w:jc w:val="center"/>
              <w:rPr>
                <w:b w:val="0"/>
                <w:bCs/>
              </w:rPr>
            </w:pPr>
            <w:r w:rsidRPr="00FD1145">
              <w:rPr>
                <w:b w:val="0"/>
                <w:bCs/>
              </w:rPr>
              <w:t>4.5 months</w:t>
            </w:r>
          </w:p>
        </w:tc>
        <w:tc>
          <w:tcPr>
            <w:tcW w:w="837" w:type="pct"/>
            <w:shd w:val="clear" w:color="auto" w:fill="B8CCE4" w:themeFill="accent1" w:themeFillTint="66"/>
            <w:vAlign w:val="center"/>
          </w:tcPr>
          <w:p w14:paraId="6DBFA93E" w14:textId="221828D8" w:rsidR="00292040" w:rsidRPr="00FD1145" w:rsidRDefault="00292040" w:rsidP="007000FA">
            <w:pPr>
              <w:pStyle w:val="In-tableHeading"/>
              <w:jc w:val="center"/>
            </w:pPr>
            <w:r w:rsidRPr="00FD1145">
              <w:t>0.66 (0.50, 0.88)</w:t>
            </w:r>
          </w:p>
          <w:p w14:paraId="6CCC9726" w14:textId="1D988A76" w:rsidR="00292040" w:rsidRPr="00FD1145" w:rsidRDefault="00292040" w:rsidP="007000FA">
            <w:pPr>
              <w:pStyle w:val="In-tableHeading"/>
              <w:jc w:val="center"/>
              <w:rPr>
                <w:b w:val="0"/>
                <w:bCs/>
              </w:rPr>
            </w:pPr>
            <w:r w:rsidRPr="00FD1145">
              <w:t>p&lt; 0.0048</w:t>
            </w:r>
          </w:p>
        </w:tc>
      </w:tr>
      <w:tr w:rsidR="00292040" w:rsidRPr="00FD1145" w14:paraId="35FB4951" w14:textId="17C56A65" w:rsidTr="00EA6ED4">
        <w:trPr>
          <w:cantSplit/>
        </w:trPr>
        <w:tc>
          <w:tcPr>
            <w:tcW w:w="1000" w:type="pct"/>
            <w:shd w:val="clear" w:color="auto" w:fill="B8CCE4" w:themeFill="accent1" w:themeFillTint="66"/>
          </w:tcPr>
          <w:p w14:paraId="53D80BB8" w14:textId="5A04391B" w:rsidR="00292040" w:rsidRPr="00FD1145" w:rsidRDefault="00292040" w:rsidP="007000FA">
            <w:pPr>
              <w:pStyle w:val="In-tableHeading"/>
              <w:rPr>
                <w:b w:val="0"/>
                <w:bCs/>
              </w:rPr>
            </w:pPr>
            <w:r w:rsidRPr="00FD1145">
              <w:rPr>
                <w:b w:val="0"/>
                <w:bCs/>
              </w:rPr>
              <w:t>% alive at 12 months (95% CI)</w:t>
            </w:r>
          </w:p>
        </w:tc>
        <w:tc>
          <w:tcPr>
            <w:tcW w:w="1120" w:type="pct"/>
            <w:shd w:val="clear" w:color="auto" w:fill="B8CCE4" w:themeFill="accent1" w:themeFillTint="66"/>
            <w:vAlign w:val="center"/>
          </w:tcPr>
          <w:p w14:paraId="22468190" w14:textId="47B7A0EE" w:rsidR="00292040" w:rsidRPr="00FD1145" w:rsidRDefault="00292040" w:rsidP="007000FA">
            <w:pPr>
              <w:pStyle w:val="In-tableHeading"/>
              <w:jc w:val="center"/>
              <w:rPr>
                <w:b w:val="0"/>
                <w:bCs/>
              </w:rPr>
            </w:pPr>
            <w:r w:rsidRPr="00FD1145">
              <w:rPr>
                <w:b w:val="0"/>
                <w:bCs/>
              </w:rPr>
              <w:t>75.5% (70.4%, 79.9%)</w:t>
            </w:r>
          </w:p>
        </w:tc>
        <w:tc>
          <w:tcPr>
            <w:tcW w:w="1100" w:type="pct"/>
            <w:shd w:val="clear" w:color="auto" w:fill="B8CCE4" w:themeFill="accent1" w:themeFillTint="66"/>
            <w:vAlign w:val="center"/>
          </w:tcPr>
          <w:p w14:paraId="05E5447D" w14:textId="6EEAB7A9" w:rsidR="00292040" w:rsidRPr="00FD1145" w:rsidRDefault="00292040" w:rsidP="007000FA">
            <w:pPr>
              <w:pStyle w:val="In-tableHeading"/>
              <w:jc w:val="center"/>
              <w:rPr>
                <w:b w:val="0"/>
                <w:bCs/>
              </w:rPr>
            </w:pPr>
            <w:r w:rsidRPr="00FD1145">
              <w:rPr>
                <w:b w:val="0"/>
                <w:bCs/>
              </w:rPr>
              <w:t>62.4% (54.1%, 69.5%)</w:t>
            </w:r>
          </w:p>
        </w:tc>
        <w:tc>
          <w:tcPr>
            <w:tcW w:w="943" w:type="pct"/>
            <w:shd w:val="clear" w:color="auto" w:fill="B8CCE4" w:themeFill="accent1" w:themeFillTint="66"/>
            <w:vAlign w:val="center"/>
          </w:tcPr>
          <w:p w14:paraId="4781145A" w14:textId="0EC12C9C" w:rsidR="00292040" w:rsidRPr="00FD1145" w:rsidRDefault="00292040" w:rsidP="007000FA">
            <w:pPr>
              <w:pStyle w:val="In-tableHeading"/>
              <w:jc w:val="center"/>
              <w:rPr>
                <w:b w:val="0"/>
                <w:bCs/>
              </w:rPr>
            </w:pPr>
            <w:r w:rsidRPr="00FD1145">
              <w:rPr>
                <w:b w:val="0"/>
                <w:bCs/>
              </w:rPr>
              <w:t>13.1%</w:t>
            </w:r>
          </w:p>
        </w:tc>
        <w:tc>
          <w:tcPr>
            <w:tcW w:w="837" w:type="pct"/>
            <w:shd w:val="clear" w:color="auto" w:fill="B8CCE4" w:themeFill="accent1" w:themeFillTint="66"/>
            <w:vAlign w:val="center"/>
          </w:tcPr>
          <w:p w14:paraId="3DF6893A" w14:textId="5C35D1FB" w:rsidR="00292040" w:rsidRPr="00FD1145" w:rsidRDefault="00292040" w:rsidP="007000FA">
            <w:pPr>
              <w:pStyle w:val="In-tableHeading"/>
              <w:jc w:val="center"/>
              <w:rPr>
                <w:b w:val="0"/>
                <w:bCs/>
              </w:rPr>
            </w:pPr>
            <w:r w:rsidRPr="00FD1145">
              <w:rPr>
                <w:b w:val="0"/>
                <w:bCs/>
              </w:rPr>
              <w:t>-</w:t>
            </w:r>
          </w:p>
        </w:tc>
      </w:tr>
      <w:tr w:rsidR="00292040" w:rsidRPr="00FD1145" w14:paraId="03361869" w14:textId="6466A047" w:rsidTr="00EA6ED4">
        <w:trPr>
          <w:cantSplit/>
        </w:trPr>
        <w:tc>
          <w:tcPr>
            <w:tcW w:w="1000" w:type="pct"/>
            <w:shd w:val="clear" w:color="auto" w:fill="B8CCE4" w:themeFill="accent1" w:themeFillTint="66"/>
          </w:tcPr>
          <w:p w14:paraId="04387AB3" w14:textId="3AE0E3F6" w:rsidR="00292040" w:rsidRPr="00FD1145" w:rsidRDefault="00292040" w:rsidP="007000FA">
            <w:pPr>
              <w:pStyle w:val="In-tableHeading"/>
              <w:rPr>
                <w:b w:val="0"/>
                <w:bCs/>
              </w:rPr>
            </w:pPr>
            <w:r w:rsidRPr="00FD1145">
              <w:rPr>
                <w:b w:val="0"/>
                <w:bCs/>
              </w:rPr>
              <w:t>% alive at 24 months (95% CI)</w:t>
            </w:r>
          </w:p>
        </w:tc>
        <w:tc>
          <w:tcPr>
            <w:tcW w:w="1120" w:type="pct"/>
            <w:shd w:val="clear" w:color="auto" w:fill="B8CCE4" w:themeFill="accent1" w:themeFillTint="66"/>
            <w:vAlign w:val="center"/>
          </w:tcPr>
          <w:p w14:paraId="05C7E971" w14:textId="7C6079F5" w:rsidR="00292040" w:rsidRPr="00FD1145" w:rsidRDefault="00292040" w:rsidP="007000FA">
            <w:pPr>
              <w:pStyle w:val="In-tableHeading"/>
              <w:jc w:val="center"/>
              <w:rPr>
                <w:b w:val="0"/>
                <w:bCs/>
              </w:rPr>
            </w:pPr>
            <w:r w:rsidRPr="00FD1145">
              <w:rPr>
                <w:b w:val="0"/>
                <w:bCs/>
              </w:rPr>
              <w:t>44.9% (36.6%, 52.8%)</w:t>
            </w:r>
          </w:p>
        </w:tc>
        <w:tc>
          <w:tcPr>
            <w:tcW w:w="1100" w:type="pct"/>
            <w:shd w:val="clear" w:color="auto" w:fill="B8CCE4" w:themeFill="accent1" w:themeFillTint="66"/>
            <w:vAlign w:val="center"/>
          </w:tcPr>
          <w:p w14:paraId="6153414E" w14:textId="04820918" w:rsidR="00292040" w:rsidRPr="00FD1145" w:rsidRDefault="00292040" w:rsidP="007000FA">
            <w:pPr>
              <w:pStyle w:val="In-tableHeading"/>
              <w:jc w:val="center"/>
              <w:rPr>
                <w:b w:val="0"/>
                <w:bCs/>
              </w:rPr>
            </w:pPr>
            <w:r w:rsidRPr="00FD1145">
              <w:rPr>
                <w:b w:val="0"/>
                <w:bCs/>
              </w:rPr>
              <w:t>26.6% (15.7%, 38.7%)</w:t>
            </w:r>
          </w:p>
        </w:tc>
        <w:tc>
          <w:tcPr>
            <w:tcW w:w="943" w:type="pct"/>
            <w:shd w:val="clear" w:color="auto" w:fill="B8CCE4" w:themeFill="accent1" w:themeFillTint="66"/>
            <w:vAlign w:val="center"/>
          </w:tcPr>
          <w:p w14:paraId="51FD4273" w14:textId="1A6DFAB6" w:rsidR="00292040" w:rsidRPr="00FD1145" w:rsidRDefault="00292040" w:rsidP="007000FA">
            <w:pPr>
              <w:pStyle w:val="In-tableHeading"/>
              <w:jc w:val="center"/>
              <w:rPr>
                <w:b w:val="0"/>
                <w:bCs/>
              </w:rPr>
            </w:pPr>
            <w:r w:rsidRPr="00FD1145">
              <w:rPr>
                <w:b w:val="0"/>
                <w:bCs/>
              </w:rPr>
              <w:t>18.3%</w:t>
            </w:r>
          </w:p>
        </w:tc>
        <w:tc>
          <w:tcPr>
            <w:tcW w:w="837" w:type="pct"/>
            <w:shd w:val="clear" w:color="auto" w:fill="B8CCE4" w:themeFill="accent1" w:themeFillTint="66"/>
            <w:vAlign w:val="center"/>
          </w:tcPr>
          <w:p w14:paraId="7BEB0BF1" w14:textId="6427C2BC" w:rsidR="00292040" w:rsidRPr="00FD1145" w:rsidRDefault="00292040" w:rsidP="007000FA">
            <w:pPr>
              <w:pStyle w:val="In-tableHeading"/>
              <w:jc w:val="center"/>
              <w:rPr>
                <w:b w:val="0"/>
                <w:bCs/>
              </w:rPr>
            </w:pPr>
            <w:r w:rsidRPr="00FD1145">
              <w:rPr>
                <w:b w:val="0"/>
                <w:bCs/>
              </w:rPr>
              <w:t>-</w:t>
            </w:r>
          </w:p>
        </w:tc>
      </w:tr>
      <w:tr w:rsidR="00292040" w:rsidRPr="00FD1145" w14:paraId="0B997FA1" w14:textId="30F4957E" w:rsidTr="00EA6ED4">
        <w:trPr>
          <w:cantSplit/>
        </w:trPr>
        <w:tc>
          <w:tcPr>
            <w:tcW w:w="5000" w:type="pct"/>
            <w:gridSpan w:val="5"/>
            <w:shd w:val="clear" w:color="auto" w:fill="B8CCE4" w:themeFill="accent1" w:themeFillTint="66"/>
          </w:tcPr>
          <w:p w14:paraId="4D53315C" w14:textId="682D67D0" w:rsidR="00292040" w:rsidRPr="00FD1145" w:rsidRDefault="00292040" w:rsidP="007000FA">
            <w:pPr>
              <w:pStyle w:val="In-tableHeading"/>
            </w:pPr>
            <w:r w:rsidRPr="00FD1145">
              <w:t xml:space="preserve">PFS </w:t>
            </w:r>
            <w:proofErr w:type="spellStart"/>
            <w:r w:rsidRPr="00FD1145">
              <w:t>Brainmets</w:t>
            </w:r>
            <w:proofErr w:type="spellEnd"/>
            <w:r w:rsidRPr="00FD1145">
              <w:t xml:space="preserve"> per BICR (ITT-</w:t>
            </w:r>
            <w:proofErr w:type="spellStart"/>
            <w:r w:rsidRPr="00FD1145">
              <w:t>PFS</w:t>
            </w:r>
            <w:r w:rsidRPr="00FD1145">
              <w:rPr>
                <w:vertAlign w:val="subscript"/>
              </w:rPr>
              <w:t>BrainMets</w:t>
            </w:r>
            <w:proofErr w:type="spellEnd"/>
            <w:r w:rsidRPr="00FD1145">
              <w:t xml:space="preserve"> population = 291 patients with brain metastases at baseline)</w:t>
            </w:r>
          </w:p>
        </w:tc>
      </w:tr>
      <w:tr w:rsidR="00292040" w:rsidRPr="00FD1145" w14:paraId="12176A9A" w14:textId="1EE3BE4D" w:rsidTr="00EA6ED4">
        <w:trPr>
          <w:cantSplit/>
        </w:trPr>
        <w:tc>
          <w:tcPr>
            <w:tcW w:w="1000" w:type="pct"/>
            <w:shd w:val="clear" w:color="auto" w:fill="B8CCE4" w:themeFill="accent1" w:themeFillTint="66"/>
          </w:tcPr>
          <w:p w14:paraId="1AC1E881" w14:textId="56BC989F" w:rsidR="00292040" w:rsidRPr="00FD1145" w:rsidRDefault="00292040" w:rsidP="007000FA">
            <w:pPr>
              <w:pStyle w:val="In-tableHeading"/>
              <w:rPr>
                <w:b w:val="0"/>
                <w:bCs/>
              </w:rPr>
            </w:pPr>
            <w:r w:rsidRPr="00FD1145">
              <w:rPr>
                <w:b w:val="0"/>
                <w:bCs/>
              </w:rPr>
              <w:t>N</w:t>
            </w:r>
          </w:p>
        </w:tc>
        <w:tc>
          <w:tcPr>
            <w:tcW w:w="1120" w:type="pct"/>
            <w:shd w:val="clear" w:color="auto" w:fill="B8CCE4" w:themeFill="accent1" w:themeFillTint="66"/>
          </w:tcPr>
          <w:p w14:paraId="1C016C5D" w14:textId="2A7DF371" w:rsidR="00292040" w:rsidRPr="00FD1145" w:rsidRDefault="00292040" w:rsidP="007000FA">
            <w:pPr>
              <w:pStyle w:val="In-tableHeading"/>
              <w:jc w:val="center"/>
              <w:rPr>
                <w:b w:val="0"/>
                <w:bCs/>
              </w:rPr>
            </w:pPr>
            <w:r w:rsidRPr="00FD1145">
              <w:rPr>
                <w:b w:val="0"/>
                <w:bCs/>
              </w:rPr>
              <w:t>198</w:t>
            </w:r>
          </w:p>
        </w:tc>
        <w:tc>
          <w:tcPr>
            <w:tcW w:w="1100" w:type="pct"/>
            <w:shd w:val="clear" w:color="auto" w:fill="B8CCE4" w:themeFill="accent1" w:themeFillTint="66"/>
          </w:tcPr>
          <w:p w14:paraId="7DA6FAE8" w14:textId="05A83EC4" w:rsidR="00292040" w:rsidRPr="00FD1145" w:rsidRDefault="00292040" w:rsidP="007000FA">
            <w:pPr>
              <w:pStyle w:val="In-tableHeading"/>
              <w:jc w:val="center"/>
              <w:rPr>
                <w:b w:val="0"/>
                <w:bCs/>
              </w:rPr>
            </w:pPr>
            <w:r w:rsidRPr="00FD1145">
              <w:rPr>
                <w:b w:val="0"/>
                <w:bCs/>
              </w:rPr>
              <w:t>93</w:t>
            </w:r>
          </w:p>
        </w:tc>
        <w:tc>
          <w:tcPr>
            <w:tcW w:w="943" w:type="pct"/>
            <w:shd w:val="clear" w:color="auto" w:fill="B8CCE4" w:themeFill="accent1" w:themeFillTint="66"/>
          </w:tcPr>
          <w:p w14:paraId="09F48F4B" w14:textId="227C8BCB" w:rsidR="00292040" w:rsidRPr="00FD1145" w:rsidRDefault="00292040" w:rsidP="007000FA">
            <w:pPr>
              <w:pStyle w:val="In-tableHeading"/>
              <w:jc w:val="center"/>
              <w:rPr>
                <w:b w:val="0"/>
                <w:bCs/>
              </w:rPr>
            </w:pPr>
          </w:p>
        </w:tc>
        <w:tc>
          <w:tcPr>
            <w:tcW w:w="837" w:type="pct"/>
            <w:shd w:val="clear" w:color="auto" w:fill="B8CCE4" w:themeFill="accent1" w:themeFillTint="66"/>
          </w:tcPr>
          <w:p w14:paraId="0629F136" w14:textId="1F0BB321" w:rsidR="00292040" w:rsidRPr="00FD1145" w:rsidRDefault="00292040" w:rsidP="007000FA">
            <w:pPr>
              <w:pStyle w:val="In-tableHeading"/>
              <w:jc w:val="center"/>
              <w:rPr>
                <w:b w:val="0"/>
                <w:bCs/>
              </w:rPr>
            </w:pPr>
          </w:p>
        </w:tc>
      </w:tr>
      <w:tr w:rsidR="00292040" w:rsidRPr="00FD1145" w14:paraId="0D2B88D2" w14:textId="2C403859" w:rsidTr="00EA6ED4">
        <w:trPr>
          <w:cantSplit/>
        </w:trPr>
        <w:tc>
          <w:tcPr>
            <w:tcW w:w="1000" w:type="pct"/>
            <w:shd w:val="clear" w:color="auto" w:fill="B8CCE4" w:themeFill="accent1" w:themeFillTint="66"/>
          </w:tcPr>
          <w:p w14:paraId="27616273" w14:textId="322A4349" w:rsidR="00292040" w:rsidRPr="00FD1145" w:rsidRDefault="00292040" w:rsidP="007000FA">
            <w:pPr>
              <w:pStyle w:val="In-tableHeading"/>
              <w:rPr>
                <w:b w:val="0"/>
                <w:bCs/>
              </w:rPr>
            </w:pPr>
            <w:r w:rsidRPr="00FD1145">
              <w:rPr>
                <w:b w:val="0"/>
                <w:bCs/>
              </w:rPr>
              <w:t>Progressed, n (%)</w:t>
            </w:r>
          </w:p>
        </w:tc>
        <w:tc>
          <w:tcPr>
            <w:tcW w:w="1120" w:type="pct"/>
            <w:shd w:val="clear" w:color="auto" w:fill="B8CCE4" w:themeFill="accent1" w:themeFillTint="66"/>
          </w:tcPr>
          <w:p w14:paraId="5E0A9AB6" w14:textId="074D34A2" w:rsidR="00292040" w:rsidRPr="00FD1145" w:rsidRDefault="00292040" w:rsidP="007000FA">
            <w:pPr>
              <w:pStyle w:val="In-tableHeading"/>
              <w:jc w:val="center"/>
              <w:rPr>
                <w:b w:val="0"/>
                <w:bCs/>
              </w:rPr>
            </w:pPr>
            <w:r w:rsidRPr="00FD1145">
              <w:rPr>
                <w:b w:val="0"/>
                <w:bCs/>
              </w:rPr>
              <w:t>106 (53.5%)</w:t>
            </w:r>
          </w:p>
        </w:tc>
        <w:tc>
          <w:tcPr>
            <w:tcW w:w="1100" w:type="pct"/>
            <w:shd w:val="clear" w:color="auto" w:fill="B8CCE4" w:themeFill="accent1" w:themeFillTint="66"/>
          </w:tcPr>
          <w:p w14:paraId="57DE1627" w14:textId="0E1EBC1C" w:rsidR="00292040" w:rsidRPr="00FD1145" w:rsidRDefault="00292040" w:rsidP="007000FA">
            <w:pPr>
              <w:pStyle w:val="In-tableHeading"/>
              <w:jc w:val="center"/>
              <w:rPr>
                <w:b w:val="0"/>
                <w:bCs/>
              </w:rPr>
            </w:pPr>
            <w:r w:rsidRPr="00FD1145">
              <w:rPr>
                <w:b w:val="0"/>
                <w:bCs/>
              </w:rPr>
              <w:t>51 (54.8%)</w:t>
            </w:r>
          </w:p>
        </w:tc>
        <w:tc>
          <w:tcPr>
            <w:tcW w:w="943" w:type="pct"/>
            <w:shd w:val="clear" w:color="auto" w:fill="B8CCE4" w:themeFill="accent1" w:themeFillTint="66"/>
          </w:tcPr>
          <w:p w14:paraId="7E04AE6E" w14:textId="7F3707D3" w:rsidR="00292040" w:rsidRPr="00FD1145" w:rsidRDefault="00292040" w:rsidP="007000FA">
            <w:pPr>
              <w:pStyle w:val="In-tableHeading"/>
              <w:jc w:val="center"/>
              <w:rPr>
                <w:b w:val="0"/>
                <w:bCs/>
              </w:rPr>
            </w:pPr>
            <w:r w:rsidRPr="00FD1145">
              <w:rPr>
                <w:b w:val="0"/>
                <w:bCs/>
              </w:rPr>
              <w:t>-</w:t>
            </w:r>
          </w:p>
        </w:tc>
        <w:tc>
          <w:tcPr>
            <w:tcW w:w="837" w:type="pct"/>
            <w:shd w:val="clear" w:color="auto" w:fill="B8CCE4" w:themeFill="accent1" w:themeFillTint="66"/>
          </w:tcPr>
          <w:p w14:paraId="14A4B11E" w14:textId="53D4F823" w:rsidR="00292040" w:rsidRPr="00FD1145" w:rsidRDefault="00292040" w:rsidP="007000FA">
            <w:pPr>
              <w:pStyle w:val="In-tableHeading"/>
              <w:jc w:val="center"/>
              <w:rPr>
                <w:b w:val="0"/>
                <w:bCs/>
              </w:rPr>
            </w:pPr>
            <w:r w:rsidRPr="00FD1145">
              <w:rPr>
                <w:b w:val="0"/>
                <w:bCs/>
              </w:rPr>
              <w:t>-</w:t>
            </w:r>
          </w:p>
        </w:tc>
      </w:tr>
      <w:tr w:rsidR="00292040" w:rsidRPr="00FD1145" w14:paraId="631FFCFF" w14:textId="032636FA" w:rsidTr="00EA6ED4">
        <w:trPr>
          <w:cantSplit/>
        </w:trPr>
        <w:tc>
          <w:tcPr>
            <w:tcW w:w="1000" w:type="pct"/>
            <w:shd w:val="clear" w:color="auto" w:fill="B8CCE4" w:themeFill="accent1" w:themeFillTint="66"/>
          </w:tcPr>
          <w:p w14:paraId="5A2C8740" w14:textId="44A086FF" w:rsidR="00292040" w:rsidRPr="00FD1145" w:rsidRDefault="00292040" w:rsidP="007000FA">
            <w:pPr>
              <w:pStyle w:val="In-tableHeading"/>
              <w:rPr>
                <w:b w:val="0"/>
                <w:bCs/>
              </w:rPr>
            </w:pPr>
            <w:r w:rsidRPr="00FD1145">
              <w:rPr>
                <w:b w:val="0"/>
                <w:bCs/>
              </w:rPr>
              <w:t>Median PFS, months (95% CI)</w:t>
            </w:r>
          </w:p>
        </w:tc>
        <w:tc>
          <w:tcPr>
            <w:tcW w:w="1120" w:type="pct"/>
            <w:shd w:val="clear" w:color="auto" w:fill="B8CCE4" w:themeFill="accent1" w:themeFillTint="66"/>
          </w:tcPr>
          <w:p w14:paraId="794D8D78" w14:textId="6E5C9300" w:rsidR="00292040" w:rsidRPr="00FD1145" w:rsidRDefault="00292040" w:rsidP="007000FA">
            <w:pPr>
              <w:pStyle w:val="In-tableHeading"/>
              <w:jc w:val="center"/>
              <w:rPr>
                <w:b w:val="0"/>
                <w:bCs/>
              </w:rPr>
            </w:pPr>
            <w:r w:rsidRPr="00FD1145">
              <w:rPr>
                <w:b w:val="0"/>
                <w:bCs/>
              </w:rPr>
              <w:t>7.6 (6.2, 9.5)</w:t>
            </w:r>
          </w:p>
        </w:tc>
        <w:tc>
          <w:tcPr>
            <w:tcW w:w="1100" w:type="pct"/>
            <w:shd w:val="clear" w:color="auto" w:fill="B8CCE4" w:themeFill="accent1" w:themeFillTint="66"/>
          </w:tcPr>
          <w:p w14:paraId="2F393206" w14:textId="07BF3654" w:rsidR="00292040" w:rsidRPr="00FD1145" w:rsidRDefault="00292040" w:rsidP="007000FA">
            <w:pPr>
              <w:pStyle w:val="In-tableHeading"/>
              <w:jc w:val="center"/>
              <w:rPr>
                <w:b w:val="0"/>
                <w:bCs/>
              </w:rPr>
            </w:pPr>
            <w:r w:rsidRPr="00FD1145">
              <w:rPr>
                <w:b w:val="0"/>
                <w:bCs/>
              </w:rPr>
              <w:t>5.4 (4.1, 5.7)</w:t>
            </w:r>
          </w:p>
        </w:tc>
        <w:tc>
          <w:tcPr>
            <w:tcW w:w="943" w:type="pct"/>
            <w:shd w:val="clear" w:color="auto" w:fill="B8CCE4" w:themeFill="accent1" w:themeFillTint="66"/>
          </w:tcPr>
          <w:p w14:paraId="4040ECB7" w14:textId="410C2C5B" w:rsidR="00292040" w:rsidRPr="00FD1145" w:rsidRDefault="00292040" w:rsidP="007000FA">
            <w:pPr>
              <w:pStyle w:val="In-tableHeading"/>
              <w:jc w:val="center"/>
              <w:rPr>
                <w:b w:val="0"/>
                <w:bCs/>
              </w:rPr>
            </w:pPr>
            <w:r w:rsidRPr="00FD1145">
              <w:rPr>
                <w:b w:val="0"/>
                <w:bCs/>
              </w:rPr>
              <w:t>2.2 months</w:t>
            </w:r>
          </w:p>
        </w:tc>
        <w:tc>
          <w:tcPr>
            <w:tcW w:w="837" w:type="pct"/>
            <w:shd w:val="clear" w:color="auto" w:fill="B8CCE4" w:themeFill="accent1" w:themeFillTint="66"/>
          </w:tcPr>
          <w:p w14:paraId="15C60ED6" w14:textId="44C826A9" w:rsidR="00292040" w:rsidRPr="00FD1145" w:rsidRDefault="00292040" w:rsidP="007000FA">
            <w:pPr>
              <w:pStyle w:val="In-tableHeading"/>
              <w:jc w:val="center"/>
            </w:pPr>
            <w:r w:rsidRPr="00FD1145">
              <w:t>0.48 (0.34, 0.69)</w:t>
            </w:r>
          </w:p>
          <w:p w14:paraId="6A33DFDC" w14:textId="3EF61F94" w:rsidR="00292040" w:rsidRPr="00FD1145" w:rsidRDefault="00292040" w:rsidP="007000FA">
            <w:pPr>
              <w:pStyle w:val="In-tableHeading"/>
              <w:jc w:val="center"/>
              <w:rPr>
                <w:b w:val="0"/>
                <w:bCs/>
              </w:rPr>
            </w:pPr>
            <w:r w:rsidRPr="00FD1145">
              <w:t>p &lt;0.00001</w:t>
            </w:r>
          </w:p>
        </w:tc>
      </w:tr>
      <w:tr w:rsidR="00292040" w:rsidRPr="00FD1145" w14:paraId="1C0C455A" w14:textId="77777777" w:rsidTr="00EA6ED4">
        <w:trPr>
          <w:cantSplit/>
        </w:trPr>
        <w:tc>
          <w:tcPr>
            <w:tcW w:w="5000" w:type="pct"/>
            <w:gridSpan w:val="5"/>
            <w:shd w:val="clear" w:color="auto" w:fill="BFBFBF" w:themeFill="background1" w:themeFillShade="BF"/>
            <w:vAlign w:val="center"/>
          </w:tcPr>
          <w:p w14:paraId="5683DEEE" w14:textId="77777777" w:rsidR="00292040" w:rsidRPr="00FD1145" w:rsidRDefault="00292040" w:rsidP="007000FA">
            <w:pPr>
              <w:pStyle w:val="In-tableHeading"/>
            </w:pPr>
            <w:r w:rsidRPr="00FD1145">
              <w:t>New evidence presented in resubmission from HER2CLIMB final analysis (extended OS data) (08 February 2021)</w:t>
            </w:r>
          </w:p>
        </w:tc>
      </w:tr>
      <w:tr w:rsidR="00292040" w:rsidRPr="00FD1145" w14:paraId="685AEEDC" w14:textId="77777777" w:rsidTr="00EA6ED4">
        <w:trPr>
          <w:cantSplit/>
        </w:trPr>
        <w:tc>
          <w:tcPr>
            <w:tcW w:w="5000" w:type="pct"/>
            <w:gridSpan w:val="5"/>
            <w:shd w:val="clear" w:color="auto" w:fill="D9D9D9" w:themeFill="background1" w:themeFillShade="D9"/>
            <w:vAlign w:val="center"/>
          </w:tcPr>
          <w:p w14:paraId="1DCD4EF6" w14:textId="77777777" w:rsidR="00292040" w:rsidRPr="00FD1145" w:rsidRDefault="00292040" w:rsidP="007000FA">
            <w:pPr>
              <w:pStyle w:val="In-tableHeading"/>
            </w:pPr>
            <w:r w:rsidRPr="00FD1145">
              <w:t>Progression-free survival per IA (ITT-OS population = ‘all comers’ population)</w:t>
            </w:r>
          </w:p>
        </w:tc>
      </w:tr>
      <w:tr w:rsidR="00292040" w:rsidRPr="00FD1145" w14:paraId="266DCDC2" w14:textId="77777777" w:rsidTr="00EA6ED4">
        <w:trPr>
          <w:cantSplit/>
        </w:trPr>
        <w:tc>
          <w:tcPr>
            <w:tcW w:w="1000" w:type="pct"/>
            <w:vAlign w:val="center"/>
          </w:tcPr>
          <w:p w14:paraId="038A504F" w14:textId="77777777" w:rsidR="00292040" w:rsidRPr="00FD1145" w:rsidRDefault="00292040" w:rsidP="007000FA">
            <w:pPr>
              <w:pStyle w:val="TableText0"/>
            </w:pPr>
            <w:r w:rsidRPr="00FD1145">
              <w:t>N</w:t>
            </w:r>
          </w:p>
        </w:tc>
        <w:tc>
          <w:tcPr>
            <w:tcW w:w="1120" w:type="pct"/>
            <w:vAlign w:val="center"/>
          </w:tcPr>
          <w:p w14:paraId="6C3786C4" w14:textId="77777777" w:rsidR="00292040" w:rsidRPr="00FD1145" w:rsidRDefault="00292040" w:rsidP="007000FA">
            <w:pPr>
              <w:pStyle w:val="TableText0"/>
              <w:jc w:val="center"/>
            </w:pPr>
            <w:r w:rsidRPr="00FD1145">
              <w:t>410</w:t>
            </w:r>
          </w:p>
        </w:tc>
        <w:tc>
          <w:tcPr>
            <w:tcW w:w="1100" w:type="pct"/>
            <w:vAlign w:val="center"/>
          </w:tcPr>
          <w:p w14:paraId="293A0384" w14:textId="77777777" w:rsidR="00292040" w:rsidRPr="00FD1145" w:rsidRDefault="00292040" w:rsidP="007000FA">
            <w:pPr>
              <w:pStyle w:val="TableText0"/>
              <w:jc w:val="center"/>
            </w:pPr>
            <w:r w:rsidRPr="00FD1145">
              <w:t>212</w:t>
            </w:r>
          </w:p>
        </w:tc>
        <w:tc>
          <w:tcPr>
            <w:tcW w:w="943" w:type="pct"/>
            <w:vAlign w:val="center"/>
          </w:tcPr>
          <w:p w14:paraId="31A5B19A" w14:textId="77777777" w:rsidR="00292040" w:rsidRPr="00FD1145" w:rsidRDefault="00292040" w:rsidP="007000FA">
            <w:pPr>
              <w:pStyle w:val="TableText0"/>
              <w:jc w:val="center"/>
            </w:pPr>
            <w:r w:rsidRPr="00FD1145">
              <w:t>-</w:t>
            </w:r>
          </w:p>
        </w:tc>
        <w:tc>
          <w:tcPr>
            <w:tcW w:w="837" w:type="pct"/>
            <w:vAlign w:val="center"/>
          </w:tcPr>
          <w:p w14:paraId="3C9B21D5" w14:textId="77777777" w:rsidR="00292040" w:rsidRPr="00FD1145" w:rsidRDefault="00292040" w:rsidP="007000FA">
            <w:pPr>
              <w:pStyle w:val="TableText0"/>
              <w:jc w:val="center"/>
            </w:pPr>
            <w:r w:rsidRPr="00FD1145">
              <w:t>-</w:t>
            </w:r>
          </w:p>
        </w:tc>
      </w:tr>
      <w:tr w:rsidR="00292040" w:rsidRPr="00FD1145" w14:paraId="2BEC1781" w14:textId="77777777" w:rsidTr="00EA6ED4">
        <w:trPr>
          <w:cantSplit/>
        </w:trPr>
        <w:tc>
          <w:tcPr>
            <w:tcW w:w="1000" w:type="pct"/>
            <w:vAlign w:val="center"/>
          </w:tcPr>
          <w:p w14:paraId="5D7B5C19" w14:textId="77777777" w:rsidR="00292040" w:rsidRPr="00FD1145" w:rsidRDefault="00292040" w:rsidP="007000FA">
            <w:pPr>
              <w:pStyle w:val="TableText0"/>
            </w:pPr>
            <w:r w:rsidRPr="00FD1145">
              <w:t>Events, n (%)</w:t>
            </w:r>
          </w:p>
        </w:tc>
        <w:tc>
          <w:tcPr>
            <w:tcW w:w="1120" w:type="pct"/>
          </w:tcPr>
          <w:p w14:paraId="60891601" w14:textId="77777777" w:rsidR="00292040" w:rsidRPr="00FD1145" w:rsidRDefault="00292040" w:rsidP="007000FA">
            <w:pPr>
              <w:pStyle w:val="TableText0"/>
              <w:jc w:val="center"/>
            </w:pPr>
            <w:r w:rsidRPr="00FD1145">
              <w:t>319 (77.8%)</w:t>
            </w:r>
          </w:p>
        </w:tc>
        <w:tc>
          <w:tcPr>
            <w:tcW w:w="1100" w:type="pct"/>
          </w:tcPr>
          <w:p w14:paraId="061E05EC" w14:textId="77777777" w:rsidR="00292040" w:rsidRPr="00FD1145" w:rsidRDefault="00292040" w:rsidP="007000FA">
            <w:pPr>
              <w:pStyle w:val="TableText0"/>
              <w:jc w:val="center"/>
            </w:pPr>
            <w:r w:rsidRPr="00FD1145">
              <w:t>163 (80.7%)</w:t>
            </w:r>
          </w:p>
        </w:tc>
        <w:tc>
          <w:tcPr>
            <w:tcW w:w="943" w:type="pct"/>
            <w:vAlign w:val="center"/>
          </w:tcPr>
          <w:p w14:paraId="48D5F53E" w14:textId="77777777" w:rsidR="00292040" w:rsidRPr="00FD1145" w:rsidRDefault="00292040" w:rsidP="007000FA">
            <w:pPr>
              <w:pStyle w:val="TableText0"/>
              <w:jc w:val="center"/>
            </w:pPr>
            <w:r w:rsidRPr="00FD1145">
              <w:t>-</w:t>
            </w:r>
          </w:p>
        </w:tc>
        <w:tc>
          <w:tcPr>
            <w:tcW w:w="837" w:type="pct"/>
            <w:vAlign w:val="center"/>
          </w:tcPr>
          <w:p w14:paraId="532E2270" w14:textId="77777777" w:rsidR="00292040" w:rsidRPr="00FD1145" w:rsidRDefault="00292040" w:rsidP="007000FA">
            <w:pPr>
              <w:pStyle w:val="TableText0"/>
              <w:jc w:val="center"/>
            </w:pPr>
            <w:r w:rsidRPr="00FD1145">
              <w:t>-</w:t>
            </w:r>
          </w:p>
        </w:tc>
      </w:tr>
      <w:tr w:rsidR="00292040" w:rsidRPr="00FD1145" w14:paraId="37C4B9CC" w14:textId="77777777" w:rsidTr="00EA6ED4">
        <w:trPr>
          <w:cantSplit/>
        </w:trPr>
        <w:tc>
          <w:tcPr>
            <w:tcW w:w="1000" w:type="pct"/>
            <w:vAlign w:val="center"/>
          </w:tcPr>
          <w:p w14:paraId="1B4E6A29" w14:textId="77777777" w:rsidR="00292040" w:rsidRPr="00FD1145" w:rsidRDefault="00292040" w:rsidP="007000FA">
            <w:pPr>
              <w:pStyle w:val="TableText0"/>
            </w:pPr>
            <w:r w:rsidRPr="00FD1145">
              <w:t>Median PFS, months (95% CI)</w:t>
            </w:r>
          </w:p>
        </w:tc>
        <w:tc>
          <w:tcPr>
            <w:tcW w:w="1120" w:type="pct"/>
            <w:vAlign w:val="center"/>
          </w:tcPr>
          <w:p w14:paraId="2A4B6683" w14:textId="77777777" w:rsidR="00292040" w:rsidRPr="00FD1145" w:rsidRDefault="00292040" w:rsidP="007000FA">
            <w:pPr>
              <w:pStyle w:val="TableText0"/>
              <w:jc w:val="center"/>
            </w:pPr>
            <w:r w:rsidRPr="00FD1145">
              <w:t>7.6 (6.9, 8.3)</w:t>
            </w:r>
          </w:p>
        </w:tc>
        <w:tc>
          <w:tcPr>
            <w:tcW w:w="1100" w:type="pct"/>
            <w:vAlign w:val="center"/>
          </w:tcPr>
          <w:p w14:paraId="29A86B3C" w14:textId="77777777" w:rsidR="00292040" w:rsidRPr="00FD1145" w:rsidRDefault="00292040" w:rsidP="007000FA">
            <w:pPr>
              <w:pStyle w:val="TableText0"/>
              <w:jc w:val="center"/>
            </w:pPr>
            <w:r w:rsidRPr="00FD1145">
              <w:t>4.9 (4.1, 5.6)</w:t>
            </w:r>
          </w:p>
        </w:tc>
        <w:tc>
          <w:tcPr>
            <w:tcW w:w="943" w:type="pct"/>
            <w:vAlign w:val="center"/>
          </w:tcPr>
          <w:p w14:paraId="3D26A6C0" w14:textId="77777777" w:rsidR="00292040" w:rsidRPr="00FD1145" w:rsidRDefault="00292040" w:rsidP="007000FA">
            <w:pPr>
              <w:pStyle w:val="TableText0"/>
              <w:jc w:val="center"/>
            </w:pPr>
            <w:r w:rsidRPr="00FD1145">
              <w:t>2.7 months</w:t>
            </w:r>
          </w:p>
        </w:tc>
        <w:tc>
          <w:tcPr>
            <w:tcW w:w="837" w:type="pct"/>
            <w:vAlign w:val="center"/>
          </w:tcPr>
          <w:p w14:paraId="0ED7F84F" w14:textId="77777777" w:rsidR="00292040" w:rsidRPr="00FD1145" w:rsidRDefault="00292040" w:rsidP="007000FA">
            <w:pPr>
              <w:pStyle w:val="TableText0"/>
              <w:jc w:val="center"/>
              <w:rPr>
                <w:b/>
                <w:bCs w:val="0"/>
              </w:rPr>
            </w:pPr>
            <w:r w:rsidRPr="00FD1145">
              <w:rPr>
                <w:b/>
                <w:bCs w:val="0"/>
              </w:rPr>
              <w:t>0.57 (0.47-0.70)</w:t>
            </w:r>
          </w:p>
          <w:p w14:paraId="0E5D9909" w14:textId="77777777" w:rsidR="00292040" w:rsidRPr="00FD1145" w:rsidRDefault="00292040" w:rsidP="007000FA">
            <w:pPr>
              <w:pStyle w:val="TableText0"/>
              <w:jc w:val="center"/>
            </w:pPr>
            <w:r w:rsidRPr="00FD1145">
              <w:rPr>
                <w:b/>
                <w:bCs w:val="0"/>
              </w:rPr>
              <w:t>p&lt; 0.00001</w:t>
            </w:r>
          </w:p>
        </w:tc>
      </w:tr>
      <w:tr w:rsidR="00292040" w:rsidRPr="00FD1145" w14:paraId="60FB3F3D" w14:textId="77777777" w:rsidTr="00EA6ED4">
        <w:trPr>
          <w:cantSplit/>
        </w:trPr>
        <w:tc>
          <w:tcPr>
            <w:tcW w:w="1000" w:type="pct"/>
          </w:tcPr>
          <w:p w14:paraId="1118A48C" w14:textId="77777777" w:rsidR="00292040" w:rsidRPr="00FD1145" w:rsidRDefault="00292040" w:rsidP="007000FA">
            <w:pPr>
              <w:pStyle w:val="TableText0"/>
            </w:pPr>
            <w:r w:rsidRPr="00FD1145">
              <w:t>% not progressed at 6 months (95% CI)</w:t>
            </w:r>
          </w:p>
        </w:tc>
        <w:tc>
          <w:tcPr>
            <w:tcW w:w="1120" w:type="pct"/>
            <w:vAlign w:val="center"/>
          </w:tcPr>
          <w:p w14:paraId="796D55BD" w14:textId="77777777" w:rsidR="00292040" w:rsidRPr="00FD1145" w:rsidRDefault="00292040" w:rsidP="007000FA">
            <w:pPr>
              <w:pStyle w:val="TableText0"/>
              <w:jc w:val="center"/>
              <w:rPr>
                <w:rFonts w:cs="Arial"/>
                <w:vertAlign w:val="superscript"/>
              </w:rPr>
            </w:pPr>
            <w:r w:rsidRPr="00FD1145">
              <w:rPr>
                <w:rFonts w:cs="Arial"/>
              </w:rPr>
              <w:t>57% (NR)</w:t>
            </w:r>
            <w:r w:rsidRPr="00FD1145">
              <w:rPr>
                <w:rFonts w:cs="Arial"/>
                <w:vertAlign w:val="superscript"/>
              </w:rPr>
              <w:t>a</w:t>
            </w:r>
          </w:p>
        </w:tc>
        <w:tc>
          <w:tcPr>
            <w:tcW w:w="1100" w:type="pct"/>
            <w:vAlign w:val="center"/>
          </w:tcPr>
          <w:p w14:paraId="727F2D6A" w14:textId="77777777" w:rsidR="00292040" w:rsidRPr="00FD1145" w:rsidRDefault="00292040" w:rsidP="007000FA">
            <w:pPr>
              <w:pStyle w:val="TableText0"/>
              <w:jc w:val="center"/>
              <w:rPr>
                <w:rFonts w:cs="Arial"/>
                <w:vertAlign w:val="superscript"/>
              </w:rPr>
            </w:pPr>
            <w:r w:rsidRPr="00FD1145">
              <w:rPr>
                <w:rFonts w:cs="Arial"/>
              </w:rPr>
              <w:t>38% (NR)</w:t>
            </w:r>
            <w:r w:rsidRPr="00FD1145">
              <w:rPr>
                <w:rFonts w:cs="Arial"/>
                <w:vertAlign w:val="superscript"/>
              </w:rPr>
              <w:t>a</w:t>
            </w:r>
          </w:p>
        </w:tc>
        <w:tc>
          <w:tcPr>
            <w:tcW w:w="943" w:type="pct"/>
            <w:vAlign w:val="center"/>
          </w:tcPr>
          <w:p w14:paraId="13FE4228" w14:textId="77777777" w:rsidR="00292040" w:rsidRPr="00FD1145" w:rsidRDefault="00292040" w:rsidP="007000FA">
            <w:pPr>
              <w:pStyle w:val="TableText0"/>
              <w:jc w:val="center"/>
              <w:rPr>
                <w:rFonts w:cs="Arial"/>
              </w:rPr>
            </w:pPr>
            <w:r w:rsidRPr="00FD1145">
              <w:rPr>
                <w:rFonts w:cs="Arial"/>
              </w:rPr>
              <w:t>19%</w:t>
            </w:r>
          </w:p>
        </w:tc>
        <w:tc>
          <w:tcPr>
            <w:tcW w:w="837" w:type="pct"/>
            <w:vAlign w:val="center"/>
          </w:tcPr>
          <w:p w14:paraId="1C3CBBBF" w14:textId="77777777" w:rsidR="00292040" w:rsidRPr="00FD1145" w:rsidDel="0061549B" w:rsidRDefault="00292040" w:rsidP="007000FA">
            <w:pPr>
              <w:pStyle w:val="TableText0"/>
              <w:jc w:val="center"/>
            </w:pPr>
            <w:r w:rsidRPr="00FD1145">
              <w:t>-</w:t>
            </w:r>
          </w:p>
        </w:tc>
      </w:tr>
      <w:tr w:rsidR="00292040" w:rsidRPr="00FD1145" w14:paraId="49DAC16C" w14:textId="77777777" w:rsidTr="00EA6ED4">
        <w:trPr>
          <w:cantSplit/>
        </w:trPr>
        <w:tc>
          <w:tcPr>
            <w:tcW w:w="1000" w:type="pct"/>
          </w:tcPr>
          <w:p w14:paraId="21B5F17C" w14:textId="77777777" w:rsidR="00292040" w:rsidRPr="00FD1145" w:rsidRDefault="00292040" w:rsidP="007000FA">
            <w:pPr>
              <w:pStyle w:val="TableText0"/>
            </w:pPr>
            <w:r w:rsidRPr="00FD1145">
              <w:t>% not progressed at 12 months (95% CI)</w:t>
            </w:r>
          </w:p>
        </w:tc>
        <w:tc>
          <w:tcPr>
            <w:tcW w:w="1120" w:type="pct"/>
            <w:vAlign w:val="center"/>
          </w:tcPr>
          <w:p w14:paraId="5BFDF238" w14:textId="77777777" w:rsidR="00292040" w:rsidRPr="00FD1145" w:rsidRDefault="00292040" w:rsidP="007000FA">
            <w:pPr>
              <w:pStyle w:val="TableText0"/>
              <w:jc w:val="center"/>
              <w:rPr>
                <w:rFonts w:cs="Arial"/>
                <w:vertAlign w:val="superscript"/>
              </w:rPr>
            </w:pPr>
            <w:r w:rsidRPr="00FD1145">
              <w:rPr>
                <w:rFonts w:cs="Arial"/>
              </w:rPr>
              <w:t>29% (NR)</w:t>
            </w:r>
            <w:r w:rsidRPr="00FD1145">
              <w:rPr>
                <w:rFonts w:cs="Arial"/>
                <w:vertAlign w:val="superscript"/>
              </w:rPr>
              <w:t>a</w:t>
            </w:r>
          </w:p>
        </w:tc>
        <w:tc>
          <w:tcPr>
            <w:tcW w:w="1100" w:type="pct"/>
            <w:vAlign w:val="center"/>
          </w:tcPr>
          <w:p w14:paraId="384235D2" w14:textId="77777777" w:rsidR="00292040" w:rsidRPr="00FD1145" w:rsidRDefault="00292040" w:rsidP="007000FA">
            <w:pPr>
              <w:pStyle w:val="TableText0"/>
              <w:jc w:val="center"/>
              <w:rPr>
                <w:rFonts w:cs="Arial"/>
                <w:vertAlign w:val="superscript"/>
              </w:rPr>
            </w:pPr>
            <w:r w:rsidRPr="00FD1145">
              <w:rPr>
                <w:rFonts w:cs="Arial"/>
              </w:rPr>
              <w:t>14% (NR)</w:t>
            </w:r>
            <w:r w:rsidRPr="00FD1145">
              <w:rPr>
                <w:rFonts w:cs="Arial"/>
                <w:vertAlign w:val="superscript"/>
              </w:rPr>
              <w:t>a</w:t>
            </w:r>
          </w:p>
        </w:tc>
        <w:tc>
          <w:tcPr>
            <w:tcW w:w="943" w:type="pct"/>
            <w:vAlign w:val="center"/>
          </w:tcPr>
          <w:p w14:paraId="5F178D35" w14:textId="77777777" w:rsidR="00292040" w:rsidRPr="00FD1145" w:rsidRDefault="00292040" w:rsidP="007000FA">
            <w:pPr>
              <w:pStyle w:val="TableText0"/>
              <w:jc w:val="center"/>
              <w:rPr>
                <w:rFonts w:cs="Arial"/>
              </w:rPr>
            </w:pPr>
            <w:r w:rsidRPr="00FD1145">
              <w:rPr>
                <w:rFonts w:cs="Arial"/>
              </w:rPr>
              <w:t>15%</w:t>
            </w:r>
          </w:p>
        </w:tc>
        <w:tc>
          <w:tcPr>
            <w:tcW w:w="837" w:type="pct"/>
            <w:vAlign w:val="center"/>
          </w:tcPr>
          <w:p w14:paraId="259114E1" w14:textId="77777777" w:rsidR="00292040" w:rsidRPr="00FD1145" w:rsidDel="0061549B" w:rsidRDefault="00292040" w:rsidP="007000FA">
            <w:pPr>
              <w:pStyle w:val="TableText0"/>
              <w:jc w:val="center"/>
            </w:pPr>
            <w:r w:rsidRPr="00FD1145">
              <w:t>-</w:t>
            </w:r>
          </w:p>
        </w:tc>
      </w:tr>
      <w:tr w:rsidR="00292040" w:rsidRPr="00FD1145" w14:paraId="3FC33D7D" w14:textId="77777777" w:rsidTr="00EA6ED4">
        <w:trPr>
          <w:cantSplit/>
        </w:trPr>
        <w:tc>
          <w:tcPr>
            <w:tcW w:w="5000" w:type="pct"/>
            <w:gridSpan w:val="5"/>
            <w:shd w:val="clear" w:color="auto" w:fill="D9D9D9" w:themeFill="background1" w:themeFillShade="D9"/>
            <w:vAlign w:val="center"/>
          </w:tcPr>
          <w:p w14:paraId="683B2339" w14:textId="77777777" w:rsidR="00292040" w:rsidRPr="00FD1145" w:rsidRDefault="00292040" w:rsidP="007000FA">
            <w:pPr>
              <w:pStyle w:val="In-tableHeading"/>
            </w:pPr>
            <w:r w:rsidRPr="00FD1145">
              <w:t>Overall survival (ITT-OS population = ‘all comers’ population)</w:t>
            </w:r>
          </w:p>
        </w:tc>
      </w:tr>
      <w:tr w:rsidR="00292040" w:rsidRPr="00FD1145" w14:paraId="17B67EE4" w14:textId="77777777" w:rsidTr="00EA6ED4">
        <w:trPr>
          <w:cantSplit/>
        </w:trPr>
        <w:tc>
          <w:tcPr>
            <w:tcW w:w="1000" w:type="pct"/>
            <w:vAlign w:val="center"/>
          </w:tcPr>
          <w:p w14:paraId="401AC0F2" w14:textId="77777777" w:rsidR="00292040" w:rsidRPr="00FD1145" w:rsidRDefault="00292040" w:rsidP="007000FA">
            <w:pPr>
              <w:pStyle w:val="TableText0"/>
            </w:pPr>
            <w:r w:rsidRPr="00FD1145">
              <w:t>N</w:t>
            </w:r>
          </w:p>
        </w:tc>
        <w:tc>
          <w:tcPr>
            <w:tcW w:w="1120" w:type="pct"/>
            <w:vAlign w:val="center"/>
          </w:tcPr>
          <w:p w14:paraId="5D68EA44" w14:textId="77777777" w:rsidR="00292040" w:rsidRPr="00FD1145" w:rsidRDefault="00292040" w:rsidP="007000FA">
            <w:pPr>
              <w:pStyle w:val="TableText0"/>
              <w:jc w:val="center"/>
            </w:pPr>
            <w:r w:rsidRPr="00FD1145">
              <w:t>410</w:t>
            </w:r>
          </w:p>
        </w:tc>
        <w:tc>
          <w:tcPr>
            <w:tcW w:w="1100" w:type="pct"/>
            <w:vAlign w:val="center"/>
          </w:tcPr>
          <w:p w14:paraId="1CF01131" w14:textId="77777777" w:rsidR="00292040" w:rsidRPr="00FD1145" w:rsidRDefault="00292040" w:rsidP="007000FA">
            <w:pPr>
              <w:pStyle w:val="TableText0"/>
              <w:jc w:val="center"/>
            </w:pPr>
            <w:r w:rsidRPr="00FD1145">
              <w:t>212</w:t>
            </w:r>
          </w:p>
        </w:tc>
        <w:tc>
          <w:tcPr>
            <w:tcW w:w="943" w:type="pct"/>
            <w:vAlign w:val="center"/>
          </w:tcPr>
          <w:p w14:paraId="40D03A26" w14:textId="77777777" w:rsidR="00292040" w:rsidRPr="00FD1145" w:rsidRDefault="00292040" w:rsidP="007000FA">
            <w:pPr>
              <w:pStyle w:val="TableText0"/>
              <w:jc w:val="center"/>
            </w:pPr>
            <w:r w:rsidRPr="00FD1145">
              <w:t>-</w:t>
            </w:r>
          </w:p>
        </w:tc>
        <w:tc>
          <w:tcPr>
            <w:tcW w:w="837" w:type="pct"/>
            <w:vAlign w:val="center"/>
          </w:tcPr>
          <w:p w14:paraId="0F53AA3C" w14:textId="77777777" w:rsidR="00292040" w:rsidRPr="00FD1145" w:rsidRDefault="00292040" w:rsidP="007000FA">
            <w:pPr>
              <w:pStyle w:val="TableText0"/>
              <w:jc w:val="center"/>
            </w:pPr>
            <w:r w:rsidRPr="00FD1145">
              <w:t>-</w:t>
            </w:r>
          </w:p>
        </w:tc>
      </w:tr>
      <w:tr w:rsidR="00292040" w:rsidRPr="00FD1145" w14:paraId="6B3B8205" w14:textId="77777777" w:rsidTr="00EA6ED4">
        <w:trPr>
          <w:cantSplit/>
        </w:trPr>
        <w:tc>
          <w:tcPr>
            <w:tcW w:w="1000" w:type="pct"/>
            <w:vAlign w:val="center"/>
          </w:tcPr>
          <w:p w14:paraId="4F2EA20E" w14:textId="77777777" w:rsidR="00292040" w:rsidRPr="00FD1145" w:rsidRDefault="00292040" w:rsidP="007000FA">
            <w:pPr>
              <w:pStyle w:val="TableText0"/>
            </w:pPr>
            <w:r w:rsidRPr="00FD1145">
              <w:t>Deaths, n/N (%)</w:t>
            </w:r>
          </w:p>
        </w:tc>
        <w:tc>
          <w:tcPr>
            <w:tcW w:w="1120" w:type="pct"/>
          </w:tcPr>
          <w:p w14:paraId="4B0BD9E3" w14:textId="77777777" w:rsidR="00292040" w:rsidRPr="00FD1145" w:rsidRDefault="00292040" w:rsidP="007000FA">
            <w:pPr>
              <w:pStyle w:val="TableText0"/>
              <w:jc w:val="center"/>
            </w:pPr>
            <w:r w:rsidRPr="00FD1145">
              <w:t xml:space="preserve">233 (56.8%)  </w:t>
            </w:r>
          </w:p>
        </w:tc>
        <w:tc>
          <w:tcPr>
            <w:tcW w:w="1100" w:type="pct"/>
          </w:tcPr>
          <w:p w14:paraId="20B2BB66" w14:textId="77777777" w:rsidR="00292040" w:rsidRPr="00FD1145" w:rsidRDefault="00292040" w:rsidP="007000FA">
            <w:pPr>
              <w:pStyle w:val="TableText0"/>
              <w:jc w:val="center"/>
            </w:pPr>
            <w:r w:rsidRPr="00FD1145">
              <w:t>137 (67.8%)</w:t>
            </w:r>
          </w:p>
        </w:tc>
        <w:tc>
          <w:tcPr>
            <w:tcW w:w="943" w:type="pct"/>
            <w:vAlign w:val="center"/>
          </w:tcPr>
          <w:p w14:paraId="03CBFB0B" w14:textId="77777777" w:rsidR="00292040" w:rsidRPr="00FD1145" w:rsidRDefault="00292040" w:rsidP="007000FA">
            <w:pPr>
              <w:pStyle w:val="TableText0"/>
              <w:jc w:val="center"/>
            </w:pPr>
            <w:r w:rsidRPr="00FD1145">
              <w:t>-</w:t>
            </w:r>
          </w:p>
        </w:tc>
        <w:tc>
          <w:tcPr>
            <w:tcW w:w="837" w:type="pct"/>
            <w:vAlign w:val="center"/>
          </w:tcPr>
          <w:p w14:paraId="436A974F" w14:textId="77777777" w:rsidR="00292040" w:rsidRPr="00FD1145" w:rsidRDefault="00292040" w:rsidP="007000FA">
            <w:pPr>
              <w:pStyle w:val="TableText0"/>
              <w:jc w:val="center"/>
            </w:pPr>
            <w:r w:rsidRPr="00FD1145">
              <w:t>-</w:t>
            </w:r>
          </w:p>
        </w:tc>
      </w:tr>
      <w:tr w:rsidR="00292040" w:rsidRPr="00FD1145" w14:paraId="7081AF65" w14:textId="77777777" w:rsidTr="00EA6ED4">
        <w:trPr>
          <w:cantSplit/>
        </w:trPr>
        <w:tc>
          <w:tcPr>
            <w:tcW w:w="1000" w:type="pct"/>
            <w:vAlign w:val="center"/>
          </w:tcPr>
          <w:p w14:paraId="64F7EF3A" w14:textId="77777777" w:rsidR="00292040" w:rsidRPr="00FD1145" w:rsidRDefault="00292040" w:rsidP="007000FA">
            <w:pPr>
              <w:pStyle w:val="TableText0"/>
            </w:pPr>
            <w:r w:rsidRPr="00FD1145">
              <w:t>Median months OS (95% CI)</w:t>
            </w:r>
          </w:p>
        </w:tc>
        <w:tc>
          <w:tcPr>
            <w:tcW w:w="1120" w:type="pct"/>
            <w:vAlign w:val="center"/>
          </w:tcPr>
          <w:p w14:paraId="16A17630" w14:textId="77777777" w:rsidR="00292040" w:rsidRPr="00FD1145" w:rsidRDefault="00292040" w:rsidP="007000FA">
            <w:pPr>
              <w:pStyle w:val="TableText0"/>
              <w:jc w:val="center"/>
            </w:pPr>
            <w:r w:rsidRPr="00FD1145">
              <w:t>24.7 (21.6-28.9)</w:t>
            </w:r>
          </w:p>
        </w:tc>
        <w:tc>
          <w:tcPr>
            <w:tcW w:w="1100" w:type="pct"/>
            <w:vAlign w:val="center"/>
          </w:tcPr>
          <w:p w14:paraId="4B3FDB6A" w14:textId="77777777" w:rsidR="00292040" w:rsidRPr="00FD1145" w:rsidRDefault="00292040" w:rsidP="007000FA">
            <w:pPr>
              <w:pStyle w:val="TableText0"/>
              <w:jc w:val="center"/>
            </w:pPr>
            <w:r w:rsidRPr="00FD1145">
              <w:t>19.2 (16.4-21.4)</w:t>
            </w:r>
          </w:p>
        </w:tc>
        <w:tc>
          <w:tcPr>
            <w:tcW w:w="943" w:type="pct"/>
            <w:vAlign w:val="center"/>
          </w:tcPr>
          <w:p w14:paraId="6BD15263" w14:textId="77777777" w:rsidR="00292040" w:rsidRPr="00FD1145" w:rsidRDefault="00292040" w:rsidP="007000FA">
            <w:pPr>
              <w:pStyle w:val="TableText0"/>
              <w:jc w:val="center"/>
            </w:pPr>
            <w:r w:rsidRPr="00FD1145">
              <w:t>5.5 months</w:t>
            </w:r>
          </w:p>
        </w:tc>
        <w:tc>
          <w:tcPr>
            <w:tcW w:w="837" w:type="pct"/>
            <w:vAlign w:val="center"/>
          </w:tcPr>
          <w:p w14:paraId="58529AD9" w14:textId="77777777" w:rsidR="00292040" w:rsidRPr="00FD1145" w:rsidRDefault="00292040" w:rsidP="007000FA">
            <w:pPr>
              <w:pStyle w:val="TableText0"/>
              <w:jc w:val="center"/>
              <w:rPr>
                <w:b/>
                <w:bCs w:val="0"/>
              </w:rPr>
            </w:pPr>
            <w:r w:rsidRPr="00FD1145">
              <w:rPr>
                <w:b/>
                <w:bCs w:val="0"/>
              </w:rPr>
              <w:t>0.73 (0.59-0.90)</w:t>
            </w:r>
          </w:p>
          <w:p w14:paraId="740B4C79" w14:textId="77777777" w:rsidR="00292040" w:rsidRPr="00FD1145" w:rsidRDefault="00292040" w:rsidP="007000FA">
            <w:pPr>
              <w:pStyle w:val="TableText0"/>
              <w:jc w:val="center"/>
            </w:pPr>
            <w:r w:rsidRPr="00FD1145">
              <w:rPr>
                <w:b/>
                <w:bCs w:val="0"/>
              </w:rPr>
              <w:t>p &lt; 0.004</w:t>
            </w:r>
          </w:p>
        </w:tc>
      </w:tr>
      <w:tr w:rsidR="00292040" w:rsidRPr="00FD1145" w14:paraId="6AC26900" w14:textId="77777777" w:rsidTr="00EA6ED4">
        <w:trPr>
          <w:cantSplit/>
        </w:trPr>
        <w:tc>
          <w:tcPr>
            <w:tcW w:w="1000" w:type="pct"/>
          </w:tcPr>
          <w:p w14:paraId="3A32B632" w14:textId="77777777" w:rsidR="00292040" w:rsidRPr="00FD1145" w:rsidRDefault="00292040" w:rsidP="007000FA">
            <w:pPr>
              <w:pStyle w:val="TableText0"/>
            </w:pPr>
            <w:r w:rsidRPr="00FD1145">
              <w:t>% alive at 12 months (95% CI)</w:t>
            </w:r>
          </w:p>
        </w:tc>
        <w:tc>
          <w:tcPr>
            <w:tcW w:w="1120" w:type="pct"/>
            <w:vAlign w:val="center"/>
          </w:tcPr>
          <w:p w14:paraId="4684636C" w14:textId="77777777" w:rsidR="00292040" w:rsidRPr="00FD1145" w:rsidRDefault="00292040" w:rsidP="007000FA">
            <w:pPr>
              <w:pStyle w:val="TableText0"/>
              <w:jc w:val="center"/>
              <w:rPr>
                <w:rFonts w:cs="Arial"/>
                <w:vertAlign w:val="superscript"/>
              </w:rPr>
            </w:pPr>
            <w:r w:rsidRPr="00FD1145">
              <w:rPr>
                <w:rFonts w:cs="Arial"/>
              </w:rPr>
              <w:t>75% (NR)</w:t>
            </w:r>
            <w:r w:rsidRPr="00FD1145">
              <w:rPr>
                <w:rFonts w:cs="Arial"/>
                <w:vertAlign w:val="superscript"/>
              </w:rPr>
              <w:t>a</w:t>
            </w:r>
          </w:p>
        </w:tc>
        <w:tc>
          <w:tcPr>
            <w:tcW w:w="1100" w:type="pct"/>
            <w:vAlign w:val="center"/>
          </w:tcPr>
          <w:p w14:paraId="5FE6F61B" w14:textId="77777777" w:rsidR="00292040" w:rsidRPr="00FD1145" w:rsidRDefault="00292040" w:rsidP="007000FA">
            <w:pPr>
              <w:pStyle w:val="TableText0"/>
              <w:jc w:val="center"/>
              <w:rPr>
                <w:rFonts w:cs="Arial"/>
                <w:vertAlign w:val="superscript"/>
              </w:rPr>
            </w:pPr>
            <w:r w:rsidRPr="00FD1145">
              <w:rPr>
                <w:rFonts w:cs="Arial"/>
              </w:rPr>
              <w:t>65% (NR)</w:t>
            </w:r>
            <w:r w:rsidRPr="00FD1145">
              <w:rPr>
                <w:rFonts w:cs="Arial"/>
                <w:vertAlign w:val="superscript"/>
              </w:rPr>
              <w:t>a</w:t>
            </w:r>
          </w:p>
        </w:tc>
        <w:tc>
          <w:tcPr>
            <w:tcW w:w="943" w:type="pct"/>
            <w:vAlign w:val="center"/>
          </w:tcPr>
          <w:p w14:paraId="3A7C5BC6" w14:textId="77777777" w:rsidR="00292040" w:rsidRPr="00FD1145" w:rsidRDefault="00292040" w:rsidP="007000FA">
            <w:pPr>
              <w:pStyle w:val="TableText0"/>
              <w:jc w:val="center"/>
              <w:rPr>
                <w:rFonts w:cs="Arial"/>
              </w:rPr>
            </w:pPr>
            <w:r w:rsidRPr="00FD1145">
              <w:rPr>
                <w:rFonts w:cs="Arial"/>
              </w:rPr>
              <w:t>10%</w:t>
            </w:r>
          </w:p>
        </w:tc>
        <w:tc>
          <w:tcPr>
            <w:tcW w:w="837" w:type="pct"/>
            <w:vAlign w:val="center"/>
          </w:tcPr>
          <w:p w14:paraId="4FD99F55" w14:textId="77777777" w:rsidR="00292040" w:rsidRPr="00FD1145" w:rsidRDefault="00292040" w:rsidP="007000FA">
            <w:pPr>
              <w:pStyle w:val="TableText0"/>
              <w:jc w:val="center"/>
              <w:rPr>
                <w:rFonts w:cs="Arial"/>
              </w:rPr>
            </w:pPr>
            <w:r w:rsidRPr="00FD1145">
              <w:rPr>
                <w:rFonts w:cs="Arial"/>
              </w:rPr>
              <w:t>-</w:t>
            </w:r>
          </w:p>
        </w:tc>
      </w:tr>
      <w:tr w:rsidR="00292040" w:rsidRPr="00FD1145" w14:paraId="52D74A98" w14:textId="77777777" w:rsidTr="00EA6ED4">
        <w:trPr>
          <w:cantSplit/>
        </w:trPr>
        <w:tc>
          <w:tcPr>
            <w:tcW w:w="1000" w:type="pct"/>
          </w:tcPr>
          <w:p w14:paraId="3F431F22" w14:textId="77777777" w:rsidR="00292040" w:rsidRPr="00FD1145" w:rsidRDefault="00292040" w:rsidP="007000FA">
            <w:pPr>
              <w:pStyle w:val="TableText0"/>
            </w:pPr>
            <w:r w:rsidRPr="00FD1145">
              <w:t>% alive at 24 months (95% CI)</w:t>
            </w:r>
          </w:p>
        </w:tc>
        <w:tc>
          <w:tcPr>
            <w:tcW w:w="1120" w:type="pct"/>
            <w:vAlign w:val="center"/>
          </w:tcPr>
          <w:p w14:paraId="0D0E380B" w14:textId="77777777" w:rsidR="00292040" w:rsidRPr="00FD1145" w:rsidRDefault="00292040" w:rsidP="007000FA">
            <w:pPr>
              <w:pStyle w:val="TableText0"/>
              <w:jc w:val="center"/>
              <w:rPr>
                <w:rFonts w:cs="Arial"/>
                <w:vertAlign w:val="superscript"/>
              </w:rPr>
            </w:pPr>
            <w:r w:rsidRPr="00FD1145">
              <w:rPr>
                <w:rFonts w:cs="Arial"/>
              </w:rPr>
              <w:t>51% (NR)</w:t>
            </w:r>
            <w:r w:rsidRPr="00FD1145">
              <w:rPr>
                <w:rFonts w:cs="Arial"/>
                <w:vertAlign w:val="superscript"/>
              </w:rPr>
              <w:t>a</w:t>
            </w:r>
          </w:p>
        </w:tc>
        <w:tc>
          <w:tcPr>
            <w:tcW w:w="1100" w:type="pct"/>
            <w:vAlign w:val="center"/>
          </w:tcPr>
          <w:p w14:paraId="7588A58E" w14:textId="77777777" w:rsidR="00292040" w:rsidRPr="00FD1145" w:rsidRDefault="00292040" w:rsidP="007000FA">
            <w:pPr>
              <w:pStyle w:val="TableText0"/>
              <w:jc w:val="center"/>
              <w:rPr>
                <w:rFonts w:cs="Arial"/>
                <w:vertAlign w:val="superscript"/>
              </w:rPr>
            </w:pPr>
            <w:r w:rsidRPr="00FD1145">
              <w:rPr>
                <w:rFonts w:cs="Arial"/>
              </w:rPr>
              <w:t>40% (NR)</w:t>
            </w:r>
            <w:r w:rsidRPr="00FD1145">
              <w:rPr>
                <w:rFonts w:cs="Arial"/>
                <w:vertAlign w:val="superscript"/>
              </w:rPr>
              <w:t>a</w:t>
            </w:r>
          </w:p>
        </w:tc>
        <w:tc>
          <w:tcPr>
            <w:tcW w:w="943" w:type="pct"/>
            <w:vAlign w:val="center"/>
          </w:tcPr>
          <w:p w14:paraId="16443532" w14:textId="77777777" w:rsidR="00292040" w:rsidRPr="00FD1145" w:rsidRDefault="00292040" w:rsidP="007000FA">
            <w:pPr>
              <w:pStyle w:val="TableText0"/>
              <w:jc w:val="center"/>
              <w:rPr>
                <w:rFonts w:cs="Arial"/>
              </w:rPr>
            </w:pPr>
            <w:r w:rsidRPr="00FD1145">
              <w:rPr>
                <w:rFonts w:cs="Arial"/>
              </w:rPr>
              <w:t>9%</w:t>
            </w:r>
          </w:p>
        </w:tc>
        <w:tc>
          <w:tcPr>
            <w:tcW w:w="837" w:type="pct"/>
            <w:vAlign w:val="center"/>
          </w:tcPr>
          <w:p w14:paraId="51B97556" w14:textId="77777777" w:rsidR="00292040" w:rsidRPr="00FD1145" w:rsidRDefault="00292040" w:rsidP="007000FA">
            <w:pPr>
              <w:pStyle w:val="TableText0"/>
              <w:jc w:val="center"/>
              <w:rPr>
                <w:rFonts w:cs="Arial"/>
              </w:rPr>
            </w:pPr>
            <w:r w:rsidRPr="00FD1145">
              <w:rPr>
                <w:rFonts w:cs="Arial"/>
              </w:rPr>
              <w:t>-</w:t>
            </w:r>
          </w:p>
        </w:tc>
      </w:tr>
    </w:tbl>
    <w:p w14:paraId="285587B5" w14:textId="77777777" w:rsidR="00292040" w:rsidRPr="00FD1145" w:rsidRDefault="00292040" w:rsidP="00595C6E">
      <w:pPr>
        <w:pStyle w:val="TableFigureFooter"/>
        <w:keepLines w:val="0"/>
        <w:rPr>
          <w:rFonts w:eastAsia="Calibri"/>
        </w:rPr>
      </w:pPr>
      <w:r w:rsidRPr="00FD1145">
        <w:rPr>
          <w:rFonts w:eastAsia="Calibri"/>
        </w:rPr>
        <w:t>Source: Table 2.5.1, p118, Table 2.5.2, p121 &amp; Table 2.5.6, p129 of the submission.</w:t>
      </w:r>
    </w:p>
    <w:p w14:paraId="7443E01A" w14:textId="77777777" w:rsidR="00292040" w:rsidRPr="00FD1145" w:rsidRDefault="00292040" w:rsidP="00595C6E">
      <w:pPr>
        <w:pStyle w:val="TableFigureFooter"/>
        <w:keepLines w:val="0"/>
        <w:rPr>
          <w:rFonts w:eastAsia="Calibri"/>
        </w:rPr>
      </w:pPr>
      <w:r w:rsidRPr="00FD1145">
        <w:rPr>
          <w:rFonts w:eastAsia="Calibri"/>
        </w:rPr>
        <w:t>Abbreviations: BICR, blinded independent central review; CI, confidence interval; CR, complete response; HR, hazard ratio; IA, investigator assessed; ITT, intention-to-treat; ORR, objective response rate; OS, overall survival; PFS, progression-free survival; PR, partial response.</w:t>
      </w:r>
    </w:p>
    <w:p w14:paraId="6AF92BDF" w14:textId="77777777" w:rsidR="00292040" w:rsidRPr="00FD1145" w:rsidRDefault="00292040" w:rsidP="00595C6E">
      <w:pPr>
        <w:pStyle w:val="TableFigureFooter"/>
        <w:keepLines w:val="0"/>
        <w:rPr>
          <w:rFonts w:eastAsia="Calibri"/>
        </w:rPr>
      </w:pPr>
      <w:r w:rsidRPr="00FD1145">
        <w:rPr>
          <w:vertAlign w:val="superscript"/>
        </w:rPr>
        <w:t>a</w:t>
      </w:r>
      <w:r w:rsidRPr="00FD1145">
        <w:t xml:space="preserve"> Values obtained from the Kaplan Meier plots for PFS and OS.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84089" w:rsidRPr="00FD1145" w14:paraId="36AA0288" w14:textId="77777777" w:rsidTr="008B1086">
        <w:tc>
          <w:tcPr>
            <w:tcW w:w="9017" w:type="dxa"/>
          </w:tcPr>
          <w:p w14:paraId="593A8FC3" w14:textId="003D82EA" w:rsidR="00F84089" w:rsidRPr="00FD1145" w:rsidRDefault="00F84089" w:rsidP="009B032D">
            <w:pPr>
              <w:pStyle w:val="Caption"/>
            </w:pPr>
            <w:bookmarkStart w:id="44" w:name="_Ref206065773"/>
            <w:r w:rsidRPr="00FD1145">
              <w:lastRenderedPageBreak/>
              <w:t xml:space="preserve">Figure </w:t>
            </w:r>
            <w:r w:rsidR="007000FA">
              <w:fldChar w:fldCharType="begin"/>
            </w:r>
            <w:r w:rsidR="007000FA">
              <w:instrText xml:space="preserve"> SEQ Figure \* ARABIC </w:instrText>
            </w:r>
            <w:r w:rsidR="007000FA">
              <w:fldChar w:fldCharType="separate"/>
            </w:r>
            <w:r w:rsidR="009B3037">
              <w:rPr>
                <w:noProof/>
              </w:rPr>
              <w:t>1</w:t>
            </w:r>
            <w:r w:rsidR="007000FA">
              <w:rPr>
                <w:noProof/>
              </w:rPr>
              <w:fldChar w:fldCharType="end"/>
            </w:r>
            <w:bookmarkEnd w:id="44"/>
            <w:r w:rsidRPr="00FD1145">
              <w:t>: Kaplan Meier plots of PFS in HER2CLIMB</w:t>
            </w:r>
            <w:r w:rsidR="009B032D" w:rsidRPr="00FD1145">
              <w:t xml:space="preserve"> (final analysis: data cutoff 08 February 2021) – ITT-OS population (=’all comers’ population)</w:t>
            </w:r>
            <w:r w:rsidRPr="00FD1145">
              <w:t xml:space="preserve"> </w:t>
            </w:r>
          </w:p>
        </w:tc>
      </w:tr>
      <w:tr w:rsidR="00F84089" w:rsidRPr="00FD1145" w14:paraId="52C91915" w14:textId="77777777" w:rsidTr="008B1086">
        <w:tc>
          <w:tcPr>
            <w:tcW w:w="9017" w:type="dxa"/>
          </w:tcPr>
          <w:p w14:paraId="332FFB51" w14:textId="77777777" w:rsidR="00F84089" w:rsidRPr="00FD1145" w:rsidRDefault="00F84089" w:rsidP="008B1086">
            <w:r w:rsidRPr="00FD1145">
              <w:rPr>
                <w:noProof/>
              </w:rPr>
              <w:drawing>
                <wp:inline distT="0" distB="0" distL="0" distR="0" wp14:anchorId="290A7199" wp14:editId="6D8221E7">
                  <wp:extent cx="5443200" cy="2563200"/>
                  <wp:effectExtent l="19050" t="19050" r="24765" b="27940"/>
                  <wp:docPr id="1427141163" name="Picture 1" descr="Kaplan Meier plots of PFS in HER2CLIMB (final analysis: data cutoff 08 February 2021) – ITT-OS population (=’all comers’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41163" name="Picture 1" descr="Kaplan Meier plots of PFS in HER2CLIMB (final analysis: data cutoff 08 February 2021) – ITT-OS population (=’all comers’ population) "/>
                          <pic:cNvPicPr/>
                        </pic:nvPicPr>
                        <pic:blipFill>
                          <a:blip r:embed="rId11"/>
                          <a:stretch>
                            <a:fillRect/>
                          </a:stretch>
                        </pic:blipFill>
                        <pic:spPr>
                          <a:xfrm>
                            <a:off x="0" y="0"/>
                            <a:ext cx="5443200" cy="2563200"/>
                          </a:xfrm>
                          <a:prstGeom prst="rect">
                            <a:avLst/>
                          </a:prstGeom>
                          <a:ln>
                            <a:solidFill>
                              <a:schemeClr val="bg1">
                                <a:lumMod val="85000"/>
                              </a:schemeClr>
                            </a:solidFill>
                          </a:ln>
                        </pic:spPr>
                      </pic:pic>
                    </a:graphicData>
                  </a:graphic>
                </wp:inline>
              </w:drawing>
            </w:r>
          </w:p>
        </w:tc>
      </w:tr>
    </w:tbl>
    <w:p w14:paraId="07D41F7C" w14:textId="77777777" w:rsidR="00F84089" w:rsidRPr="00FD1145" w:rsidRDefault="00F84089" w:rsidP="00F84089">
      <w:pPr>
        <w:pStyle w:val="TableFooter"/>
      </w:pPr>
      <w:r w:rsidRPr="00FD1145">
        <w:t>Source: Figure 2.5-1, p119 of the resubmission.</w:t>
      </w:r>
    </w:p>
    <w:p w14:paraId="6FC89E41" w14:textId="77777777" w:rsidR="00F84089" w:rsidRPr="00FD1145" w:rsidRDefault="00F84089" w:rsidP="00F84089">
      <w:pPr>
        <w:pStyle w:val="TableFooter"/>
      </w:pPr>
      <w:r w:rsidRPr="00FD1145">
        <w:t xml:space="preserve">Abbreviations: BICR, blinded independent central review; Cap, capecitabine; HR, hazard ratio; IA, investigator-assessed; ITT, intention-to-treat; OS, overall survival; PBAC, Pharmaceutical Benefits Advisory Committee; Pbo, placebo; PFS, progression-free survival; Tra, trastuzumab; Tuc, tucatinib. </w:t>
      </w:r>
    </w:p>
    <w:p w14:paraId="7E6C0504" w14:textId="77777777" w:rsidR="00F84089" w:rsidRPr="00FD1145" w:rsidRDefault="00F84089" w:rsidP="00F84089">
      <w:pPr>
        <w:pStyle w:val="FooterTableFigure"/>
      </w:pPr>
      <w:r w:rsidRPr="00FD1145">
        <w:rPr>
          <w:shd w:val="clear" w:color="auto" w:fill="B8CCE4" w:themeFill="accent1" w:themeFillTint="66"/>
        </w:rPr>
        <w:t>Blue shading</w:t>
      </w:r>
      <w:r w:rsidRPr="00FD1145">
        <w:t xml:space="preserve"> indicates data previously seen by the PBAC.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7"/>
      </w:tblGrid>
      <w:tr w:rsidR="00F84089" w:rsidRPr="00FD1145" w14:paraId="4A8EA76C" w14:textId="77777777" w:rsidTr="008B1086">
        <w:tc>
          <w:tcPr>
            <w:tcW w:w="9017" w:type="dxa"/>
          </w:tcPr>
          <w:p w14:paraId="4EDE8B31" w14:textId="62C2194E" w:rsidR="00F84089" w:rsidRPr="00FD1145" w:rsidRDefault="00F84089" w:rsidP="009B032D">
            <w:pPr>
              <w:pStyle w:val="Caption"/>
            </w:pPr>
            <w:bookmarkStart w:id="45" w:name="_Ref206065760"/>
            <w:bookmarkStart w:id="46" w:name="_Ref207184798"/>
            <w:r w:rsidRPr="00FD1145">
              <w:t xml:space="preserve">Figure </w:t>
            </w:r>
            <w:r w:rsidR="007000FA">
              <w:fldChar w:fldCharType="begin"/>
            </w:r>
            <w:r w:rsidR="007000FA">
              <w:instrText xml:space="preserve"> SEQ Figure \* ARABIC </w:instrText>
            </w:r>
            <w:r w:rsidR="007000FA">
              <w:fldChar w:fldCharType="separate"/>
            </w:r>
            <w:r w:rsidR="009B3037">
              <w:rPr>
                <w:noProof/>
              </w:rPr>
              <w:t>2</w:t>
            </w:r>
            <w:r w:rsidR="007000FA">
              <w:rPr>
                <w:noProof/>
              </w:rPr>
              <w:fldChar w:fldCharType="end"/>
            </w:r>
            <w:bookmarkEnd w:id="45"/>
            <w:r w:rsidRPr="00FD1145">
              <w:t>: Kaplan Meier plots of OS in HER2CLIMB</w:t>
            </w:r>
            <w:bookmarkEnd w:id="46"/>
            <w:r w:rsidR="009B032D" w:rsidRPr="00FD1145">
              <w:t xml:space="preserve"> (final analysis: data cutoff 08 February 2021) – ITT-OS population (=’all comers’ population)</w:t>
            </w:r>
            <w:r w:rsidRPr="00FD1145">
              <w:t xml:space="preserve"> </w:t>
            </w:r>
          </w:p>
        </w:tc>
      </w:tr>
      <w:tr w:rsidR="00F84089" w:rsidRPr="00FD1145" w14:paraId="3ACD7117" w14:textId="77777777" w:rsidTr="008B1086">
        <w:tc>
          <w:tcPr>
            <w:tcW w:w="9017" w:type="dxa"/>
          </w:tcPr>
          <w:p w14:paraId="5DB9C528" w14:textId="77777777" w:rsidR="00F84089" w:rsidRPr="00FD1145" w:rsidRDefault="00F84089" w:rsidP="008B1086">
            <w:r w:rsidRPr="00FD1145">
              <w:rPr>
                <w:noProof/>
              </w:rPr>
              <w:drawing>
                <wp:inline distT="0" distB="0" distL="0" distR="0" wp14:anchorId="45863CD8" wp14:editId="17E15A15">
                  <wp:extent cx="5299200" cy="2667600"/>
                  <wp:effectExtent l="0" t="0" r="0" b="0"/>
                  <wp:docPr id="1547588624" name="Picture 1" descr="Kaplan Meier plots of OS in HER2CLIMB (final analysis: data cutoff 08 February 2021) – ITT-OS population (=’all comers’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588624" name="Picture 1" descr="Kaplan Meier plots of OS in HER2CLIMB (final analysis: data cutoff 08 February 2021) – ITT-OS population (=’all comers’ population) "/>
                          <pic:cNvPicPr/>
                        </pic:nvPicPr>
                        <pic:blipFill>
                          <a:blip r:embed="rId12"/>
                          <a:stretch>
                            <a:fillRect/>
                          </a:stretch>
                        </pic:blipFill>
                        <pic:spPr>
                          <a:xfrm>
                            <a:off x="0" y="0"/>
                            <a:ext cx="5299200" cy="2667600"/>
                          </a:xfrm>
                          <a:prstGeom prst="rect">
                            <a:avLst/>
                          </a:prstGeom>
                        </pic:spPr>
                      </pic:pic>
                    </a:graphicData>
                  </a:graphic>
                </wp:inline>
              </w:drawing>
            </w:r>
          </w:p>
        </w:tc>
      </w:tr>
    </w:tbl>
    <w:p w14:paraId="767845DC" w14:textId="77777777" w:rsidR="00F84089" w:rsidRPr="00FD1145" w:rsidRDefault="00F84089" w:rsidP="00F84089">
      <w:pPr>
        <w:pStyle w:val="TableFooter"/>
      </w:pPr>
      <w:r w:rsidRPr="00FD1145">
        <w:t>Source: Figure 2.5-3, p122 of the resubmission.</w:t>
      </w:r>
    </w:p>
    <w:p w14:paraId="7F1D0633" w14:textId="77777777" w:rsidR="00F84089" w:rsidRPr="00FD1145" w:rsidRDefault="00F84089" w:rsidP="00F84089">
      <w:pPr>
        <w:pStyle w:val="TableFooter"/>
      </w:pPr>
      <w:r w:rsidRPr="00FD1145">
        <w:t>Abbreviations: Cap, capecitabine; CI, confidence interval; HR, hazard ratio; ITT intention-to-treat; OS, overall survival; PBAC, Pharmaceutical Benefits Advisory Committee; Tra, trastuzumab; Tuc, tucatinib.</w:t>
      </w:r>
    </w:p>
    <w:p w14:paraId="1783C758" w14:textId="77777777" w:rsidR="00F84089" w:rsidRPr="00FD1145" w:rsidRDefault="00F84089" w:rsidP="00F84089">
      <w:pPr>
        <w:pStyle w:val="FooterTableFigure"/>
      </w:pPr>
      <w:r w:rsidRPr="00FD1145">
        <w:rPr>
          <w:shd w:val="clear" w:color="auto" w:fill="B8CCE4" w:themeFill="accent1" w:themeFillTint="66"/>
        </w:rPr>
        <w:t>Blue shading</w:t>
      </w:r>
      <w:r w:rsidRPr="00FD1145">
        <w:t xml:space="preserve"> indicates data previously seen by the PBAC.</w:t>
      </w:r>
    </w:p>
    <w:p w14:paraId="35833557" w14:textId="0FDCA1FB" w:rsidR="00F84089" w:rsidRPr="00FD1145" w:rsidRDefault="00F84089" w:rsidP="00F84089">
      <w:pPr>
        <w:pStyle w:val="3-BodyText"/>
      </w:pPr>
      <w:r w:rsidRPr="00FD1145">
        <w:t>For the subgroup of patients with brain metastases, the resubmission presented updated data from an exploratory analysis of central nervous system PFS</w:t>
      </w:r>
      <w:r w:rsidR="00852F27" w:rsidRPr="00FD1145">
        <w:t xml:space="preserve"> (HR</w:t>
      </w:r>
      <w:r w:rsidR="00BB5F7A">
        <w:t> </w:t>
      </w:r>
      <w:r w:rsidR="00852F27" w:rsidRPr="00FD1145">
        <w:t>0.39,</w:t>
      </w:r>
      <w:r w:rsidR="00BB5F7A">
        <w:t> </w:t>
      </w:r>
      <w:r w:rsidR="00852F27" w:rsidRPr="00FD1145">
        <w:t>95% CI</w:t>
      </w:r>
      <w:r w:rsidR="006A5081">
        <w:t>:</w:t>
      </w:r>
      <w:r w:rsidR="00770C97" w:rsidRPr="00FD1145">
        <w:t xml:space="preserve"> 0.27, 0.56)</w:t>
      </w:r>
      <w:r w:rsidRPr="00FD1145">
        <w:t xml:space="preserve">, OS </w:t>
      </w:r>
      <w:r w:rsidR="00770C97" w:rsidRPr="00FD1145">
        <w:t>(HR 0.</w:t>
      </w:r>
      <w:r w:rsidR="00F137E9" w:rsidRPr="00FD1145">
        <w:t>60</w:t>
      </w:r>
      <w:r w:rsidR="00770C97" w:rsidRPr="00FD1145">
        <w:t>, 95% CI</w:t>
      </w:r>
      <w:r w:rsidR="006A5081">
        <w:t>:</w:t>
      </w:r>
      <w:r w:rsidR="00770C97" w:rsidRPr="00FD1145">
        <w:t xml:space="preserve"> 0.</w:t>
      </w:r>
      <w:r w:rsidR="00F137E9" w:rsidRPr="00FD1145">
        <w:t>14, 0.81</w:t>
      </w:r>
      <w:r w:rsidR="00770C97" w:rsidRPr="00FD1145">
        <w:t>)</w:t>
      </w:r>
      <w:r w:rsidR="006B6378" w:rsidRPr="00FD1145">
        <w:t xml:space="preserve"> </w:t>
      </w:r>
      <w:r w:rsidRPr="00FD1145">
        <w:t xml:space="preserve">and intracranial </w:t>
      </w:r>
      <w:r w:rsidR="007B3111" w:rsidRPr="00FD1145">
        <w:t xml:space="preserve">overall </w:t>
      </w:r>
      <w:r w:rsidRPr="00FD1145">
        <w:lastRenderedPageBreak/>
        <w:t>response</w:t>
      </w:r>
      <w:r w:rsidR="007B3111" w:rsidRPr="00FD1145">
        <w:t xml:space="preserve"> (</w:t>
      </w:r>
      <w:r w:rsidR="00FE5234" w:rsidRPr="00FD1145">
        <w:t>47.3% vs 20.0%)</w:t>
      </w:r>
      <w:r w:rsidRPr="00FD1145">
        <w:t>. Results from the updated subgroup exploratory analys</w:t>
      </w:r>
      <w:r w:rsidR="00830936" w:rsidRPr="00FD1145">
        <w:t>e</w:t>
      </w:r>
      <w:r w:rsidRPr="00FD1145">
        <w:t>s were consistent with those previously considered by the PBAC.</w:t>
      </w:r>
    </w:p>
    <w:p w14:paraId="05A21131" w14:textId="6970490F" w:rsidR="00F84089" w:rsidRPr="00FD1145" w:rsidRDefault="00F84089" w:rsidP="00F84089">
      <w:pPr>
        <w:pStyle w:val="3-BodyText"/>
      </w:pPr>
      <w:r w:rsidRPr="00FD1145">
        <w:t>The resubmission presented an additional exploratory analysis of PFS and OS by type of brain metastases in HER2CLIMB. Patients in the tucatinib arm demonstrated a statistically significant difference in PFS for patients with stable brain metastases (HR</w:t>
      </w:r>
      <w:r w:rsidR="00BB5F7A">
        <w:t> </w:t>
      </w:r>
      <w:r w:rsidRPr="00FD1145">
        <w:t>0.41, 95% CI 0.20, 0.85, p=0.014) and for patients with active brain metastases (HR 0.34, 95% CI 0.22, 0.54, p&lt;0.001) as well as a statistically significant difference in OS for patients with active brain metastases (HR 0.53, 95% CI 0.36, 0.77, p&lt;0.001).</w:t>
      </w:r>
    </w:p>
    <w:p w14:paraId="6935962F" w14:textId="6AA827F6" w:rsidR="00F84089" w:rsidRPr="00FD1145" w:rsidRDefault="00F84089" w:rsidP="00F84089">
      <w:pPr>
        <w:pStyle w:val="5-SubsectionSubheading"/>
        <w:rPr>
          <w:i/>
          <w:iCs/>
        </w:rPr>
      </w:pPr>
      <w:bookmarkStart w:id="47" w:name="_Toc208931304"/>
      <w:r w:rsidRPr="00FD1145">
        <w:rPr>
          <w:i/>
          <w:iCs/>
        </w:rPr>
        <w:t>Indirect treatment comparison</w:t>
      </w:r>
      <w:bookmarkEnd w:id="47"/>
    </w:p>
    <w:p w14:paraId="47CF6B4E" w14:textId="1874A5C3" w:rsidR="00F84089" w:rsidRPr="00FD1145" w:rsidRDefault="00125AAE" w:rsidP="00F84089">
      <w:pPr>
        <w:pStyle w:val="3-BodyText"/>
      </w:pPr>
      <w:r w:rsidRPr="00FD1145">
        <w:t>T</w:t>
      </w:r>
      <w:r w:rsidR="00F84089" w:rsidRPr="00FD1145">
        <w:t>reatment networks were constructed using relevant comparator arms from identified studies to indirectly compare PFS and OS across multiple networked clinical studies. HRs for PFS and OS were compared to assess relative differences between treatments in the network in a pairwise comparison.</w:t>
      </w:r>
    </w:p>
    <w:p w14:paraId="7B546E31" w14:textId="11AD091E" w:rsidR="00F84089" w:rsidRPr="00FD1145" w:rsidRDefault="00F84089" w:rsidP="00F84089">
      <w:pPr>
        <w:pStyle w:val="3-BodyText"/>
      </w:pPr>
      <w:r w:rsidRPr="00FD1145">
        <w:t xml:space="preserve">A summary of PFS data from the trials in the NMA relevant to the ITC of tucatinib combination therapy with T-DM1 is presented in </w:t>
      </w:r>
      <w:r w:rsidRPr="00FD1145">
        <w:fldChar w:fldCharType="begin"/>
      </w:r>
      <w:r w:rsidRPr="00FD1145">
        <w:instrText xml:space="preserve"> REF _Ref206073138 \h </w:instrText>
      </w:r>
      <w:r w:rsidR="00C33092" w:rsidRPr="00FD1145">
        <w:instrText xml:space="preserve"> \* MERGEFORMAT </w:instrText>
      </w:r>
      <w:r w:rsidRPr="00FD1145">
        <w:fldChar w:fldCharType="separate"/>
      </w:r>
      <w:r w:rsidR="009B3037" w:rsidRPr="00FD1145">
        <w:t xml:space="preserve">Table </w:t>
      </w:r>
      <w:r w:rsidR="009B3037">
        <w:rPr>
          <w:noProof/>
        </w:rPr>
        <w:t>9</w:t>
      </w:r>
      <w:r w:rsidRPr="00FD1145">
        <w:fldChar w:fldCharType="end"/>
      </w:r>
      <w:r w:rsidRPr="00FD1145">
        <w:t xml:space="preserve">. </w:t>
      </w:r>
    </w:p>
    <w:p w14:paraId="71144C5A" w14:textId="75B9D361" w:rsidR="00F84089" w:rsidRPr="00FD1145" w:rsidRDefault="00F84089" w:rsidP="00A50D24">
      <w:pPr>
        <w:pStyle w:val="Caption"/>
      </w:pPr>
      <w:bookmarkStart w:id="48" w:name="_Ref206073138"/>
      <w:r w:rsidRPr="00FD1145">
        <w:t xml:space="preserve">Table </w:t>
      </w:r>
      <w:r w:rsidR="007000FA">
        <w:fldChar w:fldCharType="begin"/>
      </w:r>
      <w:r w:rsidR="007000FA">
        <w:instrText xml:space="preserve"> SEQ Table \* ARABIC </w:instrText>
      </w:r>
      <w:r w:rsidR="007000FA">
        <w:fldChar w:fldCharType="separate"/>
      </w:r>
      <w:r w:rsidR="009B3037">
        <w:rPr>
          <w:noProof/>
        </w:rPr>
        <w:t>9</w:t>
      </w:r>
      <w:r w:rsidR="007000FA">
        <w:rPr>
          <w:noProof/>
        </w:rPr>
        <w:fldChar w:fldCharType="end"/>
      </w:r>
      <w:bookmarkEnd w:id="48"/>
      <w:r w:rsidRPr="00FD1145">
        <w:t>: Summary of PFS data from relevant trials in the NMA</w:t>
      </w:r>
    </w:p>
    <w:tbl>
      <w:tblPr>
        <w:tblStyle w:val="TableGrid"/>
        <w:tblW w:w="5000" w:type="pct"/>
        <w:tblLook w:val="04A0" w:firstRow="1" w:lastRow="0" w:firstColumn="1" w:lastColumn="0" w:noHBand="0" w:noVBand="1"/>
        <w:tblCaption w:val="Summary of PFS data from relevant trials in the NMA"/>
      </w:tblPr>
      <w:tblGrid>
        <w:gridCol w:w="3114"/>
        <w:gridCol w:w="1560"/>
        <w:gridCol w:w="1560"/>
        <w:gridCol w:w="1702"/>
        <w:gridCol w:w="1080"/>
      </w:tblGrid>
      <w:tr w:rsidR="00F84089" w:rsidRPr="00FD1145" w14:paraId="5A114F02" w14:textId="77777777" w:rsidTr="00A50D24">
        <w:trPr>
          <w:trHeight w:val="25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210F5" w14:textId="77777777" w:rsidR="00F84089" w:rsidRPr="00FD1145" w:rsidRDefault="00F84089" w:rsidP="00CA6BDE">
            <w:pPr>
              <w:pStyle w:val="In-tableHeading"/>
            </w:pPr>
            <w:r w:rsidRPr="00FD1145">
              <w:t xml:space="preserve">HER2CLIMB PFS - BICR (Primary analysis 04 September 2019) </w:t>
            </w:r>
          </w:p>
        </w:tc>
      </w:tr>
      <w:tr w:rsidR="00F84089" w:rsidRPr="00FD1145" w14:paraId="43344BF8"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10EEEB" w14:textId="77777777" w:rsidR="00F84089" w:rsidRPr="00FD1145" w:rsidRDefault="00F84089" w:rsidP="00A50D24">
            <w:pPr>
              <w:pStyle w:val="TableFigureHeading"/>
              <w:keepLines/>
            </w:pPr>
            <w:r w:rsidRPr="00FD1145">
              <w:t>ITT PFS population</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5AA9C7D" w14:textId="77777777" w:rsidR="00F84089" w:rsidRPr="00FD1145" w:rsidRDefault="00F84089" w:rsidP="00A50D24">
            <w:pPr>
              <w:pStyle w:val="TableFigureHeading"/>
              <w:keepLines/>
              <w:jc w:val="center"/>
            </w:pPr>
            <w:r w:rsidRPr="00FD1145">
              <w:t>Tuc + Cap + Tra</w:t>
            </w:r>
          </w:p>
          <w:p w14:paraId="0D424F90" w14:textId="77777777" w:rsidR="00F84089" w:rsidRPr="00FD1145" w:rsidRDefault="00F84089" w:rsidP="00A50D24">
            <w:pPr>
              <w:pStyle w:val="TableFigureHeading"/>
              <w:keepLines/>
              <w:jc w:val="center"/>
            </w:pPr>
            <w:r w:rsidRPr="00FD1145">
              <w:t>N=320</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3F30D38" w14:textId="77777777" w:rsidR="00F84089" w:rsidRPr="00FD1145" w:rsidRDefault="00F84089" w:rsidP="00A50D24">
            <w:pPr>
              <w:pStyle w:val="TableFigureHeading"/>
              <w:keepLines/>
              <w:jc w:val="center"/>
            </w:pPr>
            <w:r w:rsidRPr="00FD1145">
              <w:t>Pbo + Cap + Tra</w:t>
            </w:r>
          </w:p>
          <w:p w14:paraId="5E4F093D" w14:textId="77777777" w:rsidR="00F84089" w:rsidRPr="00FD1145" w:rsidRDefault="00F84089" w:rsidP="00A50D24">
            <w:pPr>
              <w:pStyle w:val="TableFigureHeading"/>
              <w:keepLines/>
              <w:jc w:val="center"/>
            </w:pPr>
            <w:r w:rsidRPr="00FD1145">
              <w:t>N=160</w:t>
            </w:r>
          </w:p>
        </w:tc>
        <w:tc>
          <w:tcPr>
            <w:tcW w:w="944"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9225895" w14:textId="77777777" w:rsidR="00F84089" w:rsidRPr="00FD1145" w:rsidRDefault="00F84089" w:rsidP="00A50D24">
            <w:pPr>
              <w:pStyle w:val="TableFigureHeading"/>
              <w:keepLines/>
              <w:jc w:val="center"/>
              <w:rPr>
                <w:vertAlign w:val="superscript"/>
              </w:rPr>
            </w:pPr>
            <w:r w:rsidRPr="00FD1145">
              <w:t xml:space="preserve">Hazard ratio </w:t>
            </w:r>
            <w:r w:rsidRPr="00FD1145">
              <w:rPr>
                <w:vertAlign w:val="superscript"/>
              </w:rPr>
              <w:t>b</w:t>
            </w:r>
          </w:p>
          <w:p w14:paraId="55AD036D" w14:textId="77777777" w:rsidR="00F84089" w:rsidRPr="00FD1145" w:rsidRDefault="00F84089" w:rsidP="00A50D24">
            <w:pPr>
              <w:pStyle w:val="TableFigureHeading"/>
              <w:keepLines/>
              <w:jc w:val="center"/>
            </w:pPr>
            <w:r w:rsidRPr="00FD1145">
              <w:t>(95% CI)</w:t>
            </w:r>
          </w:p>
        </w:tc>
        <w:tc>
          <w:tcPr>
            <w:tcW w:w="59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9694862" w14:textId="77777777" w:rsidR="00F84089" w:rsidRPr="00FD1145" w:rsidRDefault="00F84089" w:rsidP="00A50D24">
            <w:pPr>
              <w:pStyle w:val="TableFigureHeading"/>
              <w:keepLines/>
              <w:jc w:val="center"/>
            </w:pPr>
            <w:r w:rsidRPr="00FD1145">
              <w:t>One sided</w:t>
            </w:r>
          </w:p>
          <w:p w14:paraId="070AC500" w14:textId="77777777" w:rsidR="00F84089" w:rsidRPr="00FD1145" w:rsidRDefault="00F84089" w:rsidP="00A50D24">
            <w:pPr>
              <w:pStyle w:val="TableFigureHeading"/>
              <w:keepLines/>
              <w:jc w:val="center"/>
            </w:pPr>
            <w:r w:rsidRPr="00FD1145">
              <w:t>p-value</w:t>
            </w:r>
          </w:p>
        </w:tc>
      </w:tr>
      <w:tr w:rsidR="00F84089" w:rsidRPr="00FD1145" w14:paraId="1310C77B"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853410F" w14:textId="77777777" w:rsidR="00F84089" w:rsidRPr="00FD1145" w:rsidRDefault="00F84089" w:rsidP="00A50D24">
            <w:pPr>
              <w:pStyle w:val="Tabletext"/>
              <w:keepNext/>
              <w:keepLines/>
              <w:rPr>
                <w:vertAlign w:val="superscript"/>
              </w:rPr>
            </w:pPr>
            <w:r w:rsidRPr="00FD1145">
              <w:t xml:space="preserve">Events, n (%) </w:t>
            </w:r>
            <w:r w:rsidRPr="00FD1145">
              <w:rPr>
                <w:vertAlign w:val="superscript"/>
              </w:rPr>
              <w:t>a</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F3BFBB" w14:textId="77777777" w:rsidR="00F84089" w:rsidRPr="00FD1145" w:rsidRDefault="00F84089" w:rsidP="00A50D24">
            <w:pPr>
              <w:pStyle w:val="Tabletext"/>
              <w:keepNext/>
              <w:keepLines/>
              <w:jc w:val="center"/>
            </w:pPr>
            <w:r w:rsidRPr="00FD1145">
              <w:t>178 (55.6%)</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E0F3642" w14:textId="77777777" w:rsidR="00F84089" w:rsidRPr="00FD1145" w:rsidRDefault="00F84089" w:rsidP="00A50D24">
            <w:pPr>
              <w:pStyle w:val="Tabletext"/>
              <w:keepNext/>
              <w:keepLines/>
              <w:jc w:val="center"/>
            </w:pPr>
            <w:r w:rsidRPr="00FD1145">
              <w:t>97 (60.6%)</w:t>
            </w:r>
          </w:p>
        </w:tc>
        <w:tc>
          <w:tcPr>
            <w:tcW w:w="944"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8A16D33" w14:textId="77777777" w:rsidR="00F84089" w:rsidRPr="00FD1145" w:rsidRDefault="00F84089" w:rsidP="00A50D24">
            <w:pPr>
              <w:pStyle w:val="Tabletext"/>
              <w:keepNext/>
              <w:keepLines/>
              <w:jc w:val="center"/>
            </w:pPr>
            <w:r w:rsidRPr="00FD1145">
              <w:t>0.54 (0.42, 0.71)</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3E714AB" w14:textId="77777777" w:rsidR="00F84089" w:rsidRPr="00FD1145" w:rsidRDefault="00F84089" w:rsidP="00A50D24">
            <w:pPr>
              <w:pStyle w:val="Tabletext"/>
              <w:keepNext/>
              <w:keepLines/>
              <w:jc w:val="center"/>
            </w:pPr>
            <w:r w:rsidRPr="00FD1145">
              <w:t>&lt; 0.00001</w:t>
            </w:r>
          </w:p>
        </w:tc>
      </w:tr>
      <w:tr w:rsidR="00F84089" w:rsidRPr="00FD1145" w14:paraId="6AE6C8E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5C1679E" w14:textId="77777777" w:rsidR="00F84089" w:rsidRPr="00FD1145" w:rsidRDefault="00F84089" w:rsidP="00A50D24">
            <w:pPr>
              <w:pStyle w:val="Tabletext"/>
              <w:keepNext/>
              <w:keepLines/>
              <w:rPr>
                <w:vertAlign w:val="superscript"/>
              </w:rPr>
            </w:pPr>
            <w:r w:rsidRPr="00FD1145">
              <w:t xml:space="preserve">Median (95% CI), months </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7B0D922" w14:textId="77777777" w:rsidR="00F84089" w:rsidRPr="00FD1145" w:rsidRDefault="00F84089" w:rsidP="00A50D24">
            <w:pPr>
              <w:pStyle w:val="Tabletext"/>
              <w:keepNext/>
              <w:keepLines/>
              <w:jc w:val="center"/>
            </w:pPr>
            <w:r w:rsidRPr="00FD1145">
              <w:t>7.8 (7.5, 9.6)</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86EB29" w14:textId="77777777" w:rsidR="00F84089" w:rsidRPr="00FD1145" w:rsidRDefault="00F84089" w:rsidP="00A50D24">
            <w:pPr>
              <w:pStyle w:val="Tabletext"/>
              <w:keepNext/>
              <w:keepLines/>
              <w:jc w:val="center"/>
            </w:pPr>
            <w:r w:rsidRPr="00FD1145">
              <w:t>5.6 (4.2, 7.1)</w:t>
            </w:r>
          </w:p>
        </w:tc>
        <w:tc>
          <w:tcPr>
            <w:tcW w:w="944"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0F83666" w14:textId="77777777" w:rsidR="00F84089" w:rsidRPr="00FD1145" w:rsidRDefault="00F84089" w:rsidP="00A50D24">
            <w:pPr>
              <w:keepNext/>
              <w:keepLines/>
              <w:spacing w:after="240"/>
              <w:rPr>
                <w:sz w:val="20"/>
                <w:szCs w:val="20"/>
              </w:rPr>
            </w:pPr>
          </w:p>
        </w:tc>
        <w:tc>
          <w:tcPr>
            <w:tcW w:w="599"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D4BAADD" w14:textId="77777777" w:rsidR="00F84089" w:rsidRPr="00FD1145" w:rsidRDefault="00F84089" w:rsidP="00A50D24">
            <w:pPr>
              <w:keepNext/>
              <w:keepLines/>
              <w:spacing w:after="240"/>
              <w:rPr>
                <w:sz w:val="20"/>
                <w:szCs w:val="20"/>
              </w:rPr>
            </w:pPr>
          </w:p>
        </w:tc>
      </w:tr>
      <w:tr w:rsidR="00F84089" w:rsidRPr="00FD1145" w14:paraId="143DB86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2B58149" w14:textId="77777777" w:rsidR="00F84089" w:rsidRPr="00FD1145" w:rsidRDefault="00F84089" w:rsidP="00A50D24">
            <w:pPr>
              <w:pStyle w:val="Tabletext"/>
              <w:keepNext/>
              <w:keepLines/>
            </w:pPr>
            <w:r w:rsidRPr="00FD1145">
              <w:t>Difference in median PFS, months</w:t>
            </w:r>
          </w:p>
        </w:tc>
        <w:tc>
          <w:tcPr>
            <w:tcW w:w="1730"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82D98AB" w14:textId="77777777" w:rsidR="00F84089" w:rsidRPr="00FD1145" w:rsidRDefault="00F84089" w:rsidP="00A50D24">
            <w:pPr>
              <w:pStyle w:val="Tabletext"/>
              <w:keepNext/>
              <w:keepLines/>
              <w:jc w:val="center"/>
            </w:pPr>
            <w:r w:rsidRPr="00FD1145">
              <w:t>2.2</w:t>
            </w:r>
          </w:p>
        </w:tc>
        <w:tc>
          <w:tcPr>
            <w:tcW w:w="944"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846DF72" w14:textId="77777777" w:rsidR="00F84089" w:rsidRPr="00FD1145" w:rsidRDefault="00F84089" w:rsidP="00A50D24">
            <w:pPr>
              <w:keepNext/>
              <w:keepLines/>
              <w:spacing w:after="240"/>
              <w:rPr>
                <w:sz w:val="20"/>
                <w:szCs w:val="20"/>
              </w:rPr>
            </w:pPr>
          </w:p>
        </w:tc>
        <w:tc>
          <w:tcPr>
            <w:tcW w:w="599"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1F6CDB1" w14:textId="77777777" w:rsidR="00F84089" w:rsidRPr="00FD1145" w:rsidRDefault="00F84089" w:rsidP="00A50D24">
            <w:pPr>
              <w:keepNext/>
              <w:keepLines/>
              <w:spacing w:after="240"/>
              <w:rPr>
                <w:sz w:val="20"/>
                <w:szCs w:val="20"/>
              </w:rPr>
            </w:pPr>
          </w:p>
        </w:tc>
      </w:tr>
      <w:tr w:rsidR="00F84089" w:rsidRPr="00FD1145" w14:paraId="5B5CDBEB" w14:textId="77777777" w:rsidTr="00562307">
        <w:trPr>
          <w:trHeight w:val="70"/>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7E445" w14:textId="77777777" w:rsidR="00F84089" w:rsidRPr="00FD1145" w:rsidRDefault="00F84089" w:rsidP="00CA6BDE">
            <w:pPr>
              <w:pStyle w:val="In-tableHeading"/>
            </w:pPr>
            <w:r w:rsidRPr="00FD1145">
              <w:t>EMILIA PFS - ICR (first interim analysis 14 Jan 2012)</w:t>
            </w:r>
          </w:p>
        </w:tc>
      </w:tr>
      <w:tr w:rsidR="00F84089" w:rsidRPr="00FD1145" w14:paraId="207B57A3"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146DB0B3" w14:textId="77777777" w:rsidR="00F84089" w:rsidRPr="00FD1145" w:rsidRDefault="00F84089" w:rsidP="00A50D24">
            <w:pPr>
              <w:pStyle w:val="TableText0"/>
              <w:rPr>
                <w:b/>
                <w:bCs w:val="0"/>
              </w:rPr>
            </w:pPr>
            <w:r w:rsidRPr="00FD1145">
              <w:rPr>
                <w:b/>
                <w:bCs w:val="0"/>
              </w:rPr>
              <w:t>ITT population</w:t>
            </w:r>
          </w:p>
        </w:tc>
        <w:tc>
          <w:tcPr>
            <w:tcW w:w="865" w:type="pct"/>
            <w:tcBorders>
              <w:top w:val="single" w:sz="4" w:space="0" w:color="auto"/>
              <w:left w:val="single" w:sz="4" w:space="0" w:color="auto"/>
              <w:bottom w:val="single" w:sz="4" w:space="0" w:color="auto"/>
              <w:right w:val="single" w:sz="4" w:space="0" w:color="auto"/>
            </w:tcBorders>
            <w:vAlign w:val="center"/>
          </w:tcPr>
          <w:p w14:paraId="4F206CD6" w14:textId="77777777" w:rsidR="00F84089" w:rsidRPr="00FD1145" w:rsidRDefault="00F84089" w:rsidP="00A50D24">
            <w:pPr>
              <w:pStyle w:val="TableText0"/>
              <w:jc w:val="center"/>
              <w:rPr>
                <w:b/>
                <w:bCs w:val="0"/>
              </w:rPr>
            </w:pPr>
            <w:r w:rsidRPr="00FD1145">
              <w:rPr>
                <w:b/>
                <w:bCs w:val="0"/>
              </w:rPr>
              <w:t>T-DM1</w:t>
            </w:r>
          </w:p>
          <w:p w14:paraId="29FC3538" w14:textId="77777777" w:rsidR="00F84089" w:rsidRPr="00FD1145" w:rsidRDefault="00F84089" w:rsidP="00A50D24">
            <w:pPr>
              <w:pStyle w:val="TableText0"/>
              <w:jc w:val="center"/>
              <w:rPr>
                <w:b/>
                <w:bCs w:val="0"/>
              </w:rPr>
            </w:pPr>
            <w:r w:rsidRPr="00FD1145">
              <w:rPr>
                <w:b/>
                <w:bCs w:val="0"/>
              </w:rPr>
              <w:t>N=495</w:t>
            </w:r>
          </w:p>
        </w:tc>
        <w:tc>
          <w:tcPr>
            <w:tcW w:w="865" w:type="pct"/>
            <w:tcBorders>
              <w:top w:val="single" w:sz="4" w:space="0" w:color="auto"/>
              <w:left w:val="single" w:sz="4" w:space="0" w:color="auto"/>
              <w:bottom w:val="single" w:sz="4" w:space="0" w:color="auto"/>
              <w:right w:val="single" w:sz="4" w:space="0" w:color="auto"/>
            </w:tcBorders>
            <w:vAlign w:val="center"/>
          </w:tcPr>
          <w:p w14:paraId="4B927943" w14:textId="77777777" w:rsidR="00F84089" w:rsidRPr="00FD1145" w:rsidRDefault="00F84089" w:rsidP="00A50D24">
            <w:pPr>
              <w:pStyle w:val="TableText0"/>
              <w:jc w:val="center"/>
              <w:rPr>
                <w:b/>
                <w:bCs w:val="0"/>
              </w:rPr>
            </w:pPr>
            <w:r w:rsidRPr="00FD1145">
              <w:rPr>
                <w:b/>
                <w:bCs w:val="0"/>
              </w:rPr>
              <w:t>Lap + Cap</w:t>
            </w:r>
          </w:p>
          <w:p w14:paraId="4D42E9F6" w14:textId="77777777" w:rsidR="00F84089" w:rsidRPr="00FD1145" w:rsidRDefault="00F84089" w:rsidP="00A50D24">
            <w:pPr>
              <w:pStyle w:val="TableText0"/>
              <w:jc w:val="center"/>
              <w:rPr>
                <w:b/>
                <w:bCs w:val="0"/>
              </w:rPr>
            </w:pPr>
            <w:r w:rsidRPr="00FD1145">
              <w:rPr>
                <w:b/>
                <w:bCs w:val="0"/>
              </w:rPr>
              <w:t>N=496</w:t>
            </w:r>
          </w:p>
        </w:tc>
        <w:tc>
          <w:tcPr>
            <w:tcW w:w="944" w:type="pct"/>
            <w:tcBorders>
              <w:top w:val="single" w:sz="4" w:space="0" w:color="auto"/>
              <w:left w:val="single" w:sz="4" w:space="0" w:color="auto"/>
              <w:bottom w:val="single" w:sz="4" w:space="0" w:color="auto"/>
              <w:right w:val="single" w:sz="4" w:space="0" w:color="auto"/>
            </w:tcBorders>
            <w:vAlign w:val="center"/>
          </w:tcPr>
          <w:p w14:paraId="1B166E6B" w14:textId="77777777" w:rsidR="00F84089" w:rsidRPr="00FD1145" w:rsidRDefault="00F84089" w:rsidP="00A50D24">
            <w:pPr>
              <w:pStyle w:val="TableText0"/>
              <w:jc w:val="center"/>
              <w:rPr>
                <w:b/>
                <w:bCs w:val="0"/>
              </w:rPr>
            </w:pPr>
            <w:r w:rsidRPr="00FD1145">
              <w:rPr>
                <w:b/>
                <w:bCs w:val="0"/>
              </w:rPr>
              <w:t>Hazard ratio</w:t>
            </w:r>
          </w:p>
          <w:p w14:paraId="4696AF80" w14:textId="77777777" w:rsidR="00F84089" w:rsidRPr="00FD1145" w:rsidRDefault="00F84089" w:rsidP="00A50D24">
            <w:pPr>
              <w:pStyle w:val="TableText0"/>
              <w:jc w:val="center"/>
              <w:rPr>
                <w:b/>
                <w:bCs w:val="0"/>
              </w:rPr>
            </w:pPr>
            <w:r w:rsidRPr="00FD1145">
              <w:rPr>
                <w:b/>
                <w:bCs w:val="0"/>
              </w:rPr>
              <w:t>(95% CI)</w:t>
            </w:r>
          </w:p>
        </w:tc>
        <w:tc>
          <w:tcPr>
            <w:tcW w:w="599" w:type="pct"/>
            <w:tcBorders>
              <w:top w:val="single" w:sz="4" w:space="0" w:color="auto"/>
              <w:left w:val="single" w:sz="4" w:space="0" w:color="auto"/>
              <w:bottom w:val="single" w:sz="4" w:space="0" w:color="auto"/>
              <w:right w:val="single" w:sz="4" w:space="0" w:color="auto"/>
            </w:tcBorders>
            <w:vAlign w:val="center"/>
          </w:tcPr>
          <w:p w14:paraId="1DD796EC" w14:textId="77777777" w:rsidR="00F84089" w:rsidRPr="00FD1145" w:rsidRDefault="00F84089" w:rsidP="00A50D24">
            <w:pPr>
              <w:pStyle w:val="TableText0"/>
              <w:jc w:val="center"/>
              <w:rPr>
                <w:b/>
                <w:bCs w:val="0"/>
              </w:rPr>
            </w:pPr>
            <w:r w:rsidRPr="00FD1145">
              <w:rPr>
                <w:b/>
                <w:bCs w:val="0"/>
              </w:rPr>
              <w:t>One sided</w:t>
            </w:r>
          </w:p>
          <w:p w14:paraId="72C591E8" w14:textId="77777777" w:rsidR="00F84089" w:rsidRPr="00FD1145" w:rsidRDefault="00F84089" w:rsidP="00A50D24">
            <w:pPr>
              <w:pStyle w:val="TableText0"/>
              <w:jc w:val="center"/>
              <w:rPr>
                <w:b/>
                <w:bCs w:val="0"/>
              </w:rPr>
            </w:pPr>
            <w:r w:rsidRPr="00FD1145">
              <w:rPr>
                <w:b/>
                <w:bCs w:val="0"/>
              </w:rPr>
              <w:t>p-value</w:t>
            </w:r>
          </w:p>
        </w:tc>
      </w:tr>
      <w:tr w:rsidR="00F84089" w:rsidRPr="00FD1145" w14:paraId="099DD7C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36DDC07D" w14:textId="77777777" w:rsidR="00F84089" w:rsidRPr="00FD1145" w:rsidRDefault="00F84089" w:rsidP="00A50D24">
            <w:pPr>
              <w:pStyle w:val="Tabletext"/>
              <w:keepNext/>
              <w:keepLines/>
            </w:pPr>
            <w:r w:rsidRPr="00FD1145">
              <w:t xml:space="preserve">Events, n (%) </w:t>
            </w:r>
          </w:p>
        </w:tc>
        <w:tc>
          <w:tcPr>
            <w:tcW w:w="865" w:type="pct"/>
            <w:tcBorders>
              <w:top w:val="single" w:sz="4" w:space="0" w:color="auto"/>
              <w:left w:val="single" w:sz="4" w:space="0" w:color="auto"/>
              <w:bottom w:val="single" w:sz="4" w:space="0" w:color="auto"/>
              <w:right w:val="single" w:sz="4" w:space="0" w:color="auto"/>
            </w:tcBorders>
            <w:vAlign w:val="center"/>
          </w:tcPr>
          <w:p w14:paraId="742E3EB1" w14:textId="77777777" w:rsidR="00F84089" w:rsidRPr="00FD1145" w:rsidRDefault="00F84089" w:rsidP="00A50D24">
            <w:pPr>
              <w:pStyle w:val="Tabletext"/>
              <w:keepNext/>
              <w:keepLines/>
              <w:jc w:val="center"/>
            </w:pPr>
            <w:r w:rsidRPr="00FD1145">
              <w:t>265 (53.5%)</w:t>
            </w:r>
          </w:p>
        </w:tc>
        <w:tc>
          <w:tcPr>
            <w:tcW w:w="865" w:type="pct"/>
            <w:tcBorders>
              <w:top w:val="single" w:sz="4" w:space="0" w:color="auto"/>
              <w:left w:val="single" w:sz="4" w:space="0" w:color="auto"/>
              <w:bottom w:val="single" w:sz="4" w:space="0" w:color="auto"/>
              <w:right w:val="single" w:sz="4" w:space="0" w:color="auto"/>
            </w:tcBorders>
            <w:vAlign w:val="center"/>
          </w:tcPr>
          <w:p w14:paraId="2D2810DA" w14:textId="77777777" w:rsidR="00F84089" w:rsidRPr="00FD1145" w:rsidRDefault="00F84089" w:rsidP="00A50D24">
            <w:pPr>
              <w:pStyle w:val="Tabletext"/>
              <w:keepNext/>
              <w:keepLines/>
              <w:jc w:val="center"/>
            </w:pPr>
            <w:r w:rsidRPr="00FD1145">
              <w:t>304 (61.3%)</w:t>
            </w:r>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751B3B1B" w14:textId="77777777" w:rsidR="00F84089" w:rsidRPr="00FD1145" w:rsidRDefault="00F84089" w:rsidP="00A50D24">
            <w:pPr>
              <w:pStyle w:val="Tabletext"/>
              <w:keepNext/>
              <w:keepLines/>
              <w:jc w:val="center"/>
            </w:pPr>
            <w:r w:rsidRPr="00FD1145">
              <w:t>0.65 (0.55, 0.77)</w:t>
            </w:r>
          </w:p>
        </w:tc>
        <w:tc>
          <w:tcPr>
            <w:tcW w:w="599" w:type="pct"/>
            <w:vMerge w:val="restart"/>
            <w:tcBorders>
              <w:top w:val="single" w:sz="4" w:space="0" w:color="auto"/>
              <w:left w:val="single" w:sz="4" w:space="0" w:color="auto"/>
              <w:bottom w:val="single" w:sz="4" w:space="0" w:color="auto"/>
              <w:right w:val="single" w:sz="4" w:space="0" w:color="auto"/>
            </w:tcBorders>
            <w:vAlign w:val="center"/>
          </w:tcPr>
          <w:p w14:paraId="30B778B0" w14:textId="77777777" w:rsidR="00F84089" w:rsidRPr="00FD1145" w:rsidRDefault="00F84089" w:rsidP="00A50D24">
            <w:pPr>
              <w:pStyle w:val="Tabletext"/>
              <w:keepNext/>
              <w:keepLines/>
              <w:jc w:val="center"/>
            </w:pPr>
            <w:r w:rsidRPr="00FD1145">
              <w:t>&lt; 0.001</w:t>
            </w:r>
          </w:p>
        </w:tc>
      </w:tr>
      <w:tr w:rsidR="00F84089" w:rsidRPr="00FD1145" w14:paraId="5D8D4109"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76B869F" w14:textId="77777777" w:rsidR="00F84089" w:rsidRPr="00FD1145" w:rsidRDefault="00F84089" w:rsidP="00A50D24">
            <w:pPr>
              <w:pStyle w:val="Tabletext"/>
              <w:keepNext/>
              <w:keepLines/>
            </w:pPr>
            <w:r w:rsidRPr="00FD1145">
              <w:t xml:space="preserve">Median (95% CI), months </w:t>
            </w:r>
          </w:p>
        </w:tc>
        <w:tc>
          <w:tcPr>
            <w:tcW w:w="865" w:type="pct"/>
            <w:tcBorders>
              <w:top w:val="single" w:sz="4" w:space="0" w:color="auto"/>
              <w:left w:val="single" w:sz="4" w:space="0" w:color="auto"/>
              <w:bottom w:val="single" w:sz="4" w:space="0" w:color="auto"/>
              <w:right w:val="single" w:sz="4" w:space="0" w:color="auto"/>
            </w:tcBorders>
            <w:vAlign w:val="center"/>
          </w:tcPr>
          <w:p w14:paraId="43184460" w14:textId="77777777" w:rsidR="00F84089" w:rsidRPr="00FD1145" w:rsidRDefault="00F84089" w:rsidP="00A50D24">
            <w:pPr>
              <w:pStyle w:val="Tabletext"/>
              <w:keepNext/>
              <w:keepLines/>
              <w:jc w:val="center"/>
            </w:pPr>
            <w:r w:rsidRPr="00FD1145">
              <w:t>9.6 (NR)</w:t>
            </w:r>
          </w:p>
        </w:tc>
        <w:tc>
          <w:tcPr>
            <w:tcW w:w="865" w:type="pct"/>
            <w:tcBorders>
              <w:top w:val="single" w:sz="4" w:space="0" w:color="auto"/>
              <w:left w:val="single" w:sz="4" w:space="0" w:color="auto"/>
              <w:bottom w:val="single" w:sz="4" w:space="0" w:color="auto"/>
              <w:right w:val="single" w:sz="4" w:space="0" w:color="auto"/>
            </w:tcBorders>
            <w:vAlign w:val="center"/>
          </w:tcPr>
          <w:p w14:paraId="1503DCB6" w14:textId="77777777" w:rsidR="00F84089" w:rsidRPr="00FD1145" w:rsidRDefault="00F84089" w:rsidP="00A50D24">
            <w:pPr>
              <w:pStyle w:val="Tabletext"/>
              <w:keepNext/>
              <w:keepLines/>
              <w:jc w:val="center"/>
            </w:pPr>
            <w:r w:rsidRPr="00FD1145">
              <w:t>6.4 (NR)</w:t>
            </w:r>
          </w:p>
        </w:tc>
        <w:tc>
          <w:tcPr>
            <w:tcW w:w="944" w:type="pct"/>
            <w:vMerge/>
            <w:tcBorders>
              <w:left w:val="single" w:sz="4" w:space="0" w:color="auto"/>
              <w:right w:val="single" w:sz="4" w:space="0" w:color="auto"/>
            </w:tcBorders>
            <w:vAlign w:val="center"/>
          </w:tcPr>
          <w:p w14:paraId="5036F0AF" w14:textId="77777777" w:rsidR="00F84089" w:rsidRPr="00FD1145" w:rsidRDefault="00F84089" w:rsidP="00A50D24">
            <w:pPr>
              <w:keepNext/>
              <w:keepLines/>
              <w:spacing w:after="240"/>
              <w:rPr>
                <w:sz w:val="20"/>
                <w:szCs w:val="20"/>
              </w:rPr>
            </w:pPr>
          </w:p>
        </w:tc>
        <w:tc>
          <w:tcPr>
            <w:tcW w:w="599" w:type="pct"/>
            <w:vMerge/>
            <w:tcBorders>
              <w:left w:val="single" w:sz="4" w:space="0" w:color="auto"/>
              <w:right w:val="single" w:sz="4" w:space="0" w:color="auto"/>
            </w:tcBorders>
            <w:vAlign w:val="center"/>
          </w:tcPr>
          <w:p w14:paraId="66BC36C0" w14:textId="77777777" w:rsidR="00F84089" w:rsidRPr="00FD1145" w:rsidRDefault="00F84089" w:rsidP="00A50D24">
            <w:pPr>
              <w:keepNext/>
              <w:keepLines/>
              <w:spacing w:after="240"/>
              <w:rPr>
                <w:sz w:val="20"/>
                <w:szCs w:val="20"/>
              </w:rPr>
            </w:pPr>
          </w:p>
        </w:tc>
      </w:tr>
      <w:tr w:rsidR="00F84089" w:rsidRPr="00FD1145" w14:paraId="685AE391"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F04D595" w14:textId="77777777" w:rsidR="00F84089" w:rsidRPr="00FD1145" w:rsidRDefault="00F84089" w:rsidP="00A50D24">
            <w:pPr>
              <w:pStyle w:val="Tabletext"/>
              <w:keepNext/>
              <w:keepLines/>
            </w:pPr>
            <w:r w:rsidRPr="00FD1145">
              <w:t>Absolute difference, months</w:t>
            </w:r>
          </w:p>
        </w:tc>
        <w:tc>
          <w:tcPr>
            <w:tcW w:w="1730" w:type="pct"/>
            <w:gridSpan w:val="2"/>
            <w:tcBorders>
              <w:top w:val="single" w:sz="4" w:space="0" w:color="auto"/>
              <w:left w:val="single" w:sz="4" w:space="0" w:color="auto"/>
              <w:bottom w:val="single" w:sz="4" w:space="0" w:color="auto"/>
              <w:right w:val="single" w:sz="4" w:space="0" w:color="auto"/>
            </w:tcBorders>
            <w:vAlign w:val="center"/>
          </w:tcPr>
          <w:p w14:paraId="47826A67" w14:textId="77777777" w:rsidR="00F84089" w:rsidRPr="00FD1145" w:rsidRDefault="00F84089" w:rsidP="00A50D24">
            <w:pPr>
              <w:pStyle w:val="Tabletext"/>
              <w:keepNext/>
              <w:keepLines/>
              <w:jc w:val="center"/>
            </w:pPr>
            <w:r w:rsidRPr="00FD1145">
              <w:t>3.2</w:t>
            </w:r>
          </w:p>
        </w:tc>
        <w:tc>
          <w:tcPr>
            <w:tcW w:w="944" w:type="pct"/>
            <w:vMerge/>
            <w:tcBorders>
              <w:left w:val="single" w:sz="4" w:space="0" w:color="auto"/>
              <w:right w:val="single" w:sz="4" w:space="0" w:color="auto"/>
            </w:tcBorders>
            <w:vAlign w:val="center"/>
          </w:tcPr>
          <w:p w14:paraId="7138D0E0" w14:textId="77777777" w:rsidR="00F84089" w:rsidRPr="00FD1145" w:rsidRDefault="00F84089" w:rsidP="00A50D24">
            <w:pPr>
              <w:keepNext/>
              <w:keepLines/>
              <w:spacing w:after="240"/>
              <w:rPr>
                <w:sz w:val="20"/>
                <w:szCs w:val="20"/>
              </w:rPr>
            </w:pPr>
          </w:p>
        </w:tc>
        <w:tc>
          <w:tcPr>
            <w:tcW w:w="599" w:type="pct"/>
            <w:vMerge/>
            <w:tcBorders>
              <w:left w:val="single" w:sz="4" w:space="0" w:color="auto"/>
              <w:right w:val="single" w:sz="4" w:space="0" w:color="auto"/>
            </w:tcBorders>
            <w:vAlign w:val="center"/>
          </w:tcPr>
          <w:p w14:paraId="2BB20AF3" w14:textId="77777777" w:rsidR="00F84089" w:rsidRPr="00FD1145" w:rsidRDefault="00F84089" w:rsidP="00A50D24">
            <w:pPr>
              <w:keepNext/>
              <w:keepLines/>
              <w:spacing w:after="240"/>
              <w:rPr>
                <w:sz w:val="20"/>
                <w:szCs w:val="20"/>
              </w:rPr>
            </w:pPr>
          </w:p>
        </w:tc>
      </w:tr>
      <w:tr w:rsidR="00F84089" w:rsidRPr="00FD1145" w14:paraId="021F5026" w14:textId="77777777" w:rsidTr="00A50D24">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D922F9" w14:textId="77777777" w:rsidR="00F84089" w:rsidRPr="00FD1145" w:rsidRDefault="00F84089" w:rsidP="00CA6BDE">
            <w:pPr>
              <w:pStyle w:val="In-tableHeading"/>
            </w:pPr>
            <w:r w:rsidRPr="00FD1145">
              <w:t>ELTOP PFS - PFS</w:t>
            </w:r>
          </w:p>
        </w:tc>
      </w:tr>
      <w:tr w:rsidR="00F84089" w:rsidRPr="00FD1145" w14:paraId="3F979F5D"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652834C" w14:textId="77777777" w:rsidR="00F84089" w:rsidRPr="00FD1145" w:rsidRDefault="00F84089" w:rsidP="00A50D24">
            <w:pPr>
              <w:pStyle w:val="TableFigureHeading"/>
              <w:keepLines/>
            </w:pPr>
            <w:r w:rsidRPr="00FD1145">
              <w:t>ITT population</w:t>
            </w:r>
          </w:p>
        </w:tc>
        <w:tc>
          <w:tcPr>
            <w:tcW w:w="865" w:type="pct"/>
            <w:tcBorders>
              <w:top w:val="single" w:sz="4" w:space="0" w:color="auto"/>
              <w:left w:val="single" w:sz="4" w:space="0" w:color="auto"/>
              <w:bottom w:val="single" w:sz="4" w:space="0" w:color="auto"/>
              <w:right w:val="single" w:sz="4" w:space="0" w:color="auto"/>
            </w:tcBorders>
            <w:vAlign w:val="center"/>
          </w:tcPr>
          <w:p w14:paraId="2683BBA5" w14:textId="77777777" w:rsidR="00F84089" w:rsidRPr="00FD1145" w:rsidRDefault="00F84089" w:rsidP="00A50D24">
            <w:pPr>
              <w:pStyle w:val="TableFigureHeading"/>
              <w:keepLines/>
              <w:jc w:val="center"/>
            </w:pPr>
            <w:r w:rsidRPr="00FD1145">
              <w:t>Lap + Cap</w:t>
            </w:r>
          </w:p>
          <w:p w14:paraId="26C26E44" w14:textId="77777777" w:rsidR="00F84089" w:rsidRPr="00FD1145" w:rsidRDefault="00F84089" w:rsidP="00A50D24">
            <w:pPr>
              <w:pStyle w:val="TableFigureHeading"/>
              <w:keepLines/>
              <w:jc w:val="center"/>
            </w:pPr>
            <w:r w:rsidRPr="00FD1145">
              <w:t>N=43</w:t>
            </w:r>
          </w:p>
        </w:tc>
        <w:tc>
          <w:tcPr>
            <w:tcW w:w="865" w:type="pct"/>
            <w:tcBorders>
              <w:top w:val="single" w:sz="4" w:space="0" w:color="auto"/>
              <w:left w:val="single" w:sz="4" w:space="0" w:color="auto"/>
              <w:bottom w:val="single" w:sz="4" w:space="0" w:color="auto"/>
              <w:right w:val="single" w:sz="4" w:space="0" w:color="auto"/>
            </w:tcBorders>
            <w:vAlign w:val="center"/>
          </w:tcPr>
          <w:p w14:paraId="0C0CF1BF" w14:textId="77777777" w:rsidR="00F84089" w:rsidRPr="00FD1145" w:rsidRDefault="00F84089" w:rsidP="00A50D24">
            <w:pPr>
              <w:pStyle w:val="TableFigureHeading"/>
              <w:keepLines/>
              <w:jc w:val="center"/>
            </w:pPr>
            <w:r w:rsidRPr="00FD1145">
              <w:t>Tra +Cap</w:t>
            </w:r>
          </w:p>
          <w:p w14:paraId="67A2EFB5" w14:textId="77777777" w:rsidR="00F84089" w:rsidRPr="00FD1145" w:rsidRDefault="00F84089" w:rsidP="00A50D24">
            <w:pPr>
              <w:pStyle w:val="TableFigureHeading"/>
              <w:keepLines/>
              <w:jc w:val="center"/>
            </w:pPr>
            <w:r w:rsidRPr="00FD1145">
              <w:t>N=43</w:t>
            </w:r>
          </w:p>
        </w:tc>
        <w:tc>
          <w:tcPr>
            <w:tcW w:w="944" w:type="pct"/>
            <w:tcBorders>
              <w:top w:val="single" w:sz="4" w:space="0" w:color="auto"/>
              <w:left w:val="single" w:sz="4" w:space="0" w:color="auto"/>
              <w:bottom w:val="single" w:sz="4" w:space="0" w:color="auto"/>
              <w:right w:val="single" w:sz="4" w:space="0" w:color="auto"/>
            </w:tcBorders>
            <w:vAlign w:val="center"/>
          </w:tcPr>
          <w:p w14:paraId="70D2E79A" w14:textId="77777777" w:rsidR="00F84089" w:rsidRPr="00FD1145" w:rsidRDefault="00F84089" w:rsidP="00A50D24">
            <w:pPr>
              <w:pStyle w:val="TableFigureHeading"/>
              <w:keepLines/>
              <w:jc w:val="center"/>
            </w:pPr>
            <w:r w:rsidRPr="00FD1145">
              <w:t>Hazard ratio</w:t>
            </w:r>
          </w:p>
          <w:p w14:paraId="660BF63B" w14:textId="77777777" w:rsidR="00F84089" w:rsidRPr="00FD1145" w:rsidRDefault="00F84089" w:rsidP="00A50D24">
            <w:pPr>
              <w:pStyle w:val="TableFigureHeading"/>
              <w:keepLines/>
              <w:jc w:val="center"/>
            </w:pPr>
            <w:r w:rsidRPr="00FD1145">
              <w:t>(90% CI)</w:t>
            </w:r>
          </w:p>
        </w:tc>
        <w:tc>
          <w:tcPr>
            <w:tcW w:w="599" w:type="pct"/>
            <w:tcBorders>
              <w:top w:val="single" w:sz="4" w:space="0" w:color="auto"/>
              <w:left w:val="single" w:sz="4" w:space="0" w:color="auto"/>
              <w:bottom w:val="single" w:sz="4" w:space="0" w:color="auto"/>
              <w:right w:val="single" w:sz="4" w:space="0" w:color="auto"/>
            </w:tcBorders>
            <w:vAlign w:val="center"/>
          </w:tcPr>
          <w:p w14:paraId="73F215DD" w14:textId="77777777" w:rsidR="00F84089" w:rsidRPr="00FD1145" w:rsidRDefault="00F84089" w:rsidP="00A50D24">
            <w:pPr>
              <w:pStyle w:val="TableFigureHeading"/>
              <w:keepLines/>
              <w:jc w:val="center"/>
            </w:pPr>
            <w:r w:rsidRPr="00FD1145">
              <w:t>Log-rank</w:t>
            </w:r>
          </w:p>
          <w:p w14:paraId="293DB6B9" w14:textId="77777777" w:rsidR="00F84089" w:rsidRPr="00FD1145" w:rsidRDefault="00F84089" w:rsidP="00A50D24">
            <w:pPr>
              <w:pStyle w:val="TableFigureHeading"/>
              <w:keepLines/>
              <w:jc w:val="center"/>
            </w:pPr>
            <w:r w:rsidRPr="00FD1145">
              <w:t>p-value</w:t>
            </w:r>
          </w:p>
        </w:tc>
      </w:tr>
      <w:tr w:rsidR="00F84089" w:rsidRPr="00FD1145" w14:paraId="3597EDF7"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36C9898E" w14:textId="77777777" w:rsidR="00F84089" w:rsidRPr="00FD1145" w:rsidRDefault="00F84089" w:rsidP="00A50D24">
            <w:pPr>
              <w:pStyle w:val="TableText0"/>
            </w:pPr>
            <w:r w:rsidRPr="00FD1145">
              <w:t xml:space="preserve">Events, n (%) </w:t>
            </w:r>
          </w:p>
        </w:tc>
        <w:tc>
          <w:tcPr>
            <w:tcW w:w="865" w:type="pct"/>
            <w:tcBorders>
              <w:top w:val="single" w:sz="4" w:space="0" w:color="auto"/>
              <w:left w:val="single" w:sz="4" w:space="0" w:color="auto"/>
              <w:bottom w:val="single" w:sz="4" w:space="0" w:color="auto"/>
              <w:right w:val="single" w:sz="4" w:space="0" w:color="auto"/>
            </w:tcBorders>
            <w:vAlign w:val="center"/>
          </w:tcPr>
          <w:p w14:paraId="6CAECD19" w14:textId="77777777" w:rsidR="00F84089" w:rsidRPr="00FD1145" w:rsidRDefault="00F84089" w:rsidP="00A50D24">
            <w:pPr>
              <w:pStyle w:val="TableText0"/>
              <w:jc w:val="center"/>
            </w:pPr>
            <w:r w:rsidRPr="00FD1145">
              <w:t>NR</w:t>
            </w:r>
          </w:p>
        </w:tc>
        <w:tc>
          <w:tcPr>
            <w:tcW w:w="865" w:type="pct"/>
            <w:tcBorders>
              <w:top w:val="single" w:sz="4" w:space="0" w:color="auto"/>
              <w:left w:val="single" w:sz="4" w:space="0" w:color="auto"/>
              <w:bottom w:val="single" w:sz="4" w:space="0" w:color="auto"/>
              <w:right w:val="single" w:sz="4" w:space="0" w:color="auto"/>
            </w:tcBorders>
            <w:vAlign w:val="center"/>
          </w:tcPr>
          <w:p w14:paraId="08FF20FC" w14:textId="77777777" w:rsidR="00F84089" w:rsidRPr="00FD1145" w:rsidRDefault="00F84089" w:rsidP="00A50D24">
            <w:pPr>
              <w:pStyle w:val="TableText0"/>
              <w:jc w:val="center"/>
            </w:pPr>
            <w:r w:rsidRPr="00FD1145">
              <w:t>NR</w:t>
            </w:r>
          </w:p>
        </w:tc>
        <w:tc>
          <w:tcPr>
            <w:tcW w:w="944" w:type="pct"/>
            <w:vMerge w:val="restart"/>
            <w:tcBorders>
              <w:top w:val="single" w:sz="4" w:space="0" w:color="auto"/>
              <w:left w:val="single" w:sz="4" w:space="0" w:color="auto"/>
              <w:bottom w:val="single" w:sz="4" w:space="0" w:color="auto"/>
              <w:right w:val="single" w:sz="4" w:space="0" w:color="auto"/>
            </w:tcBorders>
            <w:vAlign w:val="center"/>
          </w:tcPr>
          <w:p w14:paraId="3EA1226A" w14:textId="77777777" w:rsidR="00F84089" w:rsidRPr="00FD1145" w:rsidRDefault="00F84089" w:rsidP="00A50D24">
            <w:pPr>
              <w:pStyle w:val="TableText0"/>
              <w:jc w:val="center"/>
            </w:pPr>
            <w:r w:rsidRPr="00FD1145">
              <w:t>0.81 (0.55, 1.21)</w:t>
            </w:r>
          </w:p>
        </w:tc>
        <w:tc>
          <w:tcPr>
            <w:tcW w:w="599" w:type="pct"/>
            <w:vMerge w:val="restart"/>
            <w:tcBorders>
              <w:top w:val="single" w:sz="4" w:space="0" w:color="auto"/>
              <w:left w:val="single" w:sz="4" w:space="0" w:color="auto"/>
              <w:bottom w:val="single" w:sz="4" w:space="0" w:color="auto"/>
              <w:right w:val="single" w:sz="4" w:space="0" w:color="auto"/>
            </w:tcBorders>
            <w:vAlign w:val="center"/>
          </w:tcPr>
          <w:p w14:paraId="46B1FF32" w14:textId="77777777" w:rsidR="00F84089" w:rsidRPr="00FD1145" w:rsidRDefault="00F84089" w:rsidP="00A50D24">
            <w:pPr>
              <w:pStyle w:val="TableText0"/>
              <w:jc w:val="center"/>
            </w:pPr>
            <w:r w:rsidRPr="00FD1145">
              <w:t>0.39</w:t>
            </w:r>
          </w:p>
        </w:tc>
      </w:tr>
      <w:tr w:rsidR="00F84089" w:rsidRPr="00FD1145" w14:paraId="4B92946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2090FD8A" w14:textId="77777777" w:rsidR="00F84089" w:rsidRPr="00FD1145" w:rsidRDefault="00F84089" w:rsidP="00A50D24">
            <w:pPr>
              <w:pStyle w:val="TableText0"/>
            </w:pPr>
            <w:r w:rsidRPr="00FD1145">
              <w:t xml:space="preserve">Median (95% CI), months </w:t>
            </w:r>
          </w:p>
        </w:tc>
        <w:tc>
          <w:tcPr>
            <w:tcW w:w="865" w:type="pct"/>
            <w:tcBorders>
              <w:top w:val="single" w:sz="4" w:space="0" w:color="auto"/>
              <w:left w:val="single" w:sz="4" w:space="0" w:color="auto"/>
              <w:bottom w:val="single" w:sz="4" w:space="0" w:color="auto"/>
              <w:right w:val="single" w:sz="4" w:space="0" w:color="auto"/>
            </w:tcBorders>
            <w:vAlign w:val="center"/>
          </w:tcPr>
          <w:p w14:paraId="755B64AE" w14:textId="77777777" w:rsidR="00F84089" w:rsidRPr="00FD1145" w:rsidRDefault="00F84089" w:rsidP="00A50D24">
            <w:pPr>
              <w:pStyle w:val="TableText0"/>
              <w:jc w:val="center"/>
            </w:pPr>
            <w:r w:rsidRPr="00FD1145">
              <w:t>7.1 (NR, NR)</w:t>
            </w:r>
          </w:p>
        </w:tc>
        <w:tc>
          <w:tcPr>
            <w:tcW w:w="865" w:type="pct"/>
            <w:tcBorders>
              <w:top w:val="single" w:sz="4" w:space="0" w:color="auto"/>
              <w:left w:val="single" w:sz="4" w:space="0" w:color="auto"/>
              <w:bottom w:val="single" w:sz="4" w:space="0" w:color="auto"/>
              <w:right w:val="single" w:sz="4" w:space="0" w:color="auto"/>
            </w:tcBorders>
            <w:vAlign w:val="center"/>
          </w:tcPr>
          <w:p w14:paraId="4E326756" w14:textId="77777777" w:rsidR="00F84089" w:rsidRPr="00FD1145" w:rsidRDefault="00F84089" w:rsidP="00A50D24">
            <w:pPr>
              <w:pStyle w:val="TableText0"/>
              <w:jc w:val="center"/>
            </w:pPr>
            <w:r w:rsidRPr="00FD1145">
              <w:t>6.1 (NR, NR)</w:t>
            </w:r>
          </w:p>
        </w:tc>
        <w:tc>
          <w:tcPr>
            <w:tcW w:w="944" w:type="pct"/>
            <w:vMerge/>
            <w:tcBorders>
              <w:left w:val="single" w:sz="4" w:space="0" w:color="auto"/>
              <w:right w:val="single" w:sz="4" w:space="0" w:color="auto"/>
            </w:tcBorders>
            <w:vAlign w:val="center"/>
          </w:tcPr>
          <w:p w14:paraId="7EB33F75" w14:textId="77777777" w:rsidR="00F84089" w:rsidRPr="00FD1145" w:rsidRDefault="00F84089" w:rsidP="00A50D24">
            <w:pPr>
              <w:pStyle w:val="TableText0"/>
              <w:rPr>
                <w:szCs w:val="20"/>
              </w:rPr>
            </w:pPr>
          </w:p>
        </w:tc>
        <w:tc>
          <w:tcPr>
            <w:tcW w:w="599" w:type="pct"/>
            <w:vMerge/>
            <w:tcBorders>
              <w:left w:val="single" w:sz="4" w:space="0" w:color="auto"/>
              <w:right w:val="single" w:sz="4" w:space="0" w:color="auto"/>
            </w:tcBorders>
            <w:vAlign w:val="center"/>
          </w:tcPr>
          <w:p w14:paraId="3D9656F4" w14:textId="77777777" w:rsidR="00F84089" w:rsidRPr="00FD1145" w:rsidRDefault="00F84089" w:rsidP="00A50D24">
            <w:pPr>
              <w:pStyle w:val="TableText0"/>
              <w:rPr>
                <w:szCs w:val="20"/>
              </w:rPr>
            </w:pPr>
          </w:p>
        </w:tc>
      </w:tr>
      <w:tr w:rsidR="00F84089" w:rsidRPr="00FD1145" w14:paraId="7B6837F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5153EB04" w14:textId="77777777" w:rsidR="00F84089" w:rsidRPr="00FD1145" w:rsidRDefault="00F84089" w:rsidP="00A50D24">
            <w:pPr>
              <w:pStyle w:val="TableText0"/>
            </w:pPr>
            <w:r w:rsidRPr="00FD1145">
              <w:t>Difference in median PFS, months</w:t>
            </w:r>
          </w:p>
        </w:tc>
        <w:tc>
          <w:tcPr>
            <w:tcW w:w="1730" w:type="pct"/>
            <w:gridSpan w:val="2"/>
            <w:tcBorders>
              <w:top w:val="single" w:sz="4" w:space="0" w:color="auto"/>
              <w:left w:val="single" w:sz="4" w:space="0" w:color="auto"/>
              <w:bottom w:val="single" w:sz="4" w:space="0" w:color="auto"/>
              <w:right w:val="single" w:sz="4" w:space="0" w:color="auto"/>
            </w:tcBorders>
            <w:vAlign w:val="center"/>
          </w:tcPr>
          <w:p w14:paraId="1B6BC9C1" w14:textId="77777777" w:rsidR="00F84089" w:rsidRPr="00FD1145" w:rsidRDefault="00F84089" w:rsidP="00A50D24">
            <w:pPr>
              <w:pStyle w:val="TableText0"/>
              <w:jc w:val="center"/>
            </w:pPr>
            <w:r w:rsidRPr="00FD1145">
              <w:t>1.0</w:t>
            </w:r>
          </w:p>
        </w:tc>
        <w:tc>
          <w:tcPr>
            <w:tcW w:w="944" w:type="pct"/>
            <w:vMerge/>
          </w:tcPr>
          <w:p w14:paraId="1127A7AA" w14:textId="77777777" w:rsidR="00F84089" w:rsidRPr="00FD1145" w:rsidRDefault="00F84089" w:rsidP="00A50D24">
            <w:pPr>
              <w:pStyle w:val="TableText0"/>
              <w:rPr>
                <w:szCs w:val="20"/>
              </w:rPr>
            </w:pPr>
          </w:p>
        </w:tc>
        <w:tc>
          <w:tcPr>
            <w:tcW w:w="599" w:type="pct"/>
            <w:vMerge/>
            <w:tcBorders>
              <w:left w:val="single" w:sz="4" w:space="0" w:color="auto"/>
              <w:right w:val="single" w:sz="4" w:space="0" w:color="auto"/>
            </w:tcBorders>
            <w:vAlign w:val="center"/>
          </w:tcPr>
          <w:p w14:paraId="3957E13A" w14:textId="77777777" w:rsidR="00F84089" w:rsidRPr="00FD1145" w:rsidRDefault="00F84089" w:rsidP="00A50D24">
            <w:pPr>
              <w:pStyle w:val="TableText0"/>
              <w:rPr>
                <w:szCs w:val="20"/>
              </w:rPr>
            </w:pPr>
          </w:p>
        </w:tc>
      </w:tr>
      <w:tr w:rsidR="00F84089" w:rsidRPr="00FD1145" w14:paraId="2B0CED2E" w14:textId="77777777" w:rsidTr="00A50D24">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3742DC" w14:textId="77777777" w:rsidR="00F84089" w:rsidRPr="00FD1145" w:rsidRDefault="00F84089" w:rsidP="00A50D24">
            <w:pPr>
              <w:pStyle w:val="TableText0"/>
              <w:rPr>
                <w:b/>
              </w:rPr>
            </w:pPr>
            <w:r w:rsidRPr="00FD1145">
              <w:rPr>
                <w:b/>
              </w:rPr>
              <w:t>CEREBEL PFS - Subgroup for patients previously treated with trastuzumab</w:t>
            </w:r>
          </w:p>
        </w:tc>
      </w:tr>
      <w:tr w:rsidR="00F84089" w:rsidRPr="00FD1145" w14:paraId="6E2E2694"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29F3CFD6" w14:textId="77777777" w:rsidR="00F84089" w:rsidRPr="00FD1145" w:rsidRDefault="00F84089" w:rsidP="00A50D24">
            <w:pPr>
              <w:pStyle w:val="TableText0"/>
              <w:rPr>
                <w:b/>
                <w:bCs w:val="0"/>
              </w:rPr>
            </w:pPr>
            <w:r w:rsidRPr="00FD1145">
              <w:rPr>
                <w:b/>
                <w:bCs w:val="0"/>
              </w:rPr>
              <w:t>Subgroup for patients previously treated with trastuzumab</w:t>
            </w:r>
          </w:p>
        </w:tc>
        <w:tc>
          <w:tcPr>
            <w:tcW w:w="865" w:type="pct"/>
            <w:tcBorders>
              <w:top w:val="single" w:sz="4" w:space="0" w:color="auto"/>
              <w:left w:val="single" w:sz="4" w:space="0" w:color="auto"/>
              <w:bottom w:val="single" w:sz="4" w:space="0" w:color="auto"/>
              <w:right w:val="single" w:sz="4" w:space="0" w:color="auto"/>
            </w:tcBorders>
            <w:vAlign w:val="center"/>
          </w:tcPr>
          <w:p w14:paraId="0978FB38" w14:textId="77777777" w:rsidR="00F84089" w:rsidRPr="00FD1145" w:rsidRDefault="00F84089" w:rsidP="00A50D24">
            <w:pPr>
              <w:pStyle w:val="TableText0"/>
              <w:jc w:val="center"/>
              <w:rPr>
                <w:b/>
                <w:bCs w:val="0"/>
              </w:rPr>
            </w:pPr>
            <w:r w:rsidRPr="00FD1145">
              <w:rPr>
                <w:b/>
                <w:bCs w:val="0"/>
              </w:rPr>
              <w:t>Lap + Cap</w:t>
            </w:r>
          </w:p>
          <w:p w14:paraId="014A48D9" w14:textId="77777777" w:rsidR="00F84089" w:rsidRPr="00FD1145" w:rsidRDefault="00F84089" w:rsidP="00A50D24">
            <w:pPr>
              <w:pStyle w:val="TableText0"/>
              <w:jc w:val="center"/>
              <w:rPr>
                <w:b/>
                <w:bCs w:val="0"/>
              </w:rPr>
            </w:pPr>
            <w:r w:rsidRPr="00FD1145">
              <w:rPr>
                <w:b/>
                <w:bCs w:val="0"/>
              </w:rPr>
              <w:t>N=271</w:t>
            </w:r>
          </w:p>
        </w:tc>
        <w:tc>
          <w:tcPr>
            <w:tcW w:w="865" w:type="pct"/>
            <w:tcBorders>
              <w:top w:val="single" w:sz="4" w:space="0" w:color="auto"/>
              <w:left w:val="single" w:sz="4" w:space="0" w:color="auto"/>
              <w:bottom w:val="single" w:sz="4" w:space="0" w:color="auto"/>
              <w:right w:val="single" w:sz="4" w:space="0" w:color="auto"/>
            </w:tcBorders>
            <w:vAlign w:val="center"/>
          </w:tcPr>
          <w:p w14:paraId="19D95479" w14:textId="77777777" w:rsidR="00F84089" w:rsidRPr="00FD1145" w:rsidRDefault="00F84089" w:rsidP="00A50D24">
            <w:pPr>
              <w:pStyle w:val="TableText0"/>
              <w:jc w:val="center"/>
              <w:rPr>
                <w:b/>
                <w:bCs w:val="0"/>
              </w:rPr>
            </w:pPr>
            <w:r w:rsidRPr="00FD1145">
              <w:rPr>
                <w:b/>
                <w:bCs w:val="0"/>
              </w:rPr>
              <w:t>Tra +Cap</w:t>
            </w:r>
          </w:p>
          <w:p w14:paraId="418A5CCE" w14:textId="77777777" w:rsidR="00F84089" w:rsidRPr="00FD1145" w:rsidRDefault="00F84089" w:rsidP="00A50D24">
            <w:pPr>
              <w:pStyle w:val="TableText0"/>
              <w:jc w:val="center"/>
              <w:rPr>
                <w:b/>
                <w:bCs w:val="0"/>
              </w:rPr>
            </w:pPr>
            <w:r w:rsidRPr="00FD1145">
              <w:rPr>
                <w:b/>
                <w:bCs w:val="0"/>
              </w:rPr>
              <w:t>N=269</w:t>
            </w:r>
          </w:p>
        </w:tc>
        <w:tc>
          <w:tcPr>
            <w:tcW w:w="944" w:type="pct"/>
            <w:tcBorders>
              <w:top w:val="single" w:sz="4" w:space="0" w:color="auto"/>
              <w:left w:val="single" w:sz="4" w:space="0" w:color="auto"/>
              <w:bottom w:val="single" w:sz="4" w:space="0" w:color="auto"/>
              <w:right w:val="single" w:sz="4" w:space="0" w:color="auto"/>
            </w:tcBorders>
            <w:vAlign w:val="center"/>
          </w:tcPr>
          <w:p w14:paraId="74172EAD" w14:textId="77777777" w:rsidR="00F84089" w:rsidRPr="00FD1145" w:rsidRDefault="00F84089" w:rsidP="00A50D24">
            <w:pPr>
              <w:pStyle w:val="TableText0"/>
              <w:jc w:val="center"/>
              <w:rPr>
                <w:b/>
                <w:bCs w:val="0"/>
              </w:rPr>
            </w:pPr>
            <w:r w:rsidRPr="00FD1145">
              <w:rPr>
                <w:b/>
                <w:bCs w:val="0"/>
              </w:rPr>
              <w:t>Hazard ratio</w:t>
            </w:r>
          </w:p>
          <w:p w14:paraId="3866914B" w14:textId="77777777" w:rsidR="00F84089" w:rsidRPr="00FD1145" w:rsidRDefault="00F84089" w:rsidP="00A50D24">
            <w:pPr>
              <w:pStyle w:val="TableText0"/>
              <w:jc w:val="center"/>
              <w:rPr>
                <w:b/>
                <w:bCs w:val="0"/>
              </w:rPr>
            </w:pPr>
            <w:r w:rsidRPr="00FD1145">
              <w:rPr>
                <w:b/>
                <w:bCs w:val="0"/>
              </w:rPr>
              <w:t>(95% CI)</w:t>
            </w:r>
          </w:p>
        </w:tc>
        <w:tc>
          <w:tcPr>
            <w:tcW w:w="599" w:type="pct"/>
            <w:tcBorders>
              <w:top w:val="single" w:sz="4" w:space="0" w:color="auto"/>
              <w:left w:val="single" w:sz="4" w:space="0" w:color="auto"/>
              <w:bottom w:val="single" w:sz="4" w:space="0" w:color="auto"/>
              <w:right w:val="single" w:sz="4" w:space="0" w:color="auto"/>
            </w:tcBorders>
            <w:vAlign w:val="center"/>
          </w:tcPr>
          <w:p w14:paraId="51E0BA32" w14:textId="77777777" w:rsidR="00F84089" w:rsidRPr="00FD1145" w:rsidRDefault="00F84089" w:rsidP="00A50D24">
            <w:pPr>
              <w:pStyle w:val="TableText0"/>
              <w:jc w:val="center"/>
              <w:rPr>
                <w:b/>
                <w:bCs w:val="0"/>
              </w:rPr>
            </w:pPr>
            <w:r w:rsidRPr="00FD1145">
              <w:rPr>
                <w:b/>
                <w:bCs w:val="0"/>
              </w:rPr>
              <w:t>Log-rank</w:t>
            </w:r>
          </w:p>
          <w:p w14:paraId="3553E2BC" w14:textId="77777777" w:rsidR="00F84089" w:rsidRPr="00FD1145" w:rsidRDefault="00F84089" w:rsidP="00A50D24">
            <w:pPr>
              <w:pStyle w:val="TableText0"/>
              <w:jc w:val="center"/>
              <w:rPr>
                <w:b/>
                <w:bCs w:val="0"/>
              </w:rPr>
            </w:pPr>
            <w:r w:rsidRPr="00FD1145">
              <w:rPr>
                <w:b/>
                <w:bCs w:val="0"/>
              </w:rPr>
              <w:t>p-value</w:t>
            </w:r>
          </w:p>
        </w:tc>
      </w:tr>
      <w:tr w:rsidR="00F84089" w:rsidRPr="00FD1145" w14:paraId="5AE4792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7B8AE543" w14:textId="77777777" w:rsidR="00F84089" w:rsidRPr="00FD1145" w:rsidRDefault="00F84089" w:rsidP="00A50D24">
            <w:pPr>
              <w:pStyle w:val="TableText0"/>
            </w:pPr>
            <w:r w:rsidRPr="00FD1145">
              <w:t xml:space="preserve">Events, n (%) </w:t>
            </w:r>
          </w:p>
        </w:tc>
        <w:tc>
          <w:tcPr>
            <w:tcW w:w="865" w:type="pct"/>
            <w:tcBorders>
              <w:top w:val="single" w:sz="4" w:space="0" w:color="auto"/>
              <w:left w:val="single" w:sz="4" w:space="0" w:color="auto"/>
              <w:bottom w:val="single" w:sz="4" w:space="0" w:color="auto"/>
              <w:right w:val="single" w:sz="4" w:space="0" w:color="auto"/>
            </w:tcBorders>
            <w:vAlign w:val="center"/>
          </w:tcPr>
          <w:p w14:paraId="1A8A31F4" w14:textId="77777777" w:rsidR="00F84089" w:rsidRPr="00FD1145" w:rsidRDefault="00F84089" w:rsidP="00A50D24">
            <w:pPr>
              <w:pStyle w:val="TableText0"/>
              <w:jc w:val="center"/>
            </w:pPr>
            <w:r w:rsidRPr="00FD1145">
              <w:t>103/167 (62%)</w:t>
            </w:r>
          </w:p>
        </w:tc>
        <w:tc>
          <w:tcPr>
            <w:tcW w:w="865" w:type="pct"/>
            <w:tcBorders>
              <w:top w:val="single" w:sz="4" w:space="0" w:color="auto"/>
              <w:left w:val="single" w:sz="4" w:space="0" w:color="auto"/>
              <w:bottom w:val="single" w:sz="4" w:space="0" w:color="auto"/>
              <w:right w:val="single" w:sz="4" w:space="0" w:color="auto"/>
            </w:tcBorders>
            <w:vAlign w:val="center"/>
          </w:tcPr>
          <w:p w14:paraId="42AB25CC" w14:textId="77777777" w:rsidR="00F84089" w:rsidRPr="00FD1145" w:rsidRDefault="00F84089" w:rsidP="00A50D24">
            <w:pPr>
              <w:pStyle w:val="TableText0"/>
              <w:jc w:val="center"/>
            </w:pPr>
            <w:r w:rsidRPr="00FD1145">
              <w:t>86/159 (54%)</w:t>
            </w:r>
          </w:p>
        </w:tc>
        <w:tc>
          <w:tcPr>
            <w:tcW w:w="944" w:type="pct"/>
            <w:vMerge w:val="restart"/>
            <w:vAlign w:val="center"/>
          </w:tcPr>
          <w:p w14:paraId="3AD5D9E1" w14:textId="77777777" w:rsidR="00F84089" w:rsidRPr="00FD1145" w:rsidRDefault="00F84089" w:rsidP="00A50D24">
            <w:pPr>
              <w:pStyle w:val="TableText0"/>
              <w:jc w:val="center"/>
            </w:pPr>
            <w:r w:rsidRPr="00FD1145">
              <w:t>1.13 (0.85, 1.50)</w:t>
            </w:r>
          </w:p>
        </w:tc>
        <w:tc>
          <w:tcPr>
            <w:tcW w:w="599" w:type="pct"/>
            <w:vMerge w:val="restart"/>
            <w:tcBorders>
              <w:left w:val="single" w:sz="4" w:space="0" w:color="auto"/>
              <w:right w:val="single" w:sz="4" w:space="0" w:color="auto"/>
            </w:tcBorders>
            <w:vAlign w:val="center"/>
          </w:tcPr>
          <w:p w14:paraId="39144D41" w14:textId="77777777" w:rsidR="00F84089" w:rsidRPr="00FD1145" w:rsidRDefault="00F84089" w:rsidP="00A50D24">
            <w:pPr>
              <w:pStyle w:val="TableText0"/>
              <w:jc w:val="center"/>
            </w:pPr>
            <w:r w:rsidRPr="00FD1145">
              <w:t>NR</w:t>
            </w:r>
          </w:p>
        </w:tc>
      </w:tr>
      <w:tr w:rsidR="00F84089" w:rsidRPr="00FD1145" w14:paraId="3791F38A"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A088C09" w14:textId="77777777" w:rsidR="00F84089" w:rsidRPr="00FD1145" w:rsidRDefault="00F84089" w:rsidP="00A50D24">
            <w:pPr>
              <w:pStyle w:val="TableText0"/>
            </w:pPr>
            <w:r w:rsidRPr="00FD1145">
              <w:t xml:space="preserve">Median (95% CI), months </w:t>
            </w:r>
          </w:p>
        </w:tc>
        <w:tc>
          <w:tcPr>
            <w:tcW w:w="865" w:type="pct"/>
            <w:tcBorders>
              <w:top w:val="single" w:sz="4" w:space="0" w:color="auto"/>
              <w:left w:val="single" w:sz="4" w:space="0" w:color="auto"/>
              <w:bottom w:val="single" w:sz="4" w:space="0" w:color="auto"/>
              <w:right w:val="single" w:sz="4" w:space="0" w:color="auto"/>
            </w:tcBorders>
            <w:vAlign w:val="center"/>
          </w:tcPr>
          <w:p w14:paraId="04F0F7F6" w14:textId="77777777" w:rsidR="00F84089" w:rsidRPr="00FD1145" w:rsidRDefault="00F84089" w:rsidP="00A50D24">
            <w:pPr>
              <w:pStyle w:val="TableText0"/>
              <w:jc w:val="center"/>
            </w:pPr>
            <w:r w:rsidRPr="00FD1145">
              <w:t>6.6 (5.7, 8.3)</w:t>
            </w:r>
          </w:p>
        </w:tc>
        <w:tc>
          <w:tcPr>
            <w:tcW w:w="865" w:type="pct"/>
            <w:tcBorders>
              <w:top w:val="single" w:sz="4" w:space="0" w:color="auto"/>
              <w:left w:val="single" w:sz="4" w:space="0" w:color="auto"/>
              <w:bottom w:val="single" w:sz="4" w:space="0" w:color="auto"/>
              <w:right w:val="single" w:sz="4" w:space="0" w:color="auto"/>
            </w:tcBorders>
            <w:vAlign w:val="center"/>
          </w:tcPr>
          <w:p w14:paraId="2B653ECF" w14:textId="77777777" w:rsidR="00F84089" w:rsidRPr="00FD1145" w:rsidRDefault="00F84089" w:rsidP="00A50D24">
            <w:pPr>
              <w:pStyle w:val="TableText0"/>
              <w:jc w:val="center"/>
            </w:pPr>
            <w:r w:rsidRPr="00FD1145">
              <w:t>6.1 (5.7, 8.0)</w:t>
            </w:r>
          </w:p>
        </w:tc>
        <w:tc>
          <w:tcPr>
            <w:tcW w:w="944" w:type="pct"/>
            <w:vMerge/>
          </w:tcPr>
          <w:p w14:paraId="662745A4" w14:textId="77777777" w:rsidR="00F84089" w:rsidRPr="00FD1145" w:rsidRDefault="00F84089" w:rsidP="00A50D24">
            <w:pPr>
              <w:pStyle w:val="TableText0"/>
              <w:jc w:val="center"/>
              <w:rPr>
                <w:szCs w:val="20"/>
              </w:rPr>
            </w:pPr>
          </w:p>
        </w:tc>
        <w:tc>
          <w:tcPr>
            <w:tcW w:w="599" w:type="pct"/>
            <w:vMerge/>
            <w:tcBorders>
              <w:left w:val="single" w:sz="4" w:space="0" w:color="auto"/>
              <w:right w:val="single" w:sz="4" w:space="0" w:color="auto"/>
            </w:tcBorders>
            <w:vAlign w:val="center"/>
          </w:tcPr>
          <w:p w14:paraId="0BA7987F" w14:textId="77777777" w:rsidR="00F84089" w:rsidRPr="00FD1145" w:rsidRDefault="00F84089" w:rsidP="00A50D24">
            <w:pPr>
              <w:pStyle w:val="TableText0"/>
              <w:jc w:val="center"/>
              <w:rPr>
                <w:szCs w:val="20"/>
              </w:rPr>
            </w:pPr>
          </w:p>
        </w:tc>
      </w:tr>
      <w:tr w:rsidR="00F84089" w:rsidRPr="00FD1145" w14:paraId="27B18673"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7538BFD5" w14:textId="77777777" w:rsidR="00F84089" w:rsidRPr="00FD1145" w:rsidRDefault="00F84089" w:rsidP="00A50D24">
            <w:pPr>
              <w:pStyle w:val="Tabletext"/>
              <w:keepNext/>
              <w:keepLines/>
            </w:pPr>
            <w:r w:rsidRPr="00FD1145">
              <w:t>Difference in median PFS, months</w:t>
            </w:r>
          </w:p>
        </w:tc>
        <w:tc>
          <w:tcPr>
            <w:tcW w:w="1730" w:type="pct"/>
            <w:gridSpan w:val="2"/>
            <w:tcBorders>
              <w:top w:val="single" w:sz="4" w:space="0" w:color="auto"/>
              <w:left w:val="single" w:sz="4" w:space="0" w:color="auto"/>
              <w:bottom w:val="single" w:sz="4" w:space="0" w:color="auto"/>
              <w:right w:val="single" w:sz="4" w:space="0" w:color="auto"/>
            </w:tcBorders>
            <w:vAlign w:val="center"/>
          </w:tcPr>
          <w:p w14:paraId="1D245241" w14:textId="77777777" w:rsidR="00F84089" w:rsidRPr="00FD1145" w:rsidRDefault="00F84089" w:rsidP="00A50D24">
            <w:pPr>
              <w:pStyle w:val="Tabletext"/>
              <w:keepNext/>
              <w:keepLines/>
              <w:jc w:val="center"/>
            </w:pPr>
            <w:r w:rsidRPr="00FD1145">
              <w:t>0.5</w:t>
            </w:r>
          </w:p>
        </w:tc>
        <w:tc>
          <w:tcPr>
            <w:tcW w:w="944" w:type="pct"/>
            <w:vMerge/>
          </w:tcPr>
          <w:p w14:paraId="15745577" w14:textId="77777777" w:rsidR="00F84089" w:rsidRPr="00FD1145" w:rsidRDefault="00F84089" w:rsidP="00A50D24">
            <w:pPr>
              <w:keepNext/>
              <w:keepLines/>
              <w:spacing w:after="240"/>
              <w:jc w:val="center"/>
              <w:rPr>
                <w:sz w:val="20"/>
                <w:szCs w:val="20"/>
              </w:rPr>
            </w:pPr>
          </w:p>
        </w:tc>
        <w:tc>
          <w:tcPr>
            <w:tcW w:w="599" w:type="pct"/>
            <w:vMerge/>
            <w:tcBorders>
              <w:left w:val="single" w:sz="4" w:space="0" w:color="auto"/>
              <w:bottom w:val="single" w:sz="4" w:space="0" w:color="auto"/>
              <w:right w:val="single" w:sz="4" w:space="0" w:color="auto"/>
            </w:tcBorders>
            <w:vAlign w:val="center"/>
          </w:tcPr>
          <w:p w14:paraId="2AFF8582" w14:textId="77777777" w:rsidR="00F84089" w:rsidRPr="00FD1145" w:rsidRDefault="00F84089" w:rsidP="00A50D24">
            <w:pPr>
              <w:keepNext/>
              <w:keepLines/>
              <w:spacing w:after="240"/>
              <w:jc w:val="center"/>
              <w:rPr>
                <w:sz w:val="20"/>
                <w:szCs w:val="20"/>
              </w:rPr>
            </w:pPr>
          </w:p>
        </w:tc>
      </w:tr>
    </w:tbl>
    <w:p w14:paraId="607FA26C" w14:textId="77777777" w:rsidR="00F84089" w:rsidRPr="00FD1145" w:rsidRDefault="00F84089" w:rsidP="00F84089">
      <w:pPr>
        <w:pStyle w:val="TableFigureFooter"/>
      </w:pPr>
      <w:r w:rsidRPr="00FD1145">
        <w:t>Source: HER2CLIMB CSR Table 14.2.4.1, p302; Verma 2012 Primary Analysis section; Takano et al (2018) Section 3.2 Efficacy; Pivot et al (2015) Efficacy outcomes &amp; Figure 3B</w:t>
      </w:r>
    </w:p>
    <w:p w14:paraId="1B86EF5D" w14:textId="77777777" w:rsidR="00F84089" w:rsidRPr="00FD1145" w:rsidRDefault="00F84089" w:rsidP="00AE7C32">
      <w:pPr>
        <w:pStyle w:val="TableFigureFooter"/>
      </w:pPr>
      <w:r w:rsidRPr="00FD1145">
        <w:t>Abbreviations: BICR, blinded independent central review; Cap, capecitabine; CI, confidence interval; HR, hazard ratio; ICR, blinded independent central review; ITT, intention-to-treat; Lap, lapatinib; NR, not reported Pbo, placebo; PFS, progression-free survival; T-DM1, trastuzumab emtansine; Tra, trastuzumab; Tuc, tucatinib.</w:t>
      </w:r>
    </w:p>
    <w:p w14:paraId="7C9EC207" w14:textId="77777777" w:rsidR="00AE7C32" w:rsidRPr="00FD1145" w:rsidRDefault="00AE7C32" w:rsidP="00AE7C32">
      <w:pPr>
        <w:pStyle w:val="TableFigureFooter"/>
      </w:pPr>
      <w:r w:rsidRPr="00FD1145">
        <w:rPr>
          <w:shd w:val="clear" w:color="auto" w:fill="B8CCE4" w:themeFill="accent1" w:themeFillTint="66"/>
        </w:rPr>
        <w:t>Blue shading</w:t>
      </w:r>
      <w:r w:rsidRPr="00FD1145">
        <w:t xml:space="preserve"> indicates data previously seen by the PBAC.</w:t>
      </w:r>
    </w:p>
    <w:p w14:paraId="2BA8BA19" w14:textId="07A05764" w:rsidR="00D401DB" w:rsidRPr="00FD1145" w:rsidRDefault="00F84089" w:rsidP="00D401DB">
      <w:pPr>
        <w:pStyle w:val="3-BodyText"/>
      </w:pPr>
      <w:r w:rsidRPr="00FD1145">
        <w:lastRenderedPageBreak/>
        <w:t>The proportional hazard assumption was significantly violated in the EMILIA trial for PFS, however results from the HR NMAs and fractional polynomial NMAs were consistent.</w:t>
      </w:r>
      <w:r w:rsidR="00D401DB" w:rsidRPr="00FD1145">
        <w:t xml:space="preserve"> </w:t>
      </w:r>
    </w:p>
    <w:p w14:paraId="77AAB3DC" w14:textId="5407A6AA" w:rsidR="00F84089" w:rsidRPr="00FD1145" w:rsidRDefault="00BA2B80" w:rsidP="00F84089">
      <w:pPr>
        <w:pStyle w:val="3-BodyText"/>
      </w:pPr>
      <w:r w:rsidRPr="00FD1145">
        <w:t xml:space="preserve">Results from the NMA indicate that </w:t>
      </w:r>
      <w:r w:rsidR="00F84089" w:rsidRPr="00FD1145">
        <w:t xml:space="preserve">PFS for tucatinib combination therapy was significantly better than all other treatments in the model other than T-DM1 </w:t>
      </w:r>
      <w:r w:rsidR="00A8021E" w:rsidRPr="00FD1145">
        <w:t>where there was no significant difference</w:t>
      </w:r>
      <w:r w:rsidR="00A24E1F" w:rsidRPr="00FD1145">
        <w:t xml:space="preserve"> versus tucatinib</w:t>
      </w:r>
      <w:r w:rsidR="00A8021E" w:rsidRPr="00FD1145">
        <w:t xml:space="preserve"> </w:t>
      </w:r>
      <w:r w:rsidR="00F84089" w:rsidRPr="00FD1145">
        <w:t>(HR</w:t>
      </w:r>
      <w:r w:rsidR="00312E25" w:rsidRPr="00FD1145">
        <w:t xml:space="preserve">, fixed effects: </w:t>
      </w:r>
      <w:r w:rsidR="00F84089" w:rsidRPr="00FD1145">
        <w:t>0.86,</w:t>
      </w:r>
      <w:r w:rsidR="00BB5F7A">
        <w:t> </w:t>
      </w:r>
      <w:r w:rsidR="00F84089" w:rsidRPr="00FD1145">
        <w:t>95% credible intervals (</w:t>
      </w:r>
      <w:proofErr w:type="spellStart"/>
      <w:r w:rsidR="00F84089" w:rsidRPr="00FD1145">
        <w:t>CrI</w:t>
      </w:r>
      <w:proofErr w:type="spellEnd"/>
      <w:r w:rsidR="00F84089" w:rsidRPr="00FD1145">
        <w:t>) 0.60, 1.22, p=0.3973)</w:t>
      </w:r>
      <w:r w:rsidR="00AE68A9" w:rsidRPr="00FD1145">
        <w:t>.</w:t>
      </w:r>
    </w:p>
    <w:p w14:paraId="51BA4EB9" w14:textId="618FF374" w:rsidR="00F84089" w:rsidRPr="00FD1145" w:rsidRDefault="00F84089" w:rsidP="00F84089">
      <w:pPr>
        <w:pStyle w:val="3-BodyText"/>
        <w:rPr>
          <w:color w:val="0066FF"/>
        </w:rPr>
      </w:pPr>
      <w:r w:rsidRPr="00FD1145">
        <w:t xml:space="preserve">A summary of OS data from the trials in the NMA relevant to the ITC of tucatinib combination therapy with T-DM1 is presented in </w:t>
      </w:r>
      <w:r w:rsidRPr="00FD1145">
        <w:fldChar w:fldCharType="begin"/>
      </w:r>
      <w:r w:rsidRPr="00FD1145">
        <w:instrText xml:space="preserve"> REF _Ref206073960 \h </w:instrText>
      </w:r>
      <w:r w:rsidR="00C33092" w:rsidRPr="00FD1145">
        <w:instrText xml:space="preserve"> \* MERGEFORMAT </w:instrText>
      </w:r>
      <w:r w:rsidRPr="00FD1145">
        <w:fldChar w:fldCharType="separate"/>
      </w:r>
      <w:r w:rsidR="009B3037" w:rsidRPr="00FD1145">
        <w:t xml:space="preserve">Table </w:t>
      </w:r>
      <w:r w:rsidR="009B3037">
        <w:rPr>
          <w:noProof/>
        </w:rPr>
        <w:t>10</w:t>
      </w:r>
      <w:r w:rsidRPr="00FD1145">
        <w:fldChar w:fldCharType="end"/>
      </w:r>
      <w:r w:rsidRPr="00FD1145">
        <w:t>.</w:t>
      </w:r>
    </w:p>
    <w:p w14:paraId="736AFE3F" w14:textId="06E1ACB5" w:rsidR="00F84089" w:rsidRPr="00FD1145" w:rsidRDefault="00F84089" w:rsidP="00FB03D5">
      <w:pPr>
        <w:pStyle w:val="Caption"/>
      </w:pPr>
      <w:bookmarkStart w:id="49" w:name="_Ref206073960"/>
      <w:r w:rsidRPr="00FD1145">
        <w:t xml:space="preserve">Table </w:t>
      </w:r>
      <w:r w:rsidR="007000FA">
        <w:fldChar w:fldCharType="begin"/>
      </w:r>
      <w:r w:rsidR="007000FA">
        <w:instrText xml:space="preserve"> SEQ Table \* ARABIC </w:instrText>
      </w:r>
      <w:r w:rsidR="007000FA">
        <w:fldChar w:fldCharType="separate"/>
      </w:r>
      <w:r w:rsidR="009B3037">
        <w:rPr>
          <w:noProof/>
        </w:rPr>
        <w:t>10</w:t>
      </w:r>
      <w:r w:rsidR="007000FA">
        <w:rPr>
          <w:noProof/>
        </w:rPr>
        <w:fldChar w:fldCharType="end"/>
      </w:r>
      <w:bookmarkEnd w:id="49"/>
      <w:r w:rsidRPr="00FD1145">
        <w:t>: Summary of OS data from relevant trials in the NMA</w:t>
      </w:r>
    </w:p>
    <w:tbl>
      <w:tblPr>
        <w:tblStyle w:val="TableGrid"/>
        <w:tblW w:w="5000" w:type="pct"/>
        <w:tblLook w:val="04A0" w:firstRow="1" w:lastRow="0" w:firstColumn="1" w:lastColumn="0" w:noHBand="0" w:noVBand="1"/>
        <w:tblCaption w:val="Summary of OS data from relevant trials in the NMA"/>
      </w:tblPr>
      <w:tblGrid>
        <w:gridCol w:w="3114"/>
        <w:gridCol w:w="1700"/>
        <w:gridCol w:w="1560"/>
        <w:gridCol w:w="1562"/>
        <w:gridCol w:w="1080"/>
      </w:tblGrid>
      <w:tr w:rsidR="00F84089" w:rsidRPr="00FD1145" w14:paraId="669E726D" w14:textId="77777777" w:rsidTr="006D5D57">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A8BE6E" w14:textId="77777777" w:rsidR="00F84089" w:rsidRPr="00FD1145" w:rsidRDefault="00F84089" w:rsidP="00FB03D5">
            <w:pPr>
              <w:pStyle w:val="In-tableHeading"/>
            </w:pPr>
            <w:r w:rsidRPr="00FD1145">
              <w:t>HER2CLIMB OS (Primary analysis 04 September 2019) – used in NMA</w:t>
            </w:r>
          </w:p>
        </w:tc>
      </w:tr>
      <w:tr w:rsidR="00F84089" w:rsidRPr="00FD1145" w14:paraId="100868A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98B216" w14:textId="33A94884" w:rsidR="00F84089" w:rsidRPr="00FD1145" w:rsidRDefault="00F84089" w:rsidP="00FB03D5">
            <w:pPr>
              <w:pStyle w:val="TableFigureHeading"/>
              <w:keepLines/>
              <w:rPr>
                <w:vertAlign w:val="superscript"/>
              </w:rPr>
            </w:pPr>
            <w:r w:rsidRPr="00FD1145">
              <w:t>ITT OS population</w:t>
            </w:r>
            <w:r w:rsidR="00D81E20" w:rsidRPr="00FD1145">
              <w:t xml:space="preserve"> </w:t>
            </w:r>
            <w:r w:rsidR="00D81E20" w:rsidRPr="00FD1145">
              <w:rPr>
                <w:vertAlign w:val="superscript"/>
              </w:rPr>
              <w:t>a</w:t>
            </w:r>
          </w:p>
        </w:tc>
        <w:tc>
          <w:tcPr>
            <w:tcW w:w="943"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7F4E4CF" w14:textId="77777777" w:rsidR="00F84089" w:rsidRPr="00FD1145" w:rsidRDefault="00F84089" w:rsidP="00FB03D5">
            <w:pPr>
              <w:pStyle w:val="TableFigureHeading"/>
              <w:keepLines/>
              <w:jc w:val="center"/>
            </w:pPr>
            <w:r w:rsidRPr="00FD1145">
              <w:t>Tuc + Cap + Tra</w:t>
            </w:r>
          </w:p>
          <w:p w14:paraId="38FACBD7" w14:textId="77777777" w:rsidR="00F84089" w:rsidRPr="00FD1145" w:rsidRDefault="00F84089" w:rsidP="00FB03D5">
            <w:pPr>
              <w:pStyle w:val="TableFigureHeading"/>
              <w:keepLines/>
              <w:jc w:val="center"/>
            </w:pPr>
            <w:r w:rsidRPr="00FD1145">
              <w:t>N=410</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86ACD80" w14:textId="77777777" w:rsidR="00F84089" w:rsidRPr="00FD1145" w:rsidRDefault="00F84089" w:rsidP="00FB03D5">
            <w:pPr>
              <w:pStyle w:val="TableFigureHeading"/>
              <w:keepLines/>
              <w:jc w:val="center"/>
            </w:pPr>
            <w:r w:rsidRPr="00FD1145">
              <w:t>Pbo + Cap + Tra</w:t>
            </w:r>
          </w:p>
          <w:p w14:paraId="045A6B8A" w14:textId="77777777" w:rsidR="00F84089" w:rsidRPr="00FD1145" w:rsidRDefault="00F84089" w:rsidP="00FB03D5">
            <w:pPr>
              <w:pStyle w:val="TableFigureHeading"/>
              <w:keepLines/>
              <w:jc w:val="center"/>
            </w:pPr>
            <w:r w:rsidRPr="00FD1145">
              <w:t>N=202</w:t>
            </w:r>
          </w:p>
        </w:tc>
        <w:tc>
          <w:tcPr>
            <w:tcW w:w="866"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1BDC3DEA" w14:textId="77777777" w:rsidR="00F84089" w:rsidRPr="00FD1145" w:rsidRDefault="00F84089" w:rsidP="00FB03D5">
            <w:pPr>
              <w:pStyle w:val="TableFigureHeading"/>
              <w:keepLines/>
              <w:jc w:val="center"/>
              <w:rPr>
                <w:vertAlign w:val="superscript"/>
              </w:rPr>
            </w:pPr>
            <w:r w:rsidRPr="00FD1145">
              <w:t xml:space="preserve">Hazard ratio </w:t>
            </w:r>
            <w:r w:rsidRPr="00FD1145">
              <w:rPr>
                <w:vertAlign w:val="superscript"/>
              </w:rPr>
              <w:t>b</w:t>
            </w:r>
          </w:p>
          <w:p w14:paraId="6B3FF6FF" w14:textId="77777777" w:rsidR="00F84089" w:rsidRPr="00FD1145" w:rsidRDefault="00F84089" w:rsidP="00FB03D5">
            <w:pPr>
              <w:pStyle w:val="TableFigureHeading"/>
              <w:keepLines/>
              <w:jc w:val="center"/>
            </w:pPr>
            <w:r w:rsidRPr="00FD1145">
              <w:t>(95% CI)</w:t>
            </w:r>
          </w:p>
        </w:tc>
        <w:tc>
          <w:tcPr>
            <w:tcW w:w="599"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0FF38F4C" w14:textId="77777777" w:rsidR="00F84089" w:rsidRPr="00FD1145" w:rsidRDefault="00F84089" w:rsidP="00FB03D5">
            <w:pPr>
              <w:pStyle w:val="TableFigureHeading"/>
              <w:keepLines/>
              <w:jc w:val="center"/>
            </w:pPr>
            <w:r w:rsidRPr="00FD1145">
              <w:t>One sided</w:t>
            </w:r>
          </w:p>
          <w:p w14:paraId="0DCD176D" w14:textId="77777777" w:rsidR="00F84089" w:rsidRPr="00FD1145" w:rsidRDefault="00F84089" w:rsidP="00FB03D5">
            <w:pPr>
              <w:pStyle w:val="TableFigureHeading"/>
              <w:keepLines/>
              <w:jc w:val="center"/>
            </w:pPr>
            <w:r w:rsidRPr="00FD1145">
              <w:t>p-value</w:t>
            </w:r>
          </w:p>
        </w:tc>
      </w:tr>
      <w:tr w:rsidR="00F84089" w:rsidRPr="00FD1145" w14:paraId="720B7169"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DA356B0" w14:textId="77777777" w:rsidR="00F84089" w:rsidRPr="00FD1145" w:rsidRDefault="00F84089" w:rsidP="00FB03D5">
            <w:pPr>
              <w:pStyle w:val="Tabletext"/>
              <w:keepNext/>
              <w:keepLines/>
              <w:rPr>
                <w:vertAlign w:val="superscript"/>
              </w:rPr>
            </w:pPr>
            <w:r w:rsidRPr="00FD1145">
              <w:t xml:space="preserve">Events, n (%) </w:t>
            </w:r>
          </w:p>
        </w:tc>
        <w:tc>
          <w:tcPr>
            <w:tcW w:w="9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E41621F" w14:textId="77777777" w:rsidR="00F84089" w:rsidRPr="00FD1145" w:rsidRDefault="00F84089" w:rsidP="00FB03D5">
            <w:pPr>
              <w:pStyle w:val="Tabletext"/>
              <w:keepNext/>
              <w:keepLines/>
              <w:jc w:val="center"/>
            </w:pPr>
            <w:r w:rsidRPr="00FD1145">
              <w:t>130 (31.7)</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5E2457" w14:textId="77777777" w:rsidR="00F84089" w:rsidRPr="00FD1145" w:rsidRDefault="00F84089" w:rsidP="00FB03D5">
            <w:pPr>
              <w:pStyle w:val="Tabletext"/>
              <w:keepNext/>
              <w:keepLines/>
              <w:jc w:val="center"/>
            </w:pPr>
            <w:r w:rsidRPr="00FD1145">
              <w:t>85 (42.1)</w:t>
            </w:r>
          </w:p>
        </w:tc>
        <w:tc>
          <w:tcPr>
            <w:tcW w:w="866"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A4F8CA" w14:textId="77777777" w:rsidR="00F84089" w:rsidRPr="00FD1145" w:rsidRDefault="00F84089" w:rsidP="00FB03D5">
            <w:pPr>
              <w:pStyle w:val="Tabletext"/>
              <w:keepNext/>
              <w:keepLines/>
              <w:jc w:val="center"/>
            </w:pPr>
            <w:r w:rsidRPr="00FD1145">
              <w:t>0.66 (0.50, 0.88)</w:t>
            </w:r>
          </w:p>
        </w:tc>
        <w:tc>
          <w:tcPr>
            <w:tcW w:w="599" w:type="pct"/>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6E95FC1" w14:textId="77777777" w:rsidR="00F84089" w:rsidRPr="00FD1145" w:rsidRDefault="00F84089" w:rsidP="00FB03D5">
            <w:pPr>
              <w:pStyle w:val="Tabletext"/>
              <w:keepNext/>
              <w:keepLines/>
              <w:jc w:val="center"/>
            </w:pPr>
            <w:r w:rsidRPr="00FD1145">
              <w:t>0.0048</w:t>
            </w:r>
          </w:p>
        </w:tc>
      </w:tr>
      <w:tr w:rsidR="00F84089" w:rsidRPr="00FD1145" w14:paraId="3FC3D5C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3C0AC48D" w14:textId="77777777" w:rsidR="00F84089" w:rsidRPr="00FD1145" w:rsidRDefault="00F84089" w:rsidP="00FB03D5">
            <w:pPr>
              <w:pStyle w:val="Tabletext"/>
              <w:keepNext/>
              <w:keepLines/>
              <w:rPr>
                <w:vertAlign w:val="superscript"/>
              </w:rPr>
            </w:pPr>
            <w:r w:rsidRPr="00FD1145">
              <w:t xml:space="preserve">Median (95% CI), months </w:t>
            </w:r>
          </w:p>
        </w:tc>
        <w:tc>
          <w:tcPr>
            <w:tcW w:w="943"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423355C" w14:textId="77777777" w:rsidR="00F84089" w:rsidRPr="00FD1145" w:rsidRDefault="00F84089" w:rsidP="00FB03D5">
            <w:pPr>
              <w:pStyle w:val="Tabletext"/>
              <w:keepNext/>
              <w:keepLines/>
              <w:jc w:val="center"/>
            </w:pPr>
            <w:r w:rsidRPr="00FD1145">
              <w:t>21.9 (18.3, 31.0)</w:t>
            </w:r>
          </w:p>
        </w:tc>
        <w:tc>
          <w:tcPr>
            <w:tcW w:w="865" w:type="pct"/>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5C2BF9F" w14:textId="77777777" w:rsidR="00F84089" w:rsidRPr="00FD1145" w:rsidRDefault="00F84089" w:rsidP="00FB03D5">
            <w:pPr>
              <w:pStyle w:val="Tabletext"/>
              <w:keepNext/>
              <w:keepLines/>
              <w:jc w:val="center"/>
            </w:pPr>
            <w:r w:rsidRPr="00FD1145">
              <w:t>17.4 (13.6, 19.9)</w:t>
            </w:r>
          </w:p>
        </w:tc>
        <w:tc>
          <w:tcPr>
            <w:tcW w:w="86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2B3E0F41" w14:textId="77777777" w:rsidR="00F84089" w:rsidRPr="00FD1145" w:rsidRDefault="00F84089" w:rsidP="00FB03D5">
            <w:pPr>
              <w:keepNext/>
              <w:keepLines/>
              <w:spacing w:after="240"/>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6DBF7F3" w14:textId="77777777" w:rsidR="00F84089" w:rsidRPr="00FD1145" w:rsidRDefault="00F84089" w:rsidP="00FB03D5">
            <w:pPr>
              <w:keepNext/>
              <w:keepLines/>
              <w:spacing w:after="240"/>
              <w:rPr>
                <w:sz w:val="20"/>
                <w:szCs w:val="20"/>
              </w:rPr>
            </w:pPr>
          </w:p>
        </w:tc>
      </w:tr>
      <w:tr w:rsidR="00F84089" w:rsidRPr="00FD1145" w14:paraId="3D0CE76C"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56EC3AF5" w14:textId="77777777" w:rsidR="00F84089" w:rsidRPr="00FD1145" w:rsidRDefault="00F84089" w:rsidP="00FB03D5">
            <w:pPr>
              <w:pStyle w:val="Tabletext"/>
              <w:keepNext/>
              <w:keepLines/>
            </w:pPr>
            <w:r w:rsidRPr="00FD1145">
              <w:t>Difference in median OS, months</w:t>
            </w:r>
          </w:p>
        </w:tc>
        <w:tc>
          <w:tcPr>
            <w:tcW w:w="180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F9EADC8" w14:textId="77777777" w:rsidR="00F84089" w:rsidRPr="00FD1145" w:rsidRDefault="00F84089" w:rsidP="00FB03D5">
            <w:pPr>
              <w:pStyle w:val="Tabletext"/>
              <w:keepNext/>
              <w:keepLines/>
              <w:jc w:val="center"/>
            </w:pPr>
            <w:r w:rsidRPr="00FD1145">
              <w:t>4.5</w:t>
            </w:r>
          </w:p>
        </w:tc>
        <w:tc>
          <w:tcPr>
            <w:tcW w:w="866" w:type="pct"/>
            <w:vMerge/>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57DB742" w14:textId="77777777" w:rsidR="00F84089" w:rsidRPr="00FD1145" w:rsidRDefault="00F84089" w:rsidP="00FB03D5">
            <w:pPr>
              <w:keepNext/>
              <w:keepLines/>
              <w:spacing w:after="240"/>
              <w:rPr>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2EC4482" w14:textId="77777777" w:rsidR="00F84089" w:rsidRPr="00FD1145" w:rsidRDefault="00F84089" w:rsidP="00FB03D5">
            <w:pPr>
              <w:keepNext/>
              <w:keepLines/>
              <w:spacing w:after="240"/>
              <w:rPr>
                <w:sz w:val="20"/>
                <w:szCs w:val="20"/>
              </w:rPr>
            </w:pPr>
          </w:p>
        </w:tc>
      </w:tr>
      <w:tr w:rsidR="00694885" w:rsidRPr="00FD1145" w14:paraId="578DA1EA" w14:textId="77777777" w:rsidTr="00694885">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4DA58CD" w14:textId="0D9B16C5" w:rsidR="00694885" w:rsidRPr="00FD1145" w:rsidRDefault="00694885" w:rsidP="00FB03D5">
            <w:pPr>
              <w:pStyle w:val="TableFigureHeading"/>
              <w:keepLines/>
            </w:pPr>
            <w:r w:rsidRPr="00FD1145">
              <w:t>EMILIA OS (</w:t>
            </w:r>
            <w:r w:rsidR="00785241" w:rsidRPr="00FD1145">
              <w:t>second interim analysis)</w:t>
            </w:r>
          </w:p>
        </w:tc>
      </w:tr>
      <w:tr w:rsidR="00F84089" w:rsidRPr="00FD1145" w14:paraId="7AD0C2DE"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01CB482" w14:textId="77777777" w:rsidR="00F84089" w:rsidRPr="00FD1145" w:rsidRDefault="00F84089" w:rsidP="00FB03D5">
            <w:pPr>
              <w:pStyle w:val="TableFigureHeading"/>
              <w:keepLines/>
            </w:pPr>
            <w:r w:rsidRPr="00FD1145">
              <w:t>ITT population</w:t>
            </w:r>
          </w:p>
        </w:tc>
        <w:tc>
          <w:tcPr>
            <w:tcW w:w="943" w:type="pct"/>
            <w:tcBorders>
              <w:top w:val="single" w:sz="4" w:space="0" w:color="auto"/>
              <w:left w:val="single" w:sz="4" w:space="0" w:color="auto"/>
              <w:bottom w:val="single" w:sz="4" w:space="0" w:color="auto"/>
              <w:right w:val="single" w:sz="4" w:space="0" w:color="auto"/>
            </w:tcBorders>
            <w:vAlign w:val="center"/>
          </w:tcPr>
          <w:p w14:paraId="68459B77" w14:textId="77777777" w:rsidR="00F84089" w:rsidRPr="00FD1145" w:rsidRDefault="00F84089" w:rsidP="00FB03D5">
            <w:pPr>
              <w:pStyle w:val="TableFigureHeading"/>
              <w:keepLines/>
              <w:jc w:val="center"/>
            </w:pPr>
            <w:r w:rsidRPr="00FD1145">
              <w:t>T-DM1</w:t>
            </w:r>
          </w:p>
          <w:p w14:paraId="516A25EF" w14:textId="77777777" w:rsidR="00F84089" w:rsidRPr="00FD1145" w:rsidRDefault="00F84089" w:rsidP="00FB03D5">
            <w:pPr>
              <w:pStyle w:val="TableFigureHeading"/>
              <w:keepLines/>
              <w:jc w:val="center"/>
            </w:pPr>
            <w:r w:rsidRPr="00FD1145">
              <w:t>N=495</w:t>
            </w:r>
          </w:p>
        </w:tc>
        <w:tc>
          <w:tcPr>
            <w:tcW w:w="865" w:type="pct"/>
            <w:tcBorders>
              <w:top w:val="single" w:sz="4" w:space="0" w:color="auto"/>
              <w:left w:val="single" w:sz="4" w:space="0" w:color="auto"/>
              <w:bottom w:val="single" w:sz="4" w:space="0" w:color="auto"/>
              <w:right w:val="single" w:sz="4" w:space="0" w:color="auto"/>
            </w:tcBorders>
            <w:vAlign w:val="center"/>
          </w:tcPr>
          <w:p w14:paraId="703E13CB" w14:textId="77777777" w:rsidR="00F84089" w:rsidRPr="00FD1145" w:rsidRDefault="00F84089" w:rsidP="00FB03D5">
            <w:pPr>
              <w:pStyle w:val="TableFigureHeading"/>
              <w:keepLines/>
              <w:jc w:val="center"/>
            </w:pPr>
            <w:r w:rsidRPr="00FD1145">
              <w:t>Lap + Cap</w:t>
            </w:r>
          </w:p>
          <w:p w14:paraId="188A4803" w14:textId="77777777" w:rsidR="00F84089" w:rsidRPr="00FD1145" w:rsidRDefault="00F84089" w:rsidP="00FB03D5">
            <w:pPr>
              <w:pStyle w:val="TableFigureHeading"/>
              <w:keepLines/>
              <w:jc w:val="center"/>
            </w:pPr>
            <w:r w:rsidRPr="00FD1145">
              <w:t>N=496</w:t>
            </w:r>
          </w:p>
        </w:tc>
        <w:tc>
          <w:tcPr>
            <w:tcW w:w="866" w:type="pct"/>
            <w:tcBorders>
              <w:top w:val="single" w:sz="4" w:space="0" w:color="auto"/>
              <w:left w:val="single" w:sz="4" w:space="0" w:color="auto"/>
              <w:bottom w:val="single" w:sz="4" w:space="0" w:color="auto"/>
              <w:right w:val="single" w:sz="4" w:space="0" w:color="auto"/>
            </w:tcBorders>
            <w:vAlign w:val="center"/>
          </w:tcPr>
          <w:p w14:paraId="0BF958E9" w14:textId="77777777" w:rsidR="00F84089" w:rsidRPr="00FD1145" w:rsidRDefault="00F84089" w:rsidP="00FB03D5">
            <w:pPr>
              <w:pStyle w:val="TableFigureHeading"/>
              <w:keepLines/>
              <w:jc w:val="center"/>
            </w:pPr>
            <w:r w:rsidRPr="00FD1145">
              <w:t>Hazard ratio</w:t>
            </w:r>
          </w:p>
          <w:p w14:paraId="77D4907F" w14:textId="77777777" w:rsidR="00F84089" w:rsidRPr="00FD1145" w:rsidRDefault="00F84089" w:rsidP="00FB03D5">
            <w:pPr>
              <w:pStyle w:val="TableFigureHeading"/>
              <w:keepLines/>
              <w:jc w:val="center"/>
            </w:pPr>
            <w:r w:rsidRPr="00FD1145">
              <w:t>(95% CI)</w:t>
            </w:r>
          </w:p>
        </w:tc>
        <w:tc>
          <w:tcPr>
            <w:tcW w:w="0" w:type="auto"/>
            <w:tcBorders>
              <w:top w:val="single" w:sz="4" w:space="0" w:color="auto"/>
              <w:left w:val="single" w:sz="4" w:space="0" w:color="auto"/>
              <w:bottom w:val="single" w:sz="4" w:space="0" w:color="auto"/>
              <w:right w:val="single" w:sz="4" w:space="0" w:color="auto"/>
            </w:tcBorders>
            <w:vAlign w:val="center"/>
          </w:tcPr>
          <w:p w14:paraId="30B85EA2" w14:textId="77777777" w:rsidR="00F84089" w:rsidRPr="00FD1145" w:rsidRDefault="00F84089" w:rsidP="00FB03D5">
            <w:pPr>
              <w:pStyle w:val="TableFigureHeading"/>
              <w:keepLines/>
              <w:jc w:val="center"/>
            </w:pPr>
            <w:r w:rsidRPr="00FD1145">
              <w:t>One sided</w:t>
            </w:r>
          </w:p>
          <w:p w14:paraId="2C13487E" w14:textId="77777777" w:rsidR="00F84089" w:rsidRPr="00FD1145" w:rsidRDefault="00F84089" w:rsidP="00FB03D5">
            <w:pPr>
              <w:pStyle w:val="TableFigureHeading"/>
              <w:keepLines/>
              <w:jc w:val="center"/>
            </w:pPr>
            <w:r w:rsidRPr="00FD1145">
              <w:t>p-value</w:t>
            </w:r>
          </w:p>
        </w:tc>
      </w:tr>
      <w:tr w:rsidR="00F84089" w:rsidRPr="00FD1145" w14:paraId="2BEEA673"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35D0A839" w14:textId="77777777" w:rsidR="00F84089" w:rsidRPr="00FD1145" w:rsidRDefault="00F84089" w:rsidP="00FB03D5">
            <w:pPr>
              <w:pStyle w:val="Tabletext"/>
              <w:keepNext/>
              <w:keepLines/>
            </w:pPr>
            <w:r w:rsidRPr="00FD1145">
              <w:t xml:space="preserve">Events, n (%) </w:t>
            </w:r>
          </w:p>
        </w:tc>
        <w:tc>
          <w:tcPr>
            <w:tcW w:w="943" w:type="pct"/>
            <w:tcBorders>
              <w:top w:val="single" w:sz="4" w:space="0" w:color="auto"/>
              <w:left w:val="single" w:sz="4" w:space="0" w:color="auto"/>
              <w:bottom w:val="single" w:sz="4" w:space="0" w:color="auto"/>
              <w:right w:val="single" w:sz="4" w:space="0" w:color="auto"/>
            </w:tcBorders>
          </w:tcPr>
          <w:p w14:paraId="20D26A00" w14:textId="77777777" w:rsidR="00F84089" w:rsidRPr="00FD1145" w:rsidRDefault="00F84089" w:rsidP="00FB03D5">
            <w:pPr>
              <w:pStyle w:val="Tabletext"/>
              <w:keepNext/>
              <w:keepLines/>
              <w:jc w:val="center"/>
            </w:pPr>
            <w:r w:rsidRPr="00FD1145">
              <w:t>149 (30.1)</w:t>
            </w:r>
          </w:p>
        </w:tc>
        <w:tc>
          <w:tcPr>
            <w:tcW w:w="865" w:type="pct"/>
            <w:tcBorders>
              <w:top w:val="single" w:sz="4" w:space="0" w:color="auto"/>
              <w:left w:val="single" w:sz="4" w:space="0" w:color="auto"/>
              <w:bottom w:val="single" w:sz="4" w:space="0" w:color="auto"/>
              <w:right w:val="single" w:sz="4" w:space="0" w:color="auto"/>
            </w:tcBorders>
          </w:tcPr>
          <w:p w14:paraId="43394CEE" w14:textId="77777777" w:rsidR="00F84089" w:rsidRPr="00FD1145" w:rsidRDefault="00F84089" w:rsidP="00FB03D5">
            <w:pPr>
              <w:pStyle w:val="Tabletext"/>
              <w:keepNext/>
              <w:keepLines/>
              <w:jc w:val="center"/>
            </w:pPr>
            <w:r w:rsidRPr="00FD1145">
              <w:t>182 (36.7)</w:t>
            </w:r>
          </w:p>
        </w:tc>
        <w:tc>
          <w:tcPr>
            <w:tcW w:w="866" w:type="pct"/>
            <w:vMerge w:val="restart"/>
            <w:tcBorders>
              <w:top w:val="single" w:sz="4" w:space="0" w:color="auto"/>
              <w:left w:val="single" w:sz="4" w:space="0" w:color="auto"/>
              <w:bottom w:val="single" w:sz="4" w:space="0" w:color="auto"/>
              <w:right w:val="single" w:sz="4" w:space="0" w:color="auto"/>
            </w:tcBorders>
            <w:vAlign w:val="center"/>
          </w:tcPr>
          <w:p w14:paraId="08491284" w14:textId="77777777" w:rsidR="00F84089" w:rsidRPr="00FD1145" w:rsidRDefault="00F84089" w:rsidP="00FB03D5">
            <w:pPr>
              <w:pStyle w:val="Tabletext"/>
              <w:keepNext/>
              <w:keepLines/>
              <w:jc w:val="center"/>
            </w:pPr>
            <w:r w:rsidRPr="00FD1145">
              <w:t>0.68 (0.55, 0.85)</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76581370" w14:textId="77777777" w:rsidR="00F84089" w:rsidRPr="00FD1145" w:rsidRDefault="00F84089" w:rsidP="00FB03D5">
            <w:pPr>
              <w:pStyle w:val="Tabletext"/>
              <w:keepNext/>
              <w:keepLines/>
              <w:jc w:val="center"/>
            </w:pPr>
            <w:r w:rsidRPr="00FD1145">
              <w:t>&lt;0.001</w:t>
            </w:r>
          </w:p>
        </w:tc>
      </w:tr>
      <w:tr w:rsidR="00F84089" w:rsidRPr="00FD1145" w14:paraId="18F58ED9"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7D745FDE" w14:textId="77777777" w:rsidR="00F84089" w:rsidRPr="00FD1145" w:rsidRDefault="00F84089" w:rsidP="00FB03D5">
            <w:pPr>
              <w:pStyle w:val="Tabletext"/>
              <w:keepNext/>
              <w:keepLines/>
            </w:pPr>
            <w:r w:rsidRPr="00FD1145">
              <w:t xml:space="preserve">Median (95% CI), months </w:t>
            </w:r>
          </w:p>
        </w:tc>
        <w:tc>
          <w:tcPr>
            <w:tcW w:w="943" w:type="pct"/>
            <w:tcBorders>
              <w:top w:val="single" w:sz="4" w:space="0" w:color="auto"/>
              <w:left w:val="single" w:sz="4" w:space="0" w:color="auto"/>
              <w:bottom w:val="single" w:sz="4" w:space="0" w:color="auto"/>
              <w:right w:val="single" w:sz="4" w:space="0" w:color="auto"/>
            </w:tcBorders>
          </w:tcPr>
          <w:p w14:paraId="748EBC89" w14:textId="77777777" w:rsidR="00F84089" w:rsidRPr="00FD1145" w:rsidRDefault="00F84089" w:rsidP="00FB03D5">
            <w:pPr>
              <w:pStyle w:val="Tabletext"/>
              <w:keepNext/>
              <w:keepLines/>
              <w:jc w:val="center"/>
            </w:pPr>
            <w:r w:rsidRPr="00FD1145">
              <w:t>30.9 (NR)</w:t>
            </w:r>
          </w:p>
        </w:tc>
        <w:tc>
          <w:tcPr>
            <w:tcW w:w="865" w:type="pct"/>
            <w:tcBorders>
              <w:top w:val="single" w:sz="4" w:space="0" w:color="auto"/>
              <w:left w:val="single" w:sz="4" w:space="0" w:color="auto"/>
              <w:bottom w:val="single" w:sz="4" w:space="0" w:color="auto"/>
              <w:right w:val="single" w:sz="4" w:space="0" w:color="auto"/>
            </w:tcBorders>
          </w:tcPr>
          <w:p w14:paraId="22E3BB66" w14:textId="77777777" w:rsidR="00F84089" w:rsidRPr="00FD1145" w:rsidRDefault="00F84089" w:rsidP="00FB03D5">
            <w:pPr>
              <w:pStyle w:val="Tabletext"/>
              <w:keepNext/>
              <w:keepLines/>
              <w:jc w:val="center"/>
            </w:pPr>
            <w:r w:rsidRPr="00FD1145">
              <w:t>25.1 (NR)</w:t>
            </w:r>
          </w:p>
        </w:tc>
        <w:tc>
          <w:tcPr>
            <w:tcW w:w="866" w:type="pct"/>
            <w:vMerge/>
            <w:tcBorders>
              <w:left w:val="single" w:sz="4" w:space="0" w:color="auto"/>
              <w:right w:val="single" w:sz="4" w:space="0" w:color="auto"/>
            </w:tcBorders>
            <w:vAlign w:val="center"/>
          </w:tcPr>
          <w:p w14:paraId="1598F3A0"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27C7041D" w14:textId="77777777" w:rsidR="00F84089" w:rsidRPr="00FD1145" w:rsidRDefault="00F84089" w:rsidP="00FB03D5">
            <w:pPr>
              <w:keepNext/>
              <w:keepLines/>
              <w:spacing w:after="240"/>
              <w:rPr>
                <w:sz w:val="20"/>
                <w:szCs w:val="20"/>
              </w:rPr>
            </w:pPr>
          </w:p>
        </w:tc>
      </w:tr>
      <w:tr w:rsidR="00F84089" w:rsidRPr="00FD1145" w14:paraId="06C76B43"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1F75EB28" w14:textId="77777777" w:rsidR="00F84089" w:rsidRPr="00FD1145" w:rsidRDefault="00F84089" w:rsidP="00FB03D5">
            <w:pPr>
              <w:pStyle w:val="Tabletext"/>
              <w:keepNext/>
              <w:keepLines/>
            </w:pPr>
            <w:r w:rsidRPr="00FD1145">
              <w:t>Difference in median OS, months</w:t>
            </w:r>
          </w:p>
        </w:tc>
        <w:tc>
          <w:tcPr>
            <w:tcW w:w="1808" w:type="pct"/>
            <w:gridSpan w:val="2"/>
            <w:tcBorders>
              <w:top w:val="single" w:sz="4" w:space="0" w:color="auto"/>
              <w:left w:val="single" w:sz="4" w:space="0" w:color="auto"/>
              <w:bottom w:val="single" w:sz="4" w:space="0" w:color="auto"/>
              <w:right w:val="single" w:sz="4" w:space="0" w:color="auto"/>
            </w:tcBorders>
          </w:tcPr>
          <w:p w14:paraId="09CB2C96" w14:textId="77777777" w:rsidR="00F84089" w:rsidRPr="00FD1145" w:rsidRDefault="00F84089" w:rsidP="00FB03D5">
            <w:pPr>
              <w:pStyle w:val="Tabletext"/>
              <w:keepNext/>
              <w:keepLines/>
              <w:jc w:val="center"/>
            </w:pPr>
            <w:r w:rsidRPr="00FD1145">
              <w:t>5.8</w:t>
            </w:r>
          </w:p>
        </w:tc>
        <w:tc>
          <w:tcPr>
            <w:tcW w:w="866" w:type="pct"/>
            <w:vMerge/>
            <w:tcBorders>
              <w:left w:val="single" w:sz="4" w:space="0" w:color="auto"/>
              <w:right w:val="single" w:sz="4" w:space="0" w:color="auto"/>
            </w:tcBorders>
          </w:tcPr>
          <w:p w14:paraId="527A1BCE"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31899936" w14:textId="77777777" w:rsidR="00F84089" w:rsidRPr="00FD1145" w:rsidRDefault="00F84089" w:rsidP="00FB03D5">
            <w:pPr>
              <w:keepNext/>
              <w:keepLines/>
              <w:spacing w:after="240"/>
              <w:rPr>
                <w:sz w:val="20"/>
                <w:szCs w:val="20"/>
              </w:rPr>
            </w:pPr>
          </w:p>
        </w:tc>
      </w:tr>
      <w:tr w:rsidR="00F84089" w:rsidRPr="00FD1145" w14:paraId="3334596D" w14:textId="77777777" w:rsidTr="008B1086">
        <w:trPr>
          <w:trHeight w:val="203"/>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6A971F" w14:textId="27D880CA" w:rsidR="00F84089" w:rsidRPr="00FD1145" w:rsidRDefault="00ED2A6F" w:rsidP="00FB03D5">
            <w:pPr>
              <w:pStyle w:val="In-tableHeading"/>
            </w:pPr>
            <w:r w:rsidRPr="00FD1145">
              <w:t>EMILIA OS (final analysis 31 December 2014) – used in NMA</w:t>
            </w:r>
            <w:r w:rsidRPr="00FD1145" w:rsidDel="00694885">
              <w:t xml:space="preserve"> </w:t>
            </w:r>
          </w:p>
        </w:tc>
      </w:tr>
      <w:tr w:rsidR="00F84089" w:rsidRPr="00FD1145" w14:paraId="487C9A3B"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tcPr>
          <w:p w14:paraId="7A578A47" w14:textId="77777777" w:rsidR="00F84089" w:rsidRPr="00FD1145" w:rsidRDefault="00F84089" w:rsidP="00FB03D5">
            <w:pPr>
              <w:pStyle w:val="Tabletext"/>
              <w:keepNext/>
              <w:keepLines/>
            </w:pPr>
            <w:r w:rsidRPr="00FD1145">
              <w:t xml:space="preserve">Events, n (%) </w:t>
            </w:r>
          </w:p>
        </w:tc>
        <w:tc>
          <w:tcPr>
            <w:tcW w:w="943" w:type="pct"/>
            <w:tcBorders>
              <w:top w:val="single" w:sz="4" w:space="0" w:color="auto"/>
              <w:left w:val="single" w:sz="4" w:space="0" w:color="auto"/>
              <w:bottom w:val="single" w:sz="4" w:space="0" w:color="auto"/>
              <w:right w:val="single" w:sz="4" w:space="0" w:color="auto"/>
            </w:tcBorders>
          </w:tcPr>
          <w:p w14:paraId="0B60C447" w14:textId="77777777" w:rsidR="00F84089" w:rsidRPr="00FD1145" w:rsidRDefault="00F84089" w:rsidP="00FB03D5">
            <w:pPr>
              <w:pStyle w:val="Tabletext"/>
              <w:keepNext/>
              <w:keepLines/>
              <w:jc w:val="center"/>
            </w:pPr>
            <w:r w:rsidRPr="00FD1145">
              <w:t>303 (51.2)</w:t>
            </w:r>
          </w:p>
        </w:tc>
        <w:tc>
          <w:tcPr>
            <w:tcW w:w="865" w:type="pct"/>
            <w:tcBorders>
              <w:top w:val="single" w:sz="4" w:space="0" w:color="auto"/>
              <w:left w:val="single" w:sz="4" w:space="0" w:color="auto"/>
              <w:bottom w:val="single" w:sz="4" w:space="0" w:color="auto"/>
              <w:right w:val="single" w:sz="4" w:space="0" w:color="auto"/>
            </w:tcBorders>
          </w:tcPr>
          <w:p w14:paraId="1A567C49" w14:textId="77777777" w:rsidR="00F84089" w:rsidRPr="00FD1145" w:rsidRDefault="00F84089" w:rsidP="00FB03D5">
            <w:pPr>
              <w:pStyle w:val="Tabletext"/>
              <w:keepNext/>
              <w:keepLines/>
              <w:jc w:val="center"/>
            </w:pPr>
            <w:r w:rsidRPr="00FD1145">
              <w:t>333 (67.1)</w:t>
            </w:r>
          </w:p>
        </w:tc>
        <w:tc>
          <w:tcPr>
            <w:tcW w:w="866" w:type="pct"/>
            <w:vMerge w:val="restart"/>
            <w:tcBorders>
              <w:left w:val="single" w:sz="4" w:space="0" w:color="auto"/>
              <w:right w:val="single" w:sz="4" w:space="0" w:color="auto"/>
            </w:tcBorders>
            <w:vAlign w:val="center"/>
          </w:tcPr>
          <w:p w14:paraId="02EAC19C" w14:textId="77777777" w:rsidR="00F84089" w:rsidRPr="00FD1145" w:rsidRDefault="00F84089" w:rsidP="00FB03D5">
            <w:pPr>
              <w:pStyle w:val="Tabletext"/>
              <w:keepNext/>
              <w:keepLines/>
              <w:jc w:val="center"/>
            </w:pPr>
            <w:r w:rsidRPr="00FD1145">
              <w:t>0.75</w:t>
            </w:r>
          </w:p>
          <w:p w14:paraId="03121CEC" w14:textId="77777777" w:rsidR="00F84089" w:rsidRPr="00FD1145" w:rsidRDefault="00F84089" w:rsidP="00FB03D5">
            <w:pPr>
              <w:pStyle w:val="Tabletext"/>
              <w:keepNext/>
              <w:keepLines/>
              <w:jc w:val="center"/>
            </w:pPr>
            <w:r w:rsidRPr="00FD1145">
              <w:t>(0.64-0.88)</w:t>
            </w:r>
          </w:p>
        </w:tc>
        <w:tc>
          <w:tcPr>
            <w:tcW w:w="0" w:type="auto"/>
            <w:vMerge w:val="restart"/>
            <w:tcBorders>
              <w:left w:val="single" w:sz="4" w:space="0" w:color="auto"/>
              <w:right w:val="single" w:sz="4" w:space="0" w:color="auto"/>
            </w:tcBorders>
            <w:vAlign w:val="center"/>
          </w:tcPr>
          <w:p w14:paraId="68EC3365" w14:textId="77777777" w:rsidR="00F84089" w:rsidRPr="00FD1145" w:rsidRDefault="00F84089" w:rsidP="00FB03D5">
            <w:pPr>
              <w:pStyle w:val="Tabletext"/>
              <w:keepNext/>
              <w:keepLines/>
              <w:jc w:val="center"/>
            </w:pPr>
            <w:r w:rsidRPr="00FD1145">
              <w:t>NR</w:t>
            </w:r>
          </w:p>
        </w:tc>
      </w:tr>
      <w:tr w:rsidR="00F84089" w:rsidRPr="00FD1145" w14:paraId="1DAC611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tcPr>
          <w:p w14:paraId="6F3594E2" w14:textId="77777777" w:rsidR="00F84089" w:rsidRPr="00FD1145" w:rsidRDefault="00F84089" w:rsidP="00FB03D5">
            <w:pPr>
              <w:pStyle w:val="Tabletext"/>
              <w:keepNext/>
              <w:keepLines/>
            </w:pPr>
            <w:r w:rsidRPr="00FD1145">
              <w:t xml:space="preserve">Median (95% CI), months </w:t>
            </w:r>
          </w:p>
        </w:tc>
        <w:tc>
          <w:tcPr>
            <w:tcW w:w="943" w:type="pct"/>
            <w:tcBorders>
              <w:top w:val="single" w:sz="4" w:space="0" w:color="auto"/>
              <w:left w:val="single" w:sz="4" w:space="0" w:color="auto"/>
              <w:bottom w:val="single" w:sz="4" w:space="0" w:color="auto"/>
              <w:right w:val="single" w:sz="4" w:space="0" w:color="auto"/>
            </w:tcBorders>
          </w:tcPr>
          <w:p w14:paraId="759D9EEE" w14:textId="77777777" w:rsidR="00F84089" w:rsidRPr="00FD1145" w:rsidRDefault="00F84089" w:rsidP="00FB03D5">
            <w:pPr>
              <w:pStyle w:val="Tabletext"/>
              <w:keepNext/>
              <w:keepLines/>
              <w:jc w:val="center"/>
            </w:pPr>
            <w:r w:rsidRPr="00FD1145">
              <w:t>29.9 (26.3-34.1)</w:t>
            </w:r>
          </w:p>
        </w:tc>
        <w:tc>
          <w:tcPr>
            <w:tcW w:w="865" w:type="pct"/>
            <w:tcBorders>
              <w:top w:val="single" w:sz="4" w:space="0" w:color="auto"/>
              <w:left w:val="single" w:sz="4" w:space="0" w:color="auto"/>
              <w:bottom w:val="single" w:sz="4" w:space="0" w:color="auto"/>
              <w:right w:val="single" w:sz="4" w:space="0" w:color="auto"/>
            </w:tcBorders>
          </w:tcPr>
          <w:p w14:paraId="3AE701FA" w14:textId="77777777" w:rsidR="00F84089" w:rsidRPr="00FD1145" w:rsidRDefault="00F84089" w:rsidP="00FB03D5">
            <w:pPr>
              <w:pStyle w:val="Tabletext"/>
              <w:keepNext/>
              <w:keepLines/>
              <w:jc w:val="center"/>
            </w:pPr>
            <w:r w:rsidRPr="00FD1145">
              <w:t>25.9 (22.7-28.3)</w:t>
            </w:r>
          </w:p>
        </w:tc>
        <w:tc>
          <w:tcPr>
            <w:tcW w:w="866" w:type="pct"/>
            <w:vMerge/>
            <w:tcBorders>
              <w:left w:val="single" w:sz="4" w:space="0" w:color="auto"/>
              <w:right w:val="single" w:sz="4" w:space="0" w:color="auto"/>
            </w:tcBorders>
            <w:vAlign w:val="center"/>
          </w:tcPr>
          <w:p w14:paraId="4B43B4DA"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7F7DF1A6" w14:textId="77777777" w:rsidR="00F84089" w:rsidRPr="00FD1145" w:rsidRDefault="00F84089" w:rsidP="00FB03D5">
            <w:pPr>
              <w:keepNext/>
              <w:keepLines/>
              <w:spacing w:after="240"/>
              <w:rPr>
                <w:sz w:val="20"/>
                <w:szCs w:val="20"/>
              </w:rPr>
            </w:pPr>
          </w:p>
        </w:tc>
      </w:tr>
      <w:tr w:rsidR="00F84089" w:rsidRPr="00FD1145" w14:paraId="7B164341"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tcPr>
          <w:p w14:paraId="7914BB70" w14:textId="77777777" w:rsidR="00F84089" w:rsidRPr="00FD1145" w:rsidRDefault="00F84089" w:rsidP="00FB03D5">
            <w:pPr>
              <w:pStyle w:val="Tabletext"/>
              <w:keepNext/>
              <w:keepLines/>
            </w:pPr>
            <w:r w:rsidRPr="00FD1145">
              <w:t>Difference in median OS, months</w:t>
            </w:r>
          </w:p>
        </w:tc>
        <w:tc>
          <w:tcPr>
            <w:tcW w:w="1808" w:type="pct"/>
            <w:gridSpan w:val="2"/>
            <w:tcBorders>
              <w:top w:val="single" w:sz="4" w:space="0" w:color="auto"/>
              <w:left w:val="single" w:sz="4" w:space="0" w:color="auto"/>
              <w:bottom w:val="single" w:sz="4" w:space="0" w:color="auto"/>
              <w:right w:val="single" w:sz="4" w:space="0" w:color="auto"/>
            </w:tcBorders>
          </w:tcPr>
          <w:p w14:paraId="2B67B7F7" w14:textId="77777777" w:rsidR="00F84089" w:rsidRPr="00FD1145" w:rsidRDefault="00F84089" w:rsidP="00FB03D5">
            <w:pPr>
              <w:pStyle w:val="Tabletext"/>
              <w:keepNext/>
              <w:keepLines/>
              <w:jc w:val="center"/>
            </w:pPr>
            <w:r w:rsidRPr="00FD1145">
              <w:t>4.0</w:t>
            </w:r>
          </w:p>
        </w:tc>
        <w:tc>
          <w:tcPr>
            <w:tcW w:w="866" w:type="pct"/>
            <w:vMerge/>
            <w:tcBorders>
              <w:left w:val="single" w:sz="4" w:space="0" w:color="auto"/>
              <w:right w:val="single" w:sz="4" w:space="0" w:color="auto"/>
            </w:tcBorders>
          </w:tcPr>
          <w:p w14:paraId="4509575F"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1269ACC9" w14:textId="77777777" w:rsidR="00F84089" w:rsidRPr="00FD1145" w:rsidRDefault="00F84089" w:rsidP="00FB03D5">
            <w:pPr>
              <w:keepNext/>
              <w:keepLines/>
              <w:spacing w:after="240"/>
              <w:rPr>
                <w:sz w:val="20"/>
                <w:szCs w:val="20"/>
              </w:rPr>
            </w:pPr>
          </w:p>
        </w:tc>
      </w:tr>
      <w:tr w:rsidR="00F84089" w:rsidRPr="00FD1145" w14:paraId="60CAE5FD" w14:textId="77777777" w:rsidTr="006D5D57">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1F0336" w14:textId="77777777" w:rsidR="00F84089" w:rsidRPr="00FD1145" w:rsidRDefault="00F84089" w:rsidP="00FB03D5">
            <w:pPr>
              <w:pStyle w:val="In-tableHeading"/>
            </w:pPr>
            <w:r w:rsidRPr="00FD1145">
              <w:t>ELTOP OS</w:t>
            </w:r>
          </w:p>
        </w:tc>
      </w:tr>
      <w:tr w:rsidR="00F84089" w:rsidRPr="00FD1145" w14:paraId="04713348"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62E5FDAA" w14:textId="77777777" w:rsidR="00F84089" w:rsidRPr="00FD1145" w:rsidRDefault="00F84089" w:rsidP="00FB03D5">
            <w:pPr>
              <w:pStyle w:val="TableFigureHeading"/>
              <w:keepLines/>
            </w:pPr>
            <w:r w:rsidRPr="00FD1145">
              <w:t>ITT population</w:t>
            </w:r>
          </w:p>
        </w:tc>
        <w:tc>
          <w:tcPr>
            <w:tcW w:w="943" w:type="pct"/>
            <w:tcBorders>
              <w:top w:val="single" w:sz="4" w:space="0" w:color="auto"/>
              <w:left w:val="single" w:sz="4" w:space="0" w:color="auto"/>
              <w:bottom w:val="single" w:sz="4" w:space="0" w:color="auto"/>
              <w:right w:val="single" w:sz="4" w:space="0" w:color="auto"/>
            </w:tcBorders>
            <w:vAlign w:val="center"/>
          </w:tcPr>
          <w:p w14:paraId="2C414C09" w14:textId="77777777" w:rsidR="00F84089" w:rsidRPr="00FD1145" w:rsidRDefault="00F84089" w:rsidP="00FB03D5">
            <w:pPr>
              <w:pStyle w:val="TableFigureHeading"/>
              <w:keepLines/>
              <w:jc w:val="center"/>
            </w:pPr>
            <w:r w:rsidRPr="00FD1145">
              <w:t>Lap + Cap</w:t>
            </w:r>
          </w:p>
          <w:p w14:paraId="600EB09C" w14:textId="77777777" w:rsidR="00F84089" w:rsidRPr="00FD1145" w:rsidRDefault="00F84089" w:rsidP="00FB03D5">
            <w:pPr>
              <w:pStyle w:val="TableFigureHeading"/>
              <w:keepLines/>
              <w:jc w:val="center"/>
            </w:pPr>
            <w:r w:rsidRPr="00FD1145">
              <w:t>N=43</w:t>
            </w:r>
          </w:p>
        </w:tc>
        <w:tc>
          <w:tcPr>
            <w:tcW w:w="865" w:type="pct"/>
            <w:tcBorders>
              <w:top w:val="single" w:sz="4" w:space="0" w:color="auto"/>
              <w:left w:val="single" w:sz="4" w:space="0" w:color="auto"/>
              <w:bottom w:val="single" w:sz="4" w:space="0" w:color="auto"/>
              <w:right w:val="single" w:sz="4" w:space="0" w:color="auto"/>
            </w:tcBorders>
            <w:vAlign w:val="center"/>
          </w:tcPr>
          <w:p w14:paraId="2E9A4B7B" w14:textId="77777777" w:rsidR="00F84089" w:rsidRPr="00FD1145" w:rsidRDefault="00F84089" w:rsidP="00FB03D5">
            <w:pPr>
              <w:pStyle w:val="TableFigureHeading"/>
              <w:keepLines/>
              <w:jc w:val="center"/>
            </w:pPr>
            <w:r w:rsidRPr="00FD1145">
              <w:t>Tra +Cap</w:t>
            </w:r>
          </w:p>
          <w:p w14:paraId="704E7C5B" w14:textId="77777777" w:rsidR="00F84089" w:rsidRPr="00FD1145" w:rsidRDefault="00F84089" w:rsidP="00FB03D5">
            <w:pPr>
              <w:pStyle w:val="TableFigureHeading"/>
              <w:keepLines/>
              <w:jc w:val="center"/>
            </w:pPr>
            <w:r w:rsidRPr="00FD1145">
              <w:t>N=43</w:t>
            </w:r>
          </w:p>
        </w:tc>
        <w:tc>
          <w:tcPr>
            <w:tcW w:w="866" w:type="pct"/>
            <w:tcBorders>
              <w:top w:val="single" w:sz="4" w:space="0" w:color="auto"/>
              <w:left w:val="single" w:sz="4" w:space="0" w:color="auto"/>
              <w:bottom w:val="single" w:sz="4" w:space="0" w:color="auto"/>
              <w:right w:val="single" w:sz="4" w:space="0" w:color="auto"/>
            </w:tcBorders>
            <w:vAlign w:val="center"/>
          </w:tcPr>
          <w:p w14:paraId="0E05A4A0" w14:textId="77777777" w:rsidR="00F84089" w:rsidRPr="00FD1145" w:rsidRDefault="00F84089" w:rsidP="00FB03D5">
            <w:pPr>
              <w:pStyle w:val="TableFigureHeading"/>
              <w:keepLines/>
              <w:jc w:val="center"/>
            </w:pPr>
            <w:r w:rsidRPr="00FD1145">
              <w:t>Hazard ratio</w:t>
            </w:r>
          </w:p>
          <w:p w14:paraId="09894174" w14:textId="77777777" w:rsidR="00F84089" w:rsidRPr="00FD1145" w:rsidRDefault="00F84089" w:rsidP="00FB03D5">
            <w:pPr>
              <w:pStyle w:val="TableFigureHeading"/>
              <w:keepLines/>
              <w:jc w:val="center"/>
            </w:pPr>
            <w:r w:rsidRPr="00FD1145">
              <w:t>(90% CI)</w:t>
            </w:r>
          </w:p>
        </w:tc>
        <w:tc>
          <w:tcPr>
            <w:tcW w:w="0" w:type="auto"/>
            <w:tcBorders>
              <w:top w:val="single" w:sz="4" w:space="0" w:color="auto"/>
              <w:left w:val="single" w:sz="4" w:space="0" w:color="auto"/>
              <w:bottom w:val="single" w:sz="4" w:space="0" w:color="auto"/>
              <w:right w:val="single" w:sz="4" w:space="0" w:color="auto"/>
            </w:tcBorders>
            <w:vAlign w:val="center"/>
          </w:tcPr>
          <w:p w14:paraId="71A0C2E0" w14:textId="77777777" w:rsidR="00F84089" w:rsidRPr="00FD1145" w:rsidRDefault="00F84089" w:rsidP="00FB03D5">
            <w:pPr>
              <w:pStyle w:val="TableFigureHeading"/>
              <w:keepLines/>
              <w:jc w:val="center"/>
            </w:pPr>
            <w:r w:rsidRPr="00FD1145">
              <w:t>Log-rank</w:t>
            </w:r>
          </w:p>
          <w:p w14:paraId="3F60ED02" w14:textId="77777777" w:rsidR="00F84089" w:rsidRPr="00FD1145" w:rsidRDefault="00F84089" w:rsidP="00FB03D5">
            <w:pPr>
              <w:pStyle w:val="TableFigureHeading"/>
              <w:keepLines/>
              <w:jc w:val="center"/>
            </w:pPr>
            <w:r w:rsidRPr="00FD1145">
              <w:t>p-value</w:t>
            </w:r>
          </w:p>
        </w:tc>
      </w:tr>
      <w:tr w:rsidR="00F84089" w:rsidRPr="00FD1145" w14:paraId="5794D3F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5C90490" w14:textId="77777777" w:rsidR="00F84089" w:rsidRPr="00FD1145" w:rsidRDefault="00F84089" w:rsidP="00FB03D5">
            <w:pPr>
              <w:pStyle w:val="Tabletext"/>
              <w:keepNext/>
              <w:keepLines/>
            </w:pPr>
            <w:r w:rsidRPr="00FD1145">
              <w:t xml:space="preserve">Events, n (%) </w:t>
            </w:r>
          </w:p>
        </w:tc>
        <w:tc>
          <w:tcPr>
            <w:tcW w:w="943" w:type="pct"/>
            <w:tcBorders>
              <w:top w:val="single" w:sz="4" w:space="0" w:color="auto"/>
              <w:left w:val="single" w:sz="4" w:space="0" w:color="auto"/>
              <w:bottom w:val="single" w:sz="4" w:space="0" w:color="auto"/>
              <w:right w:val="single" w:sz="4" w:space="0" w:color="auto"/>
            </w:tcBorders>
          </w:tcPr>
          <w:p w14:paraId="0BC0ACA8" w14:textId="77777777" w:rsidR="00F84089" w:rsidRPr="00FD1145" w:rsidRDefault="00F84089" w:rsidP="00FB03D5">
            <w:pPr>
              <w:pStyle w:val="Tabletext"/>
              <w:keepNext/>
              <w:keepLines/>
              <w:jc w:val="center"/>
            </w:pPr>
            <w:r w:rsidRPr="00FD1145">
              <w:t>NR (Not reported)</w:t>
            </w:r>
          </w:p>
        </w:tc>
        <w:tc>
          <w:tcPr>
            <w:tcW w:w="865" w:type="pct"/>
            <w:tcBorders>
              <w:top w:val="single" w:sz="4" w:space="0" w:color="auto"/>
              <w:left w:val="single" w:sz="4" w:space="0" w:color="auto"/>
              <w:bottom w:val="single" w:sz="4" w:space="0" w:color="auto"/>
              <w:right w:val="single" w:sz="4" w:space="0" w:color="auto"/>
            </w:tcBorders>
          </w:tcPr>
          <w:p w14:paraId="79AC602D" w14:textId="77777777" w:rsidR="00F84089" w:rsidRPr="00FD1145" w:rsidRDefault="00F84089" w:rsidP="00FB03D5">
            <w:pPr>
              <w:pStyle w:val="Tabletext"/>
              <w:keepNext/>
              <w:keepLines/>
              <w:jc w:val="center"/>
            </w:pPr>
            <w:r w:rsidRPr="00FD1145">
              <w:t>NR</w:t>
            </w:r>
          </w:p>
        </w:tc>
        <w:tc>
          <w:tcPr>
            <w:tcW w:w="866" w:type="pct"/>
            <w:vMerge w:val="restart"/>
            <w:tcBorders>
              <w:top w:val="single" w:sz="4" w:space="0" w:color="auto"/>
              <w:left w:val="single" w:sz="4" w:space="0" w:color="auto"/>
              <w:bottom w:val="single" w:sz="4" w:space="0" w:color="auto"/>
              <w:right w:val="single" w:sz="4" w:space="0" w:color="auto"/>
            </w:tcBorders>
            <w:vAlign w:val="center"/>
          </w:tcPr>
          <w:p w14:paraId="64F2928F" w14:textId="77777777" w:rsidR="00F84089" w:rsidRPr="00FD1145" w:rsidRDefault="00F84089" w:rsidP="00FB03D5">
            <w:pPr>
              <w:pStyle w:val="Tabletext"/>
              <w:keepNext/>
              <w:keepLines/>
              <w:jc w:val="center"/>
            </w:pPr>
            <w:r w:rsidRPr="00FD1145">
              <w:t>0.58 (0.26, 1.31)</w:t>
            </w:r>
          </w:p>
        </w:tc>
        <w:tc>
          <w:tcPr>
            <w:tcW w:w="0" w:type="auto"/>
            <w:vMerge w:val="restart"/>
            <w:tcBorders>
              <w:top w:val="single" w:sz="4" w:space="0" w:color="auto"/>
              <w:left w:val="single" w:sz="4" w:space="0" w:color="auto"/>
              <w:bottom w:val="single" w:sz="4" w:space="0" w:color="auto"/>
              <w:right w:val="single" w:sz="4" w:space="0" w:color="auto"/>
            </w:tcBorders>
            <w:vAlign w:val="center"/>
          </w:tcPr>
          <w:p w14:paraId="48ED6DA9" w14:textId="77777777" w:rsidR="00F84089" w:rsidRPr="00FD1145" w:rsidRDefault="00F84089" w:rsidP="00FB03D5">
            <w:pPr>
              <w:pStyle w:val="Tabletext"/>
              <w:keepNext/>
              <w:keepLines/>
              <w:jc w:val="center"/>
            </w:pPr>
            <w:r w:rsidRPr="00FD1145">
              <w:t>0.18</w:t>
            </w:r>
          </w:p>
        </w:tc>
      </w:tr>
      <w:tr w:rsidR="00F84089" w:rsidRPr="00FD1145" w14:paraId="636C805E"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0393C5CE" w14:textId="77777777" w:rsidR="00F84089" w:rsidRPr="00FD1145" w:rsidRDefault="00F84089" w:rsidP="00FB03D5">
            <w:pPr>
              <w:pStyle w:val="Tabletext"/>
              <w:keepNext/>
              <w:keepLines/>
            </w:pPr>
            <w:r w:rsidRPr="00FD1145">
              <w:t xml:space="preserve">Median (95% CI), months </w:t>
            </w:r>
          </w:p>
        </w:tc>
        <w:tc>
          <w:tcPr>
            <w:tcW w:w="943" w:type="pct"/>
            <w:tcBorders>
              <w:top w:val="single" w:sz="4" w:space="0" w:color="auto"/>
              <w:left w:val="single" w:sz="4" w:space="0" w:color="auto"/>
              <w:bottom w:val="single" w:sz="4" w:space="0" w:color="auto"/>
              <w:right w:val="single" w:sz="4" w:space="0" w:color="auto"/>
            </w:tcBorders>
          </w:tcPr>
          <w:p w14:paraId="57182FF9" w14:textId="77777777" w:rsidR="00F84089" w:rsidRPr="00FD1145" w:rsidRDefault="00F84089" w:rsidP="00FB03D5">
            <w:pPr>
              <w:pStyle w:val="Tabletext"/>
              <w:keepNext/>
              <w:keepLines/>
              <w:jc w:val="center"/>
            </w:pPr>
            <w:r w:rsidRPr="00FD1145">
              <w:t xml:space="preserve">Not reached </w:t>
            </w:r>
          </w:p>
        </w:tc>
        <w:tc>
          <w:tcPr>
            <w:tcW w:w="865" w:type="pct"/>
            <w:tcBorders>
              <w:top w:val="single" w:sz="4" w:space="0" w:color="auto"/>
              <w:left w:val="single" w:sz="4" w:space="0" w:color="auto"/>
              <w:bottom w:val="single" w:sz="4" w:space="0" w:color="auto"/>
              <w:right w:val="single" w:sz="4" w:space="0" w:color="auto"/>
            </w:tcBorders>
          </w:tcPr>
          <w:p w14:paraId="55F54FE1" w14:textId="77777777" w:rsidR="00F84089" w:rsidRPr="00FD1145" w:rsidRDefault="00F84089" w:rsidP="00FB03D5">
            <w:pPr>
              <w:pStyle w:val="Tabletext"/>
              <w:keepNext/>
              <w:keepLines/>
            </w:pPr>
            <w:r w:rsidRPr="00FD1145">
              <w:t>31.0 (NR, NR)</w:t>
            </w:r>
          </w:p>
        </w:tc>
        <w:tc>
          <w:tcPr>
            <w:tcW w:w="866" w:type="pct"/>
            <w:vMerge/>
            <w:tcBorders>
              <w:left w:val="single" w:sz="4" w:space="0" w:color="auto"/>
              <w:right w:val="single" w:sz="4" w:space="0" w:color="auto"/>
            </w:tcBorders>
            <w:vAlign w:val="center"/>
          </w:tcPr>
          <w:p w14:paraId="3F063E35"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6D8D5E6D" w14:textId="77777777" w:rsidR="00F84089" w:rsidRPr="00FD1145" w:rsidRDefault="00F84089" w:rsidP="00FB03D5">
            <w:pPr>
              <w:keepNext/>
              <w:keepLines/>
              <w:spacing w:after="240"/>
              <w:rPr>
                <w:sz w:val="20"/>
                <w:szCs w:val="20"/>
              </w:rPr>
            </w:pPr>
          </w:p>
        </w:tc>
      </w:tr>
      <w:tr w:rsidR="00F84089" w:rsidRPr="00FD1145" w14:paraId="06690F1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54859141" w14:textId="77777777" w:rsidR="00F84089" w:rsidRPr="00FD1145" w:rsidRDefault="00F84089" w:rsidP="00FB03D5">
            <w:pPr>
              <w:pStyle w:val="Tabletext"/>
              <w:keepNext/>
              <w:keepLines/>
            </w:pPr>
            <w:r w:rsidRPr="00FD1145">
              <w:t>Difference in median OS, months</w:t>
            </w:r>
          </w:p>
        </w:tc>
        <w:tc>
          <w:tcPr>
            <w:tcW w:w="1808" w:type="pct"/>
            <w:gridSpan w:val="2"/>
            <w:tcBorders>
              <w:top w:val="single" w:sz="4" w:space="0" w:color="auto"/>
              <w:left w:val="single" w:sz="4" w:space="0" w:color="auto"/>
              <w:bottom w:val="single" w:sz="4" w:space="0" w:color="auto"/>
              <w:right w:val="single" w:sz="4" w:space="0" w:color="auto"/>
            </w:tcBorders>
            <w:vAlign w:val="center"/>
          </w:tcPr>
          <w:p w14:paraId="2322552A" w14:textId="77777777" w:rsidR="00F84089" w:rsidRPr="00FD1145" w:rsidRDefault="00F84089" w:rsidP="00FB03D5">
            <w:pPr>
              <w:pStyle w:val="Tabletext"/>
              <w:keepNext/>
              <w:keepLines/>
              <w:jc w:val="center"/>
            </w:pPr>
            <w:r w:rsidRPr="00FD1145">
              <w:t>-</w:t>
            </w:r>
          </w:p>
        </w:tc>
        <w:tc>
          <w:tcPr>
            <w:tcW w:w="866" w:type="pct"/>
            <w:vMerge/>
          </w:tcPr>
          <w:p w14:paraId="7729EAF8"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1E282D92" w14:textId="77777777" w:rsidR="00F84089" w:rsidRPr="00FD1145" w:rsidRDefault="00F84089" w:rsidP="00FB03D5">
            <w:pPr>
              <w:keepNext/>
              <w:keepLines/>
              <w:spacing w:after="240"/>
              <w:rPr>
                <w:sz w:val="20"/>
                <w:szCs w:val="20"/>
              </w:rPr>
            </w:pPr>
          </w:p>
        </w:tc>
      </w:tr>
      <w:tr w:rsidR="00F84089" w:rsidRPr="00FD1145" w14:paraId="1A46CC89" w14:textId="77777777" w:rsidTr="006D5D57">
        <w:trPr>
          <w:trHeight w:val="244"/>
        </w:trPr>
        <w:tc>
          <w:tcPr>
            <w:tcW w:w="5000"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7478B1" w14:textId="77777777" w:rsidR="00F84089" w:rsidRPr="00FD1145" w:rsidRDefault="00F84089" w:rsidP="00FB03D5">
            <w:pPr>
              <w:pStyle w:val="In-tableHeading"/>
            </w:pPr>
            <w:r w:rsidRPr="00FD1145">
              <w:t>CEREBEL OS</w:t>
            </w:r>
          </w:p>
        </w:tc>
      </w:tr>
      <w:tr w:rsidR="00F84089" w:rsidRPr="00FD1145" w14:paraId="143012A9"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29215A05" w14:textId="77777777" w:rsidR="00F84089" w:rsidRPr="00FD1145" w:rsidRDefault="00F84089" w:rsidP="00FB03D5">
            <w:pPr>
              <w:pStyle w:val="TableFigureHeading"/>
              <w:keepLines/>
            </w:pPr>
            <w:r w:rsidRPr="00FD1145">
              <w:t>ITT population (subgroup OS data was not available)</w:t>
            </w:r>
          </w:p>
        </w:tc>
        <w:tc>
          <w:tcPr>
            <w:tcW w:w="943" w:type="pct"/>
            <w:tcBorders>
              <w:top w:val="single" w:sz="4" w:space="0" w:color="auto"/>
              <w:left w:val="single" w:sz="4" w:space="0" w:color="auto"/>
              <w:bottom w:val="single" w:sz="4" w:space="0" w:color="auto"/>
              <w:right w:val="single" w:sz="4" w:space="0" w:color="auto"/>
            </w:tcBorders>
            <w:vAlign w:val="center"/>
          </w:tcPr>
          <w:p w14:paraId="7F8738C5" w14:textId="77777777" w:rsidR="00F84089" w:rsidRPr="00FD1145" w:rsidRDefault="00F84089" w:rsidP="00FB03D5">
            <w:pPr>
              <w:pStyle w:val="TableFigureHeading"/>
              <w:keepLines/>
              <w:jc w:val="center"/>
            </w:pPr>
            <w:r w:rsidRPr="00FD1145">
              <w:t>Lap + Cap</w:t>
            </w:r>
          </w:p>
          <w:p w14:paraId="0199DE4C" w14:textId="77777777" w:rsidR="00F84089" w:rsidRPr="00FD1145" w:rsidRDefault="00F84089" w:rsidP="00FB03D5">
            <w:pPr>
              <w:pStyle w:val="TableFigureHeading"/>
              <w:keepLines/>
              <w:jc w:val="center"/>
            </w:pPr>
            <w:r w:rsidRPr="00FD1145">
              <w:t>N=271</w:t>
            </w:r>
          </w:p>
        </w:tc>
        <w:tc>
          <w:tcPr>
            <w:tcW w:w="865" w:type="pct"/>
            <w:tcBorders>
              <w:top w:val="single" w:sz="4" w:space="0" w:color="auto"/>
              <w:left w:val="single" w:sz="4" w:space="0" w:color="auto"/>
              <w:bottom w:val="single" w:sz="4" w:space="0" w:color="auto"/>
              <w:right w:val="single" w:sz="4" w:space="0" w:color="auto"/>
            </w:tcBorders>
            <w:vAlign w:val="center"/>
          </w:tcPr>
          <w:p w14:paraId="06F1BF7D" w14:textId="77777777" w:rsidR="00F84089" w:rsidRPr="00FD1145" w:rsidRDefault="00F84089" w:rsidP="00FB03D5">
            <w:pPr>
              <w:pStyle w:val="TableFigureHeading"/>
              <w:keepLines/>
              <w:jc w:val="center"/>
            </w:pPr>
            <w:r w:rsidRPr="00FD1145">
              <w:t>Tra +Cap</w:t>
            </w:r>
          </w:p>
          <w:p w14:paraId="034BC288" w14:textId="77777777" w:rsidR="00F84089" w:rsidRPr="00FD1145" w:rsidRDefault="00F84089" w:rsidP="00FB03D5">
            <w:pPr>
              <w:pStyle w:val="TableFigureHeading"/>
              <w:keepLines/>
              <w:jc w:val="center"/>
            </w:pPr>
            <w:r w:rsidRPr="00FD1145">
              <w:t>N=269</w:t>
            </w:r>
          </w:p>
        </w:tc>
        <w:tc>
          <w:tcPr>
            <w:tcW w:w="866" w:type="pct"/>
            <w:tcBorders>
              <w:top w:val="single" w:sz="4" w:space="0" w:color="auto"/>
              <w:left w:val="single" w:sz="4" w:space="0" w:color="auto"/>
              <w:bottom w:val="single" w:sz="4" w:space="0" w:color="auto"/>
              <w:right w:val="single" w:sz="4" w:space="0" w:color="auto"/>
            </w:tcBorders>
            <w:vAlign w:val="center"/>
          </w:tcPr>
          <w:p w14:paraId="0C728927" w14:textId="77777777" w:rsidR="00F84089" w:rsidRPr="00FD1145" w:rsidRDefault="00F84089" w:rsidP="00FB03D5">
            <w:pPr>
              <w:pStyle w:val="TableFigureHeading"/>
              <w:keepLines/>
              <w:jc w:val="center"/>
            </w:pPr>
            <w:r w:rsidRPr="00FD1145">
              <w:t>Hazard ratio</w:t>
            </w:r>
          </w:p>
          <w:p w14:paraId="21045FAC" w14:textId="77777777" w:rsidR="00F84089" w:rsidRPr="00FD1145" w:rsidRDefault="00F84089" w:rsidP="00FB03D5">
            <w:pPr>
              <w:pStyle w:val="TableFigureHeading"/>
              <w:keepLines/>
              <w:jc w:val="center"/>
            </w:pPr>
            <w:r w:rsidRPr="00FD1145">
              <w:t>(95% CI)</w:t>
            </w:r>
          </w:p>
        </w:tc>
        <w:tc>
          <w:tcPr>
            <w:tcW w:w="0" w:type="auto"/>
            <w:tcBorders>
              <w:top w:val="single" w:sz="4" w:space="0" w:color="auto"/>
              <w:left w:val="single" w:sz="4" w:space="0" w:color="auto"/>
              <w:bottom w:val="single" w:sz="4" w:space="0" w:color="auto"/>
              <w:right w:val="single" w:sz="4" w:space="0" w:color="auto"/>
            </w:tcBorders>
            <w:vAlign w:val="center"/>
          </w:tcPr>
          <w:p w14:paraId="3FD708AD" w14:textId="77777777" w:rsidR="00F84089" w:rsidRPr="00FD1145" w:rsidRDefault="00F84089" w:rsidP="00FB03D5">
            <w:pPr>
              <w:pStyle w:val="TableFigureHeading"/>
              <w:keepLines/>
              <w:jc w:val="center"/>
            </w:pPr>
            <w:r w:rsidRPr="00FD1145">
              <w:t>Log-rank</w:t>
            </w:r>
          </w:p>
          <w:p w14:paraId="3774BAD3" w14:textId="77777777" w:rsidR="00F84089" w:rsidRPr="00FD1145" w:rsidRDefault="00F84089" w:rsidP="00FB03D5">
            <w:pPr>
              <w:pStyle w:val="TableFigureHeading"/>
              <w:keepLines/>
              <w:jc w:val="center"/>
            </w:pPr>
            <w:r w:rsidRPr="00FD1145">
              <w:t>p-value</w:t>
            </w:r>
          </w:p>
        </w:tc>
      </w:tr>
      <w:tr w:rsidR="00F84089" w:rsidRPr="00FD1145" w14:paraId="70563F6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1348A75A" w14:textId="77777777" w:rsidR="00F84089" w:rsidRPr="00FD1145" w:rsidRDefault="00F84089" w:rsidP="00FB03D5">
            <w:pPr>
              <w:pStyle w:val="Tabletext"/>
              <w:keepNext/>
              <w:keepLines/>
            </w:pPr>
            <w:r w:rsidRPr="00FD1145">
              <w:t xml:space="preserve">Events, n (%) </w:t>
            </w:r>
          </w:p>
        </w:tc>
        <w:tc>
          <w:tcPr>
            <w:tcW w:w="943" w:type="pct"/>
            <w:tcBorders>
              <w:top w:val="single" w:sz="4" w:space="0" w:color="auto"/>
              <w:left w:val="single" w:sz="4" w:space="0" w:color="auto"/>
              <w:bottom w:val="single" w:sz="4" w:space="0" w:color="auto"/>
              <w:right w:val="single" w:sz="4" w:space="0" w:color="auto"/>
            </w:tcBorders>
          </w:tcPr>
          <w:p w14:paraId="6548E5E2" w14:textId="77777777" w:rsidR="00F84089" w:rsidRPr="00FD1145" w:rsidRDefault="00F84089" w:rsidP="00FB03D5">
            <w:pPr>
              <w:pStyle w:val="Tabletext"/>
              <w:keepNext/>
              <w:keepLines/>
              <w:jc w:val="center"/>
            </w:pPr>
            <w:r w:rsidRPr="00FD1145">
              <w:t>70 (26)</w:t>
            </w:r>
          </w:p>
        </w:tc>
        <w:tc>
          <w:tcPr>
            <w:tcW w:w="865" w:type="pct"/>
            <w:tcBorders>
              <w:top w:val="single" w:sz="4" w:space="0" w:color="auto"/>
              <w:left w:val="single" w:sz="4" w:space="0" w:color="auto"/>
              <w:bottom w:val="single" w:sz="4" w:space="0" w:color="auto"/>
              <w:right w:val="single" w:sz="4" w:space="0" w:color="auto"/>
            </w:tcBorders>
          </w:tcPr>
          <w:p w14:paraId="38A8062A" w14:textId="77777777" w:rsidR="00F84089" w:rsidRPr="00FD1145" w:rsidRDefault="00F84089" w:rsidP="00FB03D5">
            <w:pPr>
              <w:pStyle w:val="Tabletext"/>
              <w:keepNext/>
              <w:keepLines/>
              <w:jc w:val="center"/>
            </w:pPr>
            <w:r w:rsidRPr="00FD1145">
              <w:t>58 (22)</w:t>
            </w:r>
          </w:p>
        </w:tc>
        <w:tc>
          <w:tcPr>
            <w:tcW w:w="866" w:type="pct"/>
            <w:vMerge w:val="restart"/>
            <w:vAlign w:val="center"/>
          </w:tcPr>
          <w:p w14:paraId="210144CA" w14:textId="77777777" w:rsidR="00F84089" w:rsidRPr="00FD1145" w:rsidRDefault="00F84089" w:rsidP="00FB03D5">
            <w:pPr>
              <w:pStyle w:val="Tabletext"/>
              <w:keepNext/>
              <w:keepLines/>
              <w:jc w:val="center"/>
            </w:pPr>
            <w:r w:rsidRPr="00FD1145">
              <w:t>1.34 (0.95, 1.90)</w:t>
            </w:r>
          </w:p>
        </w:tc>
        <w:tc>
          <w:tcPr>
            <w:tcW w:w="0" w:type="auto"/>
            <w:vMerge w:val="restart"/>
            <w:tcBorders>
              <w:left w:val="single" w:sz="4" w:space="0" w:color="auto"/>
              <w:right w:val="single" w:sz="4" w:space="0" w:color="auto"/>
            </w:tcBorders>
            <w:vAlign w:val="center"/>
          </w:tcPr>
          <w:p w14:paraId="48B8B074" w14:textId="77777777" w:rsidR="00F84089" w:rsidRPr="00FD1145" w:rsidRDefault="00F84089" w:rsidP="00FB03D5">
            <w:pPr>
              <w:pStyle w:val="Tabletext"/>
              <w:keepNext/>
              <w:keepLines/>
              <w:jc w:val="center"/>
            </w:pPr>
            <w:r w:rsidRPr="00FD1145">
              <w:t>0.095</w:t>
            </w:r>
          </w:p>
        </w:tc>
      </w:tr>
      <w:tr w:rsidR="00F84089" w:rsidRPr="00FD1145" w14:paraId="11FF8322"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37CA8C5C" w14:textId="77777777" w:rsidR="00F84089" w:rsidRPr="00FD1145" w:rsidRDefault="00F84089" w:rsidP="00FB03D5">
            <w:pPr>
              <w:pStyle w:val="Tabletext"/>
              <w:keepNext/>
              <w:keepLines/>
            </w:pPr>
            <w:r w:rsidRPr="00FD1145">
              <w:t xml:space="preserve">Median (95% CI), months </w:t>
            </w:r>
          </w:p>
        </w:tc>
        <w:tc>
          <w:tcPr>
            <w:tcW w:w="943" w:type="pct"/>
            <w:tcBorders>
              <w:top w:val="single" w:sz="4" w:space="0" w:color="auto"/>
              <w:left w:val="single" w:sz="4" w:space="0" w:color="auto"/>
              <w:bottom w:val="single" w:sz="4" w:space="0" w:color="auto"/>
              <w:right w:val="single" w:sz="4" w:space="0" w:color="auto"/>
            </w:tcBorders>
          </w:tcPr>
          <w:p w14:paraId="707785B4" w14:textId="77777777" w:rsidR="00F84089" w:rsidRPr="00FD1145" w:rsidRDefault="00F84089" w:rsidP="00FB03D5">
            <w:pPr>
              <w:pStyle w:val="Tabletext"/>
              <w:keepNext/>
              <w:keepLines/>
              <w:jc w:val="center"/>
            </w:pPr>
            <w:r w:rsidRPr="00FD1145">
              <w:t>22.7 (19.5, NR)</w:t>
            </w:r>
          </w:p>
        </w:tc>
        <w:tc>
          <w:tcPr>
            <w:tcW w:w="865" w:type="pct"/>
            <w:tcBorders>
              <w:top w:val="single" w:sz="4" w:space="0" w:color="auto"/>
              <w:left w:val="single" w:sz="4" w:space="0" w:color="auto"/>
              <w:bottom w:val="single" w:sz="4" w:space="0" w:color="auto"/>
              <w:right w:val="single" w:sz="4" w:space="0" w:color="auto"/>
            </w:tcBorders>
          </w:tcPr>
          <w:p w14:paraId="345133E4" w14:textId="77777777" w:rsidR="00F84089" w:rsidRPr="00FD1145" w:rsidRDefault="00F84089" w:rsidP="00FB03D5">
            <w:pPr>
              <w:pStyle w:val="Tabletext"/>
              <w:keepNext/>
              <w:keepLines/>
              <w:jc w:val="center"/>
            </w:pPr>
            <w:r w:rsidRPr="00FD1145">
              <w:t>27.3 (23.7, NR)</w:t>
            </w:r>
          </w:p>
        </w:tc>
        <w:tc>
          <w:tcPr>
            <w:tcW w:w="866" w:type="pct"/>
            <w:vMerge/>
          </w:tcPr>
          <w:p w14:paraId="2A408214" w14:textId="77777777" w:rsidR="00F84089" w:rsidRPr="00FD1145" w:rsidRDefault="00F84089" w:rsidP="00FB03D5">
            <w:pPr>
              <w:keepNext/>
              <w:keepLines/>
              <w:spacing w:after="240"/>
              <w:rPr>
                <w:sz w:val="20"/>
                <w:szCs w:val="20"/>
              </w:rPr>
            </w:pPr>
          </w:p>
        </w:tc>
        <w:tc>
          <w:tcPr>
            <w:tcW w:w="0" w:type="auto"/>
            <w:vMerge/>
            <w:tcBorders>
              <w:left w:val="single" w:sz="4" w:space="0" w:color="auto"/>
              <w:right w:val="single" w:sz="4" w:space="0" w:color="auto"/>
            </w:tcBorders>
            <w:vAlign w:val="center"/>
          </w:tcPr>
          <w:p w14:paraId="07CB015A" w14:textId="77777777" w:rsidR="00F84089" w:rsidRPr="00FD1145" w:rsidRDefault="00F84089" w:rsidP="00FB03D5">
            <w:pPr>
              <w:keepNext/>
              <w:keepLines/>
              <w:spacing w:after="240"/>
              <w:rPr>
                <w:sz w:val="20"/>
                <w:szCs w:val="20"/>
              </w:rPr>
            </w:pPr>
          </w:p>
        </w:tc>
      </w:tr>
      <w:tr w:rsidR="00F84089" w:rsidRPr="00FD1145" w14:paraId="6CFEF146" w14:textId="77777777" w:rsidTr="008B1086">
        <w:trPr>
          <w:trHeight w:val="244"/>
        </w:trPr>
        <w:tc>
          <w:tcPr>
            <w:tcW w:w="1727" w:type="pct"/>
            <w:tcBorders>
              <w:top w:val="single" w:sz="4" w:space="0" w:color="auto"/>
              <w:left w:val="single" w:sz="4" w:space="0" w:color="auto"/>
              <w:bottom w:val="single" w:sz="4" w:space="0" w:color="auto"/>
              <w:right w:val="single" w:sz="4" w:space="0" w:color="auto"/>
            </w:tcBorders>
            <w:vAlign w:val="center"/>
          </w:tcPr>
          <w:p w14:paraId="125673FD" w14:textId="77777777" w:rsidR="00F84089" w:rsidRPr="00FD1145" w:rsidRDefault="00F84089" w:rsidP="00FB03D5">
            <w:pPr>
              <w:pStyle w:val="Tabletext"/>
              <w:keepNext/>
              <w:keepLines/>
            </w:pPr>
            <w:r w:rsidRPr="00FD1145">
              <w:t>Difference in median OS, months</w:t>
            </w:r>
          </w:p>
        </w:tc>
        <w:tc>
          <w:tcPr>
            <w:tcW w:w="1808" w:type="pct"/>
            <w:gridSpan w:val="2"/>
            <w:tcBorders>
              <w:top w:val="single" w:sz="4" w:space="0" w:color="auto"/>
              <w:left w:val="single" w:sz="4" w:space="0" w:color="auto"/>
              <w:bottom w:val="single" w:sz="4" w:space="0" w:color="auto"/>
              <w:right w:val="single" w:sz="4" w:space="0" w:color="auto"/>
            </w:tcBorders>
          </w:tcPr>
          <w:p w14:paraId="19AC7313" w14:textId="77777777" w:rsidR="00F84089" w:rsidRPr="00FD1145" w:rsidRDefault="00F84089" w:rsidP="00FB03D5">
            <w:pPr>
              <w:pStyle w:val="Tabletext"/>
              <w:keepNext/>
              <w:keepLines/>
              <w:jc w:val="center"/>
            </w:pPr>
            <w:r w:rsidRPr="00FD1145">
              <w:t>-4.6</w:t>
            </w:r>
          </w:p>
        </w:tc>
        <w:tc>
          <w:tcPr>
            <w:tcW w:w="866" w:type="pct"/>
            <w:vMerge/>
          </w:tcPr>
          <w:p w14:paraId="07C7624B" w14:textId="77777777" w:rsidR="00F84089" w:rsidRPr="00FD1145" w:rsidRDefault="00F84089" w:rsidP="00FB03D5">
            <w:pPr>
              <w:keepNext/>
              <w:keepLines/>
              <w:spacing w:after="240"/>
              <w:rPr>
                <w:sz w:val="20"/>
                <w:szCs w:val="20"/>
              </w:rPr>
            </w:pPr>
          </w:p>
        </w:tc>
        <w:tc>
          <w:tcPr>
            <w:tcW w:w="0" w:type="auto"/>
            <w:vMerge/>
            <w:tcBorders>
              <w:left w:val="single" w:sz="4" w:space="0" w:color="auto"/>
              <w:bottom w:val="single" w:sz="4" w:space="0" w:color="auto"/>
              <w:right w:val="single" w:sz="4" w:space="0" w:color="auto"/>
            </w:tcBorders>
            <w:vAlign w:val="center"/>
          </w:tcPr>
          <w:p w14:paraId="0712882E" w14:textId="77777777" w:rsidR="00F84089" w:rsidRPr="00FD1145" w:rsidRDefault="00F84089" w:rsidP="00FB03D5">
            <w:pPr>
              <w:keepNext/>
              <w:keepLines/>
              <w:spacing w:after="240"/>
              <w:rPr>
                <w:sz w:val="20"/>
                <w:szCs w:val="20"/>
              </w:rPr>
            </w:pPr>
          </w:p>
        </w:tc>
      </w:tr>
    </w:tbl>
    <w:p w14:paraId="0B7AFCD9" w14:textId="77777777" w:rsidR="00F84089" w:rsidRPr="00FD1145" w:rsidRDefault="00F84089" w:rsidP="00F84089">
      <w:pPr>
        <w:pStyle w:val="TableFigureFooter"/>
      </w:pPr>
      <w:r w:rsidRPr="00FD1145">
        <w:t xml:space="preserve">Source: HER2CLIMB CSR Table 17 p. 82; </w:t>
      </w:r>
      <w:proofErr w:type="spellStart"/>
      <w:r w:rsidRPr="00FD1145">
        <w:t>Curigliano</w:t>
      </w:r>
      <w:proofErr w:type="spellEnd"/>
      <w:r w:rsidRPr="00FD1145">
        <w:t xml:space="preserve"> et al (2022), Figure 2A; Verma 2012 Primary Analysis section; </w:t>
      </w:r>
      <w:proofErr w:type="spellStart"/>
      <w:r w:rsidRPr="00FD1145">
        <w:t>Dieras</w:t>
      </w:r>
      <w:proofErr w:type="spellEnd"/>
      <w:r w:rsidRPr="00FD1145">
        <w:t xml:space="preserve"> 2017 Results section; Takano et al (2018) Section 3.2 Efficacy; Pivot et al (2015) Efficacy outcomes &amp; Figure 2B</w:t>
      </w:r>
    </w:p>
    <w:p w14:paraId="0842D266" w14:textId="77777777" w:rsidR="00F84089" w:rsidRPr="00FD1145" w:rsidRDefault="00F84089" w:rsidP="00F84089">
      <w:pPr>
        <w:pStyle w:val="TableFigureFooter"/>
      </w:pPr>
      <w:r w:rsidRPr="00FD1145">
        <w:t>Abbreviations: BICR, blinded independent central review; Cap, capecitabine; CI, confidence interval; HR, hazard ratio; IA, interim analysis; ICR, blinded independent central review; ITT, intention-to-treat; Lap, lapatinib; NR, not reported Pbo, placebo; OS, overall survival; T-DM1, trastuzumab emtansine; Tra, trastuzumab; Tuc, tucatinib.</w:t>
      </w:r>
    </w:p>
    <w:p w14:paraId="3418748B" w14:textId="61C934DA" w:rsidR="00D81E20" w:rsidRPr="00FD1145" w:rsidRDefault="00D81E20" w:rsidP="00D81E20">
      <w:pPr>
        <w:pStyle w:val="TableFigureFooter"/>
      </w:pPr>
      <w:r w:rsidRPr="00FD1145">
        <w:rPr>
          <w:vertAlign w:val="superscript"/>
        </w:rPr>
        <w:t xml:space="preserve">a </w:t>
      </w:r>
      <w:r w:rsidR="00A727C6" w:rsidRPr="00FD1145">
        <w:t xml:space="preserve"> Used </w:t>
      </w:r>
      <w:r w:rsidR="00CA7A19" w:rsidRPr="00FD1145">
        <w:t>in the NMA</w:t>
      </w:r>
      <w:r w:rsidR="000F0DFE" w:rsidRPr="00FD1145">
        <w:t xml:space="preserve"> (noting the HER2CLIMB final analysis results were not used in the NMA)</w:t>
      </w:r>
    </w:p>
    <w:p w14:paraId="7CD01C58" w14:textId="77777777" w:rsidR="009B032D" w:rsidRPr="00FD1145" w:rsidRDefault="009B032D" w:rsidP="009B032D">
      <w:pPr>
        <w:pStyle w:val="TableFigureFooter"/>
      </w:pPr>
      <w:r w:rsidRPr="00FD1145">
        <w:rPr>
          <w:shd w:val="clear" w:color="auto" w:fill="B8CCE4" w:themeFill="accent1" w:themeFillTint="66"/>
        </w:rPr>
        <w:t>Blue shading</w:t>
      </w:r>
      <w:r w:rsidRPr="00FD1145">
        <w:t xml:space="preserve"> indicates data previously seen by the PBAC.</w:t>
      </w:r>
    </w:p>
    <w:p w14:paraId="7B03D623" w14:textId="75D773B5" w:rsidR="00675814" w:rsidRPr="00FD1145" w:rsidRDefault="00F84089" w:rsidP="00F84089">
      <w:pPr>
        <w:pStyle w:val="3-BodyText"/>
      </w:pPr>
      <w:r w:rsidRPr="00FD1145">
        <w:t xml:space="preserve">The NMA used OS data from the primary analysis of HER2CLIMB (prior to treatment switching in the comparator arm) and the final analysis of EMILIA (after treatment switching in the comparator arm had occurred). </w:t>
      </w:r>
      <w:r w:rsidR="00675814" w:rsidRPr="00FD1145">
        <w:t>This resulted in</w:t>
      </w:r>
      <w:r w:rsidR="00B05412" w:rsidRPr="00FD1145">
        <w:t xml:space="preserve"> the</w:t>
      </w:r>
      <w:r w:rsidR="00675814" w:rsidRPr="00FD1145">
        <w:t xml:space="preserve"> NMA using a more favourable HR for the tucatinib </w:t>
      </w:r>
      <w:r w:rsidR="00EA6FF1" w:rsidRPr="00FD1145">
        <w:t xml:space="preserve">arm </w:t>
      </w:r>
      <w:r w:rsidR="00675814" w:rsidRPr="00FD1145">
        <w:t>and a less favourable HR for the T-DM1 arm</w:t>
      </w:r>
      <w:r w:rsidR="00EA6FF1" w:rsidRPr="00FD1145">
        <w:t>.</w:t>
      </w:r>
      <w:r w:rsidR="00285EA8" w:rsidRPr="00FD1145">
        <w:t xml:space="preserve"> </w:t>
      </w:r>
      <w:r w:rsidR="00285EA8" w:rsidRPr="00FD1145">
        <w:lastRenderedPageBreak/>
        <w:t>However, additional analysis using the Bucher approach</w:t>
      </w:r>
      <w:r w:rsidR="00774AD7" w:rsidRPr="00FD1145">
        <w:t xml:space="preserve"> using OS data from HER2CLIMB and EMILIA prior to treatment switching showed similar results to that reported in the NMA</w:t>
      </w:r>
      <w:r w:rsidR="00910255" w:rsidRPr="00FD1145">
        <w:t xml:space="preserve">, indicating this </w:t>
      </w:r>
      <w:r w:rsidR="00570D7F" w:rsidRPr="00FD1145">
        <w:t xml:space="preserve">had a </w:t>
      </w:r>
      <w:r w:rsidR="00910255" w:rsidRPr="00FD1145">
        <w:t>limited impact</w:t>
      </w:r>
      <w:r w:rsidR="00420ECA" w:rsidRPr="00FD1145">
        <w:t>.</w:t>
      </w:r>
      <w:r w:rsidR="00910255" w:rsidRPr="00FD1145">
        <w:t xml:space="preserve"> </w:t>
      </w:r>
    </w:p>
    <w:p w14:paraId="1600AF44" w14:textId="29BD41E3" w:rsidR="00F84089" w:rsidRPr="00FD1145" w:rsidRDefault="00F84089" w:rsidP="00884AF5">
      <w:pPr>
        <w:pStyle w:val="3-BodyText"/>
      </w:pPr>
      <w:r w:rsidRPr="00FD1145">
        <w:t xml:space="preserve">OS for tucatinib combination therapy was significantly better than all other treatments in the model other than T-DM1 </w:t>
      </w:r>
      <w:r w:rsidR="000A78EC" w:rsidRPr="00FD1145">
        <w:t>which was not statistically significantly different</w:t>
      </w:r>
      <w:r w:rsidR="00910073" w:rsidRPr="00FD1145">
        <w:t xml:space="preserve"> versus tucatinib</w:t>
      </w:r>
      <w:r w:rsidRPr="00FD1145">
        <w:t xml:space="preserve"> (</w:t>
      </w:r>
      <w:r w:rsidR="004C1910" w:rsidRPr="00FD1145">
        <w:t xml:space="preserve">fixed effects NMA: </w:t>
      </w:r>
      <w:r w:rsidRPr="00FD1145">
        <w:t xml:space="preserve">HR 0.85, 95% </w:t>
      </w:r>
      <w:proofErr w:type="spellStart"/>
      <w:r w:rsidRPr="00FD1145">
        <w:t>CrI</w:t>
      </w:r>
      <w:proofErr w:type="spellEnd"/>
      <w:r w:rsidRPr="00FD1145">
        <w:t xml:space="preserve"> 0.58, 1.26, p=0.41)</w:t>
      </w:r>
      <w:r w:rsidR="00884AF5" w:rsidRPr="00FD1145">
        <w:t>.</w:t>
      </w:r>
      <w:r w:rsidRPr="00FD1145">
        <w:t xml:space="preserve"> </w:t>
      </w:r>
    </w:p>
    <w:p w14:paraId="3320D88E" w14:textId="6A8A808F" w:rsidR="00F84089" w:rsidRPr="00FD1145" w:rsidRDefault="00F84089" w:rsidP="00F84089">
      <w:pPr>
        <w:pStyle w:val="3-BodyText"/>
      </w:pPr>
      <w:r w:rsidRPr="00FD1145">
        <w:t>In addition to the NMA, the resubmission presented results from an ITC comparing tucatinib combination regimens to T-DM1 using an extension of the Bucher method</w:t>
      </w:r>
      <w:r w:rsidR="00F73CAC" w:rsidRPr="00FD1145">
        <w:t>.</w:t>
      </w:r>
      <w:r w:rsidRPr="00FD1145">
        <w:t xml:space="preserve"> Transitivity issues highlighted in the NMA </w:t>
      </w:r>
      <w:r w:rsidR="00D43102" w:rsidRPr="00FD1145">
        <w:t xml:space="preserve">(paragraph </w:t>
      </w:r>
      <w:r w:rsidR="00D43102" w:rsidRPr="00FD1145">
        <w:fldChar w:fldCharType="begin"/>
      </w:r>
      <w:r w:rsidR="00D43102" w:rsidRPr="00FD1145">
        <w:instrText xml:space="preserve"> REF _Ref206165444 \r \h </w:instrText>
      </w:r>
      <w:r w:rsidR="00C33092" w:rsidRPr="00FD1145">
        <w:instrText xml:space="preserve"> \* MERGEFORMAT </w:instrText>
      </w:r>
      <w:r w:rsidR="00D43102" w:rsidRPr="00FD1145">
        <w:fldChar w:fldCharType="separate"/>
      </w:r>
      <w:r w:rsidR="009B3037">
        <w:t>6.15</w:t>
      </w:r>
      <w:r w:rsidR="00D43102" w:rsidRPr="00FD1145">
        <w:fldChar w:fldCharType="end"/>
      </w:r>
      <w:r w:rsidR="00D43102" w:rsidRPr="00FD1145">
        <w:t>)</w:t>
      </w:r>
      <w:r w:rsidR="00C52779" w:rsidRPr="00FD1145">
        <w:t xml:space="preserve"> </w:t>
      </w:r>
      <w:r w:rsidRPr="00FD1145">
        <w:t>remain for the ITC</w:t>
      </w:r>
      <w:r w:rsidR="00D43102" w:rsidRPr="00FD1145">
        <w:t>.</w:t>
      </w:r>
    </w:p>
    <w:p w14:paraId="0E208100" w14:textId="114A48A9" w:rsidR="00F84089" w:rsidRPr="00FD1145" w:rsidRDefault="00F84089" w:rsidP="00F84089">
      <w:pPr>
        <w:pStyle w:val="3-BodyText"/>
      </w:pPr>
      <w:r w:rsidRPr="00FD1145">
        <w:t>No statistically significant differences between tucatinib (in combination with trastuzumab and capecitabine) and T-DM1 were identified using Bucher</w:t>
      </w:r>
      <w:r w:rsidR="00237372" w:rsidRPr="00FD1145">
        <w:t>’</w:t>
      </w:r>
      <w:r w:rsidRPr="00FD1145">
        <w:t>s ITC methodology. Results for OS were largely consistent in the primary analysis and sensitivity analyses.</w:t>
      </w:r>
    </w:p>
    <w:p w14:paraId="1001A66F" w14:textId="0F9071FB" w:rsidR="00F84089" w:rsidRPr="00FD1145" w:rsidRDefault="00F84089" w:rsidP="00F84089">
      <w:pPr>
        <w:pStyle w:val="3-BodyText"/>
      </w:pPr>
      <w:r w:rsidRPr="00FD1145">
        <w:t xml:space="preserve">A summary of estimates of PFS and OS HRs for the ITC of tucatinib + capecitabine + trastuzumab vs T-DM1 using different methodologies (original NMA [March 2021], PBAC NMA [February 2025] and Bucher ITCs) is presented in </w:t>
      </w:r>
      <w:r w:rsidRPr="00FD1145">
        <w:fldChar w:fldCharType="begin"/>
      </w:r>
      <w:r w:rsidRPr="00FD1145">
        <w:instrText xml:space="preserve"> REF _Ref206165777 \h </w:instrText>
      </w:r>
      <w:r w:rsidR="00C33092" w:rsidRPr="00FD1145">
        <w:instrText xml:space="preserve"> \* MERGEFORMAT </w:instrText>
      </w:r>
      <w:r w:rsidRPr="00FD1145">
        <w:fldChar w:fldCharType="separate"/>
      </w:r>
      <w:r w:rsidR="009B3037" w:rsidRPr="00FD1145">
        <w:t xml:space="preserve">Figure </w:t>
      </w:r>
      <w:r w:rsidR="009B3037">
        <w:rPr>
          <w:noProof/>
        </w:rPr>
        <w:t>3</w:t>
      </w:r>
      <w:r w:rsidRPr="00FD1145">
        <w:fldChar w:fldCharType="end"/>
      </w:r>
      <w:r w:rsidRPr="00FD1145">
        <w:t>.</w:t>
      </w:r>
      <w:r w:rsidR="002C360F" w:rsidRPr="00FD1145">
        <w:t xml:space="preserve"> </w:t>
      </w:r>
      <w:r w:rsidR="003D295D" w:rsidRPr="00FD1145">
        <w:t>T</w:t>
      </w:r>
      <w:r w:rsidR="00E03B85" w:rsidRPr="00FD1145">
        <w:t xml:space="preserve">he </w:t>
      </w:r>
      <w:r w:rsidR="0012298F" w:rsidRPr="00FD1145">
        <w:t xml:space="preserve">results were </w:t>
      </w:r>
      <w:r w:rsidR="002417D8" w:rsidRPr="00FD1145">
        <w:t xml:space="preserve">generally </w:t>
      </w:r>
      <w:r w:rsidR="0012298F" w:rsidRPr="00FD1145">
        <w:t>consistent across the different approaches</w:t>
      </w:r>
      <w:r w:rsidR="002B64E5" w:rsidRPr="00FD1145">
        <w:t>, noting</w:t>
      </w:r>
      <w:r w:rsidR="00A01AF0" w:rsidRPr="00FD1145">
        <w:t xml:space="preserve"> they </w:t>
      </w:r>
      <w:r w:rsidR="002417D8" w:rsidRPr="00FD1145">
        <w:t>relied on</w:t>
      </w:r>
      <w:r w:rsidR="00A01AF0" w:rsidRPr="00FD1145">
        <w:t xml:space="preserve"> the same trials</w:t>
      </w:r>
      <w:r w:rsidR="002417D8" w:rsidRPr="00FD1145">
        <w:t xml:space="preserve"> for the common treatment pathways</w:t>
      </w:r>
      <w:r w:rsidR="00571EAF" w:rsidRPr="00FD1145">
        <w:t xml:space="preserve">. The ESC considered there was uncertainty associated with the </w:t>
      </w:r>
      <w:r w:rsidR="00E70384" w:rsidRPr="00FD1145">
        <w:t>comparison between tucatinib and T-DM1 given it was</w:t>
      </w:r>
      <w:r w:rsidR="0056235B" w:rsidRPr="00FD1145">
        <w:t xml:space="preserve"> based on a multi-step indirect treatment comparison</w:t>
      </w:r>
      <w:r w:rsidR="00E70384" w:rsidRPr="00FD1145">
        <w:t>/NMA</w:t>
      </w:r>
      <w:r w:rsidR="0056235B" w:rsidRPr="00FD1145">
        <w:t xml:space="preserve"> which was associated with</w:t>
      </w:r>
      <w:r w:rsidR="0048547B" w:rsidRPr="00FD1145">
        <w:t xml:space="preserve"> potential</w:t>
      </w:r>
      <w:r w:rsidR="0056235B" w:rsidRPr="00FD1145">
        <w:t xml:space="preserve"> transitivity issues given the differences </w:t>
      </w:r>
      <w:r w:rsidR="0048547B" w:rsidRPr="00FD1145">
        <w:t xml:space="preserve">between </w:t>
      </w:r>
      <w:r w:rsidR="0056235B" w:rsidRPr="00FD1145">
        <w:t xml:space="preserve">the patient populations included </w:t>
      </w:r>
      <w:r w:rsidR="0048547B" w:rsidRPr="00FD1145">
        <w:t xml:space="preserve">in the </w:t>
      </w:r>
      <w:r w:rsidR="0056235B" w:rsidRPr="00FD1145">
        <w:t xml:space="preserve">trials (e.g. differences in the number of prior therapies, presence of brain metastases and functional status). </w:t>
      </w:r>
    </w:p>
    <w:p w14:paraId="2A5AA41A" w14:textId="2E0BFD1C" w:rsidR="00F84089" w:rsidRPr="00FD1145" w:rsidRDefault="00F84089" w:rsidP="00F84089">
      <w:pPr>
        <w:pStyle w:val="Caption"/>
      </w:pPr>
      <w:bookmarkStart w:id="50" w:name="_Ref206165777"/>
      <w:r w:rsidRPr="00FD1145">
        <w:lastRenderedPageBreak/>
        <w:t xml:space="preserve">Figure </w:t>
      </w:r>
      <w:r w:rsidR="007000FA">
        <w:fldChar w:fldCharType="begin"/>
      </w:r>
      <w:r w:rsidR="007000FA">
        <w:instrText xml:space="preserve"> SEQ Figure \* ARABIC </w:instrText>
      </w:r>
      <w:r w:rsidR="007000FA">
        <w:fldChar w:fldCharType="separate"/>
      </w:r>
      <w:r w:rsidR="009B3037">
        <w:rPr>
          <w:noProof/>
        </w:rPr>
        <w:t>3</w:t>
      </w:r>
      <w:r w:rsidR="007000FA">
        <w:rPr>
          <w:noProof/>
        </w:rPr>
        <w:fldChar w:fldCharType="end"/>
      </w:r>
      <w:bookmarkEnd w:id="50"/>
      <w:r w:rsidRPr="00FD1145">
        <w:t>: HRs for PFS and OS comparing tucatinib + capecitabine + trastuzumab vs T-DM1 estimated using different methods (NMA, Bucher ITC)</w:t>
      </w:r>
    </w:p>
    <w:p w14:paraId="725640A0" w14:textId="77777777" w:rsidR="00F84089" w:rsidRPr="00FD1145" w:rsidRDefault="00F84089" w:rsidP="00F84089">
      <w:pPr>
        <w:pStyle w:val="TableFigureHeading"/>
      </w:pPr>
      <w:r w:rsidRPr="00FD1145">
        <w:rPr>
          <w:noProof/>
        </w:rPr>
        <w:drawing>
          <wp:inline distT="0" distB="0" distL="0" distR="0" wp14:anchorId="2495A73D" wp14:editId="08E33500">
            <wp:extent cx="5732145" cy="4585335"/>
            <wp:effectExtent l="0" t="0" r="1905" b="5715"/>
            <wp:docPr id="982673111" name="Picture 1" descr="HRs for PFS and OS comparing tucatinib + capecitabine + trastuzumab vs T-DM1 estimated using different methods (NMA, Bucher I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673111" name="Picture 1" descr="HRs for PFS and OS comparing tucatinib + capecitabine + trastuzumab vs T-DM1 estimated using different methods (NMA, Bucher IT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4585335"/>
                    </a:xfrm>
                    <a:prstGeom prst="rect">
                      <a:avLst/>
                    </a:prstGeom>
                    <a:noFill/>
                    <a:ln>
                      <a:noFill/>
                    </a:ln>
                  </pic:spPr>
                </pic:pic>
              </a:graphicData>
            </a:graphic>
          </wp:inline>
        </w:drawing>
      </w:r>
    </w:p>
    <w:p w14:paraId="71FA2964" w14:textId="77777777" w:rsidR="00F84089" w:rsidRPr="00FD1145" w:rsidRDefault="00F84089" w:rsidP="00F84089">
      <w:pPr>
        <w:pStyle w:val="TableFigureFooter"/>
        <w:rPr>
          <w:rFonts w:eastAsia="Calibri"/>
        </w:rPr>
      </w:pPr>
      <w:r w:rsidRPr="00FD1145">
        <w:rPr>
          <w:rFonts w:eastAsia="Calibri"/>
        </w:rPr>
        <w:t>Source: Figure 2.6-8, p174 of the submission</w:t>
      </w:r>
    </w:p>
    <w:p w14:paraId="2512D77E" w14:textId="77777777" w:rsidR="00F84089" w:rsidRPr="00FD1145" w:rsidRDefault="00F84089" w:rsidP="00F84089">
      <w:pPr>
        <w:pStyle w:val="TableFigureFooter"/>
      </w:pPr>
      <w:r w:rsidRPr="00FD1145">
        <w:t>Abbreviations: CAP, capecitabine; CI, confidence interval; HR, hazard ratio; ITC, indirect treatment comparison; ND, not done; NMA, Network meta-analysis; OS, overall survival; PFS, progression-free survival; T-DM1, trastuzumab emtansine; TRA, trastuzumab; TUC, tucatinib.</w:t>
      </w:r>
    </w:p>
    <w:p w14:paraId="5EE1C17B" w14:textId="77777777" w:rsidR="00F84089" w:rsidRPr="00FD1145" w:rsidRDefault="00F84089" w:rsidP="00F84089">
      <w:pPr>
        <w:pStyle w:val="TableFigureFooter"/>
      </w:pPr>
      <w:r w:rsidRPr="00FD1145">
        <w:t>Note: Full NMA (5 Mar 2021) included up to 11 treatments; PBAC relevant NMA (20 Feb 2025) included up to 7 treatments</w:t>
      </w:r>
    </w:p>
    <w:p w14:paraId="472A51FA" w14:textId="77777777" w:rsidR="00F84089" w:rsidRPr="00FD1145" w:rsidRDefault="00F84089" w:rsidP="00230B9C">
      <w:pPr>
        <w:pStyle w:val="4-SubsectionHeading"/>
      </w:pPr>
      <w:bookmarkStart w:id="51" w:name="_Toc22897642"/>
      <w:bookmarkStart w:id="52" w:name="_Toc208931305"/>
      <w:r w:rsidRPr="00FD1145">
        <w:t>Comparative harms</w:t>
      </w:r>
      <w:bookmarkEnd w:id="51"/>
      <w:bookmarkEnd w:id="52"/>
    </w:p>
    <w:p w14:paraId="3D97BB7D" w14:textId="77777777" w:rsidR="00F84089" w:rsidRPr="00FD1145" w:rsidRDefault="00F84089" w:rsidP="00F84089">
      <w:pPr>
        <w:pStyle w:val="5-SubsectionSubheading"/>
        <w:rPr>
          <w:i/>
          <w:iCs/>
          <w:lang w:eastAsia="en-US"/>
        </w:rPr>
      </w:pPr>
      <w:bookmarkStart w:id="53" w:name="_Toc208931306"/>
      <w:r w:rsidRPr="00FD1145">
        <w:rPr>
          <w:i/>
          <w:iCs/>
          <w:lang w:eastAsia="en-US"/>
        </w:rPr>
        <w:t>Direct comparison</w:t>
      </w:r>
      <w:bookmarkEnd w:id="53"/>
    </w:p>
    <w:p w14:paraId="010071D2" w14:textId="4D9F8382" w:rsidR="00F84089" w:rsidRPr="00FD1145" w:rsidRDefault="00F84089" w:rsidP="00F84089">
      <w:pPr>
        <w:pStyle w:val="3-BodyText"/>
        <w:rPr>
          <w:color w:val="0066FF"/>
        </w:rPr>
      </w:pPr>
      <w:r w:rsidRPr="00FD1145">
        <w:t xml:space="preserve">A summary of the key adverse events (AEs) from the primary (data cut off 04 September 2019) and final analysis (data cut-off 8 February 2021) of HER2CLIMB </w:t>
      </w:r>
      <w:r w:rsidR="00D9211E" w:rsidRPr="00FD1145">
        <w:t xml:space="preserve">are </w:t>
      </w:r>
      <w:r w:rsidRPr="00FD1145">
        <w:t xml:space="preserve">presented in </w:t>
      </w:r>
      <w:r w:rsidRPr="00FD1145">
        <w:fldChar w:fldCharType="begin"/>
      </w:r>
      <w:r w:rsidRPr="00FD1145">
        <w:instrText xml:space="preserve"> REF _Ref206072271 \h </w:instrText>
      </w:r>
      <w:r w:rsidR="00C33092" w:rsidRPr="00FD1145">
        <w:instrText xml:space="preserve"> \* MERGEFORMAT </w:instrText>
      </w:r>
      <w:r w:rsidRPr="00FD1145">
        <w:fldChar w:fldCharType="separate"/>
      </w:r>
      <w:r w:rsidR="009B3037" w:rsidRPr="00FD1145">
        <w:t xml:space="preserve">Table </w:t>
      </w:r>
      <w:r w:rsidR="009B3037">
        <w:rPr>
          <w:noProof/>
        </w:rPr>
        <w:t>11</w:t>
      </w:r>
      <w:r w:rsidRPr="00FD1145">
        <w:fldChar w:fldCharType="end"/>
      </w:r>
      <w:r w:rsidRPr="00FD1145">
        <w:t>. AEs from the final analysis showed no notable increase in the rates of AEs, and only one additional patient discontinued tucatinib due to an AE in the time since the primary analysis.</w:t>
      </w:r>
    </w:p>
    <w:p w14:paraId="091B3CBD" w14:textId="14610AAA" w:rsidR="00F84089" w:rsidRPr="00FD1145" w:rsidRDefault="00F84089" w:rsidP="00F84089">
      <w:pPr>
        <w:pStyle w:val="TableFigureHeading"/>
        <w:rPr>
          <w:rStyle w:val="CommentReference"/>
          <w:b/>
          <w:szCs w:val="24"/>
        </w:rPr>
      </w:pPr>
      <w:bookmarkStart w:id="54" w:name="_Ref206072271"/>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11</w:t>
      </w:r>
      <w:r w:rsidR="007000FA">
        <w:rPr>
          <w:noProof/>
        </w:rPr>
        <w:fldChar w:fldCharType="end"/>
      </w:r>
      <w:bookmarkEnd w:id="54"/>
      <w:r w:rsidRPr="00FD1145">
        <w:t xml:space="preserve">: </w:t>
      </w:r>
      <w:r w:rsidRPr="00FD1145">
        <w:rPr>
          <w:rStyle w:val="CommentReference"/>
          <w:b/>
          <w:szCs w:val="24"/>
        </w:rPr>
        <w:t xml:space="preserve">Summary of key adverse events in the HER2CLIMB trial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key adverse events in the HER2CLIMB trial "/>
      </w:tblPr>
      <w:tblGrid>
        <w:gridCol w:w="2656"/>
        <w:gridCol w:w="1307"/>
        <w:gridCol w:w="1419"/>
        <w:gridCol w:w="1735"/>
        <w:gridCol w:w="1899"/>
      </w:tblGrid>
      <w:tr w:rsidR="00F84089" w:rsidRPr="00FD1145" w14:paraId="5EECACFB" w14:textId="77777777" w:rsidTr="008B1086">
        <w:trPr>
          <w:cantSplit/>
          <w:tblHeader/>
        </w:trPr>
        <w:tc>
          <w:tcPr>
            <w:tcW w:w="1473" w:type="pct"/>
            <w:tcBorders>
              <w:bottom w:val="single" w:sz="4" w:space="0" w:color="auto"/>
            </w:tcBorders>
            <w:vAlign w:val="center"/>
          </w:tcPr>
          <w:p w14:paraId="74F5E205" w14:textId="77777777" w:rsidR="00F84089" w:rsidRPr="00FD1145" w:rsidRDefault="00F84089" w:rsidP="00BB2966">
            <w:pPr>
              <w:pStyle w:val="TableFigureHeading"/>
              <w:keepLines/>
            </w:pPr>
            <w:bookmarkStart w:id="55" w:name="_Toc22897643"/>
            <w:r w:rsidRPr="00FD1145">
              <w:t>HER2CLIMB</w:t>
            </w:r>
          </w:p>
        </w:tc>
        <w:tc>
          <w:tcPr>
            <w:tcW w:w="725" w:type="pct"/>
            <w:tcBorders>
              <w:bottom w:val="single" w:sz="4" w:space="0" w:color="auto"/>
            </w:tcBorders>
            <w:vAlign w:val="center"/>
          </w:tcPr>
          <w:p w14:paraId="17ECCA79" w14:textId="77777777" w:rsidR="00F84089" w:rsidRPr="00FD1145" w:rsidRDefault="00F84089" w:rsidP="00BB2966">
            <w:pPr>
              <w:pStyle w:val="TableFigureHeading"/>
              <w:keepLines/>
              <w:jc w:val="center"/>
              <w:rPr>
                <w:lang w:val="pt-BR"/>
              </w:rPr>
            </w:pPr>
            <w:r w:rsidRPr="00FD1145">
              <w:rPr>
                <w:lang w:val="pt-BR"/>
              </w:rPr>
              <w:t>Tuc+Tra+Cap</w:t>
            </w:r>
          </w:p>
          <w:p w14:paraId="72204E5C" w14:textId="77777777" w:rsidR="00F84089" w:rsidRPr="00FD1145" w:rsidRDefault="00F84089" w:rsidP="00BB2966">
            <w:pPr>
              <w:pStyle w:val="TableFigureHeading"/>
              <w:keepLines/>
              <w:jc w:val="center"/>
              <w:rPr>
                <w:lang w:val="pt-BR"/>
              </w:rPr>
            </w:pPr>
            <w:r w:rsidRPr="00FD1145">
              <w:rPr>
                <w:lang w:val="pt-BR"/>
              </w:rPr>
              <w:t>N=404</w:t>
            </w:r>
          </w:p>
          <w:p w14:paraId="5C6B076C" w14:textId="77777777" w:rsidR="00F84089" w:rsidRPr="00FD1145" w:rsidRDefault="00F84089" w:rsidP="00BB2966">
            <w:pPr>
              <w:pStyle w:val="TableFigureHeading"/>
              <w:keepLines/>
              <w:jc w:val="center"/>
              <w:rPr>
                <w:lang w:val="pt-BR"/>
              </w:rPr>
            </w:pPr>
            <w:r w:rsidRPr="00FD1145">
              <w:rPr>
                <w:lang w:val="pt-BR"/>
              </w:rPr>
              <w:t>n (%)</w:t>
            </w:r>
          </w:p>
        </w:tc>
        <w:tc>
          <w:tcPr>
            <w:tcW w:w="787" w:type="pct"/>
            <w:tcBorders>
              <w:bottom w:val="single" w:sz="4" w:space="0" w:color="auto"/>
            </w:tcBorders>
            <w:vAlign w:val="center"/>
          </w:tcPr>
          <w:p w14:paraId="11089893" w14:textId="77777777" w:rsidR="00F84089" w:rsidRPr="00FD1145" w:rsidRDefault="00F84089" w:rsidP="00BB2966">
            <w:pPr>
              <w:pStyle w:val="TableFigureHeading"/>
              <w:keepLines/>
              <w:jc w:val="center"/>
              <w:rPr>
                <w:lang w:val="pt-BR"/>
              </w:rPr>
            </w:pPr>
            <w:r w:rsidRPr="00FD1145">
              <w:rPr>
                <w:lang w:val="pt-BR"/>
              </w:rPr>
              <w:t>Pbo+Tra+Cap</w:t>
            </w:r>
          </w:p>
          <w:p w14:paraId="11D1E6D1" w14:textId="77777777" w:rsidR="00F84089" w:rsidRPr="00FD1145" w:rsidRDefault="00F84089" w:rsidP="00BB2966">
            <w:pPr>
              <w:pStyle w:val="TableFigureHeading"/>
              <w:keepLines/>
              <w:jc w:val="center"/>
              <w:rPr>
                <w:lang w:val="pt-BR"/>
              </w:rPr>
            </w:pPr>
            <w:r w:rsidRPr="00FD1145">
              <w:rPr>
                <w:lang w:val="pt-BR"/>
              </w:rPr>
              <w:t>N=197</w:t>
            </w:r>
          </w:p>
          <w:p w14:paraId="3C90A83B" w14:textId="77777777" w:rsidR="00F84089" w:rsidRPr="00FD1145" w:rsidRDefault="00F84089" w:rsidP="00BB2966">
            <w:pPr>
              <w:pStyle w:val="TableFigureHeading"/>
              <w:keepLines/>
              <w:jc w:val="center"/>
              <w:rPr>
                <w:lang w:val="pt-BR"/>
              </w:rPr>
            </w:pPr>
            <w:r w:rsidRPr="00FD1145">
              <w:rPr>
                <w:lang w:val="pt-BR"/>
              </w:rPr>
              <w:t>n (%)</w:t>
            </w:r>
          </w:p>
        </w:tc>
        <w:tc>
          <w:tcPr>
            <w:tcW w:w="962" w:type="pct"/>
            <w:tcBorders>
              <w:bottom w:val="single" w:sz="4" w:space="0" w:color="auto"/>
            </w:tcBorders>
            <w:vAlign w:val="center"/>
          </w:tcPr>
          <w:p w14:paraId="1492C424" w14:textId="77777777" w:rsidR="00F84089" w:rsidRPr="00FD1145" w:rsidRDefault="00F84089" w:rsidP="00BB2966">
            <w:pPr>
              <w:pStyle w:val="TableFigureHeading"/>
              <w:keepLines/>
              <w:jc w:val="center"/>
            </w:pPr>
            <w:r w:rsidRPr="00FD1145">
              <w:t>RR (95% CI)</w:t>
            </w:r>
          </w:p>
        </w:tc>
        <w:tc>
          <w:tcPr>
            <w:tcW w:w="1053" w:type="pct"/>
            <w:tcBorders>
              <w:bottom w:val="single" w:sz="4" w:space="0" w:color="auto"/>
            </w:tcBorders>
            <w:vAlign w:val="center"/>
          </w:tcPr>
          <w:p w14:paraId="5D7B5159" w14:textId="77777777" w:rsidR="00F84089" w:rsidRPr="00FD1145" w:rsidRDefault="00F84089" w:rsidP="00BB2966">
            <w:pPr>
              <w:pStyle w:val="TableFigureHeading"/>
              <w:keepLines/>
              <w:jc w:val="center"/>
            </w:pPr>
            <w:r w:rsidRPr="00FD1145">
              <w:t>RD (95% CI)</w:t>
            </w:r>
          </w:p>
        </w:tc>
      </w:tr>
      <w:tr w:rsidR="00F84089" w:rsidRPr="00FD1145" w14:paraId="5A988222" w14:textId="77777777" w:rsidTr="008B1086">
        <w:trPr>
          <w:cantSplit/>
        </w:trPr>
        <w:tc>
          <w:tcPr>
            <w:tcW w:w="1473" w:type="pct"/>
            <w:tcBorders>
              <w:bottom w:val="nil"/>
            </w:tcBorders>
            <w:shd w:val="clear" w:color="auto" w:fill="FFFFFF" w:themeFill="background1"/>
          </w:tcPr>
          <w:p w14:paraId="38B4F75F" w14:textId="77777777" w:rsidR="00F84089" w:rsidRPr="00FD1145" w:rsidRDefault="00F84089" w:rsidP="00BB2966">
            <w:pPr>
              <w:pStyle w:val="Tabletext"/>
              <w:keepNext/>
              <w:keepLines/>
              <w:rPr>
                <w:b/>
                <w:bCs/>
              </w:rPr>
            </w:pPr>
            <w:r w:rsidRPr="00FD1145">
              <w:rPr>
                <w:b/>
                <w:bCs/>
              </w:rPr>
              <w:t>Any TEAE</w:t>
            </w:r>
          </w:p>
        </w:tc>
        <w:tc>
          <w:tcPr>
            <w:tcW w:w="725" w:type="pct"/>
            <w:tcBorders>
              <w:bottom w:val="nil"/>
            </w:tcBorders>
            <w:shd w:val="clear" w:color="auto" w:fill="FFFFFF" w:themeFill="background1"/>
            <w:vAlign w:val="center"/>
          </w:tcPr>
          <w:p w14:paraId="1182B75B" w14:textId="77777777" w:rsidR="00F84089" w:rsidRPr="00FD1145" w:rsidRDefault="00F84089" w:rsidP="00BB2966">
            <w:pPr>
              <w:pStyle w:val="Tabletext"/>
              <w:keepNext/>
              <w:keepLines/>
              <w:jc w:val="center"/>
              <w:rPr>
                <w:b/>
                <w:bCs/>
              </w:rPr>
            </w:pPr>
          </w:p>
        </w:tc>
        <w:tc>
          <w:tcPr>
            <w:tcW w:w="787" w:type="pct"/>
            <w:tcBorders>
              <w:bottom w:val="nil"/>
            </w:tcBorders>
            <w:shd w:val="clear" w:color="auto" w:fill="FFFFFF" w:themeFill="background1"/>
            <w:vAlign w:val="center"/>
          </w:tcPr>
          <w:p w14:paraId="5EC0C83E" w14:textId="77777777" w:rsidR="00F84089" w:rsidRPr="00FD1145" w:rsidRDefault="00F84089" w:rsidP="00BB2966">
            <w:pPr>
              <w:pStyle w:val="Tabletext"/>
              <w:keepNext/>
              <w:keepLines/>
              <w:jc w:val="center"/>
              <w:rPr>
                <w:b/>
                <w:bCs/>
              </w:rPr>
            </w:pPr>
          </w:p>
        </w:tc>
        <w:tc>
          <w:tcPr>
            <w:tcW w:w="962" w:type="pct"/>
            <w:tcBorders>
              <w:bottom w:val="nil"/>
            </w:tcBorders>
            <w:shd w:val="clear" w:color="auto" w:fill="FFFFFF" w:themeFill="background1"/>
          </w:tcPr>
          <w:p w14:paraId="24CED67B" w14:textId="77777777" w:rsidR="00F84089" w:rsidRPr="00FD1145" w:rsidRDefault="00F84089" w:rsidP="00BB2966">
            <w:pPr>
              <w:pStyle w:val="Tabletext"/>
              <w:keepNext/>
              <w:keepLines/>
              <w:jc w:val="center"/>
              <w:rPr>
                <w:b/>
                <w:bCs/>
              </w:rPr>
            </w:pPr>
          </w:p>
        </w:tc>
        <w:tc>
          <w:tcPr>
            <w:tcW w:w="1053" w:type="pct"/>
            <w:tcBorders>
              <w:bottom w:val="nil"/>
            </w:tcBorders>
            <w:shd w:val="clear" w:color="auto" w:fill="FFFFFF" w:themeFill="background1"/>
            <w:vAlign w:val="bottom"/>
          </w:tcPr>
          <w:p w14:paraId="2E06EC00" w14:textId="77777777" w:rsidR="00F84089" w:rsidRPr="00FD1145" w:rsidRDefault="00F84089" w:rsidP="00BB2966">
            <w:pPr>
              <w:pStyle w:val="Tabletext"/>
              <w:keepNext/>
              <w:keepLines/>
              <w:jc w:val="center"/>
              <w:rPr>
                <w:b/>
                <w:bCs/>
              </w:rPr>
            </w:pPr>
          </w:p>
        </w:tc>
      </w:tr>
      <w:tr w:rsidR="00F84089" w:rsidRPr="00FD1145" w14:paraId="38D9FD3C" w14:textId="77777777" w:rsidTr="008B1086">
        <w:trPr>
          <w:cantSplit/>
        </w:trPr>
        <w:tc>
          <w:tcPr>
            <w:tcW w:w="1473" w:type="pct"/>
            <w:tcBorders>
              <w:top w:val="nil"/>
              <w:bottom w:val="dotted" w:sz="4" w:space="0" w:color="auto"/>
            </w:tcBorders>
            <w:shd w:val="clear" w:color="auto" w:fill="B8CCE4" w:themeFill="accent1" w:themeFillTint="66"/>
          </w:tcPr>
          <w:p w14:paraId="27C52CCB" w14:textId="77777777" w:rsidR="00F84089" w:rsidRPr="00FD1145" w:rsidRDefault="00F84089" w:rsidP="00BB2966">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52542470" w14:textId="77777777" w:rsidR="00F84089" w:rsidRPr="00FD1145" w:rsidRDefault="00F84089" w:rsidP="00BB2966">
            <w:pPr>
              <w:pStyle w:val="Tabletext"/>
              <w:keepNext/>
              <w:keepLines/>
              <w:jc w:val="center"/>
            </w:pPr>
            <w:r w:rsidRPr="00FD1145">
              <w:t>401 (99.3%)</w:t>
            </w:r>
          </w:p>
        </w:tc>
        <w:tc>
          <w:tcPr>
            <w:tcW w:w="787" w:type="pct"/>
            <w:tcBorders>
              <w:top w:val="nil"/>
              <w:bottom w:val="dotted" w:sz="4" w:space="0" w:color="auto"/>
            </w:tcBorders>
            <w:shd w:val="clear" w:color="auto" w:fill="B8CCE4" w:themeFill="accent1" w:themeFillTint="66"/>
            <w:vAlign w:val="center"/>
          </w:tcPr>
          <w:p w14:paraId="0106BB7A" w14:textId="77777777" w:rsidR="00F84089" w:rsidRPr="00FD1145" w:rsidRDefault="00F84089" w:rsidP="00BB2966">
            <w:pPr>
              <w:pStyle w:val="Tabletext"/>
              <w:keepNext/>
              <w:keepLines/>
              <w:jc w:val="center"/>
            </w:pPr>
            <w:r w:rsidRPr="00FD1145">
              <w:t>191 (97.0%)</w:t>
            </w:r>
          </w:p>
        </w:tc>
        <w:tc>
          <w:tcPr>
            <w:tcW w:w="962" w:type="pct"/>
            <w:tcBorders>
              <w:top w:val="nil"/>
              <w:bottom w:val="dotted" w:sz="4" w:space="0" w:color="auto"/>
            </w:tcBorders>
            <w:shd w:val="clear" w:color="auto" w:fill="B8CCE4" w:themeFill="accent1" w:themeFillTint="66"/>
          </w:tcPr>
          <w:p w14:paraId="7A52E22D" w14:textId="77777777" w:rsidR="00F84089" w:rsidRPr="00FD1145" w:rsidRDefault="00F84089" w:rsidP="00BB2966">
            <w:pPr>
              <w:pStyle w:val="Tabletext"/>
              <w:keepNext/>
              <w:keepLines/>
              <w:jc w:val="center"/>
            </w:pPr>
            <w:r w:rsidRPr="00FD1145">
              <w:t>1.024 (0.997, 1.051)</w:t>
            </w:r>
          </w:p>
        </w:tc>
        <w:tc>
          <w:tcPr>
            <w:tcW w:w="1053" w:type="pct"/>
            <w:tcBorders>
              <w:top w:val="nil"/>
              <w:bottom w:val="dotted" w:sz="4" w:space="0" w:color="auto"/>
            </w:tcBorders>
            <w:shd w:val="clear" w:color="auto" w:fill="B8CCE4" w:themeFill="accent1" w:themeFillTint="66"/>
            <w:vAlign w:val="bottom"/>
          </w:tcPr>
          <w:p w14:paraId="58BBD4A7" w14:textId="77777777" w:rsidR="00F84089" w:rsidRPr="00FD1145" w:rsidRDefault="00F84089" w:rsidP="00BB2966">
            <w:pPr>
              <w:pStyle w:val="Tabletext"/>
              <w:keepNext/>
              <w:keepLines/>
              <w:jc w:val="center"/>
            </w:pPr>
            <w:r w:rsidRPr="00FD1145">
              <w:t>0.023 (0.002, 0.044)</w:t>
            </w:r>
          </w:p>
        </w:tc>
      </w:tr>
      <w:tr w:rsidR="00F84089" w:rsidRPr="00FD1145" w14:paraId="3B0DABEA" w14:textId="77777777" w:rsidTr="008B1086">
        <w:trPr>
          <w:cantSplit/>
        </w:trPr>
        <w:tc>
          <w:tcPr>
            <w:tcW w:w="1473" w:type="pct"/>
            <w:tcBorders>
              <w:top w:val="dotted" w:sz="4" w:space="0" w:color="auto"/>
              <w:bottom w:val="single" w:sz="4" w:space="0" w:color="auto"/>
            </w:tcBorders>
            <w:shd w:val="clear" w:color="auto" w:fill="FFFFFF" w:themeFill="background1"/>
          </w:tcPr>
          <w:p w14:paraId="1DD4B639" w14:textId="77777777" w:rsidR="00F84089" w:rsidRPr="00FD1145" w:rsidRDefault="00F84089" w:rsidP="00BB2966">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045F70DE" w14:textId="77777777" w:rsidR="00F84089" w:rsidRPr="00FD1145" w:rsidRDefault="00F84089" w:rsidP="00BB2966">
            <w:pPr>
              <w:pStyle w:val="Tabletext"/>
              <w:keepNext/>
              <w:keepLines/>
              <w:jc w:val="center"/>
            </w:pPr>
            <w:r w:rsidRPr="00FD1145">
              <w:t>401 (99.3%)</w:t>
            </w:r>
          </w:p>
        </w:tc>
        <w:tc>
          <w:tcPr>
            <w:tcW w:w="787" w:type="pct"/>
            <w:tcBorders>
              <w:top w:val="dotted" w:sz="4" w:space="0" w:color="auto"/>
              <w:bottom w:val="single" w:sz="4" w:space="0" w:color="auto"/>
            </w:tcBorders>
            <w:shd w:val="clear" w:color="auto" w:fill="FFFFFF" w:themeFill="background1"/>
            <w:vAlign w:val="center"/>
          </w:tcPr>
          <w:p w14:paraId="5C79A50D" w14:textId="77777777" w:rsidR="00F84089" w:rsidRPr="00FD1145" w:rsidRDefault="00F84089" w:rsidP="00BB2966">
            <w:pPr>
              <w:pStyle w:val="Tabletext"/>
              <w:keepNext/>
              <w:keepLines/>
              <w:jc w:val="center"/>
            </w:pPr>
            <w:r w:rsidRPr="00FD1145">
              <w:t>191 (97.0%)</w:t>
            </w:r>
          </w:p>
        </w:tc>
        <w:tc>
          <w:tcPr>
            <w:tcW w:w="962" w:type="pct"/>
            <w:tcBorders>
              <w:top w:val="dotted" w:sz="4" w:space="0" w:color="auto"/>
              <w:bottom w:val="single" w:sz="4" w:space="0" w:color="auto"/>
            </w:tcBorders>
            <w:shd w:val="clear" w:color="auto" w:fill="FFFFFF" w:themeFill="background1"/>
          </w:tcPr>
          <w:p w14:paraId="41BDCA99" w14:textId="77777777" w:rsidR="00F84089" w:rsidRPr="00FD1145" w:rsidRDefault="00F84089" w:rsidP="00BB2966">
            <w:pPr>
              <w:pStyle w:val="Tabletext"/>
              <w:keepNext/>
              <w:keepLines/>
              <w:jc w:val="center"/>
            </w:pPr>
            <w:r w:rsidRPr="00FD1145">
              <w:t>1.024 (0.997, 1.051)</w:t>
            </w:r>
          </w:p>
        </w:tc>
        <w:tc>
          <w:tcPr>
            <w:tcW w:w="1053" w:type="pct"/>
            <w:tcBorders>
              <w:top w:val="dotted" w:sz="4" w:space="0" w:color="auto"/>
              <w:bottom w:val="single" w:sz="4" w:space="0" w:color="auto"/>
            </w:tcBorders>
            <w:shd w:val="clear" w:color="auto" w:fill="FFFFFF" w:themeFill="background1"/>
            <w:vAlign w:val="bottom"/>
          </w:tcPr>
          <w:p w14:paraId="2912387C" w14:textId="77777777" w:rsidR="00F84089" w:rsidRPr="00FD1145" w:rsidRDefault="00F84089" w:rsidP="00BB2966">
            <w:pPr>
              <w:pStyle w:val="Tabletext"/>
              <w:keepNext/>
              <w:keepLines/>
              <w:jc w:val="center"/>
            </w:pPr>
            <w:r w:rsidRPr="00FD1145">
              <w:t>0.023 (0.002, 0.044)</w:t>
            </w:r>
          </w:p>
        </w:tc>
      </w:tr>
      <w:tr w:rsidR="00F84089" w:rsidRPr="00FD1145" w14:paraId="4484ACCF" w14:textId="77777777" w:rsidTr="008B1086">
        <w:trPr>
          <w:cantSplit/>
        </w:trPr>
        <w:tc>
          <w:tcPr>
            <w:tcW w:w="1473" w:type="pct"/>
            <w:tcBorders>
              <w:bottom w:val="nil"/>
            </w:tcBorders>
            <w:shd w:val="clear" w:color="auto" w:fill="FFFFFF" w:themeFill="background1"/>
            <w:vAlign w:val="center"/>
          </w:tcPr>
          <w:p w14:paraId="1688F2B2" w14:textId="77777777" w:rsidR="00F84089" w:rsidRPr="00FD1145" w:rsidRDefault="00F84089" w:rsidP="00BB2966">
            <w:pPr>
              <w:pStyle w:val="Tabletext"/>
              <w:keepNext/>
              <w:keepLines/>
              <w:rPr>
                <w:b/>
                <w:bCs/>
              </w:rPr>
            </w:pPr>
            <w:r w:rsidRPr="00FD1145">
              <w:rPr>
                <w:b/>
                <w:bCs/>
              </w:rPr>
              <w:t>≥ Grade 3 TEAE</w:t>
            </w:r>
          </w:p>
        </w:tc>
        <w:tc>
          <w:tcPr>
            <w:tcW w:w="725" w:type="pct"/>
            <w:tcBorders>
              <w:bottom w:val="nil"/>
            </w:tcBorders>
            <w:shd w:val="clear" w:color="auto" w:fill="FFFFFF" w:themeFill="background1"/>
            <w:vAlign w:val="center"/>
          </w:tcPr>
          <w:p w14:paraId="1ED36378" w14:textId="77777777" w:rsidR="00F84089" w:rsidRPr="00FD1145" w:rsidRDefault="00F84089" w:rsidP="00BB2966">
            <w:pPr>
              <w:pStyle w:val="Tabletext"/>
              <w:keepNext/>
              <w:keepLines/>
              <w:jc w:val="center"/>
            </w:pPr>
          </w:p>
        </w:tc>
        <w:tc>
          <w:tcPr>
            <w:tcW w:w="787" w:type="pct"/>
            <w:tcBorders>
              <w:bottom w:val="nil"/>
            </w:tcBorders>
            <w:shd w:val="clear" w:color="auto" w:fill="FFFFFF" w:themeFill="background1"/>
            <w:vAlign w:val="center"/>
          </w:tcPr>
          <w:p w14:paraId="2E9BAD0A" w14:textId="77777777" w:rsidR="00F84089" w:rsidRPr="00FD1145" w:rsidRDefault="00F84089" w:rsidP="00BB2966">
            <w:pPr>
              <w:pStyle w:val="Tabletext"/>
              <w:keepNext/>
              <w:keepLines/>
              <w:jc w:val="center"/>
            </w:pPr>
          </w:p>
        </w:tc>
        <w:tc>
          <w:tcPr>
            <w:tcW w:w="962" w:type="pct"/>
            <w:tcBorders>
              <w:bottom w:val="nil"/>
            </w:tcBorders>
            <w:shd w:val="clear" w:color="auto" w:fill="FFFFFF" w:themeFill="background1"/>
          </w:tcPr>
          <w:p w14:paraId="254A2630" w14:textId="77777777" w:rsidR="00F84089" w:rsidRPr="00FD1145" w:rsidRDefault="00F84089" w:rsidP="00BB2966">
            <w:pPr>
              <w:pStyle w:val="Tabletext"/>
              <w:keepNext/>
              <w:keepLines/>
              <w:jc w:val="center"/>
            </w:pPr>
          </w:p>
        </w:tc>
        <w:tc>
          <w:tcPr>
            <w:tcW w:w="1053" w:type="pct"/>
            <w:tcBorders>
              <w:bottom w:val="nil"/>
            </w:tcBorders>
            <w:shd w:val="clear" w:color="auto" w:fill="FFFFFF" w:themeFill="background1"/>
            <w:vAlign w:val="bottom"/>
          </w:tcPr>
          <w:p w14:paraId="28A7B2D7" w14:textId="77777777" w:rsidR="00F84089" w:rsidRPr="00FD1145" w:rsidRDefault="00F84089" w:rsidP="00BB2966">
            <w:pPr>
              <w:pStyle w:val="Tabletext"/>
              <w:keepNext/>
              <w:keepLines/>
              <w:jc w:val="center"/>
            </w:pPr>
          </w:p>
        </w:tc>
      </w:tr>
      <w:tr w:rsidR="00F84089" w:rsidRPr="00FD1145" w14:paraId="13D863AE" w14:textId="77777777" w:rsidTr="008B1086">
        <w:trPr>
          <w:cantSplit/>
        </w:trPr>
        <w:tc>
          <w:tcPr>
            <w:tcW w:w="1473" w:type="pct"/>
            <w:tcBorders>
              <w:top w:val="nil"/>
              <w:bottom w:val="dotted" w:sz="4" w:space="0" w:color="auto"/>
            </w:tcBorders>
            <w:shd w:val="clear" w:color="auto" w:fill="B8CCE4" w:themeFill="accent1" w:themeFillTint="66"/>
          </w:tcPr>
          <w:p w14:paraId="30E65EB6" w14:textId="77777777" w:rsidR="00F84089" w:rsidRPr="00FD1145" w:rsidRDefault="00F84089" w:rsidP="00BB2966">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10CC39F9" w14:textId="77777777" w:rsidR="00F84089" w:rsidRPr="00FD1145" w:rsidRDefault="00F84089" w:rsidP="00BB2966">
            <w:pPr>
              <w:pStyle w:val="Tabletext"/>
              <w:keepNext/>
              <w:keepLines/>
              <w:jc w:val="center"/>
            </w:pPr>
            <w:r w:rsidRPr="00FD1145">
              <w:t>223 (55.2%)</w:t>
            </w:r>
          </w:p>
        </w:tc>
        <w:tc>
          <w:tcPr>
            <w:tcW w:w="787" w:type="pct"/>
            <w:tcBorders>
              <w:top w:val="nil"/>
              <w:bottom w:val="dotted" w:sz="4" w:space="0" w:color="auto"/>
            </w:tcBorders>
            <w:shd w:val="clear" w:color="auto" w:fill="B8CCE4" w:themeFill="accent1" w:themeFillTint="66"/>
            <w:vAlign w:val="center"/>
          </w:tcPr>
          <w:p w14:paraId="05D8AE5F" w14:textId="77777777" w:rsidR="00F84089" w:rsidRPr="00FD1145" w:rsidRDefault="00F84089" w:rsidP="00BB2966">
            <w:pPr>
              <w:pStyle w:val="Tabletext"/>
              <w:keepNext/>
              <w:keepLines/>
              <w:jc w:val="center"/>
            </w:pPr>
            <w:r w:rsidRPr="00FD1145">
              <w:t>96 (48.7%)</w:t>
            </w:r>
          </w:p>
        </w:tc>
        <w:tc>
          <w:tcPr>
            <w:tcW w:w="962" w:type="pct"/>
            <w:tcBorders>
              <w:top w:val="nil"/>
              <w:bottom w:val="dotted" w:sz="4" w:space="0" w:color="auto"/>
            </w:tcBorders>
            <w:shd w:val="clear" w:color="auto" w:fill="B8CCE4" w:themeFill="accent1" w:themeFillTint="66"/>
          </w:tcPr>
          <w:p w14:paraId="64A62CBB" w14:textId="77777777" w:rsidR="00F84089" w:rsidRPr="00FD1145" w:rsidRDefault="00F84089" w:rsidP="00BB2966">
            <w:pPr>
              <w:pStyle w:val="Tabletext"/>
              <w:keepNext/>
              <w:keepLines/>
              <w:jc w:val="center"/>
            </w:pPr>
            <w:r w:rsidRPr="00FD1145">
              <w:t>1.133 (0.958, 1.340)</w:t>
            </w:r>
          </w:p>
        </w:tc>
        <w:tc>
          <w:tcPr>
            <w:tcW w:w="1053" w:type="pct"/>
            <w:tcBorders>
              <w:top w:val="nil"/>
              <w:bottom w:val="dotted" w:sz="4" w:space="0" w:color="auto"/>
            </w:tcBorders>
            <w:shd w:val="clear" w:color="auto" w:fill="B8CCE4" w:themeFill="accent1" w:themeFillTint="66"/>
            <w:vAlign w:val="bottom"/>
          </w:tcPr>
          <w:p w14:paraId="560EE0F1" w14:textId="77777777" w:rsidR="00F84089" w:rsidRPr="00FD1145" w:rsidRDefault="00F84089" w:rsidP="00BB2966">
            <w:pPr>
              <w:pStyle w:val="Tabletext"/>
              <w:keepNext/>
              <w:keepLines/>
              <w:jc w:val="center"/>
            </w:pPr>
            <w:r w:rsidRPr="00FD1145">
              <w:t>0.065 (-0.020, 0.150)</w:t>
            </w:r>
          </w:p>
        </w:tc>
      </w:tr>
      <w:tr w:rsidR="00F84089" w:rsidRPr="00FD1145" w14:paraId="44C6A470" w14:textId="77777777" w:rsidTr="008B1086">
        <w:trPr>
          <w:cantSplit/>
        </w:trPr>
        <w:tc>
          <w:tcPr>
            <w:tcW w:w="1473" w:type="pct"/>
            <w:tcBorders>
              <w:top w:val="dotted" w:sz="4" w:space="0" w:color="auto"/>
              <w:bottom w:val="single" w:sz="4" w:space="0" w:color="auto"/>
            </w:tcBorders>
            <w:shd w:val="clear" w:color="auto" w:fill="FFFFFF" w:themeFill="background1"/>
          </w:tcPr>
          <w:p w14:paraId="6F74D3CA" w14:textId="77777777" w:rsidR="00F84089" w:rsidRPr="00FD1145" w:rsidRDefault="00F84089" w:rsidP="00BB2966">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6FEDD475" w14:textId="77777777" w:rsidR="00F84089" w:rsidRPr="00FD1145" w:rsidRDefault="00F84089" w:rsidP="00BB2966">
            <w:pPr>
              <w:pStyle w:val="Tabletext"/>
              <w:keepNext/>
              <w:keepLines/>
              <w:jc w:val="center"/>
            </w:pPr>
            <w:r w:rsidRPr="00FD1145">
              <w:t>245 (60.6%)</w:t>
            </w:r>
          </w:p>
        </w:tc>
        <w:tc>
          <w:tcPr>
            <w:tcW w:w="787" w:type="pct"/>
            <w:tcBorders>
              <w:top w:val="dotted" w:sz="4" w:space="0" w:color="auto"/>
              <w:bottom w:val="single" w:sz="4" w:space="0" w:color="auto"/>
            </w:tcBorders>
            <w:shd w:val="clear" w:color="auto" w:fill="FFFFFF" w:themeFill="background1"/>
            <w:vAlign w:val="center"/>
          </w:tcPr>
          <w:p w14:paraId="11FC71E3" w14:textId="77777777" w:rsidR="00F84089" w:rsidRPr="00FD1145" w:rsidRDefault="00F84089" w:rsidP="00BB2966">
            <w:pPr>
              <w:pStyle w:val="Tabletext"/>
              <w:keepNext/>
              <w:keepLines/>
              <w:jc w:val="center"/>
            </w:pPr>
            <w:r w:rsidRPr="00FD1145">
              <w:t>101 (51.3%)</w:t>
            </w:r>
          </w:p>
        </w:tc>
        <w:tc>
          <w:tcPr>
            <w:tcW w:w="962" w:type="pct"/>
            <w:tcBorders>
              <w:top w:val="dotted" w:sz="4" w:space="0" w:color="auto"/>
              <w:bottom w:val="single" w:sz="4" w:space="0" w:color="auto"/>
            </w:tcBorders>
            <w:shd w:val="clear" w:color="auto" w:fill="FFFFFF" w:themeFill="background1"/>
          </w:tcPr>
          <w:p w14:paraId="1CA9BBCD" w14:textId="77777777" w:rsidR="00F84089" w:rsidRPr="00FD1145" w:rsidRDefault="00F84089" w:rsidP="00BB2966">
            <w:pPr>
              <w:pStyle w:val="Tabletext"/>
              <w:keepNext/>
              <w:keepLines/>
              <w:jc w:val="center"/>
            </w:pPr>
            <w:r w:rsidRPr="00FD1145">
              <w:t>1.183 (1.011, 1.384)</w:t>
            </w:r>
          </w:p>
        </w:tc>
        <w:tc>
          <w:tcPr>
            <w:tcW w:w="1053" w:type="pct"/>
            <w:tcBorders>
              <w:top w:val="dotted" w:sz="4" w:space="0" w:color="auto"/>
              <w:bottom w:val="single" w:sz="4" w:space="0" w:color="auto"/>
            </w:tcBorders>
            <w:shd w:val="clear" w:color="auto" w:fill="FFFFFF" w:themeFill="background1"/>
            <w:vAlign w:val="bottom"/>
          </w:tcPr>
          <w:p w14:paraId="36967300" w14:textId="77777777" w:rsidR="00F84089" w:rsidRPr="00FD1145" w:rsidRDefault="00F84089" w:rsidP="00BB2966">
            <w:pPr>
              <w:pStyle w:val="Tabletext"/>
              <w:keepNext/>
              <w:keepLines/>
              <w:jc w:val="center"/>
            </w:pPr>
            <w:r w:rsidRPr="00FD1145">
              <w:t>0.094 (0.009, 0.178)</w:t>
            </w:r>
          </w:p>
        </w:tc>
      </w:tr>
      <w:tr w:rsidR="002304B6" w:rsidRPr="00FD1145" w14:paraId="424AF605" w14:textId="77777777" w:rsidTr="008B1086">
        <w:trPr>
          <w:cantSplit/>
        </w:trPr>
        <w:tc>
          <w:tcPr>
            <w:tcW w:w="1473" w:type="pct"/>
            <w:tcBorders>
              <w:top w:val="dotted" w:sz="4" w:space="0" w:color="auto"/>
              <w:bottom w:val="single" w:sz="4" w:space="0" w:color="auto"/>
            </w:tcBorders>
            <w:shd w:val="clear" w:color="auto" w:fill="FFFFFF" w:themeFill="background1"/>
          </w:tcPr>
          <w:p w14:paraId="6363D7CD" w14:textId="6311C7BB" w:rsidR="002304B6" w:rsidRPr="00FD1145" w:rsidRDefault="002304B6" w:rsidP="002304B6">
            <w:pPr>
              <w:pStyle w:val="Tabletext"/>
              <w:keepNext/>
              <w:keepLines/>
              <w:rPr>
                <w:b/>
                <w:bCs/>
              </w:rPr>
            </w:pPr>
            <w:r w:rsidRPr="00FD1145">
              <w:rPr>
                <w:b/>
                <w:bCs/>
              </w:rPr>
              <w:t>Grade ≥3 diarrhoea</w:t>
            </w:r>
          </w:p>
        </w:tc>
        <w:tc>
          <w:tcPr>
            <w:tcW w:w="725" w:type="pct"/>
            <w:tcBorders>
              <w:top w:val="dotted" w:sz="4" w:space="0" w:color="auto"/>
              <w:bottom w:val="single" w:sz="4" w:space="0" w:color="auto"/>
            </w:tcBorders>
            <w:shd w:val="clear" w:color="auto" w:fill="FFFFFF" w:themeFill="background1"/>
            <w:vAlign w:val="center"/>
          </w:tcPr>
          <w:p w14:paraId="085AC30B" w14:textId="77777777" w:rsidR="002304B6" w:rsidRPr="00FD1145" w:rsidRDefault="002304B6" w:rsidP="00BB2966">
            <w:pPr>
              <w:pStyle w:val="Tabletext"/>
              <w:keepNext/>
              <w:keepLines/>
              <w:jc w:val="center"/>
            </w:pPr>
          </w:p>
        </w:tc>
        <w:tc>
          <w:tcPr>
            <w:tcW w:w="787" w:type="pct"/>
            <w:tcBorders>
              <w:top w:val="dotted" w:sz="4" w:space="0" w:color="auto"/>
              <w:bottom w:val="single" w:sz="4" w:space="0" w:color="auto"/>
            </w:tcBorders>
            <w:shd w:val="clear" w:color="auto" w:fill="FFFFFF" w:themeFill="background1"/>
            <w:vAlign w:val="center"/>
          </w:tcPr>
          <w:p w14:paraId="1CF9423B" w14:textId="77777777" w:rsidR="002304B6" w:rsidRPr="00FD1145" w:rsidRDefault="002304B6" w:rsidP="00BB2966">
            <w:pPr>
              <w:pStyle w:val="Tabletext"/>
              <w:keepNext/>
              <w:keepLines/>
              <w:jc w:val="center"/>
            </w:pPr>
          </w:p>
        </w:tc>
        <w:tc>
          <w:tcPr>
            <w:tcW w:w="962" w:type="pct"/>
            <w:tcBorders>
              <w:top w:val="dotted" w:sz="4" w:space="0" w:color="auto"/>
              <w:bottom w:val="single" w:sz="4" w:space="0" w:color="auto"/>
            </w:tcBorders>
            <w:shd w:val="clear" w:color="auto" w:fill="FFFFFF" w:themeFill="background1"/>
          </w:tcPr>
          <w:p w14:paraId="216EA4FB" w14:textId="77777777" w:rsidR="002304B6" w:rsidRPr="00FD1145" w:rsidRDefault="002304B6" w:rsidP="00BB2966">
            <w:pPr>
              <w:pStyle w:val="Tabletext"/>
              <w:keepNext/>
              <w:keepLines/>
              <w:jc w:val="center"/>
            </w:pPr>
          </w:p>
        </w:tc>
        <w:tc>
          <w:tcPr>
            <w:tcW w:w="1053" w:type="pct"/>
            <w:tcBorders>
              <w:top w:val="dotted" w:sz="4" w:space="0" w:color="auto"/>
              <w:bottom w:val="single" w:sz="4" w:space="0" w:color="auto"/>
            </w:tcBorders>
            <w:shd w:val="clear" w:color="auto" w:fill="FFFFFF" w:themeFill="background1"/>
            <w:vAlign w:val="bottom"/>
          </w:tcPr>
          <w:p w14:paraId="2CBBF8F7" w14:textId="77777777" w:rsidR="002304B6" w:rsidRPr="00FD1145" w:rsidRDefault="002304B6" w:rsidP="00BB2966">
            <w:pPr>
              <w:pStyle w:val="Tabletext"/>
              <w:keepNext/>
              <w:keepLines/>
              <w:jc w:val="center"/>
            </w:pPr>
          </w:p>
        </w:tc>
      </w:tr>
      <w:tr w:rsidR="00BF2711" w:rsidRPr="00FD1145" w14:paraId="223500B5" w14:textId="77777777" w:rsidTr="00EA6ED4">
        <w:trPr>
          <w:cantSplit/>
        </w:trPr>
        <w:tc>
          <w:tcPr>
            <w:tcW w:w="1473" w:type="pct"/>
            <w:tcBorders>
              <w:top w:val="dotted" w:sz="4" w:space="0" w:color="auto"/>
              <w:bottom w:val="single" w:sz="4" w:space="0" w:color="auto"/>
            </w:tcBorders>
            <w:shd w:val="clear" w:color="auto" w:fill="FFFFFF" w:themeFill="background1"/>
            <w:vAlign w:val="center"/>
          </w:tcPr>
          <w:p w14:paraId="103E3717" w14:textId="019B0FE1" w:rsidR="004114BF" w:rsidRPr="00FD1145" w:rsidRDefault="004114BF" w:rsidP="004114BF">
            <w:pPr>
              <w:pStyle w:val="Tabletext"/>
              <w:keepNext/>
              <w:keepLines/>
              <w:ind w:left="284"/>
            </w:pPr>
            <w:r w:rsidRPr="00FD1145">
              <w:t>Primary analysis</w:t>
            </w:r>
          </w:p>
        </w:tc>
        <w:tc>
          <w:tcPr>
            <w:tcW w:w="725" w:type="pct"/>
            <w:tcBorders>
              <w:top w:val="dotted" w:sz="4" w:space="0" w:color="auto"/>
              <w:bottom w:val="single" w:sz="4" w:space="0" w:color="auto"/>
            </w:tcBorders>
            <w:shd w:val="clear" w:color="auto" w:fill="FFFFFF" w:themeFill="background1"/>
            <w:vAlign w:val="center"/>
          </w:tcPr>
          <w:p w14:paraId="3DD42853" w14:textId="34BCDC1E" w:rsidR="004114BF" w:rsidRPr="00FD1145" w:rsidRDefault="004114BF" w:rsidP="004114BF">
            <w:pPr>
              <w:pStyle w:val="Tabletext"/>
              <w:keepNext/>
              <w:keepLines/>
              <w:jc w:val="center"/>
            </w:pPr>
            <w:r w:rsidRPr="00FD1145">
              <w:t>52/404</w:t>
            </w:r>
          </w:p>
        </w:tc>
        <w:tc>
          <w:tcPr>
            <w:tcW w:w="787" w:type="pct"/>
            <w:tcBorders>
              <w:top w:val="dotted" w:sz="4" w:space="0" w:color="auto"/>
              <w:bottom w:val="single" w:sz="4" w:space="0" w:color="auto"/>
            </w:tcBorders>
            <w:shd w:val="clear" w:color="auto" w:fill="FFFFFF" w:themeFill="background1"/>
            <w:vAlign w:val="center"/>
          </w:tcPr>
          <w:p w14:paraId="0F1BD01F" w14:textId="4C553946" w:rsidR="004114BF" w:rsidRPr="00FD1145" w:rsidRDefault="004114BF" w:rsidP="004114BF">
            <w:pPr>
              <w:pStyle w:val="Tabletext"/>
              <w:keepNext/>
              <w:keepLines/>
              <w:jc w:val="center"/>
            </w:pPr>
            <w:r w:rsidRPr="00FD1145">
              <w:t>17/197</w:t>
            </w:r>
          </w:p>
        </w:tc>
        <w:tc>
          <w:tcPr>
            <w:tcW w:w="962" w:type="pct"/>
            <w:tcBorders>
              <w:top w:val="dotted" w:sz="4" w:space="0" w:color="auto"/>
              <w:bottom w:val="single" w:sz="4" w:space="0" w:color="auto"/>
            </w:tcBorders>
            <w:shd w:val="clear" w:color="auto" w:fill="FFFFFF" w:themeFill="background1"/>
            <w:vAlign w:val="center"/>
          </w:tcPr>
          <w:p w14:paraId="390BF22E" w14:textId="7ADD0BED" w:rsidR="004114BF" w:rsidRPr="00FD1145" w:rsidRDefault="004114BF" w:rsidP="004114BF">
            <w:pPr>
              <w:pStyle w:val="TableText0"/>
              <w:jc w:val="center"/>
            </w:pPr>
            <w:r w:rsidRPr="00FD1145">
              <w:t>1.492 (0.89, 2.51)</w:t>
            </w:r>
          </w:p>
        </w:tc>
        <w:tc>
          <w:tcPr>
            <w:tcW w:w="1053" w:type="pct"/>
            <w:tcBorders>
              <w:top w:val="dotted" w:sz="4" w:space="0" w:color="auto"/>
              <w:bottom w:val="single" w:sz="4" w:space="0" w:color="auto"/>
            </w:tcBorders>
            <w:shd w:val="clear" w:color="auto" w:fill="FFFFFF" w:themeFill="background1"/>
            <w:vAlign w:val="center"/>
          </w:tcPr>
          <w:p w14:paraId="1A569C0A" w14:textId="441E2239" w:rsidR="004114BF" w:rsidRPr="00FD1145" w:rsidRDefault="004114BF" w:rsidP="002304B6">
            <w:pPr>
              <w:pStyle w:val="TableText0"/>
              <w:jc w:val="center"/>
            </w:pPr>
            <w:r w:rsidRPr="00FD1145">
              <w:t>0.042</w:t>
            </w:r>
            <w:r w:rsidR="002304B6" w:rsidRPr="00FD1145">
              <w:t xml:space="preserve"> </w:t>
            </w:r>
            <w:r w:rsidRPr="00FD1145">
              <w:t>(-0.01, 0.09)</w:t>
            </w:r>
          </w:p>
        </w:tc>
      </w:tr>
      <w:tr w:rsidR="00BF2711" w:rsidRPr="00FD1145" w14:paraId="1EE7E77C" w14:textId="77777777" w:rsidTr="00EA6ED4">
        <w:trPr>
          <w:cantSplit/>
        </w:trPr>
        <w:tc>
          <w:tcPr>
            <w:tcW w:w="1473" w:type="pct"/>
            <w:tcBorders>
              <w:top w:val="dotted" w:sz="4" w:space="0" w:color="auto"/>
              <w:bottom w:val="single" w:sz="4" w:space="0" w:color="auto"/>
            </w:tcBorders>
            <w:shd w:val="clear" w:color="auto" w:fill="FFFFFF" w:themeFill="background1"/>
            <w:vAlign w:val="center"/>
          </w:tcPr>
          <w:p w14:paraId="6F74EDF8" w14:textId="1BF03A6C"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73DA271F" w14:textId="69FE0C9C" w:rsidR="004114BF" w:rsidRPr="00FD1145" w:rsidRDefault="004114BF" w:rsidP="004114BF">
            <w:pPr>
              <w:pStyle w:val="Tabletext"/>
              <w:keepNext/>
              <w:keepLines/>
              <w:jc w:val="center"/>
            </w:pPr>
            <w:r w:rsidRPr="00FD1145">
              <w:t>53/404</w:t>
            </w:r>
          </w:p>
        </w:tc>
        <w:tc>
          <w:tcPr>
            <w:tcW w:w="787" w:type="pct"/>
            <w:tcBorders>
              <w:top w:val="dotted" w:sz="4" w:space="0" w:color="auto"/>
              <w:bottom w:val="single" w:sz="4" w:space="0" w:color="auto"/>
            </w:tcBorders>
            <w:shd w:val="clear" w:color="auto" w:fill="FFFFFF" w:themeFill="background1"/>
            <w:vAlign w:val="center"/>
          </w:tcPr>
          <w:p w14:paraId="131BBCFC" w14:textId="5236B289" w:rsidR="004114BF" w:rsidRPr="00FD1145" w:rsidRDefault="004114BF" w:rsidP="004114BF">
            <w:pPr>
              <w:pStyle w:val="Tabletext"/>
              <w:keepNext/>
              <w:keepLines/>
              <w:jc w:val="center"/>
            </w:pPr>
            <w:r w:rsidRPr="00FD1145">
              <w:t>17/197</w:t>
            </w:r>
          </w:p>
        </w:tc>
        <w:tc>
          <w:tcPr>
            <w:tcW w:w="962" w:type="pct"/>
            <w:tcBorders>
              <w:top w:val="dotted" w:sz="4" w:space="0" w:color="auto"/>
              <w:bottom w:val="single" w:sz="4" w:space="0" w:color="auto"/>
            </w:tcBorders>
            <w:shd w:val="clear" w:color="auto" w:fill="FFFFFF" w:themeFill="background1"/>
            <w:vAlign w:val="center"/>
          </w:tcPr>
          <w:p w14:paraId="2A2DD89B" w14:textId="55CB594C" w:rsidR="004114BF" w:rsidRPr="00FD1145" w:rsidRDefault="004114BF" w:rsidP="004114BF">
            <w:pPr>
              <w:pStyle w:val="TableText0"/>
              <w:jc w:val="center"/>
            </w:pPr>
            <w:r w:rsidRPr="00FD1145">
              <w:t>1.520 (0.91, 2.56)</w:t>
            </w:r>
          </w:p>
        </w:tc>
        <w:tc>
          <w:tcPr>
            <w:tcW w:w="1053" w:type="pct"/>
            <w:tcBorders>
              <w:top w:val="dotted" w:sz="4" w:space="0" w:color="auto"/>
              <w:bottom w:val="single" w:sz="4" w:space="0" w:color="auto"/>
            </w:tcBorders>
            <w:shd w:val="clear" w:color="auto" w:fill="FFFFFF" w:themeFill="background1"/>
            <w:vAlign w:val="center"/>
          </w:tcPr>
          <w:p w14:paraId="3BDB699B" w14:textId="465D5303" w:rsidR="004114BF" w:rsidRPr="00FD1145" w:rsidRDefault="004114BF" w:rsidP="002304B6">
            <w:pPr>
              <w:pStyle w:val="TableText0"/>
              <w:jc w:val="center"/>
            </w:pPr>
            <w:r w:rsidRPr="00FD1145">
              <w:t>0.045</w:t>
            </w:r>
            <w:r w:rsidR="002304B6" w:rsidRPr="00FD1145">
              <w:t xml:space="preserve"> </w:t>
            </w:r>
            <w:r w:rsidRPr="00FD1145">
              <w:t>(-0.01, 0.10)</w:t>
            </w:r>
          </w:p>
        </w:tc>
      </w:tr>
      <w:tr w:rsidR="001E647D" w:rsidRPr="00FD1145" w14:paraId="42A41D4B" w14:textId="77777777" w:rsidTr="00EA6ED4">
        <w:trPr>
          <w:cantSplit/>
        </w:trPr>
        <w:tc>
          <w:tcPr>
            <w:tcW w:w="1473" w:type="pct"/>
            <w:tcBorders>
              <w:top w:val="dotted" w:sz="4" w:space="0" w:color="auto"/>
              <w:bottom w:val="single" w:sz="4" w:space="0" w:color="auto"/>
            </w:tcBorders>
            <w:shd w:val="clear" w:color="auto" w:fill="FFFFFF" w:themeFill="background1"/>
          </w:tcPr>
          <w:p w14:paraId="17E90E97" w14:textId="10CBF4E9" w:rsidR="004114BF" w:rsidRPr="00FD1145" w:rsidRDefault="004114BF" w:rsidP="004114BF">
            <w:pPr>
              <w:pStyle w:val="Tabletext"/>
              <w:keepNext/>
              <w:keepLines/>
              <w:rPr>
                <w:b/>
                <w:bCs/>
              </w:rPr>
            </w:pPr>
            <w:r w:rsidRPr="00FD1145">
              <w:rPr>
                <w:b/>
                <w:bCs/>
              </w:rPr>
              <w:t>Grade ≥3 hepatotoxicity</w:t>
            </w:r>
          </w:p>
        </w:tc>
        <w:tc>
          <w:tcPr>
            <w:tcW w:w="725" w:type="pct"/>
            <w:tcBorders>
              <w:top w:val="dotted" w:sz="4" w:space="0" w:color="auto"/>
              <w:bottom w:val="single" w:sz="4" w:space="0" w:color="auto"/>
            </w:tcBorders>
            <w:shd w:val="clear" w:color="auto" w:fill="FFFFFF" w:themeFill="background1"/>
            <w:vAlign w:val="center"/>
          </w:tcPr>
          <w:p w14:paraId="62E16F80" w14:textId="77777777" w:rsidR="004114BF" w:rsidRPr="00FD1145" w:rsidRDefault="004114BF" w:rsidP="004114BF">
            <w:pPr>
              <w:pStyle w:val="Tabletext"/>
              <w:keepNext/>
              <w:keepLines/>
              <w:jc w:val="center"/>
            </w:pPr>
          </w:p>
        </w:tc>
        <w:tc>
          <w:tcPr>
            <w:tcW w:w="787" w:type="pct"/>
            <w:tcBorders>
              <w:top w:val="dotted" w:sz="4" w:space="0" w:color="auto"/>
              <w:bottom w:val="single" w:sz="4" w:space="0" w:color="auto"/>
            </w:tcBorders>
            <w:shd w:val="clear" w:color="auto" w:fill="FFFFFF" w:themeFill="background1"/>
            <w:vAlign w:val="center"/>
          </w:tcPr>
          <w:p w14:paraId="7D7F67A0" w14:textId="77777777" w:rsidR="004114BF" w:rsidRPr="00FD1145" w:rsidRDefault="004114BF" w:rsidP="004114BF">
            <w:pPr>
              <w:pStyle w:val="Tabletext"/>
              <w:keepNext/>
              <w:keepLines/>
              <w:jc w:val="center"/>
            </w:pPr>
          </w:p>
        </w:tc>
        <w:tc>
          <w:tcPr>
            <w:tcW w:w="962" w:type="pct"/>
            <w:tcBorders>
              <w:top w:val="dotted" w:sz="4" w:space="0" w:color="auto"/>
              <w:bottom w:val="single" w:sz="4" w:space="0" w:color="auto"/>
            </w:tcBorders>
            <w:shd w:val="clear" w:color="auto" w:fill="FFFFFF" w:themeFill="background1"/>
          </w:tcPr>
          <w:p w14:paraId="1BB75512" w14:textId="77777777" w:rsidR="004114BF" w:rsidRPr="00FD1145" w:rsidRDefault="004114BF" w:rsidP="004114BF">
            <w:pPr>
              <w:pStyle w:val="Tabletext"/>
              <w:keepNext/>
              <w:keepLines/>
              <w:jc w:val="center"/>
            </w:pPr>
          </w:p>
        </w:tc>
        <w:tc>
          <w:tcPr>
            <w:tcW w:w="1053" w:type="pct"/>
            <w:tcBorders>
              <w:top w:val="dotted" w:sz="4" w:space="0" w:color="auto"/>
              <w:bottom w:val="single" w:sz="4" w:space="0" w:color="auto"/>
            </w:tcBorders>
            <w:shd w:val="clear" w:color="auto" w:fill="FFFFFF" w:themeFill="background1"/>
            <w:vAlign w:val="center"/>
          </w:tcPr>
          <w:p w14:paraId="63475566" w14:textId="6DABB653" w:rsidR="004114BF" w:rsidRPr="00FD1145" w:rsidRDefault="004114BF" w:rsidP="004114BF">
            <w:pPr>
              <w:pStyle w:val="Tabletext"/>
              <w:keepNext/>
              <w:keepLines/>
              <w:jc w:val="center"/>
            </w:pPr>
          </w:p>
        </w:tc>
      </w:tr>
      <w:tr w:rsidR="00BF2711" w:rsidRPr="00FD1145" w14:paraId="2B35AFA8" w14:textId="77777777" w:rsidTr="00EA6ED4">
        <w:trPr>
          <w:cantSplit/>
        </w:trPr>
        <w:tc>
          <w:tcPr>
            <w:tcW w:w="1473" w:type="pct"/>
            <w:tcBorders>
              <w:top w:val="dotted" w:sz="4" w:space="0" w:color="auto"/>
              <w:bottom w:val="single" w:sz="4" w:space="0" w:color="auto"/>
            </w:tcBorders>
            <w:shd w:val="clear" w:color="auto" w:fill="FFFFFF" w:themeFill="background1"/>
            <w:vAlign w:val="center"/>
          </w:tcPr>
          <w:p w14:paraId="0BC0F015" w14:textId="1431FBEA" w:rsidR="004114BF" w:rsidRPr="00FD1145" w:rsidRDefault="004114BF" w:rsidP="004114BF">
            <w:pPr>
              <w:pStyle w:val="Tabletext"/>
              <w:keepNext/>
              <w:keepLines/>
              <w:ind w:left="284"/>
            </w:pPr>
            <w:r w:rsidRPr="00FD1145">
              <w:t>Primary analysis</w:t>
            </w:r>
          </w:p>
        </w:tc>
        <w:tc>
          <w:tcPr>
            <w:tcW w:w="725" w:type="pct"/>
            <w:tcBorders>
              <w:top w:val="dotted" w:sz="4" w:space="0" w:color="auto"/>
              <w:bottom w:val="single" w:sz="4" w:space="0" w:color="auto"/>
            </w:tcBorders>
            <w:shd w:val="clear" w:color="auto" w:fill="FFFFFF" w:themeFill="background1"/>
            <w:vAlign w:val="center"/>
          </w:tcPr>
          <w:p w14:paraId="03C7043D" w14:textId="5C99FCFF" w:rsidR="004114BF" w:rsidRPr="00FD1145" w:rsidRDefault="004114BF" w:rsidP="004114BF">
            <w:pPr>
              <w:pStyle w:val="Tabletext"/>
              <w:keepNext/>
              <w:keepLines/>
              <w:jc w:val="center"/>
            </w:pPr>
            <w:r w:rsidRPr="00FD1145">
              <w:t>40/404</w:t>
            </w:r>
          </w:p>
        </w:tc>
        <w:tc>
          <w:tcPr>
            <w:tcW w:w="787" w:type="pct"/>
            <w:tcBorders>
              <w:top w:val="dotted" w:sz="4" w:space="0" w:color="auto"/>
              <w:bottom w:val="single" w:sz="4" w:space="0" w:color="auto"/>
            </w:tcBorders>
            <w:shd w:val="clear" w:color="auto" w:fill="FFFFFF" w:themeFill="background1"/>
            <w:vAlign w:val="center"/>
          </w:tcPr>
          <w:p w14:paraId="04FA4AE4" w14:textId="1A8BBD4C" w:rsidR="004114BF" w:rsidRPr="00FD1145" w:rsidRDefault="004114BF" w:rsidP="004114BF">
            <w:pPr>
              <w:pStyle w:val="Tabletext"/>
              <w:keepNext/>
              <w:keepLines/>
              <w:jc w:val="center"/>
            </w:pPr>
            <w:r w:rsidRPr="00FD1145">
              <w:t>2/197</w:t>
            </w:r>
          </w:p>
        </w:tc>
        <w:tc>
          <w:tcPr>
            <w:tcW w:w="962" w:type="pct"/>
            <w:tcBorders>
              <w:top w:val="dotted" w:sz="4" w:space="0" w:color="auto"/>
              <w:bottom w:val="single" w:sz="4" w:space="0" w:color="auto"/>
            </w:tcBorders>
            <w:shd w:val="clear" w:color="auto" w:fill="FFFFFF" w:themeFill="background1"/>
            <w:vAlign w:val="center"/>
          </w:tcPr>
          <w:p w14:paraId="1117BF2F" w14:textId="6451958E" w:rsidR="004114BF" w:rsidRPr="00FD1145" w:rsidRDefault="004114BF" w:rsidP="002304B6">
            <w:pPr>
              <w:pStyle w:val="TableText0"/>
              <w:jc w:val="center"/>
            </w:pPr>
            <w:r w:rsidRPr="00FD1145">
              <w:t>9.75</w:t>
            </w:r>
            <w:r w:rsidR="002304B6" w:rsidRPr="00FD1145">
              <w:t xml:space="preserve"> </w:t>
            </w:r>
            <w:r w:rsidRPr="00FD1145">
              <w:t>(2.38, 39.94)</w:t>
            </w:r>
          </w:p>
        </w:tc>
        <w:tc>
          <w:tcPr>
            <w:tcW w:w="1053" w:type="pct"/>
            <w:tcBorders>
              <w:top w:val="dotted" w:sz="4" w:space="0" w:color="auto"/>
              <w:bottom w:val="single" w:sz="4" w:space="0" w:color="auto"/>
            </w:tcBorders>
            <w:shd w:val="clear" w:color="auto" w:fill="FFFFFF" w:themeFill="background1"/>
            <w:vAlign w:val="center"/>
          </w:tcPr>
          <w:p w14:paraId="570E23F2" w14:textId="67927D7B" w:rsidR="004114BF" w:rsidRPr="00FD1145" w:rsidRDefault="004114BF" w:rsidP="002304B6">
            <w:pPr>
              <w:pStyle w:val="TableText0"/>
              <w:jc w:val="center"/>
            </w:pPr>
            <w:r w:rsidRPr="00FD1145">
              <w:t>0.09</w:t>
            </w:r>
            <w:r w:rsidR="002304B6" w:rsidRPr="00FD1145">
              <w:t xml:space="preserve"> </w:t>
            </w:r>
            <w:r w:rsidRPr="00FD1145">
              <w:t>(0.06, 0.12)</w:t>
            </w:r>
          </w:p>
        </w:tc>
      </w:tr>
      <w:tr w:rsidR="00BF2711" w:rsidRPr="00FD1145" w14:paraId="5F37D074" w14:textId="77777777" w:rsidTr="00EA6ED4">
        <w:trPr>
          <w:cantSplit/>
        </w:trPr>
        <w:tc>
          <w:tcPr>
            <w:tcW w:w="1473" w:type="pct"/>
            <w:tcBorders>
              <w:top w:val="dotted" w:sz="4" w:space="0" w:color="auto"/>
              <w:bottom w:val="single" w:sz="4" w:space="0" w:color="auto"/>
            </w:tcBorders>
            <w:shd w:val="clear" w:color="auto" w:fill="FFFFFF" w:themeFill="background1"/>
            <w:vAlign w:val="center"/>
          </w:tcPr>
          <w:p w14:paraId="29BACB71" w14:textId="4245D2DF"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7E1B899C" w14:textId="0BB77FCB" w:rsidR="004114BF" w:rsidRPr="00FD1145" w:rsidRDefault="004114BF" w:rsidP="004114BF">
            <w:pPr>
              <w:pStyle w:val="Tabletext"/>
              <w:keepNext/>
              <w:keepLines/>
              <w:jc w:val="center"/>
            </w:pPr>
            <w:r w:rsidRPr="00FD1145">
              <w:t>42/404</w:t>
            </w:r>
          </w:p>
        </w:tc>
        <w:tc>
          <w:tcPr>
            <w:tcW w:w="787" w:type="pct"/>
            <w:tcBorders>
              <w:top w:val="dotted" w:sz="4" w:space="0" w:color="auto"/>
              <w:bottom w:val="single" w:sz="4" w:space="0" w:color="auto"/>
            </w:tcBorders>
            <w:shd w:val="clear" w:color="auto" w:fill="FFFFFF" w:themeFill="background1"/>
            <w:vAlign w:val="center"/>
          </w:tcPr>
          <w:p w14:paraId="017B2488" w14:textId="19AE4CDD" w:rsidR="004114BF" w:rsidRPr="00FD1145" w:rsidRDefault="004114BF" w:rsidP="004114BF">
            <w:pPr>
              <w:pStyle w:val="Tabletext"/>
              <w:keepNext/>
              <w:keepLines/>
              <w:jc w:val="center"/>
            </w:pPr>
            <w:r w:rsidRPr="00FD1145">
              <w:t>2/197</w:t>
            </w:r>
          </w:p>
        </w:tc>
        <w:tc>
          <w:tcPr>
            <w:tcW w:w="962" w:type="pct"/>
            <w:tcBorders>
              <w:top w:val="dotted" w:sz="4" w:space="0" w:color="auto"/>
              <w:bottom w:val="single" w:sz="4" w:space="0" w:color="auto"/>
            </w:tcBorders>
            <w:shd w:val="clear" w:color="auto" w:fill="FFFFFF" w:themeFill="background1"/>
            <w:vAlign w:val="center"/>
          </w:tcPr>
          <w:p w14:paraId="6C351672" w14:textId="6A190A05" w:rsidR="004114BF" w:rsidRPr="00FD1145" w:rsidRDefault="004114BF" w:rsidP="002304B6">
            <w:pPr>
              <w:pStyle w:val="TableText0"/>
              <w:jc w:val="center"/>
            </w:pPr>
            <w:r w:rsidRPr="00FD1145">
              <w:t>10.24</w:t>
            </w:r>
            <w:r w:rsidR="002304B6" w:rsidRPr="00FD1145">
              <w:t xml:space="preserve"> </w:t>
            </w:r>
            <w:r w:rsidRPr="00FD1145">
              <w:t>(2.50, 41.87)</w:t>
            </w:r>
          </w:p>
        </w:tc>
        <w:tc>
          <w:tcPr>
            <w:tcW w:w="1053" w:type="pct"/>
            <w:tcBorders>
              <w:top w:val="dotted" w:sz="4" w:space="0" w:color="auto"/>
              <w:bottom w:val="single" w:sz="4" w:space="0" w:color="auto"/>
            </w:tcBorders>
            <w:shd w:val="clear" w:color="auto" w:fill="FFFFFF" w:themeFill="background1"/>
            <w:vAlign w:val="center"/>
          </w:tcPr>
          <w:p w14:paraId="4BAB1797" w14:textId="60777307" w:rsidR="004114BF" w:rsidRPr="00FD1145" w:rsidRDefault="004114BF" w:rsidP="002304B6">
            <w:pPr>
              <w:pStyle w:val="TableText0"/>
              <w:jc w:val="center"/>
            </w:pPr>
            <w:r w:rsidRPr="00FD1145">
              <w:t>0.09</w:t>
            </w:r>
            <w:r w:rsidR="002304B6" w:rsidRPr="00FD1145">
              <w:t xml:space="preserve"> </w:t>
            </w:r>
            <w:r w:rsidRPr="00FD1145">
              <w:t>(0.06, 0.13)</w:t>
            </w:r>
          </w:p>
        </w:tc>
      </w:tr>
      <w:tr w:rsidR="004114BF" w:rsidRPr="00FD1145" w14:paraId="3D7E74A8" w14:textId="77777777" w:rsidTr="008B1086">
        <w:trPr>
          <w:cantSplit/>
          <w:trHeight w:val="89"/>
        </w:trPr>
        <w:tc>
          <w:tcPr>
            <w:tcW w:w="1473" w:type="pct"/>
            <w:tcBorders>
              <w:bottom w:val="nil"/>
            </w:tcBorders>
            <w:shd w:val="clear" w:color="auto" w:fill="FFFFFF" w:themeFill="background1"/>
            <w:vAlign w:val="center"/>
          </w:tcPr>
          <w:p w14:paraId="139F2393" w14:textId="77777777" w:rsidR="004114BF" w:rsidRPr="00FD1145" w:rsidRDefault="004114BF" w:rsidP="004114BF">
            <w:pPr>
              <w:pStyle w:val="Tabletext"/>
              <w:keepNext/>
              <w:keepLines/>
              <w:rPr>
                <w:b/>
                <w:bCs/>
              </w:rPr>
            </w:pPr>
            <w:r w:rsidRPr="00FD1145">
              <w:rPr>
                <w:b/>
                <w:bCs/>
              </w:rPr>
              <w:t>Any SAE</w:t>
            </w:r>
          </w:p>
        </w:tc>
        <w:tc>
          <w:tcPr>
            <w:tcW w:w="725" w:type="pct"/>
            <w:tcBorders>
              <w:bottom w:val="nil"/>
            </w:tcBorders>
            <w:shd w:val="clear" w:color="auto" w:fill="FFFFFF" w:themeFill="background1"/>
            <w:vAlign w:val="center"/>
          </w:tcPr>
          <w:p w14:paraId="5B246B6F"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1F3A6189"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1DBC80F0"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63AB4B8E" w14:textId="77777777" w:rsidR="004114BF" w:rsidRPr="00FD1145" w:rsidRDefault="004114BF" w:rsidP="004114BF">
            <w:pPr>
              <w:pStyle w:val="Tabletext"/>
              <w:keepNext/>
              <w:keepLines/>
              <w:jc w:val="center"/>
              <w:rPr>
                <w:b/>
                <w:bCs/>
              </w:rPr>
            </w:pPr>
          </w:p>
        </w:tc>
      </w:tr>
      <w:tr w:rsidR="004114BF" w:rsidRPr="00FD1145" w14:paraId="2006AC99" w14:textId="77777777" w:rsidTr="008B1086">
        <w:trPr>
          <w:cantSplit/>
        </w:trPr>
        <w:tc>
          <w:tcPr>
            <w:tcW w:w="1473" w:type="pct"/>
            <w:tcBorders>
              <w:top w:val="nil"/>
              <w:bottom w:val="dotted" w:sz="4" w:space="0" w:color="auto"/>
            </w:tcBorders>
            <w:shd w:val="clear" w:color="auto" w:fill="B8CCE4" w:themeFill="accent1" w:themeFillTint="66"/>
          </w:tcPr>
          <w:p w14:paraId="374E245A"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4BD569EF" w14:textId="77777777" w:rsidR="004114BF" w:rsidRPr="00FD1145" w:rsidRDefault="004114BF" w:rsidP="004114BF">
            <w:pPr>
              <w:pStyle w:val="Tabletext"/>
              <w:keepNext/>
              <w:keepLines/>
              <w:jc w:val="center"/>
            </w:pPr>
            <w:r w:rsidRPr="00FD1145">
              <w:t>104 (25.7%)</w:t>
            </w:r>
          </w:p>
        </w:tc>
        <w:tc>
          <w:tcPr>
            <w:tcW w:w="787" w:type="pct"/>
            <w:tcBorders>
              <w:top w:val="nil"/>
              <w:bottom w:val="dotted" w:sz="4" w:space="0" w:color="auto"/>
            </w:tcBorders>
            <w:shd w:val="clear" w:color="auto" w:fill="B8CCE4" w:themeFill="accent1" w:themeFillTint="66"/>
            <w:vAlign w:val="center"/>
          </w:tcPr>
          <w:p w14:paraId="554DDC7A" w14:textId="77777777" w:rsidR="004114BF" w:rsidRPr="00FD1145" w:rsidRDefault="004114BF" w:rsidP="004114BF">
            <w:pPr>
              <w:pStyle w:val="Tabletext"/>
              <w:keepNext/>
              <w:keepLines/>
              <w:jc w:val="center"/>
            </w:pPr>
            <w:r w:rsidRPr="00FD1145">
              <w:t>53 (26.9%)</w:t>
            </w:r>
          </w:p>
        </w:tc>
        <w:tc>
          <w:tcPr>
            <w:tcW w:w="962" w:type="pct"/>
            <w:tcBorders>
              <w:top w:val="nil"/>
              <w:bottom w:val="dotted" w:sz="4" w:space="0" w:color="auto"/>
            </w:tcBorders>
            <w:shd w:val="clear" w:color="auto" w:fill="B8CCE4" w:themeFill="accent1" w:themeFillTint="66"/>
          </w:tcPr>
          <w:p w14:paraId="27100851" w14:textId="77777777" w:rsidR="004114BF" w:rsidRPr="00FD1145" w:rsidRDefault="004114BF" w:rsidP="004114BF">
            <w:pPr>
              <w:pStyle w:val="Tabletext"/>
              <w:keepNext/>
              <w:keepLines/>
              <w:jc w:val="center"/>
            </w:pPr>
            <w:r w:rsidRPr="00FD1145">
              <w:t>0.957 (0.721, 1.271)</w:t>
            </w:r>
          </w:p>
        </w:tc>
        <w:tc>
          <w:tcPr>
            <w:tcW w:w="1053" w:type="pct"/>
            <w:tcBorders>
              <w:top w:val="nil"/>
              <w:bottom w:val="dotted" w:sz="4" w:space="0" w:color="auto"/>
            </w:tcBorders>
            <w:shd w:val="clear" w:color="auto" w:fill="B8CCE4" w:themeFill="accent1" w:themeFillTint="66"/>
            <w:vAlign w:val="bottom"/>
          </w:tcPr>
          <w:p w14:paraId="2D1BD6A8" w14:textId="77777777" w:rsidR="004114BF" w:rsidRPr="00FD1145" w:rsidRDefault="004114BF" w:rsidP="004114BF">
            <w:pPr>
              <w:pStyle w:val="Tabletext"/>
              <w:keepNext/>
              <w:keepLines/>
              <w:jc w:val="center"/>
            </w:pPr>
            <w:r w:rsidRPr="00FD1145">
              <w:t>-0.012 (-0.086, 0.063)</w:t>
            </w:r>
          </w:p>
        </w:tc>
      </w:tr>
      <w:tr w:rsidR="004114BF" w:rsidRPr="00FD1145" w14:paraId="02093FFC" w14:textId="77777777" w:rsidTr="008B1086">
        <w:trPr>
          <w:cantSplit/>
        </w:trPr>
        <w:tc>
          <w:tcPr>
            <w:tcW w:w="1473" w:type="pct"/>
            <w:tcBorders>
              <w:top w:val="dotted" w:sz="4" w:space="0" w:color="auto"/>
              <w:bottom w:val="single" w:sz="4" w:space="0" w:color="auto"/>
            </w:tcBorders>
            <w:shd w:val="clear" w:color="auto" w:fill="FFFFFF" w:themeFill="background1"/>
          </w:tcPr>
          <w:p w14:paraId="3B181A96"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26C0BE64" w14:textId="77777777" w:rsidR="004114BF" w:rsidRPr="00FD1145" w:rsidRDefault="004114BF" w:rsidP="004114BF">
            <w:pPr>
              <w:pStyle w:val="Tabletext"/>
              <w:keepNext/>
              <w:keepLines/>
              <w:jc w:val="center"/>
            </w:pPr>
            <w:r w:rsidRPr="00FD1145">
              <w:t>NR</w:t>
            </w:r>
          </w:p>
        </w:tc>
        <w:tc>
          <w:tcPr>
            <w:tcW w:w="787" w:type="pct"/>
            <w:tcBorders>
              <w:top w:val="dotted" w:sz="4" w:space="0" w:color="auto"/>
              <w:bottom w:val="single" w:sz="4" w:space="0" w:color="auto"/>
            </w:tcBorders>
            <w:shd w:val="clear" w:color="auto" w:fill="FFFFFF" w:themeFill="background1"/>
            <w:vAlign w:val="center"/>
          </w:tcPr>
          <w:p w14:paraId="4B54CA42" w14:textId="77777777" w:rsidR="004114BF" w:rsidRPr="00FD1145" w:rsidRDefault="004114BF" w:rsidP="004114BF">
            <w:pPr>
              <w:pStyle w:val="Tabletext"/>
              <w:keepNext/>
              <w:keepLines/>
              <w:jc w:val="center"/>
            </w:pPr>
            <w:r w:rsidRPr="00FD1145">
              <w:t>NR</w:t>
            </w:r>
          </w:p>
        </w:tc>
        <w:tc>
          <w:tcPr>
            <w:tcW w:w="962" w:type="pct"/>
            <w:tcBorders>
              <w:top w:val="dotted" w:sz="4" w:space="0" w:color="auto"/>
              <w:bottom w:val="single" w:sz="4" w:space="0" w:color="auto"/>
            </w:tcBorders>
            <w:shd w:val="clear" w:color="auto" w:fill="FFFFFF" w:themeFill="background1"/>
          </w:tcPr>
          <w:p w14:paraId="0EE02E35" w14:textId="77777777" w:rsidR="004114BF" w:rsidRPr="00FD1145" w:rsidRDefault="004114BF" w:rsidP="004114BF">
            <w:pPr>
              <w:pStyle w:val="Tabletext"/>
              <w:keepNext/>
              <w:keepLines/>
              <w:jc w:val="center"/>
            </w:pPr>
            <w:r w:rsidRPr="00FD1145">
              <w:t>N/A</w:t>
            </w:r>
          </w:p>
        </w:tc>
        <w:tc>
          <w:tcPr>
            <w:tcW w:w="1053" w:type="pct"/>
            <w:tcBorders>
              <w:top w:val="dotted" w:sz="4" w:space="0" w:color="auto"/>
              <w:bottom w:val="single" w:sz="4" w:space="0" w:color="auto"/>
            </w:tcBorders>
            <w:shd w:val="clear" w:color="auto" w:fill="FFFFFF" w:themeFill="background1"/>
            <w:vAlign w:val="bottom"/>
          </w:tcPr>
          <w:p w14:paraId="49594DC4" w14:textId="77777777" w:rsidR="004114BF" w:rsidRPr="00FD1145" w:rsidRDefault="004114BF" w:rsidP="004114BF">
            <w:pPr>
              <w:pStyle w:val="Tabletext"/>
              <w:keepNext/>
              <w:keepLines/>
              <w:jc w:val="center"/>
            </w:pPr>
            <w:r w:rsidRPr="00FD1145">
              <w:t>N/A</w:t>
            </w:r>
          </w:p>
        </w:tc>
      </w:tr>
      <w:tr w:rsidR="004114BF" w:rsidRPr="00FD1145" w14:paraId="7CB0A64B" w14:textId="77777777" w:rsidTr="008B1086">
        <w:trPr>
          <w:cantSplit/>
        </w:trPr>
        <w:tc>
          <w:tcPr>
            <w:tcW w:w="1473" w:type="pct"/>
            <w:tcBorders>
              <w:bottom w:val="nil"/>
            </w:tcBorders>
            <w:shd w:val="clear" w:color="auto" w:fill="FFFFFF" w:themeFill="background1"/>
            <w:vAlign w:val="center"/>
          </w:tcPr>
          <w:p w14:paraId="37E8499D" w14:textId="77777777" w:rsidR="004114BF" w:rsidRPr="00FD1145" w:rsidRDefault="004114BF" w:rsidP="004114BF">
            <w:pPr>
              <w:pStyle w:val="Tabletext"/>
              <w:keepNext/>
              <w:keepLines/>
              <w:rPr>
                <w:b/>
                <w:bCs/>
              </w:rPr>
            </w:pPr>
            <w:r w:rsidRPr="00FD1145">
              <w:rPr>
                <w:b/>
                <w:bCs/>
              </w:rPr>
              <w:t>TEAE leading to death</w:t>
            </w:r>
          </w:p>
        </w:tc>
        <w:tc>
          <w:tcPr>
            <w:tcW w:w="725" w:type="pct"/>
            <w:tcBorders>
              <w:bottom w:val="nil"/>
            </w:tcBorders>
            <w:shd w:val="clear" w:color="auto" w:fill="FFFFFF" w:themeFill="background1"/>
            <w:vAlign w:val="center"/>
          </w:tcPr>
          <w:p w14:paraId="655CE62D"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37F72A89"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2027899C"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27D6F639" w14:textId="77777777" w:rsidR="004114BF" w:rsidRPr="00FD1145" w:rsidRDefault="004114BF" w:rsidP="004114BF">
            <w:pPr>
              <w:pStyle w:val="Tabletext"/>
              <w:keepNext/>
              <w:keepLines/>
              <w:jc w:val="center"/>
              <w:rPr>
                <w:b/>
                <w:bCs/>
              </w:rPr>
            </w:pPr>
          </w:p>
        </w:tc>
      </w:tr>
      <w:tr w:rsidR="004114BF" w:rsidRPr="00FD1145" w14:paraId="5EF88500" w14:textId="77777777" w:rsidTr="008B1086">
        <w:trPr>
          <w:cantSplit/>
        </w:trPr>
        <w:tc>
          <w:tcPr>
            <w:tcW w:w="1473" w:type="pct"/>
            <w:tcBorders>
              <w:top w:val="nil"/>
              <w:bottom w:val="dotted" w:sz="4" w:space="0" w:color="auto"/>
            </w:tcBorders>
            <w:shd w:val="clear" w:color="auto" w:fill="B8CCE4" w:themeFill="accent1" w:themeFillTint="66"/>
          </w:tcPr>
          <w:p w14:paraId="1FE8974A"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3900B817" w14:textId="77777777" w:rsidR="004114BF" w:rsidRPr="00FD1145" w:rsidRDefault="004114BF" w:rsidP="004114BF">
            <w:pPr>
              <w:pStyle w:val="Tabletext"/>
              <w:keepNext/>
              <w:keepLines/>
              <w:jc w:val="center"/>
            </w:pPr>
            <w:r w:rsidRPr="00FD1145">
              <w:t>8 (2.0%)</w:t>
            </w:r>
          </w:p>
        </w:tc>
        <w:tc>
          <w:tcPr>
            <w:tcW w:w="787" w:type="pct"/>
            <w:tcBorders>
              <w:top w:val="nil"/>
              <w:bottom w:val="dotted" w:sz="4" w:space="0" w:color="auto"/>
            </w:tcBorders>
            <w:shd w:val="clear" w:color="auto" w:fill="B8CCE4" w:themeFill="accent1" w:themeFillTint="66"/>
            <w:vAlign w:val="center"/>
          </w:tcPr>
          <w:p w14:paraId="6BA32BC3" w14:textId="77777777" w:rsidR="004114BF" w:rsidRPr="00FD1145" w:rsidRDefault="004114BF" w:rsidP="004114BF">
            <w:pPr>
              <w:pStyle w:val="Tabletext"/>
              <w:keepNext/>
              <w:keepLines/>
              <w:jc w:val="center"/>
            </w:pPr>
            <w:r w:rsidRPr="00FD1145">
              <w:t>6 (3.0%)</w:t>
            </w:r>
          </w:p>
        </w:tc>
        <w:tc>
          <w:tcPr>
            <w:tcW w:w="962" w:type="pct"/>
            <w:tcBorders>
              <w:top w:val="nil"/>
              <w:bottom w:val="dotted" w:sz="4" w:space="0" w:color="auto"/>
            </w:tcBorders>
            <w:shd w:val="clear" w:color="auto" w:fill="B8CCE4" w:themeFill="accent1" w:themeFillTint="66"/>
          </w:tcPr>
          <w:p w14:paraId="6DD2B6C6" w14:textId="77777777" w:rsidR="004114BF" w:rsidRPr="00FD1145" w:rsidRDefault="004114BF" w:rsidP="004114BF">
            <w:pPr>
              <w:pStyle w:val="Tabletext"/>
              <w:keepNext/>
              <w:keepLines/>
              <w:jc w:val="center"/>
            </w:pPr>
            <w:r w:rsidRPr="00FD1145">
              <w:t>0.650 (0.229, 1.848)</w:t>
            </w:r>
          </w:p>
        </w:tc>
        <w:tc>
          <w:tcPr>
            <w:tcW w:w="1053" w:type="pct"/>
            <w:tcBorders>
              <w:top w:val="nil"/>
              <w:bottom w:val="dotted" w:sz="4" w:space="0" w:color="auto"/>
            </w:tcBorders>
            <w:shd w:val="clear" w:color="auto" w:fill="B8CCE4" w:themeFill="accent1" w:themeFillTint="66"/>
            <w:vAlign w:val="bottom"/>
          </w:tcPr>
          <w:p w14:paraId="47BAA92A" w14:textId="77777777" w:rsidR="004114BF" w:rsidRPr="00FD1145" w:rsidRDefault="004114BF" w:rsidP="004114BF">
            <w:pPr>
              <w:pStyle w:val="Tabletext"/>
              <w:keepNext/>
              <w:keepLines/>
              <w:jc w:val="center"/>
            </w:pPr>
            <w:r w:rsidRPr="00FD1145">
              <w:t>-0.011 (-0.036, 0.015)</w:t>
            </w:r>
          </w:p>
        </w:tc>
      </w:tr>
      <w:tr w:rsidR="004114BF" w:rsidRPr="00FD1145" w14:paraId="5F131A63" w14:textId="77777777" w:rsidTr="008B1086">
        <w:trPr>
          <w:cantSplit/>
        </w:trPr>
        <w:tc>
          <w:tcPr>
            <w:tcW w:w="1473" w:type="pct"/>
            <w:tcBorders>
              <w:top w:val="dotted" w:sz="4" w:space="0" w:color="auto"/>
              <w:bottom w:val="single" w:sz="4" w:space="0" w:color="auto"/>
            </w:tcBorders>
            <w:shd w:val="clear" w:color="auto" w:fill="FFFFFF" w:themeFill="background1"/>
          </w:tcPr>
          <w:p w14:paraId="7F133B8B"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1FE04EF1" w14:textId="77777777" w:rsidR="004114BF" w:rsidRPr="00FD1145" w:rsidRDefault="004114BF" w:rsidP="004114BF">
            <w:pPr>
              <w:pStyle w:val="Tabletext"/>
              <w:keepNext/>
              <w:keepLines/>
              <w:jc w:val="center"/>
            </w:pPr>
            <w:r w:rsidRPr="00FD1145">
              <w:t>6 (1.5%)</w:t>
            </w:r>
          </w:p>
        </w:tc>
        <w:tc>
          <w:tcPr>
            <w:tcW w:w="787" w:type="pct"/>
            <w:tcBorders>
              <w:top w:val="dotted" w:sz="4" w:space="0" w:color="auto"/>
              <w:bottom w:val="single" w:sz="4" w:space="0" w:color="auto"/>
            </w:tcBorders>
            <w:shd w:val="clear" w:color="auto" w:fill="FFFFFF" w:themeFill="background1"/>
            <w:vAlign w:val="center"/>
          </w:tcPr>
          <w:p w14:paraId="7B41285F" w14:textId="77777777" w:rsidR="004114BF" w:rsidRPr="00FD1145" w:rsidRDefault="004114BF" w:rsidP="004114BF">
            <w:pPr>
              <w:pStyle w:val="Tabletext"/>
              <w:keepNext/>
              <w:keepLines/>
              <w:jc w:val="center"/>
            </w:pPr>
            <w:r w:rsidRPr="00FD1145">
              <w:t>5 (2.5%)</w:t>
            </w:r>
          </w:p>
        </w:tc>
        <w:tc>
          <w:tcPr>
            <w:tcW w:w="962" w:type="pct"/>
            <w:tcBorders>
              <w:top w:val="dotted" w:sz="4" w:space="0" w:color="auto"/>
              <w:bottom w:val="single" w:sz="4" w:space="0" w:color="auto"/>
            </w:tcBorders>
            <w:shd w:val="clear" w:color="auto" w:fill="FFFFFF" w:themeFill="background1"/>
          </w:tcPr>
          <w:p w14:paraId="0DB6C6E4" w14:textId="77777777" w:rsidR="004114BF" w:rsidRPr="00FD1145" w:rsidRDefault="004114BF" w:rsidP="004114BF">
            <w:pPr>
              <w:pStyle w:val="Tabletext"/>
              <w:keepNext/>
              <w:keepLines/>
              <w:jc w:val="center"/>
            </w:pPr>
            <w:r w:rsidRPr="00FD1145">
              <w:t>0.585 (0.181, 1.894)</w:t>
            </w:r>
          </w:p>
        </w:tc>
        <w:tc>
          <w:tcPr>
            <w:tcW w:w="1053" w:type="pct"/>
            <w:tcBorders>
              <w:top w:val="dotted" w:sz="4" w:space="0" w:color="auto"/>
              <w:bottom w:val="single" w:sz="4" w:space="0" w:color="auto"/>
            </w:tcBorders>
            <w:shd w:val="clear" w:color="auto" w:fill="FFFFFF" w:themeFill="background1"/>
            <w:vAlign w:val="bottom"/>
          </w:tcPr>
          <w:p w14:paraId="37F8CE67" w14:textId="77777777" w:rsidR="004114BF" w:rsidRPr="00FD1145" w:rsidRDefault="004114BF" w:rsidP="004114BF">
            <w:pPr>
              <w:pStyle w:val="Tabletext"/>
              <w:keepNext/>
              <w:keepLines/>
              <w:jc w:val="center"/>
            </w:pPr>
            <w:r w:rsidRPr="00FD1145">
              <w:t>-0.011 (-0.035, 0.014)</w:t>
            </w:r>
          </w:p>
        </w:tc>
      </w:tr>
      <w:tr w:rsidR="004114BF" w:rsidRPr="00FD1145" w14:paraId="131BEBBB" w14:textId="77777777" w:rsidTr="008B1086">
        <w:trPr>
          <w:cantSplit/>
        </w:trPr>
        <w:tc>
          <w:tcPr>
            <w:tcW w:w="1473" w:type="pct"/>
            <w:tcBorders>
              <w:bottom w:val="nil"/>
            </w:tcBorders>
            <w:shd w:val="clear" w:color="auto" w:fill="FFFFFF" w:themeFill="background1"/>
            <w:vAlign w:val="center"/>
          </w:tcPr>
          <w:p w14:paraId="7AE8210D" w14:textId="77777777" w:rsidR="004114BF" w:rsidRPr="00FD1145" w:rsidRDefault="004114BF" w:rsidP="004114BF">
            <w:pPr>
              <w:pStyle w:val="Tabletext"/>
              <w:keepNext/>
              <w:keepLines/>
              <w:rPr>
                <w:b/>
                <w:bCs/>
              </w:rPr>
            </w:pPr>
            <w:r w:rsidRPr="00FD1145">
              <w:rPr>
                <w:b/>
                <w:bCs/>
              </w:rPr>
              <w:t>Patients who discontinued any study treatment due to TEAE</w:t>
            </w:r>
          </w:p>
        </w:tc>
        <w:tc>
          <w:tcPr>
            <w:tcW w:w="725" w:type="pct"/>
            <w:tcBorders>
              <w:bottom w:val="nil"/>
            </w:tcBorders>
            <w:shd w:val="clear" w:color="auto" w:fill="FFFFFF" w:themeFill="background1"/>
            <w:vAlign w:val="center"/>
          </w:tcPr>
          <w:p w14:paraId="3648EECD"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26FE0AB6"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7AEDB298"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0BE96031" w14:textId="77777777" w:rsidR="004114BF" w:rsidRPr="00FD1145" w:rsidRDefault="004114BF" w:rsidP="004114BF">
            <w:pPr>
              <w:pStyle w:val="Tabletext"/>
              <w:keepNext/>
              <w:keepLines/>
              <w:jc w:val="center"/>
              <w:rPr>
                <w:b/>
                <w:bCs/>
              </w:rPr>
            </w:pPr>
          </w:p>
        </w:tc>
      </w:tr>
      <w:tr w:rsidR="004114BF" w:rsidRPr="00FD1145" w14:paraId="47A306E3" w14:textId="77777777" w:rsidTr="008B1086">
        <w:trPr>
          <w:cantSplit/>
        </w:trPr>
        <w:tc>
          <w:tcPr>
            <w:tcW w:w="1473" w:type="pct"/>
            <w:tcBorders>
              <w:top w:val="nil"/>
              <w:bottom w:val="dotted" w:sz="4" w:space="0" w:color="auto"/>
            </w:tcBorders>
            <w:shd w:val="clear" w:color="auto" w:fill="B8CCE4" w:themeFill="accent1" w:themeFillTint="66"/>
          </w:tcPr>
          <w:p w14:paraId="312F13B1"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76132DF6" w14:textId="77777777" w:rsidR="004114BF" w:rsidRPr="00FD1145" w:rsidRDefault="004114BF" w:rsidP="004114BF">
            <w:pPr>
              <w:pStyle w:val="Tabletext"/>
              <w:keepNext/>
              <w:keepLines/>
              <w:jc w:val="center"/>
            </w:pPr>
            <w:r w:rsidRPr="00FD1145">
              <w:t>45 (11.1%)</w:t>
            </w:r>
          </w:p>
        </w:tc>
        <w:tc>
          <w:tcPr>
            <w:tcW w:w="787" w:type="pct"/>
            <w:tcBorders>
              <w:top w:val="nil"/>
              <w:bottom w:val="dotted" w:sz="4" w:space="0" w:color="auto"/>
            </w:tcBorders>
            <w:shd w:val="clear" w:color="auto" w:fill="B8CCE4" w:themeFill="accent1" w:themeFillTint="66"/>
            <w:vAlign w:val="center"/>
          </w:tcPr>
          <w:p w14:paraId="58D72D34" w14:textId="77777777" w:rsidR="004114BF" w:rsidRPr="00FD1145" w:rsidRDefault="004114BF" w:rsidP="004114BF">
            <w:pPr>
              <w:pStyle w:val="Tabletext"/>
              <w:keepNext/>
              <w:keepLines/>
              <w:jc w:val="center"/>
            </w:pPr>
            <w:r w:rsidRPr="00FD1145">
              <w:t>19 (9.6%)</w:t>
            </w:r>
          </w:p>
        </w:tc>
        <w:tc>
          <w:tcPr>
            <w:tcW w:w="962" w:type="pct"/>
            <w:tcBorders>
              <w:top w:val="nil"/>
              <w:bottom w:val="dotted" w:sz="4" w:space="0" w:color="auto"/>
            </w:tcBorders>
            <w:shd w:val="clear" w:color="auto" w:fill="B8CCE4" w:themeFill="accent1" w:themeFillTint="66"/>
          </w:tcPr>
          <w:p w14:paraId="51EE0107" w14:textId="77777777" w:rsidR="004114BF" w:rsidRPr="00FD1145" w:rsidRDefault="004114BF" w:rsidP="004114BF">
            <w:pPr>
              <w:pStyle w:val="Tabletext"/>
              <w:keepNext/>
              <w:keepLines/>
              <w:jc w:val="center"/>
            </w:pPr>
            <w:r w:rsidRPr="00FD1145">
              <w:t>1.155 (0.695, 1.920)</w:t>
            </w:r>
          </w:p>
        </w:tc>
        <w:tc>
          <w:tcPr>
            <w:tcW w:w="1053" w:type="pct"/>
            <w:tcBorders>
              <w:top w:val="nil"/>
              <w:bottom w:val="dotted" w:sz="4" w:space="0" w:color="auto"/>
            </w:tcBorders>
            <w:shd w:val="clear" w:color="auto" w:fill="B8CCE4" w:themeFill="accent1" w:themeFillTint="66"/>
            <w:vAlign w:val="bottom"/>
          </w:tcPr>
          <w:p w14:paraId="32AA3AEB" w14:textId="77777777" w:rsidR="004114BF" w:rsidRPr="00FD1145" w:rsidRDefault="004114BF" w:rsidP="004114BF">
            <w:pPr>
              <w:pStyle w:val="Tabletext"/>
              <w:keepNext/>
              <w:keepLines/>
              <w:jc w:val="center"/>
            </w:pPr>
            <w:r w:rsidRPr="00FD1145">
              <w:t>0.015 (-0.038, 0.067)</w:t>
            </w:r>
          </w:p>
        </w:tc>
      </w:tr>
      <w:tr w:rsidR="004114BF" w:rsidRPr="00FD1145" w14:paraId="4DC79E22" w14:textId="77777777" w:rsidTr="008B1086">
        <w:trPr>
          <w:cantSplit/>
        </w:trPr>
        <w:tc>
          <w:tcPr>
            <w:tcW w:w="1473" w:type="pct"/>
            <w:tcBorders>
              <w:top w:val="dotted" w:sz="4" w:space="0" w:color="auto"/>
              <w:bottom w:val="single" w:sz="4" w:space="0" w:color="auto"/>
            </w:tcBorders>
            <w:shd w:val="clear" w:color="auto" w:fill="FFFFFF" w:themeFill="background1"/>
          </w:tcPr>
          <w:p w14:paraId="544C112C"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053BB59B" w14:textId="77777777" w:rsidR="004114BF" w:rsidRPr="00FD1145" w:rsidRDefault="004114BF" w:rsidP="004114BF">
            <w:pPr>
              <w:pStyle w:val="Tabletext"/>
              <w:keepNext/>
              <w:keepLines/>
              <w:jc w:val="center"/>
            </w:pPr>
            <w:r w:rsidRPr="00FD1145">
              <w:t>52 (12.9%)</w:t>
            </w:r>
          </w:p>
        </w:tc>
        <w:tc>
          <w:tcPr>
            <w:tcW w:w="787" w:type="pct"/>
            <w:tcBorders>
              <w:top w:val="dotted" w:sz="4" w:space="0" w:color="auto"/>
              <w:bottom w:val="single" w:sz="4" w:space="0" w:color="auto"/>
            </w:tcBorders>
            <w:shd w:val="clear" w:color="auto" w:fill="FFFFFF" w:themeFill="background1"/>
            <w:vAlign w:val="center"/>
          </w:tcPr>
          <w:p w14:paraId="5EB2AF02" w14:textId="77777777" w:rsidR="004114BF" w:rsidRPr="00FD1145" w:rsidRDefault="004114BF" w:rsidP="004114BF">
            <w:pPr>
              <w:pStyle w:val="Tabletext"/>
              <w:keepNext/>
              <w:keepLines/>
              <w:jc w:val="center"/>
            </w:pPr>
            <w:r w:rsidRPr="00FD1145">
              <w:t>23 (11.7%)</w:t>
            </w:r>
          </w:p>
        </w:tc>
        <w:tc>
          <w:tcPr>
            <w:tcW w:w="962" w:type="pct"/>
            <w:tcBorders>
              <w:top w:val="dotted" w:sz="4" w:space="0" w:color="auto"/>
              <w:bottom w:val="single" w:sz="4" w:space="0" w:color="auto"/>
            </w:tcBorders>
            <w:shd w:val="clear" w:color="auto" w:fill="FFFFFF" w:themeFill="background1"/>
          </w:tcPr>
          <w:p w14:paraId="07F0C64F" w14:textId="77777777" w:rsidR="004114BF" w:rsidRPr="00FD1145" w:rsidRDefault="004114BF" w:rsidP="004114BF">
            <w:pPr>
              <w:pStyle w:val="Tabletext"/>
              <w:keepNext/>
              <w:keepLines/>
              <w:jc w:val="center"/>
            </w:pPr>
            <w:r w:rsidRPr="00FD1145">
              <w:t>1.102 (0.696, 1.747)</w:t>
            </w:r>
          </w:p>
        </w:tc>
        <w:tc>
          <w:tcPr>
            <w:tcW w:w="1053" w:type="pct"/>
            <w:tcBorders>
              <w:top w:val="dotted" w:sz="4" w:space="0" w:color="auto"/>
              <w:bottom w:val="single" w:sz="4" w:space="0" w:color="auto"/>
            </w:tcBorders>
            <w:shd w:val="clear" w:color="auto" w:fill="FFFFFF" w:themeFill="background1"/>
            <w:vAlign w:val="bottom"/>
          </w:tcPr>
          <w:p w14:paraId="3AF46B5D" w14:textId="77777777" w:rsidR="004114BF" w:rsidRPr="00FD1145" w:rsidRDefault="004114BF" w:rsidP="004114BF">
            <w:pPr>
              <w:pStyle w:val="Tabletext"/>
              <w:keepNext/>
              <w:keepLines/>
              <w:jc w:val="center"/>
            </w:pPr>
            <w:r w:rsidRPr="00FD1145">
              <w:t>0.012 (-0.044, 0.067)</w:t>
            </w:r>
          </w:p>
        </w:tc>
      </w:tr>
      <w:tr w:rsidR="004114BF" w:rsidRPr="00FD1145" w14:paraId="3AAE2457" w14:textId="77777777" w:rsidTr="008B1086">
        <w:trPr>
          <w:cantSplit/>
        </w:trPr>
        <w:tc>
          <w:tcPr>
            <w:tcW w:w="1473" w:type="pct"/>
            <w:tcBorders>
              <w:bottom w:val="nil"/>
            </w:tcBorders>
            <w:shd w:val="clear" w:color="auto" w:fill="FFFFFF" w:themeFill="background1"/>
            <w:vAlign w:val="center"/>
          </w:tcPr>
          <w:p w14:paraId="7E0A65E6" w14:textId="77777777" w:rsidR="004114BF" w:rsidRPr="00FD1145" w:rsidRDefault="004114BF" w:rsidP="004114BF">
            <w:pPr>
              <w:pStyle w:val="Tabletext"/>
              <w:keepNext/>
              <w:keepLines/>
              <w:rPr>
                <w:b/>
                <w:bCs/>
              </w:rPr>
            </w:pPr>
            <w:r w:rsidRPr="00FD1145">
              <w:rPr>
                <w:b/>
                <w:bCs/>
              </w:rPr>
              <w:t>Patients who discontinued tucatinib or placebo due to TEAE</w:t>
            </w:r>
          </w:p>
        </w:tc>
        <w:tc>
          <w:tcPr>
            <w:tcW w:w="725" w:type="pct"/>
            <w:tcBorders>
              <w:bottom w:val="nil"/>
            </w:tcBorders>
            <w:shd w:val="clear" w:color="auto" w:fill="FFFFFF" w:themeFill="background1"/>
            <w:vAlign w:val="center"/>
          </w:tcPr>
          <w:p w14:paraId="6FF429CE"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04F4AA6B"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393A719C"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122543FE" w14:textId="77777777" w:rsidR="004114BF" w:rsidRPr="00FD1145" w:rsidRDefault="004114BF" w:rsidP="004114BF">
            <w:pPr>
              <w:pStyle w:val="Tabletext"/>
              <w:keepNext/>
              <w:keepLines/>
              <w:jc w:val="center"/>
              <w:rPr>
                <w:b/>
                <w:bCs/>
              </w:rPr>
            </w:pPr>
          </w:p>
        </w:tc>
      </w:tr>
      <w:tr w:rsidR="004114BF" w:rsidRPr="00FD1145" w14:paraId="4CAFB8C4" w14:textId="77777777" w:rsidTr="008B1086">
        <w:trPr>
          <w:cantSplit/>
        </w:trPr>
        <w:tc>
          <w:tcPr>
            <w:tcW w:w="1473" w:type="pct"/>
            <w:tcBorders>
              <w:top w:val="nil"/>
              <w:bottom w:val="dotted" w:sz="4" w:space="0" w:color="auto"/>
            </w:tcBorders>
            <w:shd w:val="clear" w:color="auto" w:fill="B8CCE4" w:themeFill="accent1" w:themeFillTint="66"/>
          </w:tcPr>
          <w:p w14:paraId="45B4F8DE"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4ABC3FA1" w14:textId="77777777" w:rsidR="004114BF" w:rsidRPr="00FD1145" w:rsidRDefault="004114BF" w:rsidP="004114BF">
            <w:pPr>
              <w:pStyle w:val="Tabletext"/>
              <w:keepNext/>
              <w:keepLines/>
              <w:jc w:val="center"/>
            </w:pPr>
            <w:r w:rsidRPr="00FD1145">
              <w:t>23 (5.7%)</w:t>
            </w:r>
          </w:p>
        </w:tc>
        <w:tc>
          <w:tcPr>
            <w:tcW w:w="787" w:type="pct"/>
            <w:tcBorders>
              <w:top w:val="nil"/>
              <w:bottom w:val="dotted" w:sz="4" w:space="0" w:color="auto"/>
            </w:tcBorders>
            <w:shd w:val="clear" w:color="auto" w:fill="B8CCE4" w:themeFill="accent1" w:themeFillTint="66"/>
            <w:vAlign w:val="center"/>
          </w:tcPr>
          <w:p w14:paraId="32E1DB4E" w14:textId="77777777" w:rsidR="004114BF" w:rsidRPr="00FD1145" w:rsidRDefault="004114BF" w:rsidP="004114BF">
            <w:pPr>
              <w:pStyle w:val="Tabletext"/>
              <w:keepNext/>
              <w:keepLines/>
              <w:jc w:val="center"/>
            </w:pPr>
            <w:r w:rsidRPr="00FD1145">
              <w:t>6 (3.0%)</w:t>
            </w:r>
          </w:p>
        </w:tc>
        <w:tc>
          <w:tcPr>
            <w:tcW w:w="962" w:type="pct"/>
            <w:tcBorders>
              <w:top w:val="nil"/>
              <w:bottom w:val="dotted" w:sz="4" w:space="0" w:color="auto"/>
            </w:tcBorders>
            <w:shd w:val="clear" w:color="auto" w:fill="B8CCE4" w:themeFill="accent1" w:themeFillTint="66"/>
          </w:tcPr>
          <w:p w14:paraId="1DA714AF" w14:textId="77777777" w:rsidR="004114BF" w:rsidRPr="00FD1145" w:rsidRDefault="004114BF" w:rsidP="004114BF">
            <w:pPr>
              <w:pStyle w:val="Tabletext"/>
              <w:keepNext/>
              <w:keepLines/>
              <w:jc w:val="center"/>
            </w:pPr>
            <w:r w:rsidRPr="00FD1145">
              <w:t>1.869 (0.774, 4.516)</w:t>
            </w:r>
          </w:p>
        </w:tc>
        <w:tc>
          <w:tcPr>
            <w:tcW w:w="1053" w:type="pct"/>
            <w:tcBorders>
              <w:top w:val="nil"/>
              <w:bottom w:val="dotted" w:sz="4" w:space="0" w:color="auto"/>
            </w:tcBorders>
            <w:shd w:val="clear" w:color="auto" w:fill="B8CCE4" w:themeFill="accent1" w:themeFillTint="66"/>
            <w:vAlign w:val="bottom"/>
          </w:tcPr>
          <w:p w14:paraId="2DD12CC8" w14:textId="77777777" w:rsidR="004114BF" w:rsidRPr="00FD1145" w:rsidRDefault="004114BF" w:rsidP="004114BF">
            <w:pPr>
              <w:pStyle w:val="Tabletext"/>
              <w:keepNext/>
              <w:keepLines/>
              <w:jc w:val="center"/>
            </w:pPr>
            <w:r w:rsidRPr="00FD1145">
              <w:t>0.026 (-0.010, 0.063)</w:t>
            </w:r>
          </w:p>
        </w:tc>
      </w:tr>
      <w:tr w:rsidR="004114BF" w:rsidRPr="00FD1145" w14:paraId="6BCB89C9" w14:textId="77777777" w:rsidTr="008B1086">
        <w:trPr>
          <w:cantSplit/>
        </w:trPr>
        <w:tc>
          <w:tcPr>
            <w:tcW w:w="1473" w:type="pct"/>
            <w:tcBorders>
              <w:top w:val="dotted" w:sz="4" w:space="0" w:color="auto"/>
              <w:bottom w:val="single" w:sz="4" w:space="0" w:color="auto"/>
            </w:tcBorders>
            <w:shd w:val="clear" w:color="auto" w:fill="FFFFFF" w:themeFill="background1"/>
          </w:tcPr>
          <w:p w14:paraId="0C501551"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774E7D4B" w14:textId="77777777" w:rsidR="004114BF" w:rsidRPr="00FD1145" w:rsidRDefault="004114BF" w:rsidP="004114BF">
            <w:pPr>
              <w:pStyle w:val="Tabletext"/>
              <w:keepNext/>
              <w:keepLines/>
              <w:jc w:val="center"/>
            </w:pPr>
            <w:r w:rsidRPr="00FD1145">
              <w:t>24 (5.9%)</w:t>
            </w:r>
          </w:p>
        </w:tc>
        <w:tc>
          <w:tcPr>
            <w:tcW w:w="787" w:type="pct"/>
            <w:tcBorders>
              <w:top w:val="dotted" w:sz="4" w:space="0" w:color="auto"/>
              <w:bottom w:val="single" w:sz="4" w:space="0" w:color="auto"/>
            </w:tcBorders>
            <w:shd w:val="clear" w:color="auto" w:fill="FFFFFF" w:themeFill="background1"/>
            <w:vAlign w:val="center"/>
          </w:tcPr>
          <w:p w14:paraId="1929A148" w14:textId="77777777" w:rsidR="004114BF" w:rsidRPr="00FD1145" w:rsidRDefault="004114BF" w:rsidP="004114BF">
            <w:pPr>
              <w:pStyle w:val="Tabletext"/>
              <w:keepNext/>
              <w:keepLines/>
              <w:jc w:val="center"/>
            </w:pPr>
            <w:r w:rsidRPr="00FD1145">
              <w:t>8 (4.1%)</w:t>
            </w:r>
          </w:p>
        </w:tc>
        <w:tc>
          <w:tcPr>
            <w:tcW w:w="962" w:type="pct"/>
            <w:tcBorders>
              <w:top w:val="dotted" w:sz="4" w:space="0" w:color="auto"/>
              <w:bottom w:val="single" w:sz="4" w:space="0" w:color="auto"/>
            </w:tcBorders>
            <w:shd w:val="clear" w:color="auto" w:fill="FFFFFF" w:themeFill="background1"/>
          </w:tcPr>
          <w:p w14:paraId="6D1D0485" w14:textId="77777777" w:rsidR="004114BF" w:rsidRPr="00FD1145" w:rsidRDefault="004114BF" w:rsidP="004114BF">
            <w:pPr>
              <w:pStyle w:val="Tabletext"/>
              <w:keepNext/>
              <w:keepLines/>
              <w:jc w:val="center"/>
            </w:pPr>
            <w:r w:rsidRPr="00FD1145">
              <w:t>1.463 (0.669, 3.197)</w:t>
            </w:r>
          </w:p>
        </w:tc>
        <w:tc>
          <w:tcPr>
            <w:tcW w:w="1053" w:type="pct"/>
            <w:tcBorders>
              <w:top w:val="dotted" w:sz="4" w:space="0" w:color="auto"/>
              <w:bottom w:val="single" w:sz="4" w:space="0" w:color="auto"/>
            </w:tcBorders>
            <w:shd w:val="clear" w:color="auto" w:fill="FFFFFF" w:themeFill="background1"/>
            <w:vAlign w:val="bottom"/>
          </w:tcPr>
          <w:p w14:paraId="0D435975" w14:textId="77777777" w:rsidR="004114BF" w:rsidRPr="00FD1145" w:rsidRDefault="004114BF" w:rsidP="004114BF">
            <w:pPr>
              <w:pStyle w:val="Tabletext"/>
              <w:keepNext/>
              <w:keepLines/>
              <w:jc w:val="center"/>
            </w:pPr>
            <w:r w:rsidRPr="00FD1145">
              <w:t>0.019 (-0.017, 0.055)</w:t>
            </w:r>
          </w:p>
        </w:tc>
      </w:tr>
      <w:tr w:rsidR="004114BF" w:rsidRPr="00FD1145" w14:paraId="45F38643" w14:textId="77777777" w:rsidTr="008B1086">
        <w:trPr>
          <w:cantSplit/>
        </w:trPr>
        <w:tc>
          <w:tcPr>
            <w:tcW w:w="1473" w:type="pct"/>
            <w:tcBorders>
              <w:bottom w:val="nil"/>
            </w:tcBorders>
            <w:shd w:val="clear" w:color="auto" w:fill="FFFFFF" w:themeFill="background1"/>
            <w:vAlign w:val="center"/>
          </w:tcPr>
          <w:p w14:paraId="7A71CB44" w14:textId="77777777" w:rsidR="004114BF" w:rsidRPr="00FD1145" w:rsidRDefault="004114BF" w:rsidP="004114BF">
            <w:pPr>
              <w:pStyle w:val="Tabletext"/>
              <w:keepNext/>
              <w:keepLines/>
              <w:rPr>
                <w:b/>
                <w:bCs/>
              </w:rPr>
            </w:pPr>
            <w:r w:rsidRPr="00FD1145">
              <w:rPr>
                <w:b/>
                <w:bCs/>
              </w:rPr>
              <w:t>Patients who discontinued capecitabine due to TEAE</w:t>
            </w:r>
          </w:p>
        </w:tc>
        <w:tc>
          <w:tcPr>
            <w:tcW w:w="725" w:type="pct"/>
            <w:tcBorders>
              <w:bottom w:val="nil"/>
            </w:tcBorders>
            <w:shd w:val="clear" w:color="auto" w:fill="FFFFFF" w:themeFill="background1"/>
            <w:vAlign w:val="center"/>
          </w:tcPr>
          <w:p w14:paraId="7A8FFB97"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00B3D4DB"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0DF998EC"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3B6C5487" w14:textId="77777777" w:rsidR="004114BF" w:rsidRPr="00FD1145" w:rsidRDefault="004114BF" w:rsidP="004114BF">
            <w:pPr>
              <w:pStyle w:val="Tabletext"/>
              <w:keepNext/>
              <w:keepLines/>
              <w:jc w:val="center"/>
              <w:rPr>
                <w:b/>
                <w:bCs/>
              </w:rPr>
            </w:pPr>
          </w:p>
        </w:tc>
      </w:tr>
      <w:tr w:rsidR="004114BF" w:rsidRPr="00FD1145" w14:paraId="1CCD3164" w14:textId="77777777" w:rsidTr="008B1086">
        <w:trPr>
          <w:cantSplit/>
        </w:trPr>
        <w:tc>
          <w:tcPr>
            <w:tcW w:w="1473" w:type="pct"/>
            <w:tcBorders>
              <w:top w:val="nil"/>
              <w:bottom w:val="dotted" w:sz="4" w:space="0" w:color="auto"/>
            </w:tcBorders>
            <w:shd w:val="clear" w:color="auto" w:fill="B8CCE4" w:themeFill="accent1" w:themeFillTint="66"/>
          </w:tcPr>
          <w:p w14:paraId="2A7297F3"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093C166E" w14:textId="77777777" w:rsidR="004114BF" w:rsidRPr="00FD1145" w:rsidRDefault="004114BF" w:rsidP="004114BF">
            <w:pPr>
              <w:pStyle w:val="Tabletext"/>
              <w:keepNext/>
              <w:keepLines/>
              <w:jc w:val="center"/>
            </w:pPr>
            <w:r w:rsidRPr="00FD1145">
              <w:t>41 (10.1%)</w:t>
            </w:r>
          </w:p>
        </w:tc>
        <w:tc>
          <w:tcPr>
            <w:tcW w:w="787" w:type="pct"/>
            <w:tcBorders>
              <w:top w:val="nil"/>
              <w:bottom w:val="dotted" w:sz="4" w:space="0" w:color="auto"/>
            </w:tcBorders>
            <w:shd w:val="clear" w:color="auto" w:fill="B8CCE4" w:themeFill="accent1" w:themeFillTint="66"/>
            <w:vAlign w:val="center"/>
          </w:tcPr>
          <w:p w14:paraId="61352292" w14:textId="77777777" w:rsidR="004114BF" w:rsidRPr="00FD1145" w:rsidRDefault="004114BF" w:rsidP="004114BF">
            <w:pPr>
              <w:pStyle w:val="Tabletext"/>
              <w:keepNext/>
              <w:keepLines/>
              <w:jc w:val="center"/>
            </w:pPr>
            <w:r w:rsidRPr="00FD1145">
              <w:t>18 (9.1%)</w:t>
            </w:r>
          </w:p>
        </w:tc>
        <w:tc>
          <w:tcPr>
            <w:tcW w:w="962" w:type="pct"/>
            <w:tcBorders>
              <w:top w:val="nil"/>
              <w:bottom w:val="dotted" w:sz="4" w:space="0" w:color="auto"/>
            </w:tcBorders>
            <w:shd w:val="clear" w:color="auto" w:fill="B8CCE4" w:themeFill="accent1" w:themeFillTint="66"/>
          </w:tcPr>
          <w:p w14:paraId="4E7C261C" w14:textId="77777777" w:rsidR="004114BF" w:rsidRPr="00FD1145" w:rsidRDefault="004114BF" w:rsidP="004114BF">
            <w:pPr>
              <w:pStyle w:val="Tabletext"/>
              <w:keepNext/>
              <w:keepLines/>
              <w:jc w:val="center"/>
            </w:pPr>
            <w:r w:rsidRPr="00FD1145">
              <w:t>1.111 (0.655, 1.882)</w:t>
            </w:r>
          </w:p>
        </w:tc>
        <w:tc>
          <w:tcPr>
            <w:tcW w:w="1053" w:type="pct"/>
            <w:tcBorders>
              <w:top w:val="nil"/>
              <w:bottom w:val="dotted" w:sz="4" w:space="0" w:color="auto"/>
            </w:tcBorders>
            <w:shd w:val="clear" w:color="auto" w:fill="B8CCE4" w:themeFill="accent1" w:themeFillTint="66"/>
            <w:vAlign w:val="bottom"/>
          </w:tcPr>
          <w:p w14:paraId="0BCEEFAB" w14:textId="77777777" w:rsidR="004114BF" w:rsidRPr="00FD1145" w:rsidRDefault="004114BF" w:rsidP="004114BF">
            <w:pPr>
              <w:pStyle w:val="Tabletext"/>
              <w:keepNext/>
              <w:keepLines/>
              <w:jc w:val="center"/>
            </w:pPr>
            <w:r w:rsidRPr="00FD1145">
              <w:t>0.010 (-0.041, 0.061)</w:t>
            </w:r>
          </w:p>
        </w:tc>
      </w:tr>
      <w:tr w:rsidR="004114BF" w:rsidRPr="00FD1145" w14:paraId="6061336D" w14:textId="77777777" w:rsidTr="008B1086">
        <w:trPr>
          <w:cantSplit/>
        </w:trPr>
        <w:tc>
          <w:tcPr>
            <w:tcW w:w="1473" w:type="pct"/>
            <w:tcBorders>
              <w:top w:val="dotted" w:sz="4" w:space="0" w:color="auto"/>
              <w:bottom w:val="single" w:sz="4" w:space="0" w:color="auto"/>
            </w:tcBorders>
            <w:shd w:val="clear" w:color="auto" w:fill="FFFFFF" w:themeFill="background1"/>
          </w:tcPr>
          <w:p w14:paraId="06EC7AA2"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single" w:sz="4" w:space="0" w:color="auto"/>
            </w:tcBorders>
            <w:shd w:val="clear" w:color="auto" w:fill="FFFFFF" w:themeFill="background1"/>
            <w:vAlign w:val="center"/>
          </w:tcPr>
          <w:p w14:paraId="39296042" w14:textId="77777777" w:rsidR="004114BF" w:rsidRPr="00FD1145" w:rsidRDefault="004114BF" w:rsidP="004114BF">
            <w:pPr>
              <w:pStyle w:val="Tabletext"/>
              <w:keepNext/>
              <w:keepLines/>
              <w:jc w:val="center"/>
            </w:pPr>
            <w:r w:rsidRPr="00FD1145">
              <w:t>47 (11.6%)</w:t>
            </w:r>
          </w:p>
        </w:tc>
        <w:tc>
          <w:tcPr>
            <w:tcW w:w="787" w:type="pct"/>
            <w:tcBorders>
              <w:top w:val="dotted" w:sz="4" w:space="0" w:color="auto"/>
              <w:bottom w:val="single" w:sz="4" w:space="0" w:color="auto"/>
            </w:tcBorders>
            <w:shd w:val="clear" w:color="auto" w:fill="FFFFFF" w:themeFill="background1"/>
            <w:vAlign w:val="center"/>
          </w:tcPr>
          <w:p w14:paraId="035EA1CA" w14:textId="77777777" w:rsidR="004114BF" w:rsidRPr="00FD1145" w:rsidRDefault="004114BF" w:rsidP="004114BF">
            <w:pPr>
              <w:pStyle w:val="Tabletext"/>
              <w:keepNext/>
              <w:keepLines/>
              <w:jc w:val="center"/>
            </w:pPr>
            <w:r w:rsidRPr="00FD1145">
              <w:t>22 (11.2%)</w:t>
            </w:r>
          </w:p>
        </w:tc>
        <w:tc>
          <w:tcPr>
            <w:tcW w:w="962" w:type="pct"/>
            <w:tcBorders>
              <w:top w:val="dotted" w:sz="4" w:space="0" w:color="auto"/>
              <w:bottom w:val="single" w:sz="4" w:space="0" w:color="auto"/>
            </w:tcBorders>
            <w:shd w:val="clear" w:color="auto" w:fill="FFFFFF" w:themeFill="background1"/>
          </w:tcPr>
          <w:p w14:paraId="607185BE" w14:textId="77777777" w:rsidR="004114BF" w:rsidRPr="00FD1145" w:rsidRDefault="004114BF" w:rsidP="004114BF">
            <w:pPr>
              <w:pStyle w:val="Tabletext"/>
              <w:keepNext/>
              <w:keepLines/>
              <w:jc w:val="center"/>
            </w:pPr>
            <w:r w:rsidRPr="00FD1145">
              <w:t>1.042 (0.647, 1.678)</w:t>
            </w:r>
          </w:p>
        </w:tc>
        <w:tc>
          <w:tcPr>
            <w:tcW w:w="1053" w:type="pct"/>
            <w:tcBorders>
              <w:top w:val="dotted" w:sz="4" w:space="0" w:color="auto"/>
              <w:bottom w:val="single" w:sz="4" w:space="0" w:color="auto"/>
            </w:tcBorders>
            <w:shd w:val="clear" w:color="auto" w:fill="FFFFFF" w:themeFill="background1"/>
            <w:vAlign w:val="bottom"/>
          </w:tcPr>
          <w:p w14:paraId="7E24AF2C" w14:textId="77777777" w:rsidR="004114BF" w:rsidRPr="00FD1145" w:rsidRDefault="004114BF" w:rsidP="004114BF">
            <w:pPr>
              <w:pStyle w:val="Tabletext"/>
              <w:keepNext/>
              <w:keepLines/>
              <w:jc w:val="center"/>
            </w:pPr>
            <w:r w:rsidRPr="00FD1145">
              <w:t>0.005 (-0.049, 0.059)</w:t>
            </w:r>
          </w:p>
        </w:tc>
      </w:tr>
      <w:tr w:rsidR="004114BF" w:rsidRPr="00FD1145" w14:paraId="63A813D4" w14:textId="77777777" w:rsidTr="008B1086">
        <w:trPr>
          <w:cantSplit/>
        </w:trPr>
        <w:tc>
          <w:tcPr>
            <w:tcW w:w="1473" w:type="pct"/>
            <w:tcBorders>
              <w:bottom w:val="nil"/>
            </w:tcBorders>
            <w:shd w:val="clear" w:color="auto" w:fill="FFFFFF" w:themeFill="background1"/>
            <w:vAlign w:val="center"/>
          </w:tcPr>
          <w:p w14:paraId="0BFED3F6" w14:textId="77777777" w:rsidR="004114BF" w:rsidRPr="00FD1145" w:rsidRDefault="004114BF" w:rsidP="004114BF">
            <w:pPr>
              <w:pStyle w:val="Tabletext"/>
              <w:keepNext/>
              <w:keepLines/>
              <w:rPr>
                <w:b/>
                <w:bCs/>
              </w:rPr>
            </w:pPr>
            <w:r w:rsidRPr="00FD1145">
              <w:rPr>
                <w:b/>
                <w:bCs/>
              </w:rPr>
              <w:t>Patients who discontinued trastuzumab due to TEAE</w:t>
            </w:r>
          </w:p>
        </w:tc>
        <w:tc>
          <w:tcPr>
            <w:tcW w:w="725" w:type="pct"/>
            <w:tcBorders>
              <w:bottom w:val="nil"/>
            </w:tcBorders>
            <w:shd w:val="clear" w:color="auto" w:fill="FFFFFF" w:themeFill="background1"/>
            <w:vAlign w:val="center"/>
          </w:tcPr>
          <w:p w14:paraId="4A164568" w14:textId="77777777" w:rsidR="004114BF" w:rsidRPr="00FD1145" w:rsidRDefault="004114BF" w:rsidP="004114BF">
            <w:pPr>
              <w:pStyle w:val="Tabletext"/>
              <w:keepNext/>
              <w:keepLines/>
              <w:jc w:val="center"/>
              <w:rPr>
                <w:b/>
                <w:bCs/>
              </w:rPr>
            </w:pPr>
          </w:p>
        </w:tc>
        <w:tc>
          <w:tcPr>
            <w:tcW w:w="787" w:type="pct"/>
            <w:tcBorders>
              <w:bottom w:val="nil"/>
            </w:tcBorders>
            <w:shd w:val="clear" w:color="auto" w:fill="FFFFFF" w:themeFill="background1"/>
            <w:vAlign w:val="center"/>
          </w:tcPr>
          <w:p w14:paraId="537173BB" w14:textId="77777777" w:rsidR="004114BF" w:rsidRPr="00FD1145" w:rsidRDefault="004114BF" w:rsidP="004114BF">
            <w:pPr>
              <w:pStyle w:val="Tabletext"/>
              <w:keepNext/>
              <w:keepLines/>
              <w:jc w:val="center"/>
              <w:rPr>
                <w:b/>
                <w:bCs/>
              </w:rPr>
            </w:pPr>
          </w:p>
        </w:tc>
        <w:tc>
          <w:tcPr>
            <w:tcW w:w="962" w:type="pct"/>
            <w:tcBorders>
              <w:bottom w:val="nil"/>
            </w:tcBorders>
            <w:shd w:val="clear" w:color="auto" w:fill="FFFFFF" w:themeFill="background1"/>
          </w:tcPr>
          <w:p w14:paraId="4271BBAE" w14:textId="77777777" w:rsidR="004114BF" w:rsidRPr="00FD1145" w:rsidRDefault="004114BF" w:rsidP="004114BF">
            <w:pPr>
              <w:pStyle w:val="Tabletext"/>
              <w:keepNext/>
              <w:keepLines/>
              <w:jc w:val="center"/>
              <w:rPr>
                <w:b/>
                <w:bCs/>
              </w:rPr>
            </w:pPr>
          </w:p>
        </w:tc>
        <w:tc>
          <w:tcPr>
            <w:tcW w:w="1053" w:type="pct"/>
            <w:tcBorders>
              <w:bottom w:val="nil"/>
            </w:tcBorders>
            <w:shd w:val="clear" w:color="auto" w:fill="FFFFFF" w:themeFill="background1"/>
            <w:vAlign w:val="bottom"/>
          </w:tcPr>
          <w:p w14:paraId="2039C786" w14:textId="77777777" w:rsidR="004114BF" w:rsidRPr="00FD1145" w:rsidRDefault="004114BF" w:rsidP="004114BF">
            <w:pPr>
              <w:pStyle w:val="Tabletext"/>
              <w:keepNext/>
              <w:keepLines/>
              <w:jc w:val="center"/>
              <w:rPr>
                <w:b/>
                <w:bCs/>
              </w:rPr>
            </w:pPr>
          </w:p>
        </w:tc>
      </w:tr>
      <w:tr w:rsidR="004114BF" w:rsidRPr="00FD1145" w14:paraId="1E50288B" w14:textId="77777777" w:rsidTr="008B1086">
        <w:trPr>
          <w:cantSplit/>
        </w:trPr>
        <w:tc>
          <w:tcPr>
            <w:tcW w:w="1473" w:type="pct"/>
            <w:tcBorders>
              <w:top w:val="nil"/>
              <w:bottom w:val="dotted" w:sz="4" w:space="0" w:color="auto"/>
            </w:tcBorders>
            <w:shd w:val="clear" w:color="auto" w:fill="B8CCE4" w:themeFill="accent1" w:themeFillTint="66"/>
          </w:tcPr>
          <w:p w14:paraId="420D960A" w14:textId="77777777" w:rsidR="004114BF" w:rsidRPr="00FD1145" w:rsidRDefault="004114BF" w:rsidP="004114BF">
            <w:pPr>
              <w:pStyle w:val="Tabletext"/>
              <w:keepNext/>
              <w:keepLines/>
              <w:ind w:left="284"/>
            </w:pPr>
            <w:r w:rsidRPr="00FD1145">
              <w:t>Primary analysis</w:t>
            </w:r>
          </w:p>
        </w:tc>
        <w:tc>
          <w:tcPr>
            <w:tcW w:w="725" w:type="pct"/>
            <w:tcBorders>
              <w:top w:val="nil"/>
              <w:bottom w:val="dotted" w:sz="4" w:space="0" w:color="auto"/>
            </w:tcBorders>
            <w:shd w:val="clear" w:color="auto" w:fill="B8CCE4" w:themeFill="accent1" w:themeFillTint="66"/>
            <w:vAlign w:val="center"/>
          </w:tcPr>
          <w:p w14:paraId="1E41D84C" w14:textId="77777777" w:rsidR="004114BF" w:rsidRPr="00FD1145" w:rsidRDefault="004114BF" w:rsidP="004114BF">
            <w:pPr>
              <w:pStyle w:val="Tabletext"/>
              <w:keepNext/>
              <w:keepLines/>
              <w:jc w:val="center"/>
            </w:pPr>
            <w:r w:rsidRPr="00FD1145">
              <w:t>18 (4.5%)</w:t>
            </w:r>
          </w:p>
        </w:tc>
        <w:tc>
          <w:tcPr>
            <w:tcW w:w="787" w:type="pct"/>
            <w:tcBorders>
              <w:top w:val="nil"/>
              <w:bottom w:val="dotted" w:sz="4" w:space="0" w:color="auto"/>
            </w:tcBorders>
            <w:shd w:val="clear" w:color="auto" w:fill="B8CCE4" w:themeFill="accent1" w:themeFillTint="66"/>
            <w:vAlign w:val="center"/>
          </w:tcPr>
          <w:p w14:paraId="5F13AD34" w14:textId="77777777" w:rsidR="004114BF" w:rsidRPr="00FD1145" w:rsidRDefault="004114BF" w:rsidP="004114BF">
            <w:pPr>
              <w:pStyle w:val="Tabletext"/>
              <w:keepNext/>
              <w:keepLines/>
              <w:jc w:val="center"/>
            </w:pPr>
            <w:r w:rsidRPr="00FD1145">
              <w:t>5 (2.5%)</w:t>
            </w:r>
          </w:p>
        </w:tc>
        <w:tc>
          <w:tcPr>
            <w:tcW w:w="962" w:type="pct"/>
            <w:tcBorders>
              <w:top w:val="nil"/>
              <w:bottom w:val="dotted" w:sz="4" w:space="0" w:color="auto"/>
            </w:tcBorders>
            <w:shd w:val="clear" w:color="auto" w:fill="B8CCE4" w:themeFill="accent1" w:themeFillTint="66"/>
          </w:tcPr>
          <w:p w14:paraId="10E89CAE" w14:textId="77777777" w:rsidR="004114BF" w:rsidRPr="00FD1145" w:rsidRDefault="004114BF" w:rsidP="004114BF">
            <w:pPr>
              <w:pStyle w:val="Tabletext"/>
              <w:keepNext/>
              <w:keepLines/>
              <w:jc w:val="center"/>
            </w:pPr>
            <w:r w:rsidRPr="00FD1145">
              <w:t>1.755 (0.661, 4.659)</w:t>
            </w:r>
          </w:p>
        </w:tc>
        <w:tc>
          <w:tcPr>
            <w:tcW w:w="1053" w:type="pct"/>
            <w:tcBorders>
              <w:top w:val="nil"/>
              <w:bottom w:val="dotted" w:sz="4" w:space="0" w:color="auto"/>
            </w:tcBorders>
            <w:shd w:val="clear" w:color="auto" w:fill="B8CCE4" w:themeFill="accent1" w:themeFillTint="66"/>
            <w:vAlign w:val="bottom"/>
          </w:tcPr>
          <w:p w14:paraId="46CF6B32" w14:textId="77777777" w:rsidR="004114BF" w:rsidRPr="00FD1145" w:rsidRDefault="004114BF" w:rsidP="004114BF">
            <w:pPr>
              <w:pStyle w:val="Tabletext"/>
              <w:keepNext/>
              <w:keepLines/>
              <w:jc w:val="center"/>
            </w:pPr>
            <w:r w:rsidRPr="00FD1145">
              <w:t>0.019 (-0.014, 0.052)</w:t>
            </w:r>
          </w:p>
        </w:tc>
      </w:tr>
      <w:tr w:rsidR="004114BF" w:rsidRPr="00FD1145" w14:paraId="633F1946" w14:textId="77777777" w:rsidTr="00967017">
        <w:trPr>
          <w:cantSplit/>
        </w:trPr>
        <w:tc>
          <w:tcPr>
            <w:tcW w:w="1473" w:type="pct"/>
            <w:tcBorders>
              <w:top w:val="dotted" w:sz="4" w:space="0" w:color="auto"/>
              <w:bottom w:val="dotted" w:sz="4" w:space="0" w:color="auto"/>
            </w:tcBorders>
            <w:shd w:val="clear" w:color="auto" w:fill="FFFFFF" w:themeFill="background1"/>
          </w:tcPr>
          <w:p w14:paraId="04302C00" w14:textId="77777777" w:rsidR="004114BF" w:rsidRPr="00FD1145" w:rsidRDefault="004114BF" w:rsidP="004114BF">
            <w:pPr>
              <w:pStyle w:val="Tabletext"/>
              <w:keepNext/>
              <w:keepLines/>
              <w:ind w:left="284"/>
            </w:pPr>
            <w:r w:rsidRPr="00FD1145">
              <w:t>Final analysis</w:t>
            </w:r>
          </w:p>
        </w:tc>
        <w:tc>
          <w:tcPr>
            <w:tcW w:w="725" w:type="pct"/>
            <w:tcBorders>
              <w:top w:val="dotted" w:sz="4" w:space="0" w:color="auto"/>
              <w:bottom w:val="dotted" w:sz="4" w:space="0" w:color="auto"/>
            </w:tcBorders>
            <w:shd w:val="clear" w:color="auto" w:fill="FFFFFF" w:themeFill="background1"/>
            <w:vAlign w:val="center"/>
          </w:tcPr>
          <w:p w14:paraId="4714A4C3" w14:textId="77777777" w:rsidR="004114BF" w:rsidRPr="00FD1145" w:rsidRDefault="004114BF" w:rsidP="004114BF">
            <w:pPr>
              <w:pStyle w:val="Tabletext"/>
              <w:keepNext/>
              <w:keepLines/>
              <w:jc w:val="center"/>
            </w:pPr>
            <w:r w:rsidRPr="00FD1145">
              <w:t>17 (4.2%)</w:t>
            </w:r>
          </w:p>
        </w:tc>
        <w:tc>
          <w:tcPr>
            <w:tcW w:w="787" w:type="pct"/>
            <w:tcBorders>
              <w:top w:val="dotted" w:sz="4" w:space="0" w:color="auto"/>
              <w:bottom w:val="dotted" w:sz="4" w:space="0" w:color="auto"/>
            </w:tcBorders>
            <w:shd w:val="clear" w:color="auto" w:fill="FFFFFF" w:themeFill="background1"/>
            <w:vAlign w:val="center"/>
          </w:tcPr>
          <w:p w14:paraId="7E019F7B" w14:textId="77777777" w:rsidR="004114BF" w:rsidRPr="00FD1145" w:rsidRDefault="004114BF" w:rsidP="004114BF">
            <w:pPr>
              <w:pStyle w:val="Tabletext"/>
              <w:keepNext/>
              <w:keepLines/>
              <w:jc w:val="center"/>
            </w:pPr>
            <w:r w:rsidRPr="00FD1145">
              <w:t>7 (3.6%)</w:t>
            </w:r>
          </w:p>
        </w:tc>
        <w:tc>
          <w:tcPr>
            <w:tcW w:w="962" w:type="pct"/>
            <w:tcBorders>
              <w:top w:val="dotted" w:sz="4" w:space="0" w:color="auto"/>
              <w:bottom w:val="dotted" w:sz="4" w:space="0" w:color="auto"/>
            </w:tcBorders>
            <w:shd w:val="clear" w:color="auto" w:fill="FFFFFF" w:themeFill="background1"/>
          </w:tcPr>
          <w:p w14:paraId="1F503F4D" w14:textId="77777777" w:rsidR="004114BF" w:rsidRPr="00FD1145" w:rsidRDefault="004114BF" w:rsidP="004114BF">
            <w:pPr>
              <w:pStyle w:val="Tabletext"/>
              <w:keepNext/>
              <w:keepLines/>
              <w:jc w:val="center"/>
            </w:pPr>
            <w:r w:rsidRPr="00FD1145">
              <w:t>1.184 (0.499, 2.809)</w:t>
            </w:r>
          </w:p>
        </w:tc>
        <w:tc>
          <w:tcPr>
            <w:tcW w:w="1053" w:type="pct"/>
            <w:tcBorders>
              <w:top w:val="dotted" w:sz="4" w:space="0" w:color="auto"/>
              <w:bottom w:val="dotted" w:sz="4" w:space="0" w:color="auto"/>
            </w:tcBorders>
            <w:shd w:val="clear" w:color="auto" w:fill="FFFFFF" w:themeFill="background1"/>
            <w:vAlign w:val="bottom"/>
          </w:tcPr>
          <w:p w14:paraId="64992C23" w14:textId="77777777" w:rsidR="004114BF" w:rsidRPr="00FD1145" w:rsidRDefault="004114BF" w:rsidP="004114BF">
            <w:pPr>
              <w:pStyle w:val="Tabletext"/>
              <w:keepNext/>
              <w:keepLines/>
              <w:jc w:val="center"/>
            </w:pPr>
            <w:r w:rsidRPr="00FD1145">
              <w:t>0.007 (-0.026, 0.039)</w:t>
            </w:r>
          </w:p>
        </w:tc>
      </w:tr>
    </w:tbl>
    <w:p w14:paraId="06B9751D" w14:textId="16CF9474" w:rsidR="00F84089" w:rsidRPr="00FD1145" w:rsidRDefault="00F84089" w:rsidP="00F84089">
      <w:pPr>
        <w:pStyle w:val="TableFooter"/>
      </w:pPr>
      <w:r w:rsidRPr="00FD1145">
        <w:t xml:space="preserve">Source: Table 2.5.7, p132 of the resubmission; Table 6, </w:t>
      </w:r>
      <w:r w:rsidR="00EE5A2C" w:rsidRPr="00FD1145">
        <w:t>paragraph</w:t>
      </w:r>
      <w:r w:rsidRPr="00FD1145">
        <w:t xml:space="preserve"> 6.23, tucatinib PSD, March 2021 PBAC meeting; </w:t>
      </w:r>
      <w:proofErr w:type="spellStart"/>
      <w:r w:rsidRPr="00FD1145">
        <w:t>Curigliano</w:t>
      </w:r>
      <w:proofErr w:type="spellEnd"/>
      <w:r w:rsidRPr="00FD1145">
        <w:t xml:space="preserve"> et al, 2022.</w:t>
      </w:r>
    </w:p>
    <w:p w14:paraId="13CE957B" w14:textId="77777777" w:rsidR="00F84089" w:rsidRPr="00FD1145" w:rsidRDefault="00F84089" w:rsidP="00F84089">
      <w:pPr>
        <w:pStyle w:val="TableFooter"/>
      </w:pPr>
      <w:r w:rsidRPr="00FD1145">
        <w:t>Abbreviations:</w:t>
      </w:r>
      <w:r w:rsidRPr="00FD1145">
        <w:rPr>
          <w:rFonts w:ascii="Arial" w:hAnsi="Arial"/>
          <w:color w:val="000000"/>
          <w:sz w:val="22"/>
          <w:szCs w:val="22"/>
        </w:rPr>
        <w:t xml:space="preserve"> </w:t>
      </w:r>
      <w:r w:rsidRPr="00FD1145">
        <w:t>Cap, capecitabine;</w:t>
      </w:r>
      <w:r w:rsidRPr="00FD1145">
        <w:rPr>
          <w:rFonts w:ascii="Arial" w:hAnsi="Arial"/>
          <w:color w:val="000000"/>
          <w:sz w:val="22"/>
          <w:szCs w:val="22"/>
        </w:rPr>
        <w:t xml:space="preserve"> </w:t>
      </w:r>
      <w:r w:rsidRPr="00FD1145">
        <w:t>CI, confidence interval; PBAC, Pharmaceutical Benefits Advisory Committee; Pbo, placebo; PSD, Public Summary Document;</w:t>
      </w:r>
      <w:r w:rsidRPr="00FD1145">
        <w:rPr>
          <w:rFonts w:ascii="Arial" w:hAnsi="Arial"/>
          <w:color w:val="000000"/>
          <w:sz w:val="22"/>
          <w:szCs w:val="22"/>
        </w:rPr>
        <w:t xml:space="preserve"> </w:t>
      </w:r>
      <w:r w:rsidRPr="00FD1145">
        <w:t>RD, risk difference;</w:t>
      </w:r>
      <w:r w:rsidRPr="00FD1145">
        <w:rPr>
          <w:rFonts w:ascii="Arial" w:hAnsi="Arial"/>
          <w:color w:val="000000"/>
          <w:sz w:val="22"/>
          <w:szCs w:val="22"/>
        </w:rPr>
        <w:t xml:space="preserve"> </w:t>
      </w:r>
      <w:r w:rsidRPr="00FD1145">
        <w:t>RR, risk ratio; TEAE, treatment-emergent adverse event; Tra, trastuzumab; Tuc, tucatinib.</w:t>
      </w:r>
    </w:p>
    <w:p w14:paraId="526E38E0" w14:textId="77777777" w:rsidR="00F84089" w:rsidRPr="00FD1145" w:rsidRDefault="00F84089" w:rsidP="00F84089">
      <w:pPr>
        <w:pStyle w:val="FooterTableFigure"/>
      </w:pPr>
      <w:r w:rsidRPr="00FD1145">
        <w:rPr>
          <w:shd w:val="clear" w:color="auto" w:fill="B8CCE4" w:themeFill="accent1" w:themeFillTint="66"/>
        </w:rPr>
        <w:t>Blue shading</w:t>
      </w:r>
      <w:r w:rsidRPr="00FD1145">
        <w:t xml:space="preserve"> indicates data previously seen by the PBAC.</w:t>
      </w:r>
    </w:p>
    <w:p w14:paraId="6988BBB8" w14:textId="002633CB" w:rsidR="00F84089" w:rsidRPr="00FD1145" w:rsidRDefault="00F84089" w:rsidP="00F84089">
      <w:pPr>
        <w:pStyle w:val="3-BodyText"/>
        <w:rPr>
          <w:color w:val="0066FF"/>
        </w:rPr>
      </w:pPr>
      <w:r w:rsidRPr="00FD1145">
        <w:t xml:space="preserve">The PBAC previously noted that the nature of the AEs reported in the two arms of the HER2CLIMB trial were similar, with higher rates reported in the tucatinib arm. The PBAC </w:t>
      </w:r>
      <w:r w:rsidR="00E42BE3" w:rsidRPr="00FD1145">
        <w:t xml:space="preserve">previously </w:t>
      </w:r>
      <w:r w:rsidRPr="00FD1145">
        <w:t>noted that the incidence of diarrhoea was significantly higher in the tucatinib arm (80.9%) as compared to the placebo arm (53.3%) and considered that prophylaxis treatment would be required (paragraph 7.10, tucatinib PSD, March 2021 PBAC meeting). Overall, the PBAC</w:t>
      </w:r>
      <w:r w:rsidR="00F00C95" w:rsidRPr="00FD1145">
        <w:t xml:space="preserve"> previously</w:t>
      </w:r>
      <w:r w:rsidRPr="00FD1145">
        <w:t xml:space="preserve"> considered that tucatinib was inferior to placebo in terms of comparative safety (paragraph 7.11, tucatinib PSD, March 2021 PBAC meeting).</w:t>
      </w:r>
    </w:p>
    <w:p w14:paraId="3D967396" w14:textId="66DF3F5D" w:rsidR="00F84089" w:rsidRPr="00FD1145" w:rsidRDefault="00F84089" w:rsidP="00F84089">
      <w:pPr>
        <w:pStyle w:val="3-BodyText"/>
        <w:rPr>
          <w:color w:val="0066FF"/>
        </w:rPr>
      </w:pPr>
      <w:r w:rsidRPr="00FD1145">
        <w:lastRenderedPageBreak/>
        <w:t xml:space="preserve">Updated safety data from the final analysis was consistent with that previously considered by the PBAC from the primary analysis; gastrointestinal toxicities (e.g., diarrhoea, nausea) and hepatoxicities (e.g., aspartate aminotransferase </w:t>
      </w:r>
      <w:r w:rsidR="00491641" w:rsidRPr="00FD1145">
        <w:t>[AST]</w:t>
      </w:r>
      <w:r w:rsidRPr="00FD1145">
        <w:t xml:space="preserve"> and alanine aminotransferase</w:t>
      </w:r>
      <w:r w:rsidR="00491641" w:rsidRPr="00FD1145">
        <w:t xml:space="preserve"> [ALT]</w:t>
      </w:r>
      <w:r w:rsidRPr="00FD1145">
        <w:t xml:space="preserve">) of any grade were more commonly reported in the tucatinib arm. A higher proportion of Grade ≥3 treatment emergent adverse events (TEAEs) were also reported in the tucatinib arm, including </w:t>
      </w:r>
      <w:r w:rsidR="00B84680" w:rsidRPr="00FD1145">
        <w:t>p</w:t>
      </w:r>
      <w:r w:rsidRPr="00FD1145">
        <w:t xml:space="preserve">almar-plantar </w:t>
      </w:r>
      <w:proofErr w:type="spellStart"/>
      <w:r w:rsidRPr="00FD1145">
        <w:t>erythrodsaesthesia</w:t>
      </w:r>
      <w:proofErr w:type="spellEnd"/>
      <w:r w:rsidRPr="00FD1145">
        <w:t xml:space="preserve"> (PPE) syndrome (14% versus 9%), diarrhoea (13% vs 9%) and hepatotoxicity (10% versus 3.6%). The TEAEs reported in the trial are consistent with the side effects listed in the tucatinib Product Information (PI). Dose modifications and interruptions were used to manage these TEAEs in HER2CLIMB.</w:t>
      </w:r>
    </w:p>
    <w:p w14:paraId="4FDD10FE" w14:textId="77777777" w:rsidR="00F84089" w:rsidRPr="00FD1145" w:rsidRDefault="00F84089" w:rsidP="00F84089">
      <w:pPr>
        <w:pStyle w:val="5-SubsectionSubheading"/>
        <w:rPr>
          <w:i/>
          <w:iCs/>
        </w:rPr>
      </w:pPr>
      <w:bookmarkStart w:id="56" w:name="_Toc208931307"/>
      <w:r w:rsidRPr="00FD1145">
        <w:rPr>
          <w:i/>
          <w:iCs/>
        </w:rPr>
        <w:t>Indirect treatment comparison</w:t>
      </w:r>
      <w:bookmarkEnd w:id="56"/>
    </w:p>
    <w:p w14:paraId="6EE1AF65" w14:textId="5B620925" w:rsidR="00F84089" w:rsidRPr="00FD1145" w:rsidRDefault="00F84089" w:rsidP="00F84089">
      <w:pPr>
        <w:pStyle w:val="3-BodyText"/>
      </w:pPr>
      <w:r w:rsidRPr="00FD1145">
        <w:t xml:space="preserve">To compare the safety profile of </w:t>
      </w:r>
      <w:r w:rsidR="00F00C95" w:rsidRPr="00FD1145">
        <w:t xml:space="preserve">the </w:t>
      </w:r>
      <w:r w:rsidRPr="00FD1145">
        <w:t>tucatinib</w:t>
      </w:r>
      <w:r w:rsidR="00F00C95" w:rsidRPr="00FD1145">
        <w:t>-</w:t>
      </w:r>
      <w:r w:rsidRPr="00FD1145">
        <w:t>based regimen with T-DM1, the resubmission presented a side-by-side analysis of TEAEs of any grade (in ≥10% of patients) and of Grade ≥3 AEs (</w:t>
      </w:r>
      <w:r w:rsidRPr="00FD1145">
        <w:fldChar w:fldCharType="begin"/>
      </w:r>
      <w:r w:rsidRPr="00FD1145">
        <w:instrText xml:space="preserve"> REF _Ref206166025 \h </w:instrText>
      </w:r>
      <w:r w:rsidR="00C33092" w:rsidRPr="00FD1145">
        <w:instrText xml:space="preserve"> \* MERGEFORMAT </w:instrText>
      </w:r>
      <w:r w:rsidRPr="00FD1145">
        <w:fldChar w:fldCharType="separate"/>
      </w:r>
      <w:r w:rsidR="009B3037" w:rsidRPr="00FD1145">
        <w:t xml:space="preserve">Table </w:t>
      </w:r>
      <w:r w:rsidR="009B3037">
        <w:rPr>
          <w:noProof/>
        </w:rPr>
        <w:t>12</w:t>
      </w:r>
      <w:r w:rsidRPr="00FD1145">
        <w:fldChar w:fldCharType="end"/>
      </w:r>
      <w:r w:rsidRPr="00FD1145">
        <w:t>) in the HER2CLIMB and EMILIA trials.</w:t>
      </w:r>
    </w:p>
    <w:p w14:paraId="6312AEB3" w14:textId="58A5EB2E" w:rsidR="00F84089" w:rsidRPr="00FD1145" w:rsidRDefault="00F84089" w:rsidP="00F84089">
      <w:pPr>
        <w:pStyle w:val="3-BodyText"/>
      </w:pPr>
      <w:r w:rsidRPr="00FD1145">
        <w:t>T</w:t>
      </w:r>
      <w:r w:rsidR="00F00C95" w:rsidRPr="00FD1145">
        <w:t>he t</w:t>
      </w:r>
      <w:r w:rsidRPr="00FD1145">
        <w:t>ucatinib</w:t>
      </w:r>
      <w:r w:rsidR="00F00C95" w:rsidRPr="00FD1145">
        <w:t>-</w:t>
      </w:r>
      <w:r w:rsidRPr="00FD1145">
        <w:t xml:space="preserve">based regimen demonstrated </w:t>
      </w:r>
      <w:r w:rsidR="00A94ECA" w:rsidRPr="00FD1145">
        <w:t xml:space="preserve">a </w:t>
      </w:r>
      <w:r w:rsidRPr="00FD1145">
        <w:t>greater incidence of gastrointestinal TEAEs of any grade, in particular diarrhoea (affecting nearly 82% of patients), nausea (60%) and vomiting (38%), as well as PPE syndrome (63.4% - known to be related to capecitabine use). T-DM1 demonstrated greater incidence of thrombocytopenia (31%).</w:t>
      </w:r>
    </w:p>
    <w:p w14:paraId="5EC4F05A" w14:textId="4FA03DC0" w:rsidR="00F84089" w:rsidRPr="00FD1145" w:rsidRDefault="00F84089" w:rsidP="00F84089">
      <w:pPr>
        <w:pStyle w:val="3-BodyText"/>
      </w:pPr>
      <w:r w:rsidRPr="00FD1145">
        <w:t xml:space="preserve">For </w:t>
      </w:r>
      <w:r w:rsidR="00A94ECA" w:rsidRPr="00FD1145">
        <w:t xml:space="preserve">the </w:t>
      </w:r>
      <w:r w:rsidRPr="00FD1145">
        <w:t>tucatinib</w:t>
      </w:r>
      <w:r w:rsidR="00A94ECA" w:rsidRPr="00FD1145">
        <w:t>-based regimen</w:t>
      </w:r>
      <w:r w:rsidRPr="00FD1145">
        <w:t>, the most frequently (≥5%) reported AEs of grade ≥ 3 were PPE syndrome (14.1%), diarrhea (13.1%), increased ALT (5.7%) and fatigue (5.4%); for T-DM1, grade ≥ 3 thrombocytopenia was reported in 14.3% of patients and increased AST in 4.5% of patients.</w:t>
      </w:r>
    </w:p>
    <w:p w14:paraId="4445990B" w14:textId="3CEBDC9F" w:rsidR="00F84089" w:rsidRPr="00FD1145" w:rsidRDefault="00F84089" w:rsidP="008E7E3C">
      <w:pPr>
        <w:pStyle w:val="Caption"/>
      </w:pPr>
      <w:bookmarkStart w:id="57" w:name="_Ref206166025"/>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12</w:t>
      </w:r>
      <w:r w:rsidR="007000FA">
        <w:rPr>
          <w:noProof/>
        </w:rPr>
        <w:fldChar w:fldCharType="end"/>
      </w:r>
      <w:bookmarkEnd w:id="57"/>
      <w:r w:rsidRPr="00FD1145">
        <w:t>: Summary of Grade ≥3 AEs in HER2CLIMB and EMILIA</w:t>
      </w:r>
    </w:p>
    <w:tbl>
      <w:tblPr>
        <w:tblStyle w:val="TableGrid"/>
        <w:tblW w:w="5000" w:type="pct"/>
        <w:tblLook w:val="04A0" w:firstRow="1" w:lastRow="0" w:firstColumn="1" w:lastColumn="0" w:noHBand="0" w:noVBand="1"/>
        <w:tblCaption w:val="Summary of Grade ≥3 AEs in HER2CLIMB and EMILIA"/>
      </w:tblPr>
      <w:tblGrid>
        <w:gridCol w:w="2406"/>
        <w:gridCol w:w="1700"/>
        <w:gridCol w:w="1843"/>
        <w:gridCol w:w="1560"/>
        <w:gridCol w:w="1507"/>
      </w:tblGrid>
      <w:tr w:rsidR="00F84089" w:rsidRPr="00FD1145" w14:paraId="2624A185" w14:textId="77777777" w:rsidTr="008B1086">
        <w:trPr>
          <w:trHeight w:val="244"/>
          <w:tblHeader/>
        </w:trPr>
        <w:tc>
          <w:tcPr>
            <w:tcW w:w="1334" w:type="pct"/>
            <w:vMerge w:val="restart"/>
            <w:tcBorders>
              <w:top w:val="single" w:sz="4" w:space="0" w:color="auto"/>
              <w:left w:val="single" w:sz="4" w:space="0" w:color="auto"/>
              <w:right w:val="single" w:sz="4" w:space="0" w:color="auto"/>
            </w:tcBorders>
            <w:shd w:val="clear" w:color="auto" w:fill="F2F2F2"/>
          </w:tcPr>
          <w:p w14:paraId="3D0D0780" w14:textId="77777777" w:rsidR="00F84089" w:rsidRPr="00FD1145" w:rsidRDefault="00F84089" w:rsidP="008E7E3C">
            <w:pPr>
              <w:pStyle w:val="TableFigureHeading"/>
              <w:keepLines/>
            </w:pPr>
            <w:r w:rsidRPr="00FD1145">
              <w:t>Adverse events, n (%)</w:t>
            </w:r>
          </w:p>
        </w:tc>
        <w:tc>
          <w:tcPr>
            <w:tcW w:w="943" w:type="pct"/>
            <w:tcBorders>
              <w:top w:val="single" w:sz="4" w:space="0" w:color="auto"/>
              <w:left w:val="single" w:sz="4" w:space="0" w:color="auto"/>
              <w:bottom w:val="single" w:sz="4" w:space="0" w:color="auto"/>
              <w:right w:val="single" w:sz="4" w:space="0" w:color="auto"/>
            </w:tcBorders>
            <w:shd w:val="clear" w:color="auto" w:fill="F2F2F2"/>
          </w:tcPr>
          <w:p w14:paraId="37E57E6F" w14:textId="77777777" w:rsidR="00F84089" w:rsidRPr="00FD1145" w:rsidRDefault="00F84089" w:rsidP="008E7E3C">
            <w:pPr>
              <w:pStyle w:val="TableFigureHeading"/>
              <w:keepLines/>
              <w:jc w:val="center"/>
            </w:pPr>
            <w:r w:rsidRPr="00FD1145">
              <w:t>PA 04 Sep 2019</w:t>
            </w:r>
          </w:p>
        </w:tc>
        <w:tc>
          <w:tcPr>
            <w:tcW w:w="1022" w:type="pct"/>
            <w:tcBorders>
              <w:top w:val="single" w:sz="4" w:space="0" w:color="auto"/>
              <w:left w:val="single" w:sz="4" w:space="0" w:color="auto"/>
              <w:bottom w:val="single" w:sz="4" w:space="0" w:color="auto"/>
              <w:right w:val="single" w:sz="4" w:space="0" w:color="auto"/>
            </w:tcBorders>
            <w:shd w:val="clear" w:color="auto" w:fill="F2F2F2"/>
          </w:tcPr>
          <w:p w14:paraId="7A30465B" w14:textId="77777777" w:rsidR="00F84089" w:rsidRPr="00FD1145" w:rsidRDefault="00F84089" w:rsidP="008E7E3C">
            <w:pPr>
              <w:pStyle w:val="TableFigureHeading"/>
              <w:keepLines/>
              <w:jc w:val="center"/>
            </w:pPr>
            <w:r w:rsidRPr="00FD1145">
              <w:t>PA 14 January 2012</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29080FB0" w14:textId="77777777" w:rsidR="00F84089" w:rsidRPr="00FD1145" w:rsidRDefault="00F84089" w:rsidP="008E7E3C">
            <w:pPr>
              <w:pStyle w:val="TableFigureHeading"/>
              <w:keepLines/>
              <w:jc w:val="center"/>
            </w:pPr>
            <w:r w:rsidRPr="00FD1145">
              <w:t>08 Feb 2021</w:t>
            </w:r>
          </w:p>
        </w:tc>
        <w:tc>
          <w:tcPr>
            <w:tcW w:w="836" w:type="pct"/>
            <w:tcBorders>
              <w:top w:val="single" w:sz="4" w:space="0" w:color="auto"/>
              <w:left w:val="single" w:sz="4" w:space="0" w:color="auto"/>
              <w:bottom w:val="single" w:sz="4" w:space="0" w:color="auto"/>
              <w:right w:val="single" w:sz="4" w:space="0" w:color="auto"/>
            </w:tcBorders>
            <w:shd w:val="clear" w:color="auto" w:fill="F2F2F2"/>
          </w:tcPr>
          <w:p w14:paraId="354EABE1" w14:textId="77777777" w:rsidR="00F84089" w:rsidRPr="00FD1145" w:rsidRDefault="00F84089" w:rsidP="008E7E3C">
            <w:pPr>
              <w:pStyle w:val="TableFigureHeading"/>
              <w:keepLines/>
              <w:jc w:val="center"/>
            </w:pPr>
            <w:r w:rsidRPr="00FD1145">
              <w:t>31 Dec 2014</w:t>
            </w:r>
          </w:p>
        </w:tc>
      </w:tr>
      <w:tr w:rsidR="00F84089" w:rsidRPr="00FD1145" w14:paraId="149D9D77" w14:textId="77777777" w:rsidTr="008B1086">
        <w:trPr>
          <w:trHeight w:val="244"/>
          <w:tblHeader/>
        </w:trPr>
        <w:tc>
          <w:tcPr>
            <w:tcW w:w="1334" w:type="pct"/>
            <w:vMerge/>
            <w:tcBorders>
              <w:left w:val="single" w:sz="4" w:space="0" w:color="auto"/>
              <w:bottom w:val="single" w:sz="4" w:space="0" w:color="auto"/>
              <w:right w:val="single" w:sz="4" w:space="0" w:color="auto"/>
            </w:tcBorders>
            <w:shd w:val="clear" w:color="auto" w:fill="F2F2F2"/>
            <w:hideMark/>
          </w:tcPr>
          <w:p w14:paraId="6655296E" w14:textId="77777777" w:rsidR="00F84089" w:rsidRPr="00FD1145" w:rsidRDefault="00F84089" w:rsidP="008E7E3C">
            <w:pPr>
              <w:pStyle w:val="Tableheading0"/>
            </w:pPr>
          </w:p>
        </w:tc>
        <w:tc>
          <w:tcPr>
            <w:tcW w:w="943" w:type="pct"/>
            <w:tcBorders>
              <w:top w:val="single" w:sz="4" w:space="0" w:color="auto"/>
              <w:left w:val="single" w:sz="4" w:space="0" w:color="auto"/>
              <w:bottom w:val="single" w:sz="4" w:space="0" w:color="auto"/>
              <w:right w:val="single" w:sz="4" w:space="0" w:color="auto"/>
            </w:tcBorders>
            <w:shd w:val="clear" w:color="auto" w:fill="F2F2F2"/>
            <w:hideMark/>
          </w:tcPr>
          <w:p w14:paraId="6C23510D" w14:textId="77777777" w:rsidR="00F84089" w:rsidRPr="00FD1145" w:rsidRDefault="00F84089" w:rsidP="008E7E3C">
            <w:pPr>
              <w:pStyle w:val="Tableheading0"/>
              <w:jc w:val="center"/>
            </w:pPr>
            <w:r w:rsidRPr="00FD1145">
              <w:t>HER2CLIMB</w:t>
            </w:r>
          </w:p>
          <w:p w14:paraId="21E955BD" w14:textId="77777777" w:rsidR="00F84089" w:rsidRPr="00FD1145" w:rsidRDefault="00F84089" w:rsidP="008E7E3C">
            <w:pPr>
              <w:pStyle w:val="Tableheading0"/>
              <w:jc w:val="center"/>
              <w:rPr>
                <w:b w:val="0"/>
              </w:rPr>
            </w:pPr>
            <w:r w:rsidRPr="00FD1145">
              <w:t>Tuc + Cap + Tra</w:t>
            </w:r>
          </w:p>
          <w:p w14:paraId="0F8AEA70" w14:textId="77777777" w:rsidR="00F84089" w:rsidRPr="00FD1145" w:rsidRDefault="00F84089" w:rsidP="008E7E3C">
            <w:pPr>
              <w:pStyle w:val="Tableheading0"/>
              <w:jc w:val="center"/>
            </w:pPr>
            <w:r w:rsidRPr="00FD1145">
              <w:t>N = 404</w:t>
            </w:r>
          </w:p>
        </w:tc>
        <w:tc>
          <w:tcPr>
            <w:tcW w:w="1022" w:type="pct"/>
            <w:tcBorders>
              <w:top w:val="single" w:sz="4" w:space="0" w:color="auto"/>
              <w:left w:val="single" w:sz="4" w:space="0" w:color="auto"/>
              <w:bottom w:val="single" w:sz="4" w:space="0" w:color="auto"/>
              <w:right w:val="single" w:sz="4" w:space="0" w:color="auto"/>
            </w:tcBorders>
            <w:shd w:val="clear" w:color="auto" w:fill="F2F2F2"/>
            <w:hideMark/>
          </w:tcPr>
          <w:p w14:paraId="5F5075B2" w14:textId="77777777" w:rsidR="00F84089" w:rsidRPr="00FD1145" w:rsidRDefault="00F84089" w:rsidP="008E7E3C">
            <w:pPr>
              <w:pStyle w:val="Tableheading0"/>
              <w:jc w:val="center"/>
            </w:pPr>
            <w:r w:rsidRPr="00FD1145">
              <w:t>EMILIA</w:t>
            </w:r>
          </w:p>
          <w:p w14:paraId="2CC0118C" w14:textId="77777777" w:rsidR="00F84089" w:rsidRPr="00FD1145" w:rsidRDefault="00F84089" w:rsidP="008E7E3C">
            <w:pPr>
              <w:pStyle w:val="Tableheading0"/>
              <w:jc w:val="center"/>
              <w:rPr>
                <w:b w:val="0"/>
              </w:rPr>
            </w:pPr>
            <w:r w:rsidRPr="00FD1145">
              <w:t>T-DM1</w:t>
            </w:r>
          </w:p>
          <w:p w14:paraId="5F6DE034" w14:textId="77777777" w:rsidR="00F84089" w:rsidRPr="00FD1145" w:rsidRDefault="00F84089" w:rsidP="008E7E3C">
            <w:pPr>
              <w:pStyle w:val="Tableheading0"/>
              <w:jc w:val="center"/>
            </w:pPr>
            <w:r w:rsidRPr="00FD1145">
              <w:t>N = 490</w:t>
            </w:r>
          </w:p>
        </w:tc>
        <w:tc>
          <w:tcPr>
            <w:tcW w:w="865" w:type="pct"/>
            <w:tcBorders>
              <w:top w:val="single" w:sz="4" w:space="0" w:color="auto"/>
              <w:left w:val="single" w:sz="4" w:space="0" w:color="auto"/>
              <w:bottom w:val="single" w:sz="4" w:space="0" w:color="auto"/>
              <w:right w:val="single" w:sz="4" w:space="0" w:color="auto"/>
            </w:tcBorders>
            <w:shd w:val="clear" w:color="auto" w:fill="F2F2F2"/>
          </w:tcPr>
          <w:p w14:paraId="153F1B83" w14:textId="77777777" w:rsidR="00F84089" w:rsidRPr="00FD1145" w:rsidRDefault="00F84089" w:rsidP="008E7E3C">
            <w:pPr>
              <w:pStyle w:val="Tableheading0"/>
              <w:jc w:val="center"/>
            </w:pPr>
            <w:r w:rsidRPr="00FD1145">
              <w:t>HER2CLIMB</w:t>
            </w:r>
          </w:p>
          <w:p w14:paraId="310F244B" w14:textId="77777777" w:rsidR="00F84089" w:rsidRPr="00FD1145" w:rsidRDefault="00F84089" w:rsidP="008E7E3C">
            <w:pPr>
              <w:pStyle w:val="Tableheading0"/>
              <w:jc w:val="center"/>
              <w:rPr>
                <w:b w:val="0"/>
              </w:rPr>
            </w:pPr>
            <w:r w:rsidRPr="00FD1145">
              <w:t>Tuc + Cap + Tra</w:t>
            </w:r>
          </w:p>
          <w:p w14:paraId="2CF01176" w14:textId="77777777" w:rsidR="00F84089" w:rsidRPr="00FD1145" w:rsidRDefault="00F84089" w:rsidP="008E7E3C">
            <w:pPr>
              <w:pStyle w:val="Tableheading0"/>
              <w:jc w:val="center"/>
            </w:pPr>
            <w:r w:rsidRPr="00FD1145">
              <w:t>N = 404</w:t>
            </w:r>
          </w:p>
        </w:tc>
        <w:tc>
          <w:tcPr>
            <w:tcW w:w="836" w:type="pct"/>
            <w:tcBorders>
              <w:top w:val="single" w:sz="4" w:space="0" w:color="auto"/>
              <w:left w:val="single" w:sz="4" w:space="0" w:color="auto"/>
              <w:bottom w:val="single" w:sz="4" w:space="0" w:color="auto"/>
              <w:right w:val="single" w:sz="4" w:space="0" w:color="auto"/>
            </w:tcBorders>
            <w:shd w:val="clear" w:color="auto" w:fill="F2F2F2"/>
          </w:tcPr>
          <w:p w14:paraId="10DAA8E6" w14:textId="77777777" w:rsidR="00F84089" w:rsidRPr="00FD1145" w:rsidRDefault="00F84089" w:rsidP="008E7E3C">
            <w:pPr>
              <w:pStyle w:val="Tableheading0"/>
              <w:jc w:val="center"/>
            </w:pPr>
            <w:r w:rsidRPr="00FD1145">
              <w:t>EMILIA</w:t>
            </w:r>
          </w:p>
          <w:p w14:paraId="2F8E288B" w14:textId="77777777" w:rsidR="00F84089" w:rsidRPr="00FD1145" w:rsidRDefault="00F84089" w:rsidP="008E7E3C">
            <w:pPr>
              <w:pStyle w:val="Tableheading0"/>
              <w:jc w:val="center"/>
            </w:pPr>
            <w:r w:rsidRPr="00FD1145">
              <w:t>T-DM1</w:t>
            </w:r>
          </w:p>
          <w:p w14:paraId="7BB61DAE" w14:textId="77777777" w:rsidR="00F84089" w:rsidRPr="00FD1145" w:rsidRDefault="00F84089" w:rsidP="008E7E3C">
            <w:pPr>
              <w:pStyle w:val="Tableheading0"/>
              <w:jc w:val="center"/>
            </w:pPr>
            <w:r w:rsidRPr="00FD1145">
              <w:t>N = 490</w:t>
            </w:r>
          </w:p>
        </w:tc>
      </w:tr>
      <w:tr w:rsidR="00F84089" w:rsidRPr="00FD1145" w14:paraId="7CE833BD" w14:textId="77777777" w:rsidTr="008B1086">
        <w:trPr>
          <w:trHeight w:val="244"/>
        </w:trPr>
        <w:tc>
          <w:tcPr>
            <w:tcW w:w="133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DAE9E71" w14:textId="77777777" w:rsidR="00F84089" w:rsidRPr="00FD1145" w:rsidRDefault="00F84089" w:rsidP="008E7E3C">
            <w:pPr>
              <w:pStyle w:val="Tabletext"/>
              <w:keepNext/>
              <w:keepLines/>
            </w:pPr>
          </w:p>
        </w:tc>
        <w:tc>
          <w:tcPr>
            <w:tcW w:w="94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F014871" w14:textId="77777777" w:rsidR="00F84089" w:rsidRPr="00FD1145" w:rsidRDefault="00F84089" w:rsidP="008E7E3C">
            <w:pPr>
              <w:pStyle w:val="Tabletext"/>
              <w:keepNext/>
              <w:keepLines/>
              <w:jc w:val="center"/>
            </w:pPr>
          </w:p>
        </w:tc>
        <w:tc>
          <w:tcPr>
            <w:tcW w:w="102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44E666" w14:textId="77777777" w:rsidR="00F84089" w:rsidRPr="00FD1145" w:rsidRDefault="00F84089" w:rsidP="008E7E3C">
            <w:pPr>
              <w:pStyle w:val="Tabletext"/>
              <w:keepNext/>
              <w:keepLines/>
              <w:jc w:val="center"/>
            </w:pPr>
          </w:p>
        </w:tc>
        <w:tc>
          <w:tcPr>
            <w:tcW w:w="86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47BE9A" w14:textId="77777777" w:rsidR="00F84089" w:rsidRPr="00FD1145" w:rsidRDefault="00F84089" w:rsidP="008E7E3C">
            <w:pPr>
              <w:pStyle w:val="Tabletext"/>
              <w:keepNext/>
              <w:keepLines/>
              <w:jc w:val="center"/>
            </w:pPr>
          </w:p>
        </w:tc>
        <w:tc>
          <w:tcPr>
            <w:tcW w:w="83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681B32" w14:textId="77777777" w:rsidR="00F84089" w:rsidRPr="00FD1145" w:rsidRDefault="00F84089" w:rsidP="008E7E3C">
            <w:pPr>
              <w:pStyle w:val="Tabletext"/>
              <w:keepNext/>
              <w:keepLines/>
              <w:jc w:val="center"/>
            </w:pPr>
          </w:p>
        </w:tc>
      </w:tr>
      <w:tr w:rsidR="00F84089" w:rsidRPr="00FD1145" w14:paraId="4CC891CE" w14:textId="77777777" w:rsidTr="008B1086">
        <w:trPr>
          <w:trHeight w:val="244"/>
        </w:trPr>
        <w:tc>
          <w:tcPr>
            <w:tcW w:w="1334" w:type="pct"/>
            <w:tcBorders>
              <w:top w:val="single" w:sz="4" w:space="0" w:color="auto"/>
              <w:left w:val="single" w:sz="4" w:space="0" w:color="auto"/>
              <w:bottom w:val="single" w:sz="4" w:space="0" w:color="auto"/>
              <w:right w:val="single" w:sz="4" w:space="0" w:color="auto"/>
            </w:tcBorders>
          </w:tcPr>
          <w:p w14:paraId="7315CD0C" w14:textId="77777777" w:rsidR="00F84089" w:rsidRPr="00FD1145" w:rsidRDefault="00F84089" w:rsidP="008E7E3C">
            <w:pPr>
              <w:pStyle w:val="Tabletext"/>
              <w:keepNext/>
              <w:keepLines/>
            </w:pPr>
            <w:r w:rsidRPr="00FD1145">
              <w:t>Diarrhoea</w:t>
            </w:r>
          </w:p>
        </w:tc>
        <w:tc>
          <w:tcPr>
            <w:tcW w:w="94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6683B13" w14:textId="77777777" w:rsidR="00F84089" w:rsidRPr="00FD1145" w:rsidRDefault="00F84089" w:rsidP="008E7E3C">
            <w:pPr>
              <w:pStyle w:val="Tabletext"/>
              <w:keepNext/>
              <w:keepLines/>
              <w:jc w:val="center"/>
              <w:rPr>
                <w:highlight w:val="yellow"/>
              </w:rPr>
            </w:pPr>
            <w:r w:rsidRPr="00FD1145">
              <w:t>52 (12.9%)</w:t>
            </w:r>
          </w:p>
        </w:tc>
        <w:tc>
          <w:tcPr>
            <w:tcW w:w="102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7AF092B" w14:textId="77777777" w:rsidR="00F84089" w:rsidRPr="00FD1145" w:rsidRDefault="00F84089" w:rsidP="008E7E3C">
            <w:pPr>
              <w:pStyle w:val="Tabletext"/>
              <w:keepNext/>
              <w:keepLines/>
              <w:jc w:val="center"/>
              <w:rPr>
                <w:highlight w:val="yellow"/>
              </w:rPr>
            </w:pPr>
            <w:r w:rsidRPr="00FD1145">
              <w:t>8 (1.6%)</w:t>
            </w:r>
          </w:p>
        </w:tc>
        <w:tc>
          <w:tcPr>
            <w:tcW w:w="86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0FF721D" w14:textId="77777777" w:rsidR="00F84089" w:rsidRPr="00FD1145" w:rsidRDefault="00F84089" w:rsidP="008E7E3C">
            <w:pPr>
              <w:pStyle w:val="Tabletext"/>
              <w:keepNext/>
              <w:keepLines/>
              <w:jc w:val="center"/>
            </w:pPr>
            <w:r w:rsidRPr="00FD1145">
              <w:t>53 (13.1%)</w:t>
            </w:r>
          </w:p>
        </w:tc>
        <w:tc>
          <w:tcPr>
            <w:tcW w:w="83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2C9A4EB" w14:textId="77777777" w:rsidR="00F84089" w:rsidRPr="00FD1145" w:rsidRDefault="00F84089" w:rsidP="008E7E3C">
            <w:pPr>
              <w:pStyle w:val="Tabletext"/>
              <w:keepNext/>
              <w:keepLines/>
              <w:jc w:val="center"/>
            </w:pPr>
            <w:r w:rsidRPr="00FD1145">
              <w:t>9 (1.8%)</w:t>
            </w:r>
          </w:p>
        </w:tc>
      </w:tr>
      <w:tr w:rsidR="00F84089" w:rsidRPr="00FD1145" w14:paraId="0A714E9A" w14:textId="77777777" w:rsidTr="008B1086">
        <w:trPr>
          <w:trHeight w:val="244"/>
        </w:trPr>
        <w:tc>
          <w:tcPr>
            <w:tcW w:w="1334" w:type="pct"/>
            <w:tcBorders>
              <w:top w:val="single" w:sz="4" w:space="0" w:color="auto"/>
              <w:left w:val="single" w:sz="4" w:space="0" w:color="auto"/>
              <w:bottom w:val="single" w:sz="4" w:space="0" w:color="auto"/>
              <w:right w:val="single" w:sz="4" w:space="0" w:color="auto"/>
            </w:tcBorders>
          </w:tcPr>
          <w:p w14:paraId="458E5BC9" w14:textId="77777777" w:rsidR="00F84089" w:rsidRPr="00FD1145" w:rsidRDefault="00F84089" w:rsidP="008E7E3C">
            <w:pPr>
              <w:pStyle w:val="Tabletext"/>
              <w:keepNext/>
              <w:keepLines/>
            </w:pPr>
            <w:r w:rsidRPr="00FD1145">
              <w:t xml:space="preserve">Palmar-plantar </w:t>
            </w:r>
            <w:proofErr w:type="spellStart"/>
            <w:r w:rsidRPr="00FD1145">
              <w:t>erythrodsaesthesia</w:t>
            </w:r>
            <w:proofErr w:type="spellEnd"/>
            <w:r w:rsidRPr="00FD1145">
              <w:t xml:space="preserve"> syndrome</w:t>
            </w:r>
          </w:p>
        </w:tc>
        <w:tc>
          <w:tcPr>
            <w:tcW w:w="943"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1640098" w14:textId="77777777" w:rsidR="00F84089" w:rsidRPr="00FD1145" w:rsidRDefault="00F84089" w:rsidP="008E7E3C">
            <w:pPr>
              <w:pStyle w:val="Tabletext"/>
              <w:keepNext/>
              <w:keepLines/>
              <w:jc w:val="center"/>
              <w:rPr>
                <w:highlight w:val="yellow"/>
              </w:rPr>
            </w:pPr>
            <w:r w:rsidRPr="00FD1145">
              <w:t>53 (13.1%)</w:t>
            </w:r>
          </w:p>
        </w:tc>
        <w:tc>
          <w:tcPr>
            <w:tcW w:w="102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4778123" w14:textId="77777777" w:rsidR="00F84089" w:rsidRPr="00FD1145" w:rsidRDefault="00F84089" w:rsidP="008E7E3C">
            <w:pPr>
              <w:pStyle w:val="Tabletext"/>
              <w:keepNext/>
              <w:keepLines/>
              <w:jc w:val="center"/>
              <w:rPr>
                <w:highlight w:val="yellow"/>
              </w:rPr>
            </w:pPr>
            <w:r w:rsidRPr="00FD1145">
              <w:t>0</w:t>
            </w:r>
          </w:p>
        </w:tc>
        <w:tc>
          <w:tcPr>
            <w:tcW w:w="865" w:type="pct"/>
            <w:shd w:val="clear" w:color="auto" w:fill="D6E3BC" w:themeFill="accent3" w:themeFillTint="66"/>
          </w:tcPr>
          <w:p w14:paraId="27A20538" w14:textId="77777777" w:rsidR="00F84089" w:rsidRPr="00FD1145" w:rsidRDefault="00F84089" w:rsidP="008E7E3C">
            <w:pPr>
              <w:pStyle w:val="Tabletext"/>
              <w:keepNext/>
              <w:keepLines/>
              <w:jc w:val="center"/>
            </w:pPr>
            <w:r w:rsidRPr="00FD1145">
              <w:t>57 (14.1%)</w:t>
            </w:r>
          </w:p>
        </w:tc>
        <w:tc>
          <w:tcPr>
            <w:tcW w:w="836" w:type="pct"/>
            <w:shd w:val="clear" w:color="auto" w:fill="D6E3BC" w:themeFill="accent3" w:themeFillTint="66"/>
          </w:tcPr>
          <w:p w14:paraId="0DAEEAC5" w14:textId="77777777" w:rsidR="00F84089" w:rsidRPr="00FD1145" w:rsidRDefault="00F84089" w:rsidP="008E7E3C">
            <w:pPr>
              <w:pStyle w:val="Tabletext"/>
              <w:keepNext/>
              <w:keepLines/>
              <w:jc w:val="center"/>
            </w:pPr>
            <w:r w:rsidRPr="00FD1145">
              <w:t>0</w:t>
            </w:r>
          </w:p>
        </w:tc>
      </w:tr>
      <w:tr w:rsidR="00F84089" w:rsidRPr="00FD1145" w14:paraId="1DB9A4A3" w14:textId="77777777" w:rsidTr="008B1086">
        <w:trPr>
          <w:trHeight w:val="244"/>
        </w:trPr>
        <w:tc>
          <w:tcPr>
            <w:tcW w:w="1334" w:type="pct"/>
          </w:tcPr>
          <w:p w14:paraId="37E124EA" w14:textId="77777777" w:rsidR="00F84089" w:rsidRPr="00FD1145" w:rsidRDefault="00F84089" w:rsidP="008E7E3C">
            <w:pPr>
              <w:pStyle w:val="Tabletext"/>
              <w:keepNext/>
              <w:keepLines/>
            </w:pPr>
            <w:r w:rsidRPr="00FD1145">
              <w:t>Nausea</w:t>
            </w:r>
          </w:p>
        </w:tc>
        <w:tc>
          <w:tcPr>
            <w:tcW w:w="943" w:type="pct"/>
          </w:tcPr>
          <w:p w14:paraId="5351FCF9" w14:textId="77777777" w:rsidR="00F84089" w:rsidRPr="00FD1145" w:rsidRDefault="00F84089" w:rsidP="008E7E3C">
            <w:pPr>
              <w:pStyle w:val="Tabletext"/>
              <w:keepNext/>
              <w:keepLines/>
              <w:jc w:val="center"/>
            </w:pPr>
            <w:r w:rsidRPr="00FD1145">
              <w:t>15 (3.7%)</w:t>
            </w:r>
          </w:p>
        </w:tc>
        <w:tc>
          <w:tcPr>
            <w:tcW w:w="1022" w:type="pct"/>
          </w:tcPr>
          <w:p w14:paraId="0B62BFBE" w14:textId="77777777" w:rsidR="00F84089" w:rsidRPr="00FD1145" w:rsidRDefault="00F84089" w:rsidP="008E7E3C">
            <w:pPr>
              <w:pStyle w:val="Tabletext"/>
              <w:keepNext/>
              <w:keepLines/>
              <w:jc w:val="center"/>
            </w:pPr>
            <w:r w:rsidRPr="00FD1145">
              <w:t>4 (0.8%)</w:t>
            </w:r>
          </w:p>
        </w:tc>
        <w:tc>
          <w:tcPr>
            <w:tcW w:w="865" w:type="pct"/>
          </w:tcPr>
          <w:p w14:paraId="666282FC" w14:textId="77777777" w:rsidR="00F84089" w:rsidRPr="00FD1145" w:rsidRDefault="00F84089" w:rsidP="008E7E3C">
            <w:pPr>
              <w:pStyle w:val="Tabletext"/>
              <w:keepNext/>
              <w:keepLines/>
              <w:jc w:val="center"/>
            </w:pPr>
            <w:r w:rsidRPr="00FD1145">
              <w:t>16 (4.0%)</w:t>
            </w:r>
          </w:p>
        </w:tc>
        <w:tc>
          <w:tcPr>
            <w:tcW w:w="836" w:type="pct"/>
          </w:tcPr>
          <w:p w14:paraId="6C47E8C4" w14:textId="77777777" w:rsidR="00F84089" w:rsidRPr="00FD1145" w:rsidRDefault="00F84089" w:rsidP="008E7E3C">
            <w:pPr>
              <w:pStyle w:val="Tabletext"/>
              <w:keepNext/>
              <w:keepLines/>
              <w:jc w:val="center"/>
            </w:pPr>
            <w:r w:rsidRPr="00FD1145">
              <w:t>4 (0.8%)</w:t>
            </w:r>
          </w:p>
        </w:tc>
      </w:tr>
      <w:tr w:rsidR="00F84089" w:rsidRPr="00FD1145" w14:paraId="116641E9" w14:textId="77777777" w:rsidTr="008B1086">
        <w:trPr>
          <w:trHeight w:val="244"/>
        </w:trPr>
        <w:tc>
          <w:tcPr>
            <w:tcW w:w="1334" w:type="pct"/>
          </w:tcPr>
          <w:p w14:paraId="75EDB763" w14:textId="77777777" w:rsidR="00F84089" w:rsidRPr="00FD1145" w:rsidRDefault="00F84089" w:rsidP="008E7E3C">
            <w:pPr>
              <w:pStyle w:val="Tabletext"/>
              <w:keepNext/>
              <w:keepLines/>
            </w:pPr>
            <w:r w:rsidRPr="00FD1145">
              <w:t>Fatigue</w:t>
            </w:r>
          </w:p>
        </w:tc>
        <w:tc>
          <w:tcPr>
            <w:tcW w:w="943" w:type="pct"/>
          </w:tcPr>
          <w:p w14:paraId="3BA13751" w14:textId="77777777" w:rsidR="00F84089" w:rsidRPr="00FD1145" w:rsidRDefault="00F84089" w:rsidP="008E7E3C">
            <w:pPr>
              <w:pStyle w:val="Tabletext"/>
              <w:keepNext/>
              <w:keepLines/>
              <w:jc w:val="center"/>
              <w:rPr>
                <w:highlight w:val="yellow"/>
              </w:rPr>
            </w:pPr>
            <w:r w:rsidRPr="00FD1145">
              <w:t>19 (4.7%)</w:t>
            </w:r>
          </w:p>
        </w:tc>
        <w:tc>
          <w:tcPr>
            <w:tcW w:w="1022" w:type="pct"/>
            <w:tcBorders>
              <w:top w:val="single" w:sz="4" w:space="0" w:color="auto"/>
              <w:left w:val="single" w:sz="4" w:space="0" w:color="auto"/>
              <w:bottom w:val="single" w:sz="4" w:space="0" w:color="auto"/>
              <w:right w:val="single" w:sz="4" w:space="0" w:color="auto"/>
            </w:tcBorders>
          </w:tcPr>
          <w:p w14:paraId="32D3FD10" w14:textId="77777777" w:rsidR="00F84089" w:rsidRPr="00FD1145" w:rsidRDefault="00F84089" w:rsidP="008E7E3C">
            <w:pPr>
              <w:pStyle w:val="Tabletext"/>
              <w:keepNext/>
              <w:keepLines/>
              <w:jc w:val="center"/>
              <w:rPr>
                <w:highlight w:val="yellow"/>
              </w:rPr>
            </w:pPr>
            <w:r w:rsidRPr="00FD1145">
              <w:t>12 (2.4%)</w:t>
            </w:r>
          </w:p>
        </w:tc>
        <w:tc>
          <w:tcPr>
            <w:tcW w:w="865" w:type="pct"/>
            <w:tcBorders>
              <w:top w:val="single" w:sz="4" w:space="0" w:color="auto"/>
              <w:left w:val="single" w:sz="4" w:space="0" w:color="auto"/>
              <w:bottom w:val="single" w:sz="4" w:space="0" w:color="auto"/>
              <w:right w:val="single" w:sz="4" w:space="0" w:color="auto"/>
            </w:tcBorders>
          </w:tcPr>
          <w:p w14:paraId="09A0121A" w14:textId="77777777" w:rsidR="00F84089" w:rsidRPr="00FD1145" w:rsidRDefault="00F84089" w:rsidP="008E7E3C">
            <w:pPr>
              <w:pStyle w:val="Tabletext"/>
              <w:keepNext/>
              <w:keepLines/>
              <w:jc w:val="center"/>
            </w:pPr>
            <w:r w:rsidRPr="00FD1145">
              <w:t>22 (5.4%)</w:t>
            </w:r>
          </w:p>
        </w:tc>
        <w:tc>
          <w:tcPr>
            <w:tcW w:w="836" w:type="pct"/>
            <w:tcBorders>
              <w:top w:val="single" w:sz="4" w:space="0" w:color="auto"/>
              <w:left w:val="single" w:sz="4" w:space="0" w:color="auto"/>
              <w:bottom w:val="single" w:sz="4" w:space="0" w:color="auto"/>
              <w:right w:val="single" w:sz="4" w:space="0" w:color="auto"/>
            </w:tcBorders>
          </w:tcPr>
          <w:p w14:paraId="5CE32744" w14:textId="77777777" w:rsidR="00F84089" w:rsidRPr="00FD1145" w:rsidRDefault="00F84089" w:rsidP="008E7E3C">
            <w:pPr>
              <w:pStyle w:val="Tabletext"/>
              <w:keepNext/>
              <w:keepLines/>
              <w:jc w:val="center"/>
            </w:pPr>
            <w:r w:rsidRPr="00FD1145">
              <w:t>12 (2.4%)</w:t>
            </w:r>
          </w:p>
        </w:tc>
      </w:tr>
      <w:tr w:rsidR="00F84089" w:rsidRPr="00FD1145" w14:paraId="53E60C4E" w14:textId="77777777" w:rsidTr="008B1086">
        <w:trPr>
          <w:trHeight w:val="244"/>
        </w:trPr>
        <w:tc>
          <w:tcPr>
            <w:tcW w:w="1334" w:type="pct"/>
          </w:tcPr>
          <w:p w14:paraId="1AFB31D5" w14:textId="77777777" w:rsidR="00F84089" w:rsidRPr="00FD1145" w:rsidRDefault="00F84089" w:rsidP="008E7E3C">
            <w:pPr>
              <w:pStyle w:val="Tabletext"/>
              <w:keepNext/>
              <w:keepLines/>
            </w:pPr>
            <w:r w:rsidRPr="00FD1145">
              <w:t>Thrombocytopenia</w:t>
            </w:r>
          </w:p>
        </w:tc>
        <w:tc>
          <w:tcPr>
            <w:tcW w:w="943" w:type="pct"/>
            <w:shd w:val="clear" w:color="auto" w:fill="D6E3BC" w:themeFill="accent3" w:themeFillTint="66"/>
          </w:tcPr>
          <w:p w14:paraId="31B375F9" w14:textId="77777777" w:rsidR="00F84089" w:rsidRPr="00FD1145" w:rsidRDefault="00F84089" w:rsidP="008E7E3C">
            <w:pPr>
              <w:pStyle w:val="Tabletext"/>
              <w:keepNext/>
              <w:keepLines/>
              <w:jc w:val="center"/>
            </w:pPr>
            <w:r w:rsidRPr="00FD1145">
              <w:t>2 (0.5)</w:t>
            </w:r>
          </w:p>
        </w:tc>
        <w:tc>
          <w:tcPr>
            <w:tcW w:w="1022"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C190C5" w14:textId="77777777" w:rsidR="00F84089" w:rsidRPr="00FD1145" w:rsidRDefault="00F84089" w:rsidP="008E7E3C">
            <w:pPr>
              <w:pStyle w:val="Tabletext"/>
              <w:keepNext/>
              <w:keepLines/>
              <w:jc w:val="center"/>
            </w:pPr>
            <w:r w:rsidRPr="00FD1145">
              <w:t>63 (12.9%)</w:t>
            </w:r>
          </w:p>
        </w:tc>
        <w:tc>
          <w:tcPr>
            <w:tcW w:w="865"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8DBC210" w14:textId="77777777" w:rsidR="00F84089" w:rsidRPr="00FD1145" w:rsidRDefault="00F84089" w:rsidP="008E7E3C">
            <w:pPr>
              <w:pStyle w:val="Tabletext"/>
              <w:keepNext/>
              <w:keepLines/>
              <w:jc w:val="center"/>
            </w:pPr>
            <w:r w:rsidRPr="00FD1145">
              <w:t>2 (0.5)</w:t>
            </w:r>
          </w:p>
        </w:tc>
        <w:tc>
          <w:tcPr>
            <w:tcW w:w="836" w:type="pct"/>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1B0BA40" w14:textId="77777777" w:rsidR="00F84089" w:rsidRPr="00FD1145" w:rsidRDefault="00F84089" w:rsidP="008E7E3C">
            <w:pPr>
              <w:pStyle w:val="Tabletext"/>
              <w:keepNext/>
              <w:keepLines/>
              <w:jc w:val="center"/>
            </w:pPr>
            <w:r w:rsidRPr="00FD1145">
              <w:t>70 (14.3%)</w:t>
            </w:r>
          </w:p>
        </w:tc>
      </w:tr>
      <w:tr w:rsidR="00F84089" w:rsidRPr="00FD1145" w14:paraId="51B75890" w14:textId="77777777" w:rsidTr="008B1086">
        <w:trPr>
          <w:trHeight w:val="244"/>
        </w:trPr>
        <w:tc>
          <w:tcPr>
            <w:tcW w:w="1334" w:type="pct"/>
            <w:tcBorders>
              <w:top w:val="single" w:sz="4" w:space="0" w:color="auto"/>
              <w:left w:val="single" w:sz="4" w:space="0" w:color="auto"/>
              <w:bottom w:val="single" w:sz="4" w:space="0" w:color="auto"/>
              <w:right w:val="single" w:sz="4" w:space="0" w:color="auto"/>
            </w:tcBorders>
          </w:tcPr>
          <w:p w14:paraId="3B72EB1F" w14:textId="77777777" w:rsidR="00F84089" w:rsidRPr="00FD1145" w:rsidRDefault="00F84089" w:rsidP="008E7E3C">
            <w:pPr>
              <w:pStyle w:val="Tabletext"/>
              <w:keepNext/>
              <w:keepLines/>
            </w:pPr>
            <w:r w:rsidRPr="00FD1145">
              <w:t>Vomiting</w:t>
            </w:r>
          </w:p>
        </w:tc>
        <w:tc>
          <w:tcPr>
            <w:tcW w:w="943" w:type="pct"/>
            <w:tcBorders>
              <w:top w:val="single" w:sz="4" w:space="0" w:color="auto"/>
              <w:left w:val="single" w:sz="4" w:space="0" w:color="auto"/>
              <w:bottom w:val="single" w:sz="4" w:space="0" w:color="auto"/>
              <w:right w:val="single" w:sz="4" w:space="0" w:color="auto"/>
            </w:tcBorders>
          </w:tcPr>
          <w:p w14:paraId="42B2D57C" w14:textId="77777777" w:rsidR="00F84089" w:rsidRPr="00FD1145" w:rsidRDefault="00F84089" w:rsidP="008E7E3C">
            <w:pPr>
              <w:pStyle w:val="Tabletext"/>
              <w:keepNext/>
              <w:keepLines/>
              <w:jc w:val="center"/>
            </w:pPr>
            <w:r w:rsidRPr="00FD1145">
              <w:t>12 (3.0%)</w:t>
            </w:r>
          </w:p>
        </w:tc>
        <w:tc>
          <w:tcPr>
            <w:tcW w:w="1022" w:type="pct"/>
          </w:tcPr>
          <w:p w14:paraId="61B4CBFD" w14:textId="77777777" w:rsidR="00F84089" w:rsidRPr="00FD1145" w:rsidRDefault="00F84089" w:rsidP="008E7E3C">
            <w:pPr>
              <w:pStyle w:val="Tabletext"/>
              <w:keepNext/>
              <w:keepLines/>
              <w:jc w:val="center"/>
            </w:pPr>
            <w:r w:rsidRPr="00FD1145">
              <w:t>4 (0.8%)</w:t>
            </w:r>
          </w:p>
        </w:tc>
        <w:tc>
          <w:tcPr>
            <w:tcW w:w="865" w:type="pct"/>
          </w:tcPr>
          <w:p w14:paraId="70028FDC" w14:textId="77777777" w:rsidR="00F84089" w:rsidRPr="00FD1145" w:rsidRDefault="00F84089" w:rsidP="008E7E3C">
            <w:pPr>
              <w:pStyle w:val="Tabletext"/>
              <w:keepNext/>
              <w:keepLines/>
              <w:jc w:val="center"/>
            </w:pPr>
            <w:r w:rsidRPr="00FD1145">
              <w:t>13 (3.2%)</w:t>
            </w:r>
          </w:p>
        </w:tc>
        <w:tc>
          <w:tcPr>
            <w:tcW w:w="836" w:type="pct"/>
          </w:tcPr>
          <w:p w14:paraId="2D55DACB" w14:textId="77777777" w:rsidR="00F84089" w:rsidRPr="00FD1145" w:rsidRDefault="00F84089" w:rsidP="008E7E3C">
            <w:pPr>
              <w:pStyle w:val="Tabletext"/>
              <w:keepNext/>
              <w:keepLines/>
              <w:jc w:val="center"/>
            </w:pPr>
            <w:r w:rsidRPr="00FD1145">
              <w:t>5 (1.0%)</w:t>
            </w:r>
          </w:p>
        </w:tc>
      </w:tr>
      <w:tr w:rsidR="00F84089" w:rsidRPr="00FD1145" w14:paraId="13B7D263" w14:textId="77777777" w:rsidTr="008B1086">
        <w:trPr>
          <w:trHeight w:val="244"/>
        </w:trPr>
        <w:tc>
          <w:tcPr>
            <w:tcW w:w="1334" w:type="pct"/>
          </w:tcPr>
          <w:p w14:paraId="01CD7CB6" w14:textId="77777777" w:rsidR="00F84089" w:rsidRPr="00FD1145" w:rsidRDefault="00F84089" w:rsidP="008E7E3C">
            <w:pPr>
              <w:pStyle w:val="Tabletext"/>
              <w:keepNext/>
              <w:keepLines/>
            </w:pPr>
            <w:r w:rsidRPr="00FD1145">
              <w:t>Stomatitis</w:t>
            </w:r>
          </w:p>
        </w:tc>
        <w:tc>
          <w:tcPr>
            <w:tcW w:w="943" w:type="pct"/>
          </w:tcPr>
          <w:p w14:paraId="4335F0EA" w14:textId="77777777" w:rsidR="00F84089" w:rsidRPr="00FD1145" w:rsidRDefault="00F84089" w:rsidP="008E7E3C">
            <w:pPr>
              <w:pStyle w:val="Tabletext"/>
              <w:keepNext/>
              <w:keepLines/>
              <w:jc w:val="center"/>
            </w:pPr>
            <w:r w:rsidRPr="00FD1145">
              <w:t>10 (2.5%)</w:t>
            </w:r>
          </w:p>
        </w:tc>
        <w:tc>
          <w:tcPr>
            <w:tcW w:w="1022" w:type="pct"/>
          </w:tcPr>
          <w:p w14:paraId="07680D97" w14:textId="77777777" w:rsidR="00F84089" w:rsidRPr="00FD1145" w:rsidRDefault="00F84089" w:rsidP="008E7E3C">
            <w:pPr>
              <w:pStyle w:val="Tabletext"/>
              <w:keepNext/>
              <w:keepLines/>
              <w:jc w:val="center"/>
            </w:pPr>
          </w:p>
        </w:tc>
        <w:tc>
          <w:tcPr>
            <w:tcW w:w="865" w:type="pct"/>
          </w:tcPr>
          <w:p w14:paraId="3DDE1666" w14:textId="77777777" w:rsidR="00F84089" w:rsidRPr="00FD1145" w:rsidRDefault="00F84089" w:rsidP="008E7E3C">
            <w:pPr>
              <w:pStyle w:val="Tabletext"/>
              <w:keepNext/>
              <w:keepLines/>
              <w:jc w:val="center"/>
            </w:pPr>
            <w:r w:rsidRPr="00FD1145">
              <w:t>10 (2.5%)</w:t>
            </w:r>
          </w:p>
        </w:tc>
        <w:tc>
          <w:tcPr>
            <w:tcW w:w="836" w:type="pct"/>
          </w:tcPr>
          <w:p w14:paraId="0C0E17E8" w14:textId="77777777" w:rsidR="00F84089" w:rsidRPr="00FD1145" w:rsidRDefault="00F84089" w:rsidP="008E7E3C">
            <w:pPr>
              <w:pStyle w:val="Tabletext"/>
              <w:keepNext/>
              <w:keepLines/>
              <w:jc w:val="center"/>
            </w:pPr>
          </w:p>
        </w:tc>
      </w:tr>
      <w:tr w:rsidR="00F84089" w:rsidRPr="00FD1145" w14:paraId="23667C7F" w14:textId="77777777" w:rsidTr="008B1086">
        <w:trPr>
          <w:trHeight w:val="244"/>
        </w:trPr>
        <w:tc>
          <w:tcPr>
            <w:tcW w:w="1334" w:type="pct"/>
          </w:tcPr>
          <w:p w14:paraId="0E0ECECC" w14:textId="77777777" w:rsidR="00F84089" w:rsidRPr="00FD1145" w:rsidRDefault="00F84089" w:rsidP="008E7E3C">
            <w:pPr>
              <w:pStyle w:val="Tabletext"/>
              <w:keepNext/>
              <w:keepLines/>
            </w:pPr>
            <w:r w:rsidRPr="00FD1145">
              <w:t>Decreased appetite</w:t>
            </w:r>
          </w:p>
        </w:tc>
        <w:tc>
          <w:tcPr>
            <w:tcW w:w="943" w:type="pct"/>
          </w:tcPr>
          <w:p w14:paraId="69202FBD" w14:textId="77777777" w:rsidR="00F84089" w:rsidRPr="00FD1145" w:rsidRDefault="00F84089" w:rsidP="008E7E3C">
            <w:pPr>
              <w:pStyle w:val="Tabletext"/>
              <w:keepNext/>
              <w:keepLines/>
              <w:jc w:val="center"/>
              <w:rPr>
                <w:highlight w:val="yellow"/>
              </w:rPr>
            </w:pPr>
            <w:r w:rsidRPr="00FD1145">
              <w:t>2 (0.5%)</w:t>
            </w:r>
          </w:p>
        </w:tc>
        <w:tc>
          <w:tcPr>
            <w:tcW w:w="1022" w:type="pct"/>
            <w:tcBorders>
              <w:top w:val="single" w:sz="4" w:space="0" w:color="auto"/>
              <w:left w:val="single" w:sz="4" w:space="0" w:color="auto"/>
              <w:bottom w:val="single" w:sz="4" w:space="0" w:color="auto"/>
              <w:right w:val="single" w:sz="4" w:space="0" w:color="auto"/>
            </w:tcBorders>
          </w:tcPr>
          <w:p w14:paraId="12D45861" w14:textId="77777777" w:rsidR="00F84089" w:rsidRPr="00FD1145" w:rsidRDefault="00F84089" w:rsidP="008E7E3C">
            <w:pPr>
              <w:pStyle w:val="Tabletext"/>
              <w:keepNext/>
              <w:keepLines/>
              <w:jc w:val="center"/>
              <w:rPr>
                <w:highlight w:val="yellow"/>
              </w:rPr>
            </w:pPr>
          </w:p>
        </w:tc>
        <w:tc>
          <w:tcPr>
            <w:tcW w:w="865" w:type="pct"/>
            <w:tcBorders>
              <w:top w:val="single" w:sz="4" w:space="0" w:color="auto"/>
              <w:left w:val="single" w:sz="4" w:space="0" w:color="auto"/>
              <w:bottom w:val="single" w:sz="4" w:space="0" w:color="auto"/>
              <w:right w:val="single" w:sz="4" w:space="0" w:color="auto"/>
            </w:tcBorders>
          </w:tcPr>
          <w:p w14:paraId="774F383C" w14:textId="77777777" w:rsidR="00F84089" w:rsidRPr="00FD1145" w:rsidRDefault="00F84089" w:rsidP="008E7E3C">
            <w:pPr>
              <w:pStyle w:val="Tabletext"/>
              <w:keepNext/>
              <w:keepLines/>
              <w:jc w:val="center"/>
            </w:pPr>
            <w:r w:rsidRPr="00FD1145">
              <w:t>3 (0.7%)</w:t>
            </w:r>
          </w:p>
        </w:tc>
        <w:tc>
          <w:tcPr>
            <w:tcW w:w="836" w:type="pct"/>
            <w:tcBorders>
              <w:top w:val="single" w:sz="4" w:space="0" w:color="auto"/>
              <w:left w:val="single" w:sz="4" w:space="0" w:color="auto"/>
              <w:bottom w:val="single" w:sz="4" w:space="0" w:color="auto"/>
              <w:right w:val="single" w:sz="4" w:space="0" w:color="auto"/>
            </w:tcBorders>
          </w:tcPr>
          <w:p w14:paraId="352D3C13" w14:textId="77777777" w:rsidR="00F84089" w:rsidRPr="00FD1145" w:rsidRDefault="00F84089" w:rsidP="008E7E3C">
            <w:pPr>
              <w:pStyle w:val="Tabletext"/>
              <w:keepNext/>
              <w:keepLines/>
              <w:jc w:val="center"/>
            </w:pPr>
          </w:p>
        </w:tc>
      </w:tr>
      <w:tr w:rsidR="00F84089" w:rsidRPr="00FD1145" w14:paraId="3C17442B" w14:textId="77777777" w:rsidTr="008B1086">
        <w:trPr>
          <w:trHeight w:val="244"/>
        </w:trPr>
        <w:tc>
          <w:tcPr>
            <w:tcW w:w="1334" w:type="pct"/>
          </w:tcPr>
          <w:p w14:paraId="2DC2D494" w14:textId="77777777" w:rsidR="00F84089" w:rsidRPr="00FD1145" w:rsidRDefault="00F84089" w:rsidP="008E7E3C">
            <w:pPr>
              <w:pStyle w:val="Tabletext"/>
              <w:keepNext/>
              <w:keepLines/>
              <w:rPr>
                <w:highlight w:val="yellow"/>
              </w:rPr>
            </w:pPr>
            <w:r w:rsidRPr="00FD1145">
              <w:t>Headache</w:t>
            </w:r>
          </w:p>
        </w:tc>
        <w:tc>
          <w:tcPr>
            <w:tcW w:w="943" w:type="pct"/>
          </w:tcPr>
          <w:p w14:paraId="2661ED56" w14:textId="77777777" w:rsidR="00F84089" w:rsidRPr="00FD1145" w:rsidRDefault="00F84089" w:rsidP="008E7E3C">
            <w:pPr>
              <w:pStyle w:val="Tabletext"/>
              <w:keepNext/>
              <w:keepLines/>
              <w:jc w:val="center"/>
              <w:rPr>
                <w:highlight w:val="yellow"/>
              </w:rPr>
            </w:pPr>
            <w:r w:rsidRPr="00FD1145">
              <w:t>2 (0.5%)</w:t>
            </w:r>
          </w:p>
        </w:tc>
        <w:tc>
          <w:tcPr>
            <w:tcW w:w="1022" w:type="pct"/>
            <w:tcBorders>
              <w:top w:val="single" w:sz="4" w:space="0" w:color="auto"/>
              <w:left w:val="single" w:sz="4" w:space="0" w:color="auto"/>
              <w:bottom w:val="single" w:sz="4" w:space="0" w:color="auto"/>
              <w:right w:val="single" w:sz="4" w:space="0" w:color="auto"/>
            </w:tcBorders>
          </w:tcPr>
          <w:p w14:paraId="15DABF3B" w14:textId="77777777" w:rsidR="00F84089" w:rsidRPr="00FD1145" w:rsidRDefault="00F84089" w:rsidP="008E7E3C">
            <w:pPr>
              <w:pStyle w:val="Tabletext"/>
              <w:keepNext/>
              <w:keepLines/>
              <w:jc w:val="center"/>
              <w:rPr>
                <w:highlight w:val="yellow"/>
              </w:rPr>
            </w:pPr>
          </w:p>
        </w:tc>
        <w:tc>
          <w:tcPr>
            <w:tcW w:w="865" w:type="pct"/>
            <w:tcBorders>
              <w:top w:val="single" w:sz="4" w:space="0" w:color="auto"/>
              <w:left w:val="single" w:sz="4" w:space="0" w:color="auto"/>
              <w:bottom w:val="single" w:sz="4" w:space="0" w:color="auto"/>
              <w:right w:val="single" w:sz="4" w:space="0" w:color="auto"/>
            </w:tcBorders>
          </w:tcPr>
          <w:p w14:paraId="03E6FCC0" w14:textId="77777777" w:rsidR="00F84089" w:rsidRPr="00FD1145" w:rsidRDefault="00F84089" w:rsidP="008E7E3C">
            <w:pPr>
              <w:pStyle w:val="Tabletext"/>
              <w:keepNext/>
              <w:keepLines/>
              <w:jc w:val="center"/>
            </w:pPr>
            <w:r w:rsidRPr="00FD1145">
              <w:t>3 (0.7%)</w:t>
            </w:r>
          </w:p>
        </w:tc>
        <w:tc>
          <w:tcPr>
            <w:tcW w:w="836" w:type="pct"/>
            <w:tcBorders>
              <w:top w:val="single" w:sz="4" w:space="0" w:color="auto"/>
              <w:left w:val="single" w:sz="4" w:space="0" w:color="auto"/>
              <w:bottom w:val="single" w:sz="4" w:space="0" w:color="auto"/>
              <w:right w:val="single" w:sz="4" w:space="0" w:color="auto"/>
            </w:tcBorders>
          </w:tcPr>
          <w:p w14:paraId="4F7AFBB6" w14:textId="77777777" w:rsidR="00F84089" w:rsidRPr="00FD1145" w:rsidRDefault="00F84089" w:rsidP="008E7E3C">
            <w:pPr>
              <w:pStyle w:val="Tabletext"/>
              <w:keepNext/>
              <w:keepLines/>
              <w:jc w:val="center"/>
            </w:pPr>
          </w:p>
        </w:tc>
      </w:tr>
      <w:tr w:rsidR="00F84089" w:rsidRPr="00FD1145" w14:paraId="7FE097CC" w14:textId="77777777" w:rsidTr="008B1086">
        <w:trPr>
          <w:trHeight w:val="244"/>
        </w:trPr>
        <w:tc>
          <w:tcPr>
            <w:tcW w:w="1334" w:type="pct"/>
          </w:tcPr>
          <w:p w14:paraId="639EF14C" w14:textId="77777777" w:rsidR="00F84089" w:rsidRPr="00FD1145" w:rsidRDefault="00F84089" w:rsidP="008E7E3C">
            <w:pPr>
              <w:pStyle w:val="Tabletext"/>
              <w:keepNext/>
              <w:keepLines/>
            </w:pPr>
            <w:r w:rsidRPr="00FD1145">
              <w:t xml:space="preserve">Aspartate aminotransferase (AST) increased </w:t>
            </w:r>
          </w:p>
        </w:tc>
        <w:tc>
          <w:tcPr>
            <w:tcW w:w="943" w:type="pct"/>
          </w:tcPr>
          <w:p w14:paraId="639BDBFB" w14:textId="77777777" w:rsidR="00F84089" w:rsidRPr="00FD1145" w:rsidRDefault="00F84089" w:rsidP="008E7E3C">
            <w:pPr>
              <w:pStyle w:val="Tabletext"/>
              <w:keepNext/>
              <w:keepLines/>
              <w:jc w:val="center"/>
            </w:pPr>
            <w:r w:rsidRPr="00FD1145">
              <w:t>18 (4.5%)</w:t>
            </w:r>
          </w:p>
        </w:tc>
        <w:tc>
          <w:tcPr>
            <w:tcW w:w="1022" w:type="pct"/>
          </w:tcPr>
          <w:p w14:paraId="6D53112F" w14:textId="77777777" w:rsidR="00F84089" w:rsidRPr="00FD1145" w:rsidRDefault="00F84089" w:rsidP="008E7E3C">
            <w:pPr>
              <w:pStyle w:val="Tabletext"/>
              <w:keepNext/>
              <w:keepLines/>
              <w:jc w:val="center"/>
            </w:pPr>
            <w:r w:rsidRPr="00FD1145">
              <w:t>21 (4.3%)</w:t>
            </w:r>
          </w:p>
        </w:tc>
        <w:tc>
          <w:tcPr>
            <w:tcW w:w="865" w:type="pct"/>
          </w:tcPr>
          <w:p w14:paraId="26C73295" w14:textId="77777777" w:rsidR="00F84089" w:rsidRPr="00FD1145" w:rsidRDefault="00F84089" w:rsidP="008E7E3C">
            <w:pPr>
              <w:pStyle w:val="Tabletext"/>
              <w:keepNext/>
              <w:keepLines/>
              <w:jc w:val="center"/>
            </w:pPr>
            <w:r w:rsidRPr="00FD1145">
              <w:t>19 (4.7%)</w:t>
            </w:r>
          </w:p>
        </w:tc>
        <w:tc>
          <w:tcPr>
            <w:tcW w:w="836" w:type="pct"/>
          </w:tcPr>
          <w:p w14:paraId="42EC575E" w14:textId="77777777" w:rsidR="00F84089" w:rsidRPr="00FD1145" w:rsidRDefault="00F84089" w:rsidP="008E7E3C">
            <w:pPr>
              <w:pStyle w:val="Tabletext"/>
              <w:keepNext/>
              <w:keepLines/>
              <w:jc w:val="center"/>
            </w:pPr>
            <w:r w:rsidRPr="00FD1145">
              <w:t>22 (4.5%)</w:t>
            </w:r>
          </w:p>
        </w:tc>
      </w:tr>
      <w:tr w:rsidR="00F84089" w:rsidRPr="00FD1145" w14:paraId="289C5CBC" w14:textId="77777777" w:rsidTr="008B1086">
        <w:trPr>
          <w:trHeight w:val="244"/>
        </w:trPr>
        <w:tc>
          <w:tcPr>
            <w:tcW w:w="1334" w:type="pct"/>
          </w:tcPr>
          <w:p w14:paraId="662C6777" w14:textId="77777777" w:rsidR="00F84089" w:rsidRPr="00FD1145" w:rsidRDefault="00F84089" w:rsidP="008E7E3C">
            <w:pPr>
              <w:pStyle w:val="Tabletext"/>
              <w:keepNext/>
              <w:keepLines/>
              <w:rPr>
                <w:highlight w:val="yellow"/>
              </w:rPr>
            </w:pPr>
            <w:r w:rsidRPr="00FD1145">
              <w:t>Alanine aminotransferase (ALT) increased</w:t>
            </w:r>
          </w:p>
        </w:tc>
        <w:tc>
          <w:tcPr>
            <w:tcW w:w="943" w:type="pct"/>
          </w:tcPr>
          <w:p w14:paraId="508A31E5" w14:textId="77777777" w:rsidR="00F84089" w:rsidRPr="00FD1145" w:rsidRDefault="00F84089" w:rsidP="008E7E3C">
            <w:pPr>
              <w:pStyle w:val="Tabletext"/>
              <w:keepNext/>
              <w:keepLines/>
              <w:jc w:val="center"/>
              <w:rPr>
                <w:highlight w:val="yellow"/>
              </w:rPr>
            </w:pPr>
            <w:r w:rsidRPr="00FD1145">
              <w:t>22 (5.4%)</w:t>
            </w:r>
          </w:p>
        </w:tc>
        <w:tc>
          <w:tcPr>
            <w:tcW w:w="1022" w:type="pct"/>
          </w:tcPr>
          <w:p w14:paraId="60A90D15" w14:textId="77777777" w:rsidR="00F84089" w:rsidRPr="00FD1145" w:rsidRDefault="00F84089" w:rsidP="008E7E3C">
            <w:pPr>
              <w:pStyle w:val="Tabletext"/>
              <w:keepNext/>
              <w:keepLines/>
              <w:jc w:val="center"/>
              <w:rPr>
                <w:highlight w:val="yellow"/>
              </w:rPr>
            </w:pPr>
            <w:r w:rsidRPr="00FD1145">
              <w:t>14 (2.9%)</w:t>
            </w:r>
          </w:p>
        </w:tc>
        <w:tc>
          <w:tcPr>
            <w:tcW w:w="865" w:type="pct"/>
          </w:tcPr>
          <w:p w14:paraId="5067D83D" w14:textId="77777777" w:rsidR="00F84089" w:rsidRPr="00FD1145" w:rsidRDefault="00F84089" w:rsidP="008E7E3C">
            <w:pPr>
              <w:pStyle w:val="Tabletext"/>
              <w:keepNext/>
              <w:keepLines/>
              <w:jc w:val="center"/>
            </w:pPr>
            <w:r w:rsidRPr="00FD1145">
              <w:t>23 (5.7%)</w:t>
            </w:r>
          </w:p>
        </w:tc>
        <w:tc>
          <w:tcPr>
            <w:tcW w:w="836" w:type="pct"/>
          </w:tcPr>
          <w:p w14:paraId="3ADF6E6F" w14:textId="77777777" w:rsidR="00F84089" w:rsidRPr="00FD1145" w:rsidRDefault="00F84089" w:rsidP="008E7E3C">
            <w:pPr>
              <w:pStyle w:val="Tabletext"/>
              <w:keepNext/>
              <w:keepLines/>
              <w:jc w:val="center"/>
            </w:pPr>
            <w:r w:rsidRPr="00FD1145">
              <w:t>15 (3.1%)</w:t>
            </w:r>
          </w:p>
        </w:tc>
      </w:tr>
      <w:tr w:rsidR="00F84089" w:rsidRPr="00FD1145" w14:paraId="067FA22D" w14:textId="77777777" w:rsidTr="008B1086">
        <w:trPr>
          <w:trHeight w:val="244"/>
        </w:trPr>
        <w:tc>
          <w:tcPr>
            <w:tcW w:w="1334" w:type="pct"/>
          </w:tcPr>
          <w:p w14:paraId="119E6BEC" w14:textId="77777777" w:rsidR="00F84089" w:rsidRPr="00FD1145" w:rsidRDefault="00F84089" w:rsidP="008E7E3C">
            <w:pPr>
              <w:pStyle w:val="Tabletext"/>
              <w:keepNext/>
              <w:keepLines/>
            </w:pPr>
            <w:r w:rsidRPr="00FD1145">
              <w:t>Anaemia</w:t>
            </w:r>
          </w:p>
        </w:tc>
        <w:tc>
          <w:tcPr>
            <w:tcW w:w="943" w:type="pct"/>
          </w:tcPr>
          <w:p w14:paraId="059EE520" w14:textId="77777777" w:rsidR="00F84089" w:rsidRPr="00FD1145" w:rsidRDefault="00F84089" w:rsidP="008E7E3C">
            <w:pPr>
              <w:pStyle w:val="Tabletext"/>
              <w:keepNext/>
              <w:keepLines/>
              <w:jc w:val="center"/>
              <w:rPr>
                <w:highlight w:val="yellow"/>
              </w:rPr>
            </w:pPr>
            <w:r w:rsidRPr="00FD1145">
              <w:t>17 (4.2%)</w:t>
            </w:r>
          </w:p>
        </w:tc>
        <w:tc>
          <w:tcPr>
            <w:tcW w:w="1022" w:type="pct"/>
          </w:tcPr>
          <w:p w14:paraId="3BC8AC6E" w14:textId="77777777" w:rsidR="00F84089" w:rsidRPr="00FD1145" w:rsidRDefault="00F84089" w:rsidP="008E7E3C">
            <w:pPr>
              <w:pStyle w:val="Tabletext"/>
              <w:keepNext/>
              <w:keepLines/>
              <w:jc w:val="center"/>
              <w:rPr>
                <w:highlight w:val="yellow"/>
              </w:rPr>
            </w:pPr>
            <w:r w:rsidRPr="00FD1145">
              <w:t>13 (2.7%)</w:t>
            </w:r>
          </w:p>
        </w:tc>
        <w:tc>
          <w:tcPr>
            <w:tcW w:w="865" w:type="pct"/>
          </w:tcPr>
          <w:p w14:paraId="1C8BCD75" w14:textId="77777777" w:rsidR="00F84089" w:rsidRPr="00FD1145" w:rsidRDefault="00F84089" w:rsidP="008E7E3C">
            <w:pPr>
              <w:pStyle w:val="Tabletext"/>
              <w:keepNext/>
              <w:keepLines/>
              <w:jc w:val="center"/>
            </w:pPr>
            <w:r w:rsidRPr="00FD1145">
              <w:t>17 (4.2%)</w:t>
            </w:r>
          </w:p>
        </w:tc>
        <w:tc>
          <w:tcPr>
            <w:tcW w:w="836" w:type="pct"/>
          </w:tcPr>
          <w:p w14:paraId="3A55BEA5" w14:textId="77777777" w:rsidR="00F84089" w:rsidRPr="00FD1145" w:rsidRDefault="00F84089" w:rsidP="008E7E3C">
            <w:pPr>
              <w:pStyle w:val="Tabletext"/>
              <w:keepNext/>
              <w:keepLines/>
              <w:jc w:val="center"/>
            </w:pPr>
            <w:r w:rsidRPr="00FD1145">
              <w:t>19 (3.9%)</w:t>
            </w:r>
          </w:p>
        </w:tc>
      </w:tr>
      <w:tr w:rsidR="00F84089" w:rsidRPr="00FD1145" w14:paraId="19379E14" w14:textId="77777777" w:rsidTr="008B1086">
        <w:trPr>
          <w:trHeight w:val="244"/>
        </w:trPr>
        <w:tc>
          <w:tcPr>
            <w:tcW w:w="1334" w:type="pct"/>
          </w:tcPr>
          <w:p w14:paraId="697D50D7" w14:textId="77777777" w:rsidR="00F84089" w:rsidRPr="00FD1145" w:rsidRDefault="00F84089" w:rsidP="008E7E3C">
            <w:pPr>
              <w:pStyle w:val="Tabletext"/>
              <w:keepNext/>
              <w:keepLines/>
            </w:pPr>
            <w:r w:rsidRPr="00FD1145">
              <w:t>Blood bilirubin increased</w:t>
            </w:r>
          </w:p>
        </w:tc>
        <w:tc>
          <w:tcPr>
            <w:tcW w:w="943" w:type="pct"/>
          </w:tcPr>
          <w:p w14:paraId="079346AA" w14:textId="77777777" w:rsidR="00F84089" w:rsidRPr="00FD1145" w:rsidRDefault="00F84089" w:rsidP="008E7E3C">
            <w:pPr>
              <w:pStyle w:val="Tabletext"/>
              <w:keepNext/>
              <w:keepLines/>
              <w:jc w:val="center"/>
              <w:rPr>
                <w:highlight w:val="yellow"/>
              </w:rPr>
            </w:pPr>
            <w:r w:rsidRPr="00FD1145">
              <w:t>4 (1.0%)</w:t>
            </w:r>
          </w:p>
        </w:tc>
        <w:tc>
          <w:tcPr>
            <w:tcW w:w="1022" w:type="pct"/>
          </w:tcPr>
          <w:p w14:paraId="380A9338" w14:textId="77777777" w:rsidR="00F84089" w:rsidRPr="00FD1145" w:rsidRDefault="00F84089" w:rsidP="008E7E3C">
            <w:pPr>
              <w:pStyle w:val="Tabletext"/>
              <w:keepNext/>
              <w:keepLines/>
              <w:jc w:val="center"/>
              <w:rPr>
                <w:highlight w:val="yellow"/>
              </w:rPr>
            </w:pPr>
          </w:p>
        </w:tc>
        <w:tc>
          <w:tcPr>
            <w:tcW w:w="865" w:type="pct"/>
          </w:tcPr>
          <w:p w14:paraId="08BE8C4F" w14:textId="77777777" w:rsidR="00F84089" w:rsidRPr="00FD1145" w:rsidRDefault="00F84089" w:rsidP="008E7E3C">
            <w:pPr>
              <w:pStyle w:val="Tabletext"/>
              <w:keepNext/>
              <w:keepLines/>
              <w:jc w:val="center"/>
            </w:pPr>
            <w:r w:rsidRPr="00FD1145">
              <w:t>4 (1.0%)</w:t>
            </w:r>
          </w:p>
        </w:tc>
        <w:tc>
          <w:tcPr>
            <w:tcW w:w="836" w:type="pct"/>
          </w:tcPr>
          <w:p w14:paraId="111978AF" w14:textId="77777777" w:rsidR="00F84089" w:rsidRPr="00FD1145" w:rsidRDefault="00F84089" w:rsidP="008E7E3C">
            <w:pPr>
              <w:pStyle w:val="Tabletext"/>
              <w:keepNext/>
              <w:keepLines/>
              <w:jc w:val="center"/>
            </w:pPr>
          </w:p>
        </w:tc>
      </w:tr>
      <w:tr w:rsidR="00F84089" w:rsidRPr="00FD1145" w14:paraId="4F2D4A1A" w14:textId="77777777" w:rsidTr="008B1086">
        <w:trPr>
          <w:trHeight w:val="244"/>
        </w:trPr>
        <w:tc>
          <w:tcPr>
            <w:tcW w:w="1334" w:type="pct"/>
          </w:tcPr>
          <w:p w14:paraId="05B82A34" w14:textId="77777777" w:rsidR="00F84089" w:rsidRPr="00FD1145" w:rsidRDefault="00F84089" w:rsidP="008E7E3C">
            <w:pPr>
              <w:pStyle w:val="Tabletext"/>
              <w:keepNext/>
              <w:keepLines/>
            </w:pPr>
            <w:proofErr w:type="spellStart"/>
            <w:r w:rsidRPr="00FD1145">
              <w:t>Hypokalemia</w:t>
            </w:r>
            <w:proofErr w:type="spellEnd"/>
          </w:p>
        </w:tc>
        <w:tc>
          <w:tcPr>
            <w:tcW w:w="943" w:type="pct"/>
          </w:tcPr>
          <w:p w14:paraId="0537C491" w14:textId="77777777" w:rsidR="00F84089" w:rsidRPr="00FD1145" w:rsidRDefault="00F84089" w:rsidP="008E7E3C">
            <w:pPr>
              <w:pStyle w:val="Tabletext"/>
              <w:keepNext/>
              <w:keepLines/>
              <w:jc w:val="center"/>
            </w:pPr>
            <w:r w:rsidRPr="00FD1145">
              <w:t>15 (3.7)</w:t>
            </w:r>
          </w:p>
        </w:tc>
        <w:tc>
          <w:tcPr>
            <w:tcW w:w="1022" w:type="pct"/>
          </w:tcPr>
          <w:p w14:paraId="477CA094" w14:textId="77777777" w:rsidR="00F84089" w:rsidRPr="00FD1145" w:rsidRDefault="00F84089" w:rsidP="008E7E3C">
            <w:pPr>
              <w:pStyle w:val="Tabletext"/>
              <w:keepNext/>
              <w:keepLines/>
              <w:jc w:val="center"/>
              <w:rPr>
                <w:highlight w:val="yellow"/>
              </w:rPr>
            </w:pPr>
            <w:r w:rsidRPr="00FD1145">
              <w:t>11 (2.2%)</w:t>
            </w:r>
          </w:p>
        </w:tc>
        <w:tc>
          <w:tcPr>
            <w:tcW w:w="865" w:type="pct"/>
          </w:tcPr>
          <w:p w14:paraId="1329268F" w14:textId="77777777" w:rsidR="00F84089" w:rsidRPr="00FD1145" w:rsidRDefault="00F84089" w:rsidP="008E7E3C">
            <w:pPr>
              <w:pStyle w:val="Tabletext"/>
              <w:keepNext/>
              <w:keepLines/>
              <w:jc w:val="center"/>
            </w:pPr>
            <w:r w:rsidRPr="00FD1145">
              <w:t>15 (3.7)</w:t>
            </w:r>
          </w:p>
        </w:tc>
        <w:tc>
          <w:tcPr>
            <w:tcW w:w="836" w:type="pct"/>
          </w:tcPr>
          <w:p w14:paraId="2CB8F8CB" w14:textId="77777777" w:rsidR="00F84089" w:rsidRPr="00FD1145" w:rsidRDefault="00F84089" w:rsidP="008E7E3C">
            <w:pPr>
              <w:pStyle w:val="Tabletext"/>
              <w:keepNext/>
              <w:keepLines/>
              <w:jc w:val="center"/>
            </w:pPr>
            <w:r w:rsidRPr="00FD1145">
              <w:t>11 (2.2%)</w:t>
            </w:r>
          </w:p>
        </w:tc>
      </w:tr>
      <w:tr w:rsidR="00F84089" w:rsidRPr="00FD1145" w14:paraId="6925E3BC" w14:textId="77777777" w:rsidTr="008B1086">
        <w:trPr>
          <w:trHeight w:val="244"/>
        </w:trPr>
        <w:tc>
          <w:tcPr>
            <w:tcW w:w="1334" w:type="pct"/>
          </w:tcPr>
          <w:p w14:paraId="1780B6CB" w14:textId="77777777" w:rsidR="00F84089" w:rsidRPr="00FD1145" w:rsidRDefault="00F84089" w:rsidP="008E7E3C">
            <w:pPr>
              <w:pStyle w:val="Tabletext"/>
              <w:keepNext/>
              <w:keepLines/>
            </w:pPr>
            <w:r w:rsidRPr="00FD1145">
              <w:t>Mucosal inflammation</w:t>
            </w:r>
          </w:p>
        </w:tc>
        <w:tc>
          <w:tcPr>
            <w:tcW w:w="943" w:type="pct"/>
          </w:tcPr>
          <w:p w14:paraId="3FF13A13" w14:textId="77777777" w:rsidR="00F84089" w:rsidRPr="00FD1145" w:rsidRDefault="00F84089" w:rsidP="008E7E3C">
            <w:pPr>
              <w:pStyle w:val="Tabletext"/>
              <w:keepNext/>
              <w:keepLines/>
              <w:jc w:val="center"/>
            </w:pPr>
          </w:p>
        </w:tc>
        <w:tc>
          <w:tcPr>
            <w:tcW w:w="1022" w:type="pct"/>
          </w:tcPr>
          <w:p w14:paraId="244DCAD0" w14:textId="77777777" w:rsidR="00F84089" w:rsidRPr="00FD1145" w:rsidRDefault="00F84089" w:rsidP="008E7E3C">
            <w:pPr>
              <w:pStyle w:val="Tabletext"/>
              <w:keepNext/>
              <w:keepLines/>
              <w:jc w:val="center"/>
              <w:rPr>
                <w:highlight w:val="yellow"/>
              </w:rPr>
            </w:pPr>
            <w:r w:rsidRPr="00FD1145">
              <w:t>1 (0.2%)</w:t>
            </w:r>
          </w:p>
        </w:tc>
        <w:tc>
          <w:tcPr>
            <w:tcW w:w="865" w:type="pct"/>
          </w:tcPr>
          <w:p w14:paraId="576A5438" w14:textId="77777777" w:rsidR="00F84089" w:rsidRPr="00FD1145" w:rsidRDefault="00F84089" w:rsidP="008E7E3C">
            <w:pPr>
              <w:pStyle w:val="Tabletext"/>
              <w:keepNext/>
              <w:keepLines/>
              <w:jc w:val="center"/>
            </w:pPr>
          </w:p>
        </w:tc>
        <w:tc>
          <w:tcPr>
            <w:tcW w:w="836" w:type="pct"/>
          </w:tcPr>
          <w:p w14:paraId="252DCD33" w14:textId="77777777" w:rsidR="00F84089" w:rsidRPr="00FD1145" w:rsidRDefault="00F84089" w:rsidP="008E7E3C">
            <w:pPr>
              <w:pStyle w:val="Tabletext"/>
              <w:keepNext/>
              <w:keepLines/>
              <w:jc w:val="center"/>
            </w:pPr>
            <w:r w:rsidRPr="00FD1145">
              <w:t>1 (&lt;1%)</w:t>
            </w:r>
          </w:p>
        </w:tc>
      </w:tr>
      <w:tr w:rsidR="00F84089" w:rsidRPr="00FD1145" w14:paraId="2FB381EC" w14:textId="77777777" w:rsidTr="008B1086">
        <w:trPr>
          <w:trHeight w:val="244"/>
        </w:trPr>
        <w:tc>
          <w:tcPr>
            <w:tcW w:w="1334" w:type="pct"/>
          </w:tcPr>
          <w:p w14:paraId="6D9E84B4" w14:textId="77777777" w:rsidR="00F84089" w:rsidRPr="00FD1145" w:rsidRDefault="00F84089" w:rsidP="008E7E3C">
            <w:pPr>
              <w:pStyle w:val="Tabletext"/>
              <w:keepNext/>
              <w:keepLines/>
            </w:pPr>
            <w:r w:rsidRPr="00FD1145">
              <w:t>Neutropenia</w:t>
            </w:r>
          </w:p>
        </w:tc>
        <w:tc>
          <w:tcPr>
            <w:tcW w:w="943" w:type="pct"/>
          </w:tcPr>
          <w:p w14:paraId="7555CC52" w14:textId="77777777" w:rsidR="00F84089" w:rsidRPr="00FD1145" w:rsidRDefault="00F84089" w:rsidP="008E7E3C">
            <w:pPr>
              <w:pStyle w:val="Tabletext"/>
              <w:keepNext/>
              <w:keepLines/>
              <w:jc w:val="center"/>
            </w:pPr>
            <w:r w:rsidRPr="00FD1145">
              <w:t>12 (3.0)</w:t>
            </w:r>
          </w:p>
        </w:tc>
        <w:tc>
          <w:tcPr>
            <w:tcW w:w="1022" w:type="pct"/>
          </w:tcPr>
          <w:p w14:paraId="778C6B62" w14:textId="77777777" w:rsidR="00F84089" w:rsidRPr="00FD1145" w:rsidRDefault="00F84089" w:rsidP="008E7E3C">
            <w:pPr>
              <w:pStyle w:val="Tabletext"/>
              <w:keepNext/>
              <w:keepLines/>
              <w:jc w:val="center"/>
            </w:pPr>
            <w:r w:rsidRPr="00FD1145">
              <w:t>10 (2.0%)</w:t>
            </w:r>
          </w:p>
        </w:tc>
        <w:tc>
          <w:tcPr>
            <w:tcW w:w="865" w:type="pct"/>
          </w:tcPr>
          <w:p w14:paraId="610089B5" w14:textId="77777777" w:rsidR="00F84089" w:rsidRPr="00FD1145" w:rsidRDefault="00F84089" w:rsidP="008E7E3C">
            <w:pPr>
              <w:pStyle w:val="Tabletext"/>
              <w:keepNext/>
              <w:keepLines/>
              <w:jc w:val="center"/>
            </w:pPr>
            <w:r w:rsidRPr="00FD1145">
              <w:t>12 (3.0)</w:t>
            </w:r>
          </w:p>
        </w:tc>
        <w:tc>
          <w:tcPr>
            <w:tcW w:w="836" w:type="pct"/>
          </w:tcPr>
          <w:p w14:paraId="6CAFCF60" w14:textId="77777777" w:rsidR="00F84089" w:rsidRPr="00FD1145" w:rsidRDefault="00F84089" w:rsidP="008E7E3C">
            <w:pPr>
              <w:pStyle w:val="Tabletext"/>
              <w:keepNext/>
              <w:keepLines/>
              <w:jc w:val="center"/>
            </w:pPr>
            <w:r w:rsidRPr="00FD1145">
              <w:t>11 (2.2%)</w:t>
            </w:r>
          </w:p>
        </w:tc>
      </w:tr>
    </w:tbl>
    <w:p w14:paraId="148C11E1" w14:textId="77777777" w:rsidR="00F84089" w:rsidRPr="00FD1145" w:rsidRDefault="00F84089" w:rsidP="00F84089">
      <w:pPr>
        <w:pStyle w:val="TableFigureFooter"/>
      </w:pPr>
      <w:r w:rsidRPr="00FD1145">
        <w:t xml:space="preserve">Source: HER2CLIMB CSR Section 12.1 Adverse Events, Table 24 &amp; Table 25; </w:t>
      </w:r>
      <w:proofErr w:type="spellStart"/>
      <w:r w:rsidRPr="00FD1145">
        <w:t>Curigliano</w:t>
      </w:r>
      <w:proofErr w:type="spellEnd"/>
      <w:r w:rsidRPr="00FD1145">
        <w:t xml:space="preserve"> 2022, Table 2</w:t>
      </w:r>
    </w:p>
    <w:p w14:paraId="5C96A1BA" w14:textId="77777777" w:rsidR="00F84089" w:rsidRPr="00FD1145" w:rsidRDefault="00F84089" w:rsidP="00F84089">
      <w:pPr>
        <w:pStyle w:val="TableFigureFooter"/>
      </w:pPr>
      <w:r w:rsidRPr="00FD1145">
        <w:t>Abbreviations: AE, adverse event; Cap, capecitabine; PA, primary analysis; Pbo, placebo; Tra, trastuzumab; Tuc, tucatinib; TEAE, treatment emergent adverse event.</w:t>
      </w:r>
    </w:p>
    <w:p w14:paraId="19C7573B" w14:textId="77777777" w:rsidR="00F84089" w:rsidRPr="00FD1145" w:rsidRDefault="00F84089" w:rsidP="00F84089">
      <w:pPr>
        <w:pStyle w:val="TableFigureFooter"/>
      </w:pPr>
      <w:r w:rsidRPr="00FD1145">
        <w:rPr>
          <w:shd w:val="clear" w:color="auto" w:fill="D6E3BC" w:themeFill="accent3" w:themeFillTint="66"/>
        </w:rPr>
        <w:t>Green shading</w:t>
      </w:r>
      <w:r w:rsidRPr="00FD1145">
        <w:t xml:space="preserve"> indicates key differences of AEs between the tucatinib and placebo arms.</w:t>
      </w:r>
    </w:p>
    <w:p w14:paraId="0F6A332D" w14:textId="77777777" w:rsidR="00F84089" w:rsidRPr="00FD1145" w:rsidRDefault="00F84089" w:rsidP="00230B9C">
      <w:pPr>
        <w:pStyle w:val="4-SubsectionHeading"/>
      </w:pPr>
      <w:bookmarkStart w:id="58" w:name="_Toc208931308"/>
      <w:r w:rsidRPr="00FD1145">
        <w:t>Benefits/harms</w:t>
      </w:r>
      <w:bookmarkEnd w:id="55"/>
      <w:bookmarkEnd w:id="58"/>
    </w:p>
    <w:p w14:paraId="7839F66C" w14:textId="7085016C" w:rsidR="00F84089" w:rsidRPr="00FD1145" w:rsidRDefault="00F84089" w:rsidP="00F84089">
      <w:pPr>
        <w:pStyle w:val="3-BodyText"/>
      </w:pPr>
      <w:r w:rsidRPr="00FD1145">
        <w:t xml:space="preserve">A comparative benefits and harms for tucatinib (in combination with trastuzumab plus capecitabine) versus placebo and trastuzumab plus capecitabine </w:t>
      </w:r>
      <w:r w:rsidR="00F074BF" w:rsidRPr="00FD1145">
        <w:t xml:space="preserve">are </w:t>
      </w:r>
      <w:r w:rsidR="00260EEE" w:rsidRPr="00FD1145">
        <w:fldChar w:fldCharType="begin"/>
      </w:r>
      <w:r w:rsidR="00260EEE" w:rsidRPr="00FD1145">
        <w:instrText xml:space="preserve"> REF _Ref206072653 \h  \* MERGEFORMAT </w:instrText>
      </w:r>
      <w:r w:rsidR="00260EEE" w:rsidRPr="00FD1145">
        <w:fldChar w:fldCharType="separate"/>
      </w:r>
      <w:r w:rsidR="009B3037" w:rsidRPr="009B3037">
        <w:t xml:space="preserve">Table </w:t>
      </w:r>
      <w:r w:rsidR="009B3037" w:rsidRPr="009B3037">
        <w:rPr>
          <w:rStyle w:val="CommentReference"/>
          <w:rFonts w:asciiTheme="minorHAnsi" w:hAnsiTheme="minorHAnsi"/>
          <w:b w:val="0"/>
          <w:sz w:val="24"/>
          <w:szCs w:val="22"/>
        </w:rPr>
        <w:t>8</w:t>
      </w:r>
      <w:r w:rsidR="00260EEE" w:rsidRPr="00FD1145">
        <w:fldChar w:fldCharType="end"/>
      </w:r>
      <w:r w:rsidR="00260EEE" w:rsidRPr="00FD1145">
        <w:t xml:space="preserve"> and </w:t>
      </w:r>
      <w:r w:rsidR="00F074BF" w:rsidRPr="00FD1145">
        <w:fldChar w:fldCharType="begin"/>
      </w:r>
      <w:r w:rsidR="00F074BF" w:rsidRPr="00FD1145">
        <w:instrText xml:space="preserve"> REF _Ref206072271 \h </w:instrText>
      </w:r>
      <w:r w:rsidR="00C33092" w:rsidRPr="00FD1145">
        <w:instrText xml:space="preserve"> \* MERGEFORMAT </w:instrText>
      </w:r>
      <w:r w:rsidR="00F074BF" w:rsidRPr="00FD1145">
        <w:fldChar w:fldCharType="separate"/>
      </w:r>
      <w:r w:rsidR="009B3037" w:rsidRPr="00FD1145">
        <w:t xml:space="preserve">Table </w:t>
      </w:r>
      <w:r w:rsidR="009B3037">
        <w:rPr>
          <w:noProof/>
        </w:rPr>
        <w:t>11</w:t>
      </w:r>
      <w:r w:rsidR="00F074BF" w:rsidRPr="00FD1145">
        <w:fldChar w:fldCharType="end"/>
      </w:r>
      <w:r w:rsidR="00F074BF" w:rsidRPr="00FD1145">
        <w:t>.</w:t>
      </w:r>
      <w:r w:rsidR="00FE382D" w:rsidRPr="00FD1145">
        <w:t xml:space="preserve"> </w:t>
      </w:r>
    </w:p>
    <w:p w14:paraId="200EDE64" w14:textId="3F3023E7" w:rsidR="00F84089" w:rsidRPr="00FD1145" w:rsidRDefault="00F84089" w:rsidP="00F84089">
      <w:pPr>
        <w:pStyle w:val="3-BodyText"/>
      </w:pPr>
      <w:proofErr w:type="gramStart"/>
      <w:r w:rsidRPr="00FD1145">
        <w:t>On the basis of</w:t>
      </w:r>
      <w:proofErr w:type="gramEnd"/>
      <w:r w:rsidRPr="00FD1145">
        <w:t xml:space="preserve"> the direct evidence presented by the resubmission, the comparison of tucatinib in combination with trastuzum</w:t>
      </w:r>
      <w:r w:rsidR="00F31596" w:rsidRPr="00FD1145">
        <w:t>a</w:t>
      </w:r>
      <w:r w:rsidRPr="00FD1145">
        <w:t>b plus capecitabine with placebo and trastuzumab plus capecitabine over a median duration of follow-up of 29.6 months (‘all comers’ population) resulted in:</w:t>
      </w:r>
    </w:p>
    <w:p w14:paraId="75765C3F" w14:textId="77777777" w:rsidR="00F84089" w:rsidRPr="00FD1145" w:rsidRDefault="00F84089" w:rsidP="00D136AE">
      <w:pPr>
        <w:pStyle w:val="ListParagraph"/>
        <w:ind w:left="1134"/>
      </w:pPr>
      <w:r w:rsidRPr="00FD1145">
        <w:t xml:space="preserve">Approximately 15 additional patients alive without disease progression at one year. </w:t>
      </w:r>
    </w:p>
    <w:p w14:paraId="58BDC662" w14:textId="02B729BA" w:rsidR="00F84089" w:rsidRPr="00FD1145" w:rsidRDefault="00F84089" w:rsidP="00D136AE">
      <w:pPr>
        <w:pStyle w:val="ListParagraph"/>
        <w:ind w:left="1134"/>
      </w:pPr>
      <w:r w:rsidRPr="00FD1145">
        <w:t xml:space="preserve">Approximately </w:t>
      </w:r>
      <w:r w:rsidR="00AF26AA" w:rsidRPr="00FD1145">
        <w:t xml:space="preserve">10 </w:t>
      </w:r>
      <w:r w:rsidRPr="00FD1145">
        <w:t xml:space="preserve">additional patients alive at one year. </w:t>
      </w:r>
    </w:p>
    <w:p w14:paraId="754B26AB" w14:textId="7B77375F" w:rsidR="00F84089" w:rsidRPr="00FD1145" w:rsidRDefault="00F84089" w:rsidP="00F84089">
      <w:pPr>
        <w:pStyle w:val="3-BodyText"/>
      </w:pPr>
      <w:proofErr w:type="gramStart"/>
      <w:r w:rsidRPr="00FD1145">
        <w:t>On the basis of</w:t>
      </w:r>
      <w:proofErr w:type="gramEnd"/>
      <w:r w:rsidRPr="00FD1145">
        <w:t xml:space="preserve"> direct comparison evidence presented by the </w:t>
      </w:r>
      <w:r w:rsidR="00815B0C" w:rsidRPr="00FD1145">
        <w:t>re</w:t>
      </w:r>
      <w:r w:rsidRPr="00FD1145">
        <w:t>submission, for every 100 patients treated with tucatinib in combination with trastuzumab plus capecitabine in comparison with placebo and trastuzumab plus capecitabine over a median duration of exposure of 7.4 months in the tucatinib arm and 4.4 months in the comparator arm:</w:t>
      </w:r>
    </w:p>
    <w:p w14:paraId="5F1756A5" w14:textId="77777777" w:rsidR="00F84089" w:rsidRPr="00FD1145" w:rsidRDefault="00F84089" w:rsidP="00D136AE">
      <w:pPr>
        <w:pStyle w:val="ListParagraph"/>
        <w:ind w:left="1134"/>
      </w:pPr>
      <w:bookmarkStart w:id="59" w:name="_Hlk206112060"/>
      <w:r w:rsidRPr="00FD1145">
        <w:t xml:space="preserve">Approximately 9 additional patients experienced a Grade </w:t>
      </w:r>
      <w:r w:rsidRPr="00FD1145">
        <w:rPr>
          <w:rFonts w:cstheme="minorHAnsi"/>
        </w:rPr>
        <w:t>≥</w:t>
      </w:r>
      <w:r w:rsidRPr="00FD1145">
        <w:t>3 TEAE of any kind.</w:t>
      </w:r>
    </w:p>
    <w:p w14:paraId="1D63E0C5" w14:textId="77777777" w:rsidR="00F84089" w:rsidRPr="00FD1145" w:rsidRDefault="00F84089" w:rsidP="00D136AE">
      <w:pPr>
        <w:pStyle w:val="ListParagraph"/>
        <w:ind w:left="1134"/>
      </w:pPr>
      <w:r w:rsidRPr="00FD1145">
        <w:lastRenderedPageBreak/>
        <w:t xml:space="preserve">Approximately 9 additional patients experienced severe liver damage (Grade </w:t>
      </w:r>
      <w:r w:rsidRPr="00FD1145">
        <w:rPr>
          <w:rFonts w:cstheme="minorHAnsi"/>
        </w:rPr>
        <w:t>≥</w:t>
      </w:r>
      <w:r w:rsidRPr="00FD1145">
        <w:t>3 hepatotoxicity)</w:t>
      </w:r>
    </w:p>
    <w:p w14:paraId="1BB29D77" w14:textId="77777777" w:rsidR="00F84089" w:rsidRPr="00FD1145" w:rsidRDefault="00F84089" w:rsidP="00D136AE">
      <w:pPr>
        <w:pStyle w:val="ListParagraph"/>
        <w:ind w:left="1134"/>
      </w:pPr>
      <w:bookmarkStart w:id="60" w:name="_Hlk206112079"/>
      <w:r w:rsidRPr="00FD1145">
        <w:t xml:space="preserve">Approximately 4 additional patients experience severe diarrhoea (Grade </w:t>
      </w:r>
      <w:r w:rsidRPr="00FD1145">
        <w:rPr>
          <w:rFonts w:cstheme="minorHAnsi"/>
        </w:rPr>
        <w:t>≥</w:t>
      </w:r>
      <w:r w:rsidRPr="00FD1145">
        <w:t>3)</w:t>
      </w:r>
    </w:p>
    <w:bookmarkEnd w:id="59"/>
    <w:bookmarkEnd w:id="60"/>
    <w:p w14:paraId="597C81B5" w14:textId="5F30DFB4" w:rsidR="00B81E1D" w:rsidRPr="00FD1145" w:rsidRDefault="003F5687" w:rsidP="00B81E1D">
      <w:pPr>
        <w:pStyle w:val="3-BodyText"/>
      </w:pPr>
      <w:r w:rsidRPr="00FD1145">
        <w:t xml:space="preserve">For the comparison against T-DM1, a benefits and harms table </w:t>
      </w:r>
      <w:r w:rsidR="004B2A87" w:rsidRPr="00FD1145">
        <w:t>wa</w:t>
      </w:r>
      <w:r w:rsidRPr="00FD1145">
        <w:t>s not presented as the resubmission made a claim of non-inferiority.</w:t>
      </w:r>
    </w:p>
    <w:p w14:paraId="2A2323AB" w14:textId="77777777" w:rsidR="00F84089" w:rsidRPr="00FD1145" w:rsidRDefault="00F84089" w:rsidP="00230B9C">
      <w:pPr>
        <w:pStyle w:val="4-SubsectionHeading"/>
      </w:pPr>
      <w:bookmarkStart w:id="61" w:name="_Toc22897644"/>
      <w:bookmarkStart w:id="62" w:name="_Toc208931309"/>
      <w:r w:rsidRPr="00FD1145">
        <w:t>Clinical claim</w:t>
      </w:r>
      <w:bookmarkEnd w:id="61"/>
      <w:bookmarkEnd w:id="62"/>
    </w:p>
    <w:p w14:paraId="211C336F" w14:textId="12AD345A" w:rsidR="00F84089" w:rsidRPr="00FD1145" w:rsidRDefault="00F84089" w:rsidP="00F84089">
      <w:pPr>
        <w:pStyle w:val="3-BodyText"/>
        <w:rPr>
          <w:rFonts w:eastAsia="Calibri"/>
        </w:rPr>
      </w:pPr>
      <w:bookmarkStart w:id="63" w:name="_Ref206164228"/>
      <w:r w:rsidRPr="00FD1145">
        <w:rPr>
          <w:rFonts w:eastAsia="Calibri"/>
        </w:rPr>
        <w:t>The resubmission described tucatinib (in combination with trastuzumab plus capecitabine) as superior in terms of effectiveness and inferior in terms of safety compared with trastuzumab plus capecitabine alone.</w:t>
      </w:r>
      <w:bookmarkEnd w:id="63"/>
      <w:r w:rsidR="00660A58" w:rsidRPr="00FD1145">
        <w:rPr>
          <w:rFonts w:eastAsia="Calibri"/>
        </w:rPr>
        <w:t xml:space="preserve"> Th</w:t>
      </w:r>
      <w:r w:rsidR="00EF00F5">
        <w:rPr>
          <w:rFonts w:eastAsia="Calibri"/>
        </w:rPr>
        <w:t>e ESC considered that th</w:t>
      </w:r>
      <w:r w:rsidR="00660A58" w:rsidRPr="00FD1145">
        <w:rPr>
          <w:rFonts w:eastAsia="Calibri"/>
        </w:rPr>
        <w:t>is claim was supported:</w:t>
      </w:r>
    </w:p>
    <w:p w14:paraId="2CD3FC50" w14:textId="40255DB1" w:rsidR="00074272" w:rsidRPr="00FD1145" w:rsidRDefault="00633AA1" w:rsidP="001B73B5">
      <w:pPr>
        <w:pStyle w:val="ListParagraph"/>
        <w:ind w:left="1134"/>
        <w:rPr>
          <w:rFonts w:eastAsia="Calibri"/>
        </w:rPr>
      </w:pPr>
      <w:r w:rsidRPr="00FD1145">
        <w:rPr>
          <w:rFonts w:eastAsia="Calibri"/>
        </w:rPr>
        <w:t xml:space="preserve">The ESC </w:t>
      </w:r>
      <w:r w:rsidR="00074272" w:rsidRPr="00FD1145">
        <w:rPr>
          <w:rFonts w:eastAsia="Calibri"/>
        </w:rPr>
        <w:t xml:space="preserve">considered that there were applicability issues with the clinical evidence given the resubmission’s revised place in therapy, given patients in HER2CLIMB: </w:t>
      </w:r>
      <w:r w:rsidR="001B73B5" w:rsidRPr="00FD1145">
        <w:rPr>
          <w:rFonts w:eastAsia="Calibri"/>
        </w:rPr>
        <w:t>did not receive prior T-</w:t>
      </w:r>
      <w:proofErr w:type="spellStart"/>
      <w:r w:rsidR="001B73B5" w:rsidRPr="00FD1145">
        <w:rPr>
          <w:rFonts w:eastAsia="Calibri"/>
        </w:rPr>
        <w:t>DXd</w:t>
      </w:r>
      <w:proofErr w:type="spellEnd"/>
      <w:r w:rsidR="001B73B5" w:rsidRPr="00FD1145">
        <w:rPr>
          <w:rFonts w:eastAsia="Calibri"/>
        </w:rPr>
        <w:t xml:space="preserve">; and </w:t>
      </w:r>
      <w:r w:rsidR="00074272" w:rsidRPr="00FD1145">
        <w:rPr>
          <w:rFonts w:eastAsia="Calibri"/>
        </w:rPr>
        <w:t xml:space="preserve">were </w:t>
      </w:r>
      <w:r w:rsidR="00042F13" w:rsidRPr="00FD1145">
        <w:rPr>
          <w:rFonts w:eastAsia="Calibri"/>
        </w:rPr>
        <w:t>required to have</w:t>
      </w:r>
      <w:r w:rsidR="00F132F7" w:rsidRPr="00FD1145">
        <w:rPr>
          <w:rFonts w:eastAsia="Calibri"/>
        </w:rPr>
        <w:t xml:space="preserve"> </w:t>
      </w:r>
      <w:r w:rsidR="00AC2EE7" w:rsidRPr="00FD1145">
        <w:rPr>
          <w:rFonts w:eastAsia="Calibri"/>
        </w:rPr>
        <w:t xml:space="preserve">progressed on or after </w:t>
      </w:r>
      <w:r w:rsidR="00F132F7" w:rsidRPr="00FD1145">
        <w:rPr>
          <w:rFonts w:eastAsia="Calibri"/>
        </w:rPr>
        <w:t xml:space="preserve">T-DM1, </w:t>
      </w:r>
      <w:r w:rsidR="003E470C" w:rsidRPr="00FD1145">
        <w:rPr>
          <w:rFonts w:eastAsia="Calibri"/>
        </w:rPr>
        <w:t>whereas prior T-DM1 therapy</w:t>
      </w:r>
      <w:r w:rsidR="00F132F7" w:rsidRPr="00FD1145">
        <w:rPr>
          <w:rFonts w:eastAsia="Calibri"/>
        </w:rPr>
        <w:t xml:space="preserve"> </w:t>
      </w:r>
      <w:r w:rsidR="00C47D83" w:rsidRPr="00FD1145">
        <w:rPr>
          <w:rFonts w:eastAsia="Calibri"/>
        </w:rPr>
        <w:t>was</w:t>
      </w:r>
      <w:r w:rsidR="00F132F7" w:rsidRPr="00FD1145">
        <w:rPr>
          <w:rFonts w:eastAsia="Calibri"/>
        </w:rPr>
        <w:t xml:space="preserve"> </w:t>
      </w:r>
      <w:r w:rsidR="00BE217E" w:rsidRPr="00FD1145">
        <w:rPr>
          <w:rFonts w:eastAsia="Calibri"/>
        </w:rPr>
        <w:t>no</w:t>
      </w:r>
      <w:r w:rsidR="00C47D83" w:rsidRPr="00FD1145">
        <w:rPr>
          <w:rFonts w:eastAsia="Calibri"/>
        </w:rPr>
        <w:t xml:space="preserve"> longer</w:t>
      </w:r>
      <w:r w:rsidR="00BE217E" w:rsidRPr="00FD1145">
        <w:rPr>
          <w:rFonts w:eastAsia="Calibri"/>
        </w:rPr>
        <w:t xml:space="preserve"> require</w:t>
      </w:r>
      <w:r w:rsidR="00BE4CC7" w:rsidRPr="00FD1145">
        <w:rPr>
          <w:rFonts w:eastAsia="Calibri"/>
        </w:rPr>
        <w:t>d</w:t>
      </w:r>
      <w:r w:rsidR="00BE217E" w:rsidRPr="00FD1145">
        <w:rPr>
          <w:rFonts w:eastAsia="Calibri"/>
        </w:rPr>
        <w:t xml:space="preserve"> </w:t>
      </w:r>
      <w:r w:rsidR="00CC66AE" w:rsidRPr="00FD1145">
        <w:rPr>
          <w:rFonts w:eastAsia="Calibri"/>
        </w:rPr>
        <w:t xml:space="preserve">in </w:t>
      </w:r>
      <w:r w:rsidR="00BE217E" w:rsidRPr="00FD1145">
        <w:rPr>
          <w:rFonts w:eastAsia="Calibri"/>
        </w:rPr>
        <w:t xml:space="preserve">the </w:t>
      </w:r>
      <w:r w:rsidR="00096D0E" w:rsidRPr="00FD1145">
        <w:rPr>
          <w:rFonts w:eastAsia="Calibri"/>
        </w:rPr>
        <w:t xml:space="preserve">resubmission’s </w:t>
      </w:r>
      <w:r w:rsidR="00C47D83" w:rsidRPr="00FD1145">
        <w:rPr>
          <w:rFonts w:eastAsia="Calibri"/>
        </w:rPr>
        <w:t>updated</w:t>
      </w:r>
      <w:r w:rsidR="00C075F0" w:rsidRPr="00FD1145">
        <w:rPr>
          <w:rFonts w:eastAsia="Calibri"/>
        </w:rPr>
        <w:t xml:space="preserve"> </w:t>
      </w:r>
      <w:r w:rsidR="00B41E1C" w:rsidRPr="00FD1145">
        <w:rPr>
          <w:rFonts w:eastAsia="Calibri"/>
        </w:rPr>
        <w:t>PBS restriction</w:t>
      </w:r>
      <w:r w:rsidR="001B73B5" w:rsidRPr="00FD1145">
        <w:rPr>
          <w:rFonts w:eastAsia="Calibri"/>
        </w:rPr>
        <w:t>.</w:t>
      </w:r>
    </w:p>
    <w:p w14:paraId="51EDFAC5" w14:textId="5D60E4ED" w:rsidR="00F84089" w:rsidRPr="00FD1145" w:rsidRDefault="00CC66AE" w:rsidP="00D136AE">
      <w:pPr>
        <w:pStyle w:val="ListParagraph"/>
        <w:ind w:left="1134"/>
        <w:rPr>
          <w:rFonts w:eastAsia="Calibri"/>
        </w:rPr>
      </w:pPr>
      <w:r w:rsidRPr="00FD1145">
        <w:rPr>
          <w:rFonts w:eastAsia="Calibri"/>
        </w:rPr>
        <w:t xml:space="preserve">Notwithstanding </w:t>
      </w:r>
      <w:r w:rsidR="00FC5E9F" w:rsidRPr="00FD1145">
        <w:rPr>
          <w:rFonts w:eastAsia="Calibri"/>
        </w:rPr>
        <w:t>these</w:t>
      </w:r>
      <w:r w:rsidR="00FF597F" w:rsidRPr="00FD1145">
        <w:rPr>
          <w:rFonts w:eastAsia="Calibri"/>
        </w:rPr>
        <w:t xml:space="preserve"> applicability issue</w:t>
      </w:r>
      <w:r w:rsidR="00FC5E9F" w:rsidRPr="00FD1145">
        <w:rPr>
          <w:rFonts w:eastAsia="Calibri"/>
        </w:rPr>
        <w:t>s</w:t>
      </w:r>
      <w:r w:rsidR="005D6484" w:rsidRPr="00FD1145">
        <w:rPr>
          <w:rFonts w:eastAsia="Calibri"/>
        </w:rPr>
        <w:t>, t</w:t>
      </w:r>
      <w:r w:rsidR="00F84089" w:rsidRPr="00FD1145">
        <w:rPr>
          <w:rFonts w:eastAsia="Calibri"/>
        </w:rPr>
        <w:t>he</w:t>
      </w:r>
      <w:r w:rsidR="00222689" w:rsidRPr="00FD1145">
        <w:rPr>
          <w:rFonts w:eastAsia="Calibri"/>
        </w:rPr>
        <w:t xml:space="preserve"> ESC </w:t>
      </w:r>
      <w:r w:rsidR="00096D0E" w:rsidRPr="00FD1145">
        <w:rPr>
          <w:rFonts w:eastAsia="Calibri"/>
        </w:rPr>
        <w:t>considered</w:t>
      </w:r>
      <w:r w:rsidR="00222689" w:rsidRPr="00FD1145">
        <w:rPr>
          <w:rFonts w:eastAsia="Calibri"/>
        </w:rPr>
        <w:t xml:space="preserve"> the</w:t>
      </w:r>
      <w:r w:rsidR="00F84089" w:rsidRPr="00FD1145">
        <w:rPr>
          <w:rFonts w:eastAsia="Calibri"/>
        </w:rPr>
        <w:t xml:space="preserve"> PBAC</w:t>
      </w:r>
      <w:r w:rsidR="00222689" w:rsidRPr="00FD1145">
        <w:rPr>
          <w:rFonts w:eastAsia="Calibri"/>
        </w:rPr>
        <w:t>’s</w:t>
      </w:r>
      <w:r w:rsidR="00F84089" w:rsidRPr="00FD1145">
        <w:rPr>
          <w:rFonts w:eastAsia="Calibri"/>
        </w:rPr>
        <w:t xml:space="preserve"> previous</w:t>
      </w:r>
      <w:r w:rsidR="00222689" w:rsidRPr="00FD1145">
        <w:rPr>
          <w:rFonts w:eastAsia="Calibri"/>
        </w:rPr>
        <w:t xml:space="preserve"> conclusion</w:t>
      </w:r>
      <w:r w:rsidR="00F84089" w:rsidRPr="00FD1145">
        <w:rPr>
          <w:rFonts w:eastAsia="Calibri"/>
        </w:rPr>
        <w:t xml:space="preserve"> </w:t>
      </w:r>
      <w:r w:rsidR="00CA3B51" w:rsidRPr="00FD1145">
        <w:rPr>
          <w:rFonts w:eastAsia="Calibri"/>
        </w:rPr>
        <w:t>regarding</w:t>
      </w:r>
      <w:r w:rsidR="00150342" w:rsidRPr="00FD1145">
        <w:rPr>
          <w:rFonts w:eastAsia="Calibri"/>
        </w:rPr>
        <w:t xml:space="preserve"> efficacy </w:t>
      </w:r>
      <w:r w:rsidR="00343B36" w:rsidRPr="00FD1145">
        <w:rPr>
          <w:rFonts w:eastAsia="Calibri"/>
        </w:rPr>
        <w:t xml:space="preserve">remained unchanged – i.e. </w:t>
      </w:r>
      <w:r w:rsidR="00F84089" w:rsidRPr="00FD1145">
        <w:rPr>
          <w:rFonts w:eastAsia="Calibri"/>
        </w:rPr>
        <w:t>the data from the HER2CLIMB trial supported the claim that the addition of tucatinib to trastuzumab and capecitabine improved PFS and OS</w:t>
      </w:r>
      <w:r w:rsidR="00B743B3" w:rsidRPr="00FD1145">
        <w:rPr>
          <w:rFonts w:eastAsia="Calibri"/>
        </w:rPr>
        <w:t xml:space="preserve">. </w:t>
      </w:r>
      <w:r w:rsidR="00F84089" w:rsidRPr="00FD1145">
        <w:rPr>
          <w:rFonts w:eastAsia="Calibri"/>
        </w:rPr>
        <w:t>Statistically significant increases in overall response rate and PFS were also observed in those with brain metastases (paragraph 7.9, tucatinib PSD, March 2021 PBAC meeting).</w:t>
      </w:r>
      <w:r w:rsidR="008074E7" w:rsidRPr="00FD1145">
        <w:rPr>
          <w:rFonts w:eastAsia="Calibri"/>
        </w:rPr>
        <w:t xml:space="preserve"> </w:t>
      </w:r>
    </w:p>
    <w:p w14:paraId="31BA426A" w14:textId="52DD87AF" w:rsidR="00F84089" w:rsidRPr="00FD1145" w:rsidRDefault="00F84089" w:rsidP="00D136AE">
      <w:pPr>
        <w:pStyle w:val="ListParagraph"/>
        <w:ind w:left="1134"/>
        <w:rPr>
          <w:rFonts w:eastAsia="Calibri"/>
        </w:rPr>
      </w:pPr>
      <w:r w:rsidRPr="00FD1145">
        <w:rPr>
          <w:rFonts w:eastAsia="Calibri"/>
        </w:rPr>
        <w:t xml:space="preserve">The resubmission presented extended PFS and OS data from the ‘all comers’ population in HER2CLIMB and an updated exploratory analysis for the subgroup of patients with brain metastases which </w:t>
      </w:r>
      <w:r w:rsidR="002C7695" w:rsidRPr="00FD1145">
        <w:rPr>
          <w:rFonts w:eastAsia="Calibri"/>
        </w:rPr>
        <w:t>continues to</w:t>
      </w:r>
      <w:r w:rsidRPr="00FD1145">
        <w:rPr>
          <w:rFonts w:eastAsia="Calibri"/>
        </w:rPr>
        <w:t xml:space="preserve"> support for the clinical claim of superior efficacy of tucatinib (in combination with trastuzumab and capecitabine) compared to trastuzumab and capecitabine alone.</w:t>
      </w:r>
    </w:p>
    <w:p w14:paraId="048704B7" w14:textId="25E42158" w:rsidR="00F84089" w:rsidRPr="000819B6" w:rsidRDefault="00136D4B" w:rsidP="00551CEE">
      <w:pPr>
        <w:pStyle w:val="ListParagraph"/>
        <w:ind w:left="1134"/>
        <w:rPr>
          <w:rFonts w:eastAsia="Calibri"/>
        </w:rPr>
      </w:pPr>
      <w:r w:rsidRPr="00FD1145">
        <w:t>T</w:t>
      </w:r>
      <w:r w:rsidR="00F84089" w:rsidRPr="00FD1145">
        <w:t xml:space="preserve">he PBAC </w:t>
      </w:r>
      <w:r w:rsidR="00A20221" w:rsidRPr="00FD1145">
        <w:t xml:space="preserve">previously </w:t>
      </w:r>
      <w:r w:rsidR="00F84089" w:rsidRPr="00FD1145">
        <w:t xml:space="preserve">considered that tucatinib was inferior to placebo in terms of </w:t>
      </w:r>
      <w:r w:rsidR="00F84089" w:rsidRPr="00FD1145">
        <w:rPr>
          <w:rFonts w:eastAsia="Calibri"/>
        </w:rPr>
        <w:t>comparative</w:t>
      </w:r>
      <w:r w:rsidR="00F84089" w:rsidRPr="00FD1145">
        <w:t xml:space="preserve"> safety (paragraph 7.11, tucatinib PSD, March 2021 PBAC meeting). </w:t>
      </w:r>
      <w:r w:rsidR="00F84089" w:rsidRPr="00FD1145">
        <w:rPr>
          <w:rFonts w:eastAsia="Calibri"/>
        </w:rPr>
        <w:t>Extended safety data from the final analysis of HER2CLIMB (data cut 8 Feb 2021) presented in the resubmission w</w:t>
      </w:r>
      <w:r w:rsidR="00DC2192">
        <w:rPr>
          <w:rFonts w:eastAsia="Calibri"/>
        </w:rPr>
        <w:t>ere</w:t>
      </w:r>
      <w:r w:rsidR="00F84089" w:rsidRPr="00FD1145">
        <w:rPr>
          <w:rFonts w:eastAsia="Calibri"/>
        </w:rPr>
        <w:t xml:space="preserve"> consistent with that previously considered by the PBAC; gastrointestinal toxicities (e.g., diarrhoea, nausea) and hepatoxicities (e.g., </w:t>
      </w:r>
      <w:r w:rsidR="001B6A18" w:rsidRPr="00FD1145">
        <w:rPr>
          <w:rFonts w:eastAsia="Calibri"/>
        </w:rPr>
        <w:t>AST</w:t>
      </w:r>
      <w:r w:rsidR="00F84089" w:rsidRPr="00FD1145">
        <w:rPr>
          <w:rFonts w:eastAsia="Calibri"/>
        </w:rPr>
        <w:t xml:space="preserve"> and </w:t>
      </w:r>
      <w:r w:rsidR="001B6A18" w:rsidRPr="00FD1145">
        <w:rPr>
          <w:rFonts w:eastAsia="Calibri"/>
        </w:rPr>
        <w:t>ALT</w:t>
      </w:r>
      <w:r w:rsidR="00F84089" w:rsidRPr="00FD1145">
        <w:rPr>
          <w:rFonts w:eastAsia="Calibri"/>
        </w:rPr>
        <w:t xml:space="preserve">) of any grade were more commonly reported in the tucatinib </w:t>
      </w:r>
      <w:r w:rsidR="00F84089" w:rsidRPr="000819B6">
        <w:rPr>
          <w:rFonts w:eastAsia="Calibri"/>
        </w:rPr>
        <w:t xml:space="preserve">arm. </w:t>
      </w:r>
    </w:p>
    <w:p w14:paraId="7611E0D0" w14:textId="28B13164" w:rsidR="00D249DD" w:rsidRPr="000819B6" w:rsidRDefault="00D249DD" w:rsidP="00D249DD">
      <w:pPr>
        <w:widowControl w:val="0"/>
        <w:numPr>
          <w:ilvl w:val="1"/>
          <w:numId w:val="4"/>
        </w:numPr>
        <w:spacing w:after="120"/>
        <w:rPr>
          <w:rFonts w:asciiTheme="minorHAnsi" w:hAnsiTheme="minorHAnsi"/>
          <w:snapToGrid w:val="0"/>
          <w:szCs w:val="20"/>
        </w:rPr>
      </w:pPr>
      <w:bookmarkStart w:id="64" w:name="_Hlk76376200"/>
      <w:bookmarkStart w:id="65" w:name="_Ref206407458"/>
      <w:r w:rsidRPr="000819B6">
        <w:rPr>
          <w:rFonts w:asciiTheme="minorHAnsi" w:hAnsiTheme="minorHAnsi"/>
          <w:iCs/>
          <w:snapToGrid w:val="0"/>
        </w:rPr>
        <w:t>The</w:t>
      </w:r>
      <w:r w:rsidRPr="000819B6">
        <w:rPr>
          <w:rFonts w:asciiTheme="minorHAnsi" w:hAnsiTheme="minorHAnsi"/>
          <w:snapToGrid w:val="0"/>
          <w:szCs w:val="20"/>
        </w:rPr>
        <w:t xml:space="preserve"> PBAC considered that the claim of superior comparative effectiveness versus capecitabine </w:t>
      </w:r>
      <w:r w:rsidR="000819B6">
        <w:rPr>
          <w:rFonts w:asciiTheme="minorHAnsi" w:hAnsiTheme="minorHAnsi"/>
          <w:snapToGrid w:val="0"/>
          <w:szCs w:val="20"/>
        </w:rPr>
        <w:t xml:space="preserve">and </w:t>
      </w:r>
      <w:r w:rsidRPr="000819B6">
        <w:rPr>
          <w:rFonts w:asciiTheme="minorHAnsi" w:hAnsiTheme="minorHAnsi"/>
          <w:snapToGrid w:val="0"/>
          <w:szCs w:val="20"/>
        </w:rPr>
        <w:t>trastuzumab alone was reasonable</w:t>
      </w:r>
      <w:r w:rsidR="000819B6" w:rsidRPr="000819B6">
        <w:rPr>
          <w:rFonts w:asciiTheme="minorHAnsi" w:hAnsiTheme="minorHAnsi"/>
          <w:snapToGrid w:val="0"/>
          <w:szCs w:val="20"/>
        </w:rPr>
        <w:t xml:space="preserve"> </w:t>
      </w:r>
      <w:proofErr w:type="gramStart"/>
      <w:r w:rsidR="000819B6" w:rsidRPr="000819B6">
        <w:rPr>
          <w:rFonts w:asciiTheme="minorHAnsi" w:hAnsiTheme="minorHAnsi"/>
          <w:snapToGrid w:val="0"/>
          <w:szCs w:val="20"/>
        </w:rPr>
        <w:t>on the basis of</w:t>
      </w:r>
      <w:proofErr w:type="gramEnd"/>
      <w:r w:rsidR="000819B6" w:rsidRPr="000819B6">
        <w:rPr>
          <w:rFonts w:asciiTheme="minorHAnsi" w:hAnsiTheme="minorHAnsi"/>
          <w:snapToGrid w:val="0"/>
          <w:szCs w:val="20"/>
        </w:rPr>
        <w:t xml:space="preserve"> the </w:t>
      </w:r>
      <w:r w:rsidR="00E7371F" w:rsidRPr="000819B6">
        <w:rPr>
          <w:rFonts w:asciiTheme="minorHAnsi" w:hAnsiTheme="minorHAnsi"/>
          <w:snapToGrid w:val="0"/>
          <w:szCs w:val="20"/>
        </w:rPr>
        <w:t xml:space="preserve">HER2CLIMB </w:t>
      </w:r>
      <w:r w:rsidR="00E7371F">
        <w:rPr>
          <w:rFonts w:asciiTheme="minorHAnsi" w:hAnsiTheme="minorHAnsi"/>
          <w:snapToGrid w:val="0"/>
          <w:szCs w:val="20"/>
        </w:rPr>
        <w:t xml:space="preserve">trial </w:t>
      </w:r>
      <w:r w:rsidR="000819B6" w:rsidRPr="000819B6">
        <w:rPr>
          <w:rFonts w:asciiTheme="minorHAnsi" w:hAnsiTheme="minorHAnsi"/>
          <w:snapToGrid w:val="0"/>
          <w:szCs w:val="20"/>
        </w:rPr>
        <w:t>results</w:t>
      </w:r>
      <w:r w:rsidRPr="000819B6">
        <w:rPr>
          <w:rFonts w:asciiTheme="minorHAnsi" w:hAnsiTheme="minorHAnsi"/>
          <w:snapToGrid w:val="0"/>
          <w:szCs w:val="20"/>
        </w:rPr>
        <w:t>.</w:t>
      </w:r>
    </w:p>
    <w:p w14:paraId="26EA7537" w14:textId="2D1B03AF" w:rsidR="00D249DD" w:rsidRPr="000819B6" w:rsidRDefault="00D249DD" w:rsidP="00D249DD">
      <w:pPr>
        <w:widowControl w:val="0"/>
        <w:numPr>
          <w:ilvl w:val="1"/>
          <w:numId w:val="4"/>
        </w:numPr>
        <w:spacing w:after="120"/>
        <w:rPr>
          <w:rFonts w:asciiTheme="minorHAnsi" w:hAnsiTheme="minorHAnsi"/>
          <w:snapToGrid w:val="0"/>
          <w:szCs w:val="20"/>
        </w:rPr>
      </w:pPr>
      <w:r w:rsidRPr="000819B6">
        <w:rPr>
          <w:rFonts w:asciiTheme="minorHAnsi" w:hAnsiTheme="minorHAnsi"/>
          <w:snapToGrid w:val="0"/>
          <w:szCs w:val="20"/>
        </w:rPr>
        <w:t xml:space="preserve">The PBAC considered that the claim of inferior comparative safety </w:t>
      </w:r>
      <w:r w:rsidR="000819B6" w:rsidRPr="000819B6">
        <w:rPr>
          <w:rFonts w:asciiTheme="minorHAnsi" w:hAnsiTheme="minorHAnsi"/>
          <w:snapToGrid w:val="0"/>
          <w:szCs w:val="20"/>
        </w:rPr>
        <w:t xml:space="preserve">versus capecitabine plus trastuzumab alone </w:t>
      </w:r>
      <w:r w:rsidRPr="000819B6">
        <w:rPr>
          <w:rFonts w:asciiTheme="minorHAnsi" w:hAnsiTheme="minorHAnsi"/>
          <w:snapToGrid w:val="0"/>
          <w:szCs w:val="20"/>
        </w:rPr>
        <w:t>was reasonable.</w:t>
      </w:r>
    </w:p>
    <w:bookmarkEnd w:id="64"/>
    <w:p w14:paraId="4ACC90A9" w14:textId="3B122B7A" w:rsidR="00F84089" w:rsidRPr="00FD1145" w:rsidRDefault="00F84089" w:rsidP="00F84089">
      <w:pPr>
        <w:pStyle w:val="3-BodyText"/>
        <w:rPr>
          <w:rFonts w:eastAsia="Calibri"/>
        </w:rPr>
      </w:pPr>
      <w:r w:rsidRPr="00FD1145">
        <w:rPr>
          <w:rFonts w:eastAsia="Calibri"/>
        </w:rPr>
        <w:t xml:space="preserve">The resubmission described tucatinib (in combination with trastuzumab plus capecitabine) as non-inferior in terms of efficacy compared </w:t>
      </w:r>
      <w:r w:rsidR="00194718">
        <w:rPr>
          <w:rFonts w:eastAsia="Calibri"/>
        </w:rPr>
        <w:t>with</w:t>
      </w:r>
      <w:r w:rsidRPr="00FD1145">
        <w:rPr>
          <w:rFonts w:eastAsia="Calibri"/>
        </w:rPr>
        <w:t xml:space="preserve"> T-DM1 (based on the </w:t>
      </w:r>
      <w:r w:rsidRPr="00FD1145">
        <w:rPr>
          <w:rFonts w:eastAsia="Calibri"/>
        </w:rPr>
        <w:lastRenderedPageBreak/>
        <w:t xml:space="preserve">ITC using NMA and Bucher ITC methodologies) and having a different safety profile </w:t>
      </w:r>
      <w:r w:rsidR="00D30AD4" w:rsidRPr="00FD1145">
        <w:rPr>
          <w:rFonts w:eastAsia="Calibri"/>
        </w:rPr>
        <w:t>which was described as</w:t>
      </w:r>
      <w:r w:rsidRPr="00FD1145">
        <w:rPr>
          <w:rFonts w:eastAsia="Calibri"/>
        </w:rPr>
        <w:t xml:space="preserve"> manageable and tolerable (based on a side-by-side analysis of TEAEs of any grade and </w:t>
      </w:r>
      <w:r w:rsidR="00F74ACC" w:rsidRPr="00FD1145">
        <w:rPr>
          <w:rFonts w:eastAsia="Calibri"/>
        </w:rPr>
        <w:t>G</w:t>
      </w:r>
      <w:r w:rsidRPr="00FD1145">
        <w:rPr>
          <w:rFonts w:eastAsia="Calibri"/>
        </w:rPr>
        <w:t>rade ≥3 AEs from the HER2CLIMB and EMILIA trials</w:t>
      </w:r>
      <w:r w:rsidR="00CA7463" w:rsidRPr="00FD1145">
        <w:rPr>
          <w:rFonts w:eastAsia="Calibri"/>
        </w:rPr>
        <w:t>)</w:t>
      </w:r>
      <w:r w:rsidRPr="00FD1145">
        <w:rPr>
          <w:rFonts w:eastAsia="Calibri"/>
        </w:rPr>
        <w:t>.</w:t>
      </w:r>
      <w:bookmarkEnd w:id="65"/>
    </w:p>
    <w:p w14:paraId="5ABEA69F" w14:textId="2E9E2B8E" w:rsidR="00571BAB" w:rsidRPr="00FD1145" w:rsidRDefault="00F84089" w:rsidP="00D136AE">
      <w:pPr>
        <w:pStyle w:val="ListParagraph"/>
        <w:ind w:left="1134"/>
        <w:rPr>
          <w:rFonts w:eastAsia="Calibri"/>
        </w:rPr>
      </w:pPr>
      <w:r w:rsidRPr="00FD1145">
        <w:rPr>
          <w:rFonts w:eastAsia="Calibri"/>
        </w:rPr>
        <w:t xml:space="preserve">The </w:t>
      </w:r>
      <w:r w:rsidR="00740AA3" w:rsidRPr="00FD1145">
        <w:rPr>
          <w:rFonts w:eastAsia="Calibri"/>
        </w:rPr>
        <w:t xml:space="preserve">ESC considered that the </w:t>
      </w:r>
      <w:r w:rsidRPr="00FD1145">
        <w:rPr>
          <w:rFonts w:eastAsia="Calibri"/>
        </w:rPr>
        <w:t xml:space="preserve">claim of non-inferior efficacy </w:t>
      </w:r>
      <w:r w:rsidR="00B066BB" w:rsidRPr="00FD1145">
        <w:rPr>
          <w:rFonts w:eastAsia="Calibri"/>
        </w:rPr>
        <w:t>versus T-DM1</w:t>
      </w:r>
      <w:r w:rsidR="00D1131D" w:rsidRPr="00FD1145">
        <w:rPr>
          <w:rFonts w:eastAsia="Calibri"/>
        </w:rPr>
        <w:t xml:space="preserve"> may be reasonable but</w:t>
      </w:r>
      <w:r w:rsidR="00B066BB" w:rsidRPr="00FD1145">
        <w:rPr>
          <w:rFonts w:eastAsia="Calibri"/>
        </w:rPr>
        <w:t xml:space="preserve"> </w:t>
      </w:r>
      <w:r w:rsidR="00983421" w:rsidRPr="00FD1145">
        <w:rPr>
          <w:rFonts w:eastAsia="Calibri"/>
        </w:rPr>
        <w:t>wa</w:t>
      </w:r>
      <w:r w:rsidRPr="00FD1145">
        <w:rPr>
          <w:rFonts w:eastAsia="Calibri"/>
        </w:rPr>
        <w:t>s uncertain</w:t>
      </w:r>
      <w:r w:rsidR="00EE2D29" w:rsidRPr="00FD1145">
        <w:rPr>
          <w:rFonts w:eastAsia="Calibri"/>
        </w:rPr>
        <w:t xml:space="preserve"> given it was based on a multi-step indirect treatment comparison which was associated with </w:t>
      </w:r>
      <w:r w:rsidR="00F32BE2" w:rsidRPr="00FD1145">
        <w:rPr>
          <w:rFonts w:eastAsia="Calibri"/>
        </w:rPr>
        <w:t xml:space="preserve">potential </w:t>
      </w:r>
      <w:r w:rsidR="00EE2D29" w:rsidRPr="00FD1145">
        <w:rPr>
          <w:rFonts w:eastAsia="Calibri"/>
        </w:rPr>
        <w:t>t</w:t>
      </w:r>
      <w:r w:rsidR="00B164D1" w:rsidRPr="00FD1145">
        <w:rPr>
          <w:rFonts w:eastAsia="Calibri"/>
        </w:rPr>
        <w:t>ransitivity issues</w:t>
      </w:r>
      <w:r w:rsidR="00EE2D29" w:rsidRPr="00FD1145">
        <w:t xml:space="preserve"> </w:t>
      </w:r>
      <w:r w:rsidR="00EE2D29" w:rsidRPr="00FD1145">
        <w:rPr>
          <w:rFonts w:eastAsia="Calibri"/>
        </w:rPr>
        <w:t xml:space="preserve">given differences </w:t>
      </w:r>
      <w:r w:rsidR="00DA7D03" w:rsidRPr="00FD1145">
        <w:rPr>
          <w:rFonts w:eastAsia="Calibri"/>
        </w:rPr>
        <w:t xml:space="preserve">between the included trials </w:t>
      </w:r>
      <w:r w:rsidR="00EE2D29" w:rsidRPr="00FD1145">
        <w:rPr>
          <w:rFonts w:eastAsia="Calibri"/>
        </w:rPr>
        <w:t xml:space="preserve">(number of prior therapies, presence of brain metastases and functional status).  </w:t>
      </w:r>
      <w:r w:rsidR="00B164D1" w:rsidRPr="00FD1145">
        <w:rPr>
          <w:rFonts w:eastAsia="Calibri"/>
        </w:rPr>
        <w:t xml:space="preserve"> </w:t>
      </w:r>
    </w:p>
    <w:p w14:paraId="5261660C" w14:textId="31D09B28" w:rsidR="00F84089" w:rsidRDefault="00F84089" w:rsidP="005D3A0A">
      <w:pPr>
        <w:pStyle w:val="ListParagraph"/>
        <w:ind w:left="1134" w:hanging="357"/>
        <w:contextualSpacing w:val="0"/>
        <w:rPr>
          <w:rFonts w:eastAsia="Calibri"/>
        </w:rPr>
      </w:pPr>
      <w:r w:rsidRPr="00FD1145">
        <w:rPr>
          <w:rFonts w:eastAsia="Calibri"/>
        </w:rPr>
        <w:t>In terms of safety, tucatinib</w:t>
      </w:r>
      <w:r w:rsidR="001E3503" w:rsidRPr="00FD1145">
        <w:rPr>
          <w:rFonts w:eastAsia="Calibri"/>
        </w:rPr>
        <w:t>-</w:t>
      </w:r>
      <w:r w:rsidRPr="00FD1145">
        <w:rPr>
          <w:rFonts w:eastAsia="Calibri"/>
        </w:rPr>
        <w:t xml:space="preserve">based regimens demonstrated </w:t>
      </w:r>
      <w:r w:rsidR="00983421" w:rsidRPr="00FD1145">
        <w:rPr>
          <w:rFonts w:eastAsia="Calibri"/>
        </w:rPr>
        <w:t xml:space="preserve">a </w:t>
      </w:r>
      <w:r w:rsidRPr="00FD1145">
        <w:rPr>
          <w:rFonts w:eastAsia="Calibri"/>
        </w:rPr>
        <w:t xml:space="preserve">considerably greater incidence of gastrointestinal TEAEs of any grade. </w:t>
      </w:r>
      <w:r w:rsidR="00504711" w:rsidRPr="00FD1145">
        <w:rPr>
          <w:rFonts w:eastAsia="Calibri"/>
        </w:rPr>
        <w:t xml:space="preserve">The evaluation </w:t>
      </w:r>
      <w:r w:rsidR="009272DE" w:rsidRPr="00FD1145">
        <w:rPr>
          <w:rFonts w:eastAsia="Calibri"/>
        </w:rPr>
        <w:t xml:space="preserve">and the ESC </w:t>
      </w:r>
      <w:r w:rsidR="00504711" w:rsidRPr="00FD1145">
        <w:rPr>
          <w:rFonts w:eastAsia="Calibri"/>
        </w:rPr>
        <w:t xml:space="preserve">considered that </w:t>
      </w:r>
      <w:r w:rsidR="00983421" w:rsidRPr="00FD1145">
        <w:rPr>
          <w:rFonts w:eastAsia="Calibri"/>
        </w:rPr>
        <w:t xml:space="preserve">the </w:t>
      </w:r>
      <w:r w:rsidRPr="00FD1145">
        <w:rPr>
          <w:rFonts w:eastAsia="Calibri"/>
        </w:rPr>
        <w:t>AEs associated with tucatinib</w:t>
      </w:r>
      <w:r w:rsidR="00E1091D" w:rsidRPr="00FD1145">
        <w:rPr>
          <w:rFonts w:eastAsia="Calibri"/>
        </w:rPr>
        <w:t>-</w:t>
      </w:r>
      <w:r w:rsidRPr="00FD1145">
        <w:rPr>
          <w:rFonts w:eastAsia="Calibri"/>
        </w:rPr>
        <w:t xml:space="preserve">based regimens </w:t>
      </w:r>
      <w:r w:rsidR="00E1091D" w:rsidRPr="00FD1145">
        <w:rPr>
          <w:rFonts w:eastAsia="Calibri"/>
        </w:rPr>
        <w:t xml:space="preserve">were </w:t>
      </w:r>
      <w:r w:rsidRPr="00FD1145">
        <w:rPr>
          <w:rFonts w:eastAsia="Calibri"/>
        </w:rPr>
        <w:t>likely to have a greater impact on HRQoL and require greater resource use for their management than those associated with T-DM1, hence</w:t>
      </w:r>
      <w:r w:rsidR="00E1091D" w:rsidRPr="00FD1145">
        <w:rPr>
          <w:rFonts w:eastAsia="Calibri"/>
        </w:rPr>
        <w:t xml:space="preserve"> the evaluation considered that</w:t>
      </w:r>
      <w:r w:rsidRPr="00FD1145">
        <w:rPr>
          <w:rFonts w:eastAsia="Calibri"/>
        </w:rPr>
        <w:t xml:space="preserve"> a claim of inferior safety </w:t>
      </w:r>
      <w:r w:rsidR="00E1091D" w:rsidRPr="00FD1145">
        <w:rPr>
          <w:rFonts w:eastAsia="Calibri"/>
        </w:rPr>
        <w:t xml:space="preserve">would be </w:t>
      </w:r>
      <w:r w:rsidRPr="00FD1145">
        <w:rPr>
          <w:rFonts w:eastAsia="Calibri"/>
        </w:rPr>
        <w:t>more appropriate.</w:t>
      </w:r>
      <w:r w:rsidR="00217817" w:rsidRPr="00FD1145">
        <w:rPr>
          <w:rFonts w:eastAsia="Calibri"/>
        </w:rPr>
        <w:t xml:space="preserve"> </w:t>
      </w:r>
      <w:r w:rsidR="00552379" w:rsidRPr="00FD1145">
        <w:rPr>
          <w:rFonts w:eastAsia="Calibri"/>
        </w:rPr>
        <w:t xml:space="preserve">Further, the term </w:t>
      </w:r>
      <w:r w:rsidR="00342F6D">
        <w:rPr>
          <w:rFonts w:eastAsia="Calibri"/>
        </w:rPr>
        <w:t>‘</w:t>
      </w:r>
      <w:r w:rsidR="00552379" w:rsidRPr="00FD1145">
        <w:rPr>
          <w:rFonts w:eastAsia="Calibri"/>
        </w:rPr>
        <w:t>manageable</w:t>
      </w:r>
      <w:r w:rsidR="00342F6D">
        <w:rPr>
          <w:rFonts w:eastAsia="Calibri"/>
        </w:rPr>
        <w:t>’</w:t>
      </w:r>
      <w:r w:rsidR="00552379" w:rsidRPr="00FD1145">
        <w:rPr>
          <w:rFonts w:eastAsia="Calibri"/>
        </w:rPr>
        <w:t xml:space="preserve"> was not considered to be informative. </w:t>
      </w:r>
      <w:r w:rsidR="00217817" w:rsidRPr="00FD1145">
        <w:rPr>
          <w:rFonts w:eastAsia="Calibri"/>
        </w:rPr>
        <w:t>The PSCR maintained the claim of different but manageable safety</w:t>
      </w:r>
      <w:r w:rsidR="00342F6D">
        <w:rPr>
          <w:rFonts w:eastAsia="Calibri"/>
        </w:rPr>
        <w:t>,</w:t>
      </w:r>
      <w:r w:rsidR="00710372" w:rsidRPr="00FD1145">
        <w:rPr>
          <w:rFonts w:eastAsia="Calibri"/>
        </w:rPr>
        <w:t xml:space="preserve"> stating</w:t>
      </w:r>
      <w:r w:rsidR="00342F6D">
        <w:rPr>
          <w:rFonts w:eastAsia="Calibri"/>
        </w:rPr>
        <w:t>:</w:t>
      </w:r>
      <w:r w:rsidR="00217817" w:rsidRPr="00FD1145">
        <w:rPr>
          <w:rFonts w:eastAsia="Calibri"/>
        </w:rPr>
        <w:t xml:space="preserve"> </w:t>
      </w:r>
      <w:r w:rsidR="00342F6D">
        <w:rPr>
          <w:rFonts w:eastAsia="Calibri"/>
        </w:rPr>
        <w:t>‘</w:t>
      </w:r>
      <w:r w:rsidR="00710372" w:rsidRPr="00FD1145">
        <w:rPr>
          <w:rFonts w:eastAsia="Calibri"/>
        </w:rPr>
        <w:t>a</w:t>
      </w:r>
      <w:r w:rsidR="00217817" w:rsidRPr="00FD1145">
        <w:rPr>
          <w:rFonts w:eastAsia="Calibri"/>
        </w:rPr>
        <w:t xml:space="preserve"> difference in the frequency of AEs between tucatinib combination and T-DM1 monotherapy alone </w:t>
      </w:r>
      <w:r w:rsidR="003F52A4" w:rsidRPr="00FD1145">
        <w:rPr>
          <w:rFonts w:eastAsia="Calibri"/>
        </w:rPr>
        <w:t xml:space="preserve">[based on a side-by-side comparison] </w:t>
      </w:r>
      <w:r w:rsidR="00217817" w:rsidRPr="00FD1145">
        <w:rPr>
          <w:rFonts w:eastAsia="Calibri"/>
        </w:rPr>
        <w:t>does not support a conclusion of inferior safety</w:t>
      </w:r>
      <w:r w:rsidR="00342F6D">
        <w:rPr>
          <w:rFonts w:eastAsia="Calibri"/>
        </w:rPr>
        <w:t>’</w:t>
      </w:r>
      <w:r w:rsidR="00217817" w:rsidRPr="00FD1145">
        <w:rPr>
          <w:rFonts w:eastAsia="Calibri"/>
        </w:rPr>
        <w:t xml:space="preserve">. </w:t>
      </w:r>
      <w:r w:rsidR="000C0D5C" w:rsidRPr="00FD1145">
        <w:rPr>
          <w:rFonts w:eastAsia="Calibri"/>
        </w:rPr>
        <w:t>While t</w:t>
      </w:r>
      <w:r w:rsidR="00217817" w:rsidRPr="00FD1145">
        <w:rPr>
          <w:rFonts w:eastAsia="Calibri"/>
        </w:rPr>
        <w:t xml:space="preserve">he ESC </w:t>
      </w:r>
      <w:r w:rsidR="000C0D5C" w:rsidRPr="00FD1145">
        <w:rPr>
          <w:rFonts w:eastAsia="Calibri"/>
        </w:rPr>
        <w:t>agreed with the PSCR t</w:t>
      </w:r>
      <w:r w:rsidR="00217817" w:rsidRPr="00FD1145">
        <w:rPr>
          <w:rFonts w:eastAsia="Calibri"/>
        </w:rPr>
        <w:t xml:space="preserve">hat </w:t>
      </w:r>
      <w:r w:rsidR="00546E87" w:rsidRPr="00FD1145">
        <w:rPr>
          <w:rFonts w:eastAsia="Calibri"/>
        </w:rPr>
        <w:t>it was</w:t>
      </w:r>
      <w:r w:rsidR="00217817" w:rsidRPr="00FD1145">
        <w:rPr>
          <w:rFonts w:eastAsia="Calibri"/>
        </w:rPr>
        <w:t xml:space="preserve"> important to consider the nature of the toxicities</w:t>
      </w:r>
      <w:r w:rsidR="00546E87" w:rsidRPr="00FD1145">
        <w:rPr>
          <w:rFonts w:eastAsia="Calibri"/>
        </w:rPr>
        <w:t xml:space="preserve">, </w:t>
      </w:r>
      <w:r w:rsidR="000C0D5C" w:rsidRPr="00FD1145">
        <w:rPr>
          <w:rFonts w:eastAsia="Calibri"/>
        </w:rPr>
        <w:t>the ESC</w:t>
      </w:r>
      <w:r w:rsidR="00546E87" w:rsidRPr="00FD1145">
        <w:rPr>
          <w:rFonts w:eastAsia="Calibri"/>
        </w:rPr>
        <w:t xml:space="preserve"> </w:t>
      </w:r>
      <w:r w:rsidR="000C0D5C" w:rsidRPr="00FD1145">
        <w:rPr>
          <w:rFonts w:eastAsia="Calibri"/>
        </w:rPr>
        <w:t>considered that the</w:t>
      </w:r>
      <w:r w:rsidR="00217817" w:rsidRPr="00FD1145">
        <w:rPr>
          <w:rFonts w:eastAsia="Calibri"/>
        </w:rPr>
        <w:t xml:space="preserve"> G</w:t>
      </w:r>
      <w:r w:rsidR="000C0D5C" w:rsidRPr="00FD1145">
        <w:rPr>
          <w:rFonts w:eastAsia="Calibri"/>
        </w:rPr>
        <w:t xml:space="preserve">rade </w:t>
      </w:r>
      <w:r w:rsidR="00217817" w:rsidRPr="00FD1145">
        <w:rPr>
          <w:rFonts w:eastAsia="Calibri"/>
        </w:rPr>
        <w:t xml:space="preserve">3+ </w:t>
      </w:r>
      <w:r w:rsidR="000C0D5C" w:rsidRPr="00FD1145">
        <w:rPr>
          <w:rFonts w:eastAsia="Calibri"/>
        </w:rPr>
        <w:t>gastrointestinal</w:t>
      </w:r>
      <w:r w:rsidR="00217817" w:rsidRPr="00FD1145">
        <w:rPr>
          <w:rFonts w:eastAsia="Calibri"/>
        </w:rPr>
        <w:t xml:space="preserve"> toxicit</w:t>
      </w:r>
      <w:r w:rsidR="000C0D5C" w:rsidRPr="00FD1145">
        <w:rPr>
          <w:rFonts w:eastAsia="Calibri"/>
        </w:rPr>
        <w:t>ies associated</w:t>
      </w:r>
      <w:r w:rsidR="00217817" w:rsidRPr="00FD1145">
        <w:rPr>
          <w:rFonts w:eastAsia="Calibri"/>
        </w:rPr>
        <w:t xml:space="preserve"> with tucatinib </w:t>
      </w:r>
      <w:r w:rsidR="000F3CD7" w:rsidRPr="00FD1145">
        <w:t>plus trastuzumab and capecitabine</w:t>
      </w:r>
      <w:r w:rsidR="000F3CD7" w:rsidRPr="00FD1145">
        <w:rPr>
          <w:rFonts w:eastAsia="Calibri"/>
        </w:rPr>
        <w:t xml:space="preserve"> </w:t>
      </w:r>
      <w:r w:rsidR="00217817" w:rsidRPr="00FD1145">
        <w:rPr>
          <w:rFonts w:eastAsia="Calibri"/>
        </w:rPr>
        <w:t xml:space="preserve">(13% diarrhoea) </w:t>
      </w:r>
      <w:r w:rsidR="000C0D5C" w:rsidRPr="00FD1145">
        <w:rPr>
          <w:rFonts w:eastAsia="Calibri"/>
        </w:rPr>
        <w:t>were likely to have a greater impact on health-related quality of life</w:t>
      </w:r>
      <w:r w:rsidR="00217817" w:rsidRPr="00FD1145">
        <w:rPr>
          <w:rFonts w:eastAsia="Calibri"/>
        </w:rPr>
        <w:t xml:space="preserve"> than </w:t>
      </w:r>
      <w:r w:rsidR="000C0D5C" w:rsidRPr="00FD1145">
        <w:rPr>
          <w:rFonts w:eastAsia="Calibri"/>
        </w:rPr>
        <w:t xml:space="preserve">the Grade </w:t>
      </w:r>
      <w:r w:rsidR="00217817" w:rsidRPr="00FD1145">
        <w:rPr>
          <w:rFonts w:eastAsia="Calibri"/>
        </w:rPr>
        <w:t xml:space="preserve">3+ thrombocytopaenia </w:t>
      </w:r>
      <w:r w:rsidR="000C0D5C" w:rsidRPr="00FD1145">
        <w:rPr>
          <w:rFonts w:eastAsia="Calibri"/>
        </w:rPr>
        <w:t xml:space="preserve">associated </w:t>
      </w:r>
      <w:r w:rsidR="00217817" w:rsidRPr="00FD1145">
        <w:rPr>
          <w:rFonts w:eastAsia="Calibri"/>
        </w:rPr>
        <w:t>with TDM-1 (13% platelets &lt;50</w:t>
      </w:r>
      <w:r w:rsidR="00621DF3" w:rsidRPr="00FD1145">
        <w:rPr>
          <w:rFonts w:eastAsia="Calibri"/>
        </w:rPr>
        <w:t> </w:t>
      </w:r>
      <w:r w:rsidR="00217817" w:rsidRPr="00FD1145">
        <w:rPr>
          <w:rFonts w:eastAsia="Calibri"/>
        </w:rPr>
        <w:t>x10</w:t>
      </w:r>
      <w:r w:rsidR="00217817" w:rsidRPr="00FD1145">
        <w:rPr>
          <w:rFonts w:eastAsia="Calibri"/>
          <w:vertAlign w:val="superscript"/>
        </w:rPr>
        <w:t>9</w:t>
      </w:r>
      <w:r w:rsidR="00217817" w:rsidRPr="00FD1145">
        <w:rPr>
          <w:rFonts w:eastAsia="Calibri"/>
        </w:rPr>
        <w:t>/L)</w:t>
      </w:r>
      <w:r w:rsidR="000C0D5C" w:rsidRPr="00FD1145">
        <w:rPr>
          <w:rFonts w:eastAsia="Calibri"/>
        </w:rPr>
        <w:t xml:space="preserve">, indicating </w:t>
      </w:r>
      <w:r w:rsidR="00767FF0" w:rsidRPr="00FD1145">
        <w:rPr>
          <w:rFonts w:eastAsia="Calibri"/>
        </w:rPr>
        <w:t xml:space="preserve">that tucatinib </w:t>
      </w:r>
      <w:r w:rsidR="0050724B" w:rsidRPr="00FD1145">
        <w:t xml:space="preserve">plus trastuzumab and capecitabine </w:t>
      </w:r>
      <w:r w:rsidR="006C5EB1" w:rsidRPr="00FD1145">
        <w:rPr>
          <w:rFonts w:eastAsia="Calibri"/>
        </w:rPr>
        <w:t>was likely</w:t>
      </w:r>
      <w:r w:rsidR="00767FF0" w:rsidRPr="00FD1145">
        <w:rPr>
          <w:rFonts w:eastAsia="Calibri"/>
        </w:rPr>
        <w:t xml:space="preserve"> associated with inferior safety versus T-DM1</w:t>
      </w:r>
      <w:r w:rsidR="00D01B61" w:rsidRPr="00FD1145">
        <w:rPr>
          <w:rFonts w:eastAsia="Calibri"/>
        </w:rPr>
        <w:t xml:space="preserve"> alone</w:t>
      </w:r>
      <w:r w:rsidR="00767FF0" w:rsidRPr="00FD1145">
        <w:rPr>
          <w:rFonts w:eastAsia="Calibri"/>
        </w:rPr>
        <w:t>.</w:t>
      </w:r>
    </w:p>
    <w:p w14:paraId="64879A21" w14:textId="6F2465F8" w:rsidR="00DF463B" w:rsidRPr="00FD1145" w:rsidRDefault="00077D96" w:rsidP="005D3A0A">
      <w:pPr>
        <w:pStyle w:val="3-BodyText"/>
        <w:rPr>
          <w:rFonts w:eastAsia="Calibri"/>
        </w:rPr>
      </w:pPr>
      <w:r w:rsidRPr="007668CA">
        <w:rPr>
          <w:snapToGrid w:val="0"/>
          <w:lang w:eastAsia="en-US"/>
        </w:rPr>
        <w:t>The</w:t>
      </w:r>
      <w:r w:rsidRPr="006D3CD1">
        <w:rPr>
          <w:snapToGrid w:val="0"/>
          <w:lang w:eastAsia="en-US"/>
        </w:rPr>
        <w:t xml:space="preserve"> PBAC considered that the</w:t>
      </w:r>
      <w:r w:rsidRPr="007668CA">
        <w:rPr>
          <w:snapToGrid w:val="0"/>
          <w:lang w:eastAsia="en-US"/>
        </w:rPr>
        <w:t xml:space="preserve"> claim </w:t>
      </w:r>
      <w:r w:rsidR="00DC35F6" w:rsidRPr="007668CA">
        <w:rPr>
          <w:snapToGrid w:val="0"/>
          <w:lang w:eastAsia="en-US"/>
        </w:rPr>
        <w:t xml:space="preserve">versus T-DM1 </w:t>
      </w:r>
      <w:r w:rsidR="00DC35F6">
        <w:rPr>
          <w:snapToGrid w:val="0"/>
          <w:lang w:eastAsia="en-US"/>
        </w:rPr>
        <w:t>(i.e.</w:t>
      </w:r>
      <w:r w:rsidRPr="007668CA">
        <w:rPr>
          <w:snapToGrid w:val="0"/>
          <w:lang w:eastAsia="en-US"/>
        </w:rPr>
        <w:t xml:space="preserve"> non-inferior effectiveness </w:t>
      </w:r>
      <w:r>
        <w:rPr>
          <w:snapToGrid w:val="0"/>
          <w:lang w:eastAsia="en-US"/>
        </w:rPr>
        <w:t>and a different but manageable/tolerable safety profile</w:t>
      </w:r>
      <w:r w:rsidR="00DC35F6">
        <w:rPr>
          <w:snapToGrid w:val="0"/>
          <w:lang w:eastAsia="en-US"/>
        </w:rPr>
        <w:t>)</w:t>
      </w:r>
      <w:r>
        <w:rPr>
          <w:snapToGrid w:val="0"/>
          <w:lang w:eastAsia="en-US"/>
        </w:rPr>
        <w:t xml:space="preserve"> </w:t>
      </w:r>
      <w:r w:rsidRPr="007668CA">
        <w:rPr>
          <w:snapToGrid w:val="0"/>
          <w:lang w:eastAsia="en-US"/>
        </w:rPr>
        <w:t xml:space="preserve">was </w:t>
      </w:r>
      <w:r>
        <w:rPr>
          <w:snapToGrid w:val="0"/>
          <w:lang w:eastAsia="en-US"/>
        </w:rPr>
        <w:t>not relevant as the Committee did not accept that T-DM1 was a relevant comparator.</w:t>
      </w:r>
    </w:p>
    <w:p w14:paraId="7D94BE76" w14:textId="77777777" w:rsidR="00F84089" w:rsidRPr="00FD1145" w:rsidRDefault="00F84089" w:rsidP="00230B9C">
      <w:pPr>
        <w:pStyle w:val="4-SubsectionHeading"/>
      </w:pPr>
      <w:bookmarkStart w:id="66" w:name="_Toc208931310"/>
      <w:r w:rsidRPr="00FD1145">
        <w:t>Economic analysis</w:t>
      </w:r>
      <w:bookmarkEnd w:id="66"/>
      <w:r w:rsidRPr="00FD1145">
        <w:t xml:space="preserve"> </w:t>
      </w:r>
    </w:p>
    <w:p w14:paraId="510D274D" w14:textId="105C8B2F" w:rsidR="00DB75F0" w:rsidRPr="00FD1145" w:rsidRDefault="00F84089" w:rsidP="00F84089">
      <w:pPr>
        <w:pStyle w:val="3-BodyText"/>
        <w:rPr>
          <w:b/>
          <w:bCs/>
          <w:color w:val="0066FF"/>
        </w:rPr>
      </w:pPr>
      <w:r w:rsidRPr="00FD1145">
        <w:t xml:space="preserve">The resubmission presented two economic evaluations: a CUA comparing tucatinib plus trastuzumab and capecitabine against placebo plus trastuzumab and capecitabine, </w:t>
      </w:r>
      <w:proofErr w:type="gramStart"/>
      <w:r w:rsidRPr="00FD1145">
        <w:t>similar to</w:t>
      </w:r>
      <w:proofErr w:type="gramEnd"/>
      <w:r w:rsidRPr="00FD1145">
        <w:t xml:space="preserve"> that considered by the PBAC at the March 2021 meeting, and a CMA comparing tucatinib plus trastuzumab and capecitabine against T-DM1, new to the resubmission due to the nomination of T-DM1 as a relevant comparator. The choice of methods is appropriate for the respective clinical claims. </w:t>
      </w:r>
      <w:r w:rsidR="00DC1ED4" w:rsidRPr="00FD1145">
        <w:t>The proposed effective price (</w:t>
      </w:r>
      <w:r w:rsidR="00DC1ED4" w:rsidRPr="00FD1145">
        <w:fldChar w:fldCharType="begin"/>
      </w:r>
      <w:r w:rsidR="00DC1ED4" w:rsidRPr="00FD1145">
        <w:instrText xml:space="preserve"> REF _Ref206407859 \h  \* MERGEFORMAT </w:instrText>
      </w:r>
      <w:r w:rsidR="00DC1ED4" w:rsidRPr="00FD1145">
        <w:fldChar w:fldCharType="separate"/>
      </w:r>
      <w:r w:rsidR="009B3037" w:rsidRPr="00C33092">
        <w:t xml:space="preserve">Table </w:t>
      </w:r>
      <w:r w:rsidR="009B3037">
        <w:rPr>
          <w:noProof/>
        </w:rPr>
        <w:t>3</w:t>
      </w:r>
      <w:r w:rsidR="00DC1ED4" w:rsidRPr="00FD1145">
        <w:fldChar w:fldCharType="end"/>
      </w:r>
      <w:r w:rsidR="00DC1ED4" w:rsidRPr="00FD1145">
        <w:t>) for tucatinib was derived by combining results from the CUA and CMA with a 50:50 utilisation split across comparators.</w:t>
      </w:r>
    </w:p>
    <w:p w14:paraId="728D07F2" w14:textId="19ADFB6A" w:rsidR="00E5082C" w:rsidRPr="00FD1145" w:rsidRDefault="00E5082C" w:rsidP="00A378DF">
      <w:pPr>
        <w:pStyle w:val="5-SubsectionSubheading"/>
        <w:rPr>
          <w:lang w:eastAsia="en-US"/>
        </w:rPr>
      </w:pPr>
      <w:bookmarkStart w:id="67" w:name="_Toc208931311"/>
      <w:r w:rsidRPr="00FD1145">
        <w:rPr>
          <w:lang w:eastAsia="en-US"/>
        </w:rPr>
        <w:t>Cost-utility analysis v</w:t>
      </w:r>
      <w:r w:rsidR="00A378DF" w:rsidRPr="00FD1145">
        <w:rPr>
          <w:lang w:eastAsia="en-US"/>
        </w:rPr>
        <w:t>ersu</w:t>
      </w:r>
      <w:r w:rsidRPr="00FD1145">
        <w:rPr>
          <w:lang w:eastAsia="en-US"/>
        </w:rPr>
        <w:t>s</w:t>
      </w:r>
      <w:r w:rsidR="00A378DF" w:rsidRPr="00FD1145">
        <w:rPr>
          <w:lang w:eastAsia="en-US"/>
        </w:rPr>
        <w:t xml:space="preserve"> trastuzumab and capecitabine alone</w:t>
      </w:r>
      <w:bookmarkEnd w:id="67"/>
    </w:p>
    <w:p w14:paraId="4E5BA87B" w14:textId="722ECDDB" w:rsidR="00F84089" w:rsidRPr="00FD1145" w:rsidRDefault="00F84089" w:rsidP="00F84089">
      <w:pPr>
        <w:pStyle w:val="3-BodyText"/>
        <w:rPr>
          <w:b/>
          <w:bCs/>
          <w:color w:val="0066FF"/>
        </w:rPr>
      </w:pPr>
      <w:r w:rsidRPr="00FD1145">
        <w:t xml:space="preserve">The model structure was unchanged from the previous submission; key updates included longer OS follow-up (8 Feb 2021 cut-off), use of </w:t>
      </w:r>
      <w:r w:rsidR="00DF4255" w:rsidRPr="00FD1145">
        <w:t>Kaplan Meier (</w:t>
      </w:r>
      <w:r w:rsidRPr="00FD1145">
        <w:t>K-M</w:t>
      </w:r>
      <w:r w:rsidR="00DF4255" w:rsidRPr="00FD1145">
        <w:t>)</w:t>
      </w:r>
      <w:r w:rsidRPr="00FD1145">
        <w:t xml:space="preserve"> data to </w:t>
      </w:r>
      <w:r w:rsidR="00D74256" w:rsidRPr="00FD1145">
        <w:t xml:space="preserve">approximately </w:t>
      </w:r>
      <w:r w:rsidRPr="00FD1145">
        <w:t xml:space="preserve">20% at-risk point for OS, PFS and </w:t>
      </w:r>
      <w:r w:rsidR="009517F0" w:rsidRPr="00FD1145">
        <w:t>time to discontinuation (</w:t>
      </w:r>
      <w:r w:rsidRPr="00FD1145">
        <w:t>TTD</w:t>
      </w:r>
      <w:r w:rsidR="009517F0" w:rsidRPr="00FD1145">
        <w:t>)</w:t>
      </w:r>
      <w:r w:rsidRPr="00FD1145">
        <w:t xml:space="preserve">, </w:t>
      </w:r>
      <w:r w:rsidRPr="00FD1145">
        <w:lastRenderedPageBreak/>
        <w:t xml:space="preserve">provision of TTD K-M curves, revised handling of dose intensity and tablet pricing (flat price per mg; trial dose-distribution). </w:t>
      </w:r>
    </w:p>
    <w:p w14:paraId="24BF643F" w14:textId="4E458CDE" w:rsidR="00F84089" w:rsidRPr="00FD1145" w:rsidRDefault="00F84089" w:rsidP="002213C2">
      <w:pPr>
        <w:pStyle w:val="Caption"/>
        <w:jc w:val="left"/>
        <w:rPr>
          <w:rStyle w:val="CommentReference"/>
          <w:b/>
          <w:szCs w:val="24"/>
        </w:rPr>
      </w:pPr>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13</w:t>
      </w:r>
      <w:r w:rsidR="007000FA">
        <w:rPr>
          <w:noProof/>
        </w:rPr>
        <w:fldChar w:fldCharType="end"/>
      </w:r>
      <w:r w:rsidRPr="00FD1145">
        <w:t>:</w:t>
      </w:r>
      <w:r w:rsidRPr="00FD1145">
        <w:rPr>
          <w:rStyle w:val="CommentReference"/>
          <w:b/>
          <w:szCs w:val="24"/>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Summary of model structure, key inputs and rationale"/>
      </w:tblPr>
      <w:tblGrid>
        <w:gridCol w:w="1464"/>
        <w:gridCol w:w="3776"/>
        <w:gridCol w:w="3776"/>
      </w:tblGrid>
      <w:tr w:rsidR="00F84089" w:rsidRPr="00FD1145" w14:paraId="43087FF6" w14:textId="77777777" w:rsidTr="008B1086">
        <w:trPr>
          <w:tblHeader/>
        </w:trPr>
        <w:tc>
          <w:tcPr>
            <w:tcW w:w="812" w:type="pct"/>
            <w:vAlign w:val="center"/>
          </w:tcPr>
          <w:p w14:paraId="5D759CC7" w14:textId="77777777" w:rsidR="00F84089" w:rsidRPr="00FD1145" w:rsidRDefault="00F84089" w:rsidP="002213C2">
            <w:pPr>
              <w:pStyle w:val="In-tableHeading"/>
            </w:pPr>
            <w:r w:rsidRPr="00FD1145">
              <w:t>Component</w:t>
            </w:r>
          </w:p>
        </w:tc>
        <w:tc>
          <w:tcPr>
            <w:tcW w:w="2094" w:type="pct"/>
            <w:vAlign w:val="center"/>
          </w:tcPr>
          <w:p w14:paraId="040C5A9C" w14:textId="77777777" w:rsidR="00F84089" w:rsidRPr="00FD1145" w:rsidRDefault="00F84089" w:rsidP="002213C2">
            <w:pPr>
              <w:pStyle w:val="In-tableHeading"/>
            </w:pPr>
            <w:r w:rsidRPr="00FD1145">
              <w:t>Summary</w:t>
            </w:r>
          </w:p>
        </w:tc>
        <w:tc>
          <w:tcPr>
            <w:tcW w:w="2094" w:type="pct"/>
          </w:tcPr>
          <w:p w14:paraId="68FCBDC1" w14:textId="77777777" w:rsidR="00F84089" w:rsidRPr="00FD1145" w:rsidRDefault="00F84089" w:rsidP="002213C2">
            <w:pPr>
              <w:pStyle w:val="In-tableHeading"/>
            </w:pPr>
            <w:r w:rsidRPr="00FD1145">
              <w:t>Key changes vs March 2021 submission</w:t>
            </w:r>
          </w:p>
        </w:tc>
      </w:tr>
      <w:tr w:rsidR="00F84089" w:rsidRPr="00FD1145" w14:paraId="6D2A2FFB" w14:textId="77777777" w:rsidTr="008B1086">
        <w:tc>
          <w:tcPr>
            <w:tcW w:w="812" w:type="pct"/>
            <w:vAlign w:val="center"/>
          </w:tcPr>
          <w:p w14:paraId="2E2B30A9" w14:textId="77777777" w:rsidR="00F84089" w:rsidRPr="00FD1145" w:rsidRDefault="00F84089" w:rsidP="002213C2">
            <w:pPr>
              <w:pStyle w:val="TableText0"/>
            </w:pPr>
            <w:r w:rsidRPr="00FD1145">
              <w:t>Time horizon</w:t>
            </w:r>
          </w:p>
        </w:tc>
        <w:tc>
          <w:tcPr>
            <w:tcW w:w="2094" w:type="pct"/>
            <w:vAlign w:val="center"/>
          </w:tcPr>
          <w:p w14:paraId="49F68123" w14:textId="77777777" w:rsidR="00F84089" w:rsidRPr="00FD1145" w:rsidRDefault="00F84089" w:rsidP="002213C2">
            <w:pPr>
              <w:pStyle w:val="TableText0"/>
            </w:pPr>
            <w:r w:rsidRPr="00FD1145">
              <w:t>10 years in the base case versus 29.6 months OS follow-up (133 weeks tucatinib; 117 weeks comparator) and 10.4 months PFS (48 vs 33 weeks) in trial</w:t>
            </w:r>
          </w:p>
        </w:tc>
        <w:tc>
          <w:tcPr>
            <w:tcW w:w="2094" w:type="pct"/>
          </w:tcPr>
          <w:p w14:paraId="10C4E8F8" w14:textId="3E188611" w:rsidR="00F84089" w:rsidRPr="00FD1145" w:rsidRDefault="00F84089" w:rsidP="002213C2">
            <w:pPr>
              <w:pStyle w:val="TableText0"/>
            </w:pPr>
            <w:r w:rsidRPr="00FD1145">
              <w:t xml:space="preserve">Time horizon unchanged; PBAC </w:t>
            </w:r>
            <w:r w:rsidR="00D673D0">
              <w:t xml:space="preserve">previously </w:t>
            </w:r>
            <w:r w:rsidRPr="00FD1145">
              <w:t xml:space="preserve">considered </w:t>
            </w:r>
            <w:r w:rsidR="00342F6D">
              <w:t>‘</w:t>
            </w:r>
            <w:r w:rsidRPr="00FD1145">
              <w:t xml:space="preserve">a five-year time horizon would be more appropriate for patients with </w:t>
            </w:r>
            <w:proofErr w:type="spellStart"/>
            <w:r w:rsidRPr="00FD1145">
              <w:t>mBC</w:t>
            </w:r>
            <w:proofErr w:type="spellEnd"/>
            <w:r w:rsidRPr="00FD1145">
              <w:t>, and particularly those with brain metastases</w:t>
            </w:r>
            <w:r w:rsidR="00342F6D">
              <w:t>’</w:t>
            </w:r>
            <w:r w:rsidRPr="00FD1145">
              <w:t xml:space="preserve"> (</w:t>
            </w:r>
            <w:r w:rsidR="00C22038" w:rsidRPr="00FD1145">
              <w:t>paragraph</w:t>
            </w:r>
            <w:r w:rsidRPr="00FD1145">
              <w:t xml:space="preserve"> 7.13, tucatinib</w:t>
            </w:r>
            <w:r w:rsidR="00E321C3" w:rsidRPr="00FD1145">
              <w:t xml:space="preserve"> PSD</w:t>
            </w:r>
            <w:r w:rsidRPr="00FD1145">
              <w:t xml:space="preserve">, March 2021 PBAC meeting); The submission stated that a 10-year horizon was justified because 15.4% of patients remained alive at five years based on the updated OS data, and shorter horizons would underestimate long-term benefit; scenarios at 5 and 7.5 years presented. </w:t>
            </w:r>
          </w:p>
        </w:tc>
      </w:tr>
      <w:tr w:rsidR="00F84089" w:rsidRPr="00FD1145" w14:paraId="67B61312" w14:textId="77777777" w:rsidTr="008B1086">
        <w:tc>
          <w:tcPr>
            <w:tcW w:w="812" w:type="pct"/>
            <w:shd w:val="clear" w:color="auto" w:fill="B8CCE4" w:themeFill="accent1" w:themeFillTint="66"/>
            <w:vAlign w:val="center"/>
          </w:tcPr>
          <w:p w14:paraId="067FB1BD" w14:textId="77777777" w:rsidR="00F84089" w:rsidRPr="00FD1145" w:rsidRDefault="00F84089" w:rsidP="002213C2">
            <w:pPr>
              <w:pStyle w:val="TableText0"/>
            </w:pPr>
            <w:r w:rsidRPr="00FD1145">
              <w:t>Outcomes</w:t>
            </w:r>
          </w:p>
        </w:tc>
        <w:tc>
          <w:tcPr>
            <w:tcW w:w="2094" w:type="pct"/>
            <w:shd w:val="clear" w:color="auto" w:fill="B8CCE4" w:themeFill="accent1" w:themeFillTint="66"/>
            <w:vAlign w:val="center"/>
          </w:tcPr>
          <w:p w14:paraId="6BD25562" w14:textId="77777777" w:rsidR="00F84089" w:rsidRPr="00FD1145" w:rsidRDefault="00F84089" w:rsidP="002213C2">
            <w:pPr>
              <w:pStyle w:val="TableText0"/>
            </w:pPr>
            <w:r w:rsidRPr="00FD1145">
              <w:t>LYs and QALYs</w:t>
            </w:r>
          </w:p>
        </w:tc>
        <w:tc>
          <w:tcPr>
            <w:tcW w:w="2094" w:type="pct"/>
            <w:shd w:val="clear" w:color="auto" w:fill="B8CCE4" w:themeFill="accent1" w:themeFillTint="66"/>
          </w:tcPr>
          <w:p w14:paraId="7F227381" w14:textId="77777777" w:rsidR="00F84089" w:rsidRPr="00FD1145" w:rsidRDefault="00F84089" w:rsidP="002213C2">
            <w:pPr>
              <w:pStyle w:val="TableText0"/>
            </w:pPr>
            <w:r w:rsidRPr="00FD1145">
              <w:t>Unchanged</w:t>
            </w:r>
          </w:p>
        </w:tc>
      </w:tr>
      <w:tr w:rsidR="00F84089" w:rsidRPr="00FD1145" w14:paraId="1BD36B81" w14:textId="77777777" w:rsidTr="008B1086">
        <w:tc>
          <w:tcPr>
            <w:tcW w:w="812" w:type="pct"/>
            <w:shd w:val="clear" w:color="auto" w:fill="B8CCE4" w:themeFill="accent1" w:themeFillTint="66"/>
            <w:vAlign w:val="center"/>
          </w:tcPr>
          <w:p w14:paraId="4F069971" w14:textId="77777777" w:rsidR="00F84089" w:rsidRPr="00FD1145" w:rsidRDefault="00F84089" w:rsidP="002213C2">
            <w:pPr>
              <w:pStyle w:val="TableText0"/>
            </w:pPr>
            <w:r w:rsidRPr="00FD1145">
              <w:t>Methods used to generate results</w:t>
            </w:r>
          </w:p>
        </w:tc>
        <w:tc>
          <w:tcPr>
            <w:tcW w:w="2094" w:type="pct"/>
            <w:shd w:val="clear" w:color="auto" w:fill="B8CCE4" w:themeFill="accent1" w:themeFillTint="66"/>
            <w:vAlign w:val="center"/>
          </w:tcPr>
          <w:p w14:paraId="4B396036" w14:textId="77777777" w:rsidR="00F84089" w:rsidRPr="00FD1145" w:rsidRDefault="00F84089" w:rsidP="002213C2">
            <w:pPr>
              <w:pStyle w:val="TableText0"/>
            </w:pPr>
            <w:r w:rsidRPr="00FD1145">
              <w:t>Cohort partitioned survival model in Excel; weekly cycles; 5% discount rate for costs and outcomes; treatment duration from time to treatment discontinuation (TTD).</w:t>
            </w:r>
          </w:p>
        </w:tc>
        <w:tc>
          <w:tcPr>
            <w:tcW w:w="2094" w:type="pct"/>
            <w:shd w:val="clear" w:color="auto" w:fill="B8CCE4" w:themeFill="accent1" w:themeFillTint="66"/>
          </w:tcPr>
          <w:p w14:paraId="732CE17D" w14:textId="77777777" w:rsidR="00F84089" w:rsidRPr="00FD1145" w:rsidRDefault="00F84089" w:rsidP="002213C2">
            <w:pPr>
              <w:pStyle w:val="TableText0"/>
            </w:pPr>
            <w:r w:rsidRPr="00FD1145">
              <w:t>Unchanged</w:t>
            </w:r>
          </w:p>
        </w:tc>
      </w:tr>
      <w:tr w:rsidR="00F84089" w:rsidRPr="00FD1145" w14:paraId="7FADB85F" w14:textId="77777777" w:rsidTr="008B1086">
        <w:tc>
          <w:tcPr>
            <w:tcW w:w="812" w:type="pct"/>
            <w:shd w:val="clear" w:color="auto" w:fill="B8CCE4" w:themeFill="accent1" w:themeFillTint="66"/>
            <w:vAlign w:val="center"/>
          </w:tcPr>
          <w:p w14:paraId="18CFE757" w14:textId="77777777" w:rsidR="00F84089" w:rsidRPr="00FD1145" w:rsidRDefault="00F84089" w:rsidP="002213C2">
            <w:pPr>
              <w:pStyle w:val="TableText0"/>
            </w:pPr>
            <w:r w:rsidRPr="00FD1145">
              <w:t>Health states</w:t>
            </w:r>
          </w:p>
        </w:tc>
        <w:tc>
          <w:tcPr>
            <w:tcW w:w="2094" w:type="pct"/>
            <w:shd w:val="clear" w:color="auto" w:fill="B8CCE4" w:themeFill="accent1" w:themeFillTint="66"/>
            <w:vAlign w:val="center"/>
          </w:tcPr>
          <w:p w14:paraId="7AEAC646" w14:textId="77777777" w:rsidR="00F84089" w:rsidRPr="00FD1145" w:rsidRDefault="00F84089" w:rsidP="002213C2">
            <w:pPr>
              <w:pStyle w:val="TableText0"/>
            </w:pPr>
            <w:r w:rsidRPr="00FD1145">
              <w:t>Progression-free; Progressed; Dead</w:t>
            </w:r>
          </w:p>
        </w:tc>
        <w:tc>
          <w:tcPr>
            <w:tcW w:w="2094" w:type="pct"/>
            <w:shd w:val="clear" w:color="auto" w:fill="B8CCE4" w:themeFill="accent1" w:themeFillTint="66"/>
          </w:tcPr>
          <w:p w14:paraId="1BC56B2F" w14:textId="77777777" w:rsidR="00F84089" w:rsidRPr="00FD1145" w:rsidRDefault="00F84089" w:rsidP="002213C2">
            <w:pPr>
              <w:pStyle w:val="TableText0"/>
            </w:pPr>
            <w:r w:rsidRPr="00FD1145">
              <w:t>Unchanged</w:t>
            </w:r>
          </w:p>
        </w:tc>
      </w:tr>
      <w:tr w:rsidR="00F84089" w:rsidRPr="00FD1145" w14:paraId="2C82D7EA" w14:textId="77777777" w:rsidTr="008B1086">
        <w:tc>
          <w:tcPr>
            <w:tcW w:w="812" w:type="pct"/>
            <w:shd w:val="clear" w:color="auto" w:fill="B8CCE4" w:themeFill="accent1" w:themeFillTint="66"/>
            <w:vAlign w:val="center"/>
          </w:tcPr>
          <w:p w14:paraId="46870D99" w14:textId="77777777" w:rsidR="00F84089" w:rsidRPr="00FD1145" w:rsidRDefault="00F84089" w:rsidP="002213C2">
            <w:pPr>
              <w:pStyle w:val="TableText0"/>
            </w:pPr>
            <w:r w:rsidRPr="00FD1145">
              <w:t>Cycle length</w:t>
            </w:r>
          </w:p>
        </w:tc>
        <w:tc>
          <w:tcPr>
            <w:tcW w:w="2094" w:type="pct"/>
            <w:shd w:val="clear" w:color="auto" w:fill="B8CCE4" w:themeFill="accent1" w:themeFillTint="66"/>
            <w:vAlign w:val="center"/>
          </w:tcPr>
          <w:p w14:paraId="46216E70" w14:textId="77777777" w:rsidR="00F84089" w:rsidRPr="00FD1145" w:rsidRDefault="00F84089" w:rsidP="002213C2">
            <w:pPr>
              <w:pStyle w:val="TableText0"/>
            </w:pPr>
            <w:r w:rsidRPr="00FD1145">
              <w:t>1 week; no half</w:t>
            </w:r>
            <w:r w:rsidRPr="00FD1145">
              <w:rPr>
                <w:rFonts w:ascii="Cambria Math" w:hAnsi="Cambria Math" w:cs="Cambria Math"/>
              </w:rPr>
              <w:t>‑</w:t>
            </w:r>
            <w:r w:rsidRPr="00FD1145">
              <w:t>cycle correction (cycle length considered short relative to horizon).</w:t>
            </w:r>
          </w:p>
        </w:tc>
        <w:tc>
          <w:tcPr>
            <w:tcW w:w="2094" w:type="pct"/>
            <w:shd w:val="clear" w:color="auto" w:fill="B8CCE4" w:themeFill="accent1" w:themeFillTint="66"/>
          </w:tcPr>
          <w:p w14:paraId="0B969FF3" w14:textId="77777777" w:rsidR="00F84089" w:rsidRPr="00FD1145" w:rsidRDefault="00F84089" w:rsidP="002213C2">
            <w:pPr>
              <w:pStyle w:val="TableText0"/>
            </w:pPr>
            <w:r w:rsidRPr="00FD1145">
              <w:t>Unchanged</w:t>
            </w:r>
          </w:p>
        </w:tc>
      </w:tr>
      <w:tr w:rsidR="00F84089" w:rsidRPr="00FD1145" w14:paraId="22182DBA" w14:textId="77777777" w:rsidTr="008B1086">
        <w:tc>
          <w:tcPr>
            <w:tcW w:w="812" w:type="pct"/>
            <w:vAlign w:val="center"/>
          </w:tcPr>
          <w:p w14:paraId="32A1ED0C" w14:textId="77777777" w:rsidR="00F84089" w:rsidRPr="00FD1145" w:rsidRDefault="00F84089" w:rsidP="002213C2">
            <w:pPr>
              <w:pStyle w:val="TableText0"/>
            </w:pPr>
            <w:r w:rsidRPr="00FD1145">
              <w:t>Allocation to health states (partitioned survival model)</w:t>
            </w:r>
          </w:p>
        </w:tc>
        <w:tc>
          <w:tcPr>
            <w:tcW w:w="2094" w:type="pct"/>
            <w:vAlign w:val="center"/>
          </w:tcPr>
          <w:p w14:paraId="090FB250" w14:textId="77777777" w:rsidR="00F84089" w:rsidRPr="00FD1145" w:rsidRDefault="00F84089" w:rsidP="002213C2">
            <w:pPr>
              <w:pStyle w:val="TableText0"/>
            </w:pPr>
            <w:r w:rsidRPr="00FD1145">
              <w:t>Allocation governed by PFS and OS from HER2CLIMB: PF = PFS; PD = OS − PFS; Death = 1 − OS. TTD determines time on treatment and drug costs.</w:t>
            </w:r>
          </w:p>
        </w:tc>
        <w:tc>
          <w:tcPr>
            <w:tcW w:w="2094" w:type="pct"/>
          </w:tcPr>
          <w:p w14:paraId="3A386F72" w14:textId="2086A0F8" w:rsidR="00F84089" w:rsidRPr="00FD1145" w:rsidRDefault="00F84089" w:rsidP="002213C2">
            <w:pPr>
              <w:pStyle w:val="TableText0"/>
            </w:pPr>
            <w:r w:rsidRPr="00FD1145">
              <w:t xml:space="preserve">Updated OS to 08 Feb 2021 cut; PFS and TTD remained at 04 Sep 2019 cut; TTD K-M (all-comers and brain-metastases) now provided; PBAC </w:t>
            </w:r>
            <w:r w:rsidR="0084790A">
              <w:t xml:space="preserve">previously </w:t>
            </w:r>
            <w:r w:rsidRPr="00FD1145">
              <w:t>noted TTD K-M curves and numbers at risk were not provided (</w:t>
            </w:r>
            <w:r w:rsidR="00C22038" w:rsidRPr="00FD1145">
              <w:t>paragraph</w:t>
            </w:r>
            <w:r w:rsidRPr="00FD1145">
              <w:t xml:space="preserve"> 6.47, tucatinib</w:t>
            </w:r>
            <w:r w:rsidR="00E321C3" w:rsidRPr="00FD1145">
              <w:t xml:space="preserve"> PSD</w:t>
            </w:r>
            <w:r w:rsidRPr="00FD1145">
              <w:t>, March 2021 PBAC meeting); TTD functions justified with external validation</w:t>
            </w:r>
          </w:p>
        </w:tc>
      </w:tr>
      <w:tr w:rsidR="00F84089" w:rsidRPr="00FD1145" w14:paraId="5C976C26" w14:textId="77777777" w:rsidTr="008B1086">
        <w:tc>
          <w:tcPr>
            <w:tcW w:w="812" w:type="pct"/>
            <w:vAlign w:val="center"/>
          </w:tcPr>
          <w:p w14:paraId="149EECB9" w14:textId="77777777" w:rsidR="00F84089" w:rsidRPr="00FD1145" w:rsidRDefault="00F84089" w:rsidP="002213C2">
            <w:pPr>
              <w:pStyle w:val="TableText0"/>
            </w:pPr>
            <w:r w:rsidRPr="00FD1145">
              <w:t>Extrapolation method</w:t>
            </w:r>
          </w:p>
        </w:tc>
        <w:tc>
          <w:tcPr>
            <w:tcW w:w="2094" w:type="pct"/>
            <w:vAlign w:val="center"/>
          </w:tcPr>
          <w:p w14:paraId="2FEC38DE" w14:textId="77777777" w:rsidR="00F84089" w:rsidRPr="00FD1145" w:rsidRDefault="00F84089" w:rsidP="002213C2">
            <w:pPr>
              <w:pStyle w:val="TableText0"/>
            </w:pPr>
            <w:r w:rsidRPr="00FD1145">
              <w:t>K</w:t>
            </w:r>
            <w:r w:rsidRPr="00FD1145">
              <w:rPr>
                <w:rFonts w:ascii="Cambria Math" w:hAnsi="Cambria Math" w:cs="Cambria Math"/>
              </w:rPr>
              <w:t>‑</w:t>
            </w:r>
            <w:r w:rsidRPr="00FD1145">
              <w:t>M data used until ~20% remain at risk in each arm, then parametric extrapolation. Selection used AIC/BIC with visual and clinical plausibility. Base</w:t>
            </w:r>
            <w:r w:rsidRPr="00FD1145">
              <w:rPr>
                <w:rFonts w:ascii="Cambria Math" w:hAnsi="Cambria Math" w:cs="Cambria Math"/>
              </w:rPr>
              <w:t>‑</w:t>
            </w:r>
            <w:r w:rsidRPr="00FD1145">
              <w:t>case functions: OS = generalised gamma (joint model); PFS = log</w:t>
            </w:r>
            <w:r w:rsidRPr="00FD1145">
              <w:rPr>
                <w:rFonts w:ascii="Cambria Math" w:hAnsi="Cambria Math" w:cs="Cambria Math"/>
              </w:rPr>
              <w:t>‑</w:t>
            </w:r>
            <w:r w:rsidRPr="00FD1145">
              <w:t>logistic (joint model); TTD = Gompertz (tucatinib) and gamma (comparator).</w:t>
            </w:r>
          </w:p>
          <w:p w14:paraId="144E7751" w14:textId="77777777" w:rsidR="00F84089" w:rsidRPr="00FD1145" w:rsidRDefault="00F84089" w:rsidP="002213C2">
            <w:pPr>
              <w:pStyle w:val="TableText0"/>
            </w:pPr>
            <w:r w:rsidRPr="00FD1145">
              <w:t>A proportional-hazards joint model was assumed for OS and PFS; no convergence or waning of effect was applied within the 10-year horizon.</w:t>
            </w:r>
          </w:p>
          <w:p w14:paraId="214409A9" w14:textId="77777777" w:rsidR="00F84089" w:rsidRPr="00FD1145" w:rsidRDefault="00F84089" w:rsidP="002213C2">
            <w:pPr>
              <w:pStyle w:val="TableText0"/>
            </w:pPr>
          </w:p>
          <w:p w14:paraId="4A336AD1" w14:textId="77777777" w:rsidR="00F84089" w:rsidRPr="00FD1145" w:rsidRDefault="00F84089" w:rsidP="002213C2">
            <w:pPr>
              <w:pStyle w:val="TableText0"/>
            </w:pPr>
            <w:r w:rsidRPr="00FD1145">
              <w:t>54% of incremental QALYs and 63% of incremental LYs (and 4% of incremental costs) occur in the extrapolated period.</w:t>
            </w:r>
          </w:p>
        </w:tc>
        <w:tc>
          <w:tcPr>
            <w:tcW w:w="2094" w:type="pct"/>
          </w:tcPr>
          <w:p w14:paraId="3195A646" w14:textId="56F98048" w:rsidR="00F84089" w:rsidRPr="00FD1145" w:rsidRDefault="00F84089" w:rsidP="002213C2">
            <w:pPr>
              <w:pStyle w:val="TableText0"/>
            </w:pPr>
            <w:r w:rsidRPr="00FD1145">
              <w:t>Previously switched at last K-M point (&lt;10% at-risk). PBAC</w:t>
            </w:r>
            <w:r w:rsidR="0084790A">
              <w:t xml:space="preserve"> previously</w:t>
            </w:r>
            <w:r w:rsidRPr="00FD1145">
              <w:t xml:space="preserve"> advised that K</w:t>
            </w:r>
            <w:r w:rsidRPr="00FD1145">
              <w:rPr>
                <w:rFonts w:ascii="Cambria Math" w:hAnsi="Cambria Math" w:cs="Cambria Math"/>
              </w:rPr>
              <w:t>‑</w:t>
            </w:r>
            <w:r w:rsidRPr="00FD1145">
              <w:t xml:space="preserve">M data be used until </w:t>
            </w:r>
            <w:r w:rsidR="00342F6D">
              <w:rPr>
                <w:rFonts w:cs="Arial Narrow"/>
              </w:rPr>
              <w:t>‘</w:t>
            </w:r>
            <w:r w:rsidRPr="00FD1145">
              <w:t>approximately 20% of patients remained at risk</w:t>
            </w:r>
            <w:r w:rsidR="00342F6D">
              <w:rPr>
                <w:rFonts w:cs="Arial Narrow"/>
              </w:rPr>
              <w:t>’</w:t>
            </w:r>
            <w:r w:rsidRPr="00FD1145">
              <w:t xml:space="preserve"> in each arm (</w:t>
            </w:r>
            <w:r w:rsidR="00C22038" w:rsidRPr="00FD1145">
              <w:t>paragraph</w:t>
            </w:r>
            <w:r w:rsidRPr="00FD1145">
              <w:t xml:space="preserve"> 7.13, tucatinib</w:t>
            </w:r>
            <w:r w:rsidR="00E321C3" w:rsidRPr="00FD1145">
              <w:t xml:space="preserve"> PSD</w:t>
            </w:r>
            <w:r w:rsidRPr="00FD1145">
              <w:t xml:space="preserve">, March 2021 PBAC meeting). </w:t>
            </w:r>
          </w:p>
          <w:p w14:paraId="551896CE" w14:textId="77777777" w:rsidR="00F84089" w:rsidRPr="00FD1145" w:rsidRDefault="00F84089" w:rsidP="002213C2">
            <w:pPr>
              <w:pStyle w:val="TableText0"/>
            </w:pPr>
          </w:p>
          <w:p w14:paraId="2B5E52B3" w14:textId="77777777" w:rsidR="00F84089" w:rsidRPr="00FD1145" w:rsidRDefault="00F84089" w:rsidP="002213C2">
            <w:pPr>
              <w:pStyle w:val="TableText0"/>
            </w:pPr>
          </w:p>
        </w:tc>
      </w:tr>
      <w:tr w:rsidR="00F84089" w:rsidRPr="00FD1145" w14:paraId="0FB75E2D" w14:textId="77777777" w:rsidTr="008B1086">
        <w:tc>
          <w:tcPr>
            <w:tcW w:w="812" w:type="pct"/>
            <w:vAlign w:val="center"/>
          </w:tcPr>
          <w:p w14:paraId="381CE6D1" w14:textId="77777777" w:rsidR="00F84089" w:rsidRPr="00FD1145" w:rsidRDefault="00F84089" w:rsidP="002213C2">
            <w:pPr>
              <w:pStyle w:val="TableText0"/>
            </w:pPr>
            <w:r w:rsidRPr="00FD1145">
              <w:t>Health related quality of life</w:t>
            </w:r>
          </w:p>
        </w:tc>
        <w:tc>
          <w:tcPr>
            <w:tcW w:w="2094" w:type="pct"/>
            <w:vAlign w:val="center"/>
          </w:tcPr>
          <w:p w14:paraId="47CFA0D0" w14:textId="7B44CDDE" w:rsidR="00F84089" w:rsidRPr="00FD1145" w:rsidRDefault="00F84089" w:rsidP="002213C2">
            <w:pPr>
              <w:pStyle w:val="TableText0"/>
            </w:pPr>
            <w:r w:rsidRPr="00FD1145">
              <w:t xml:space="preserve">Trial-based EQ-5D-5L from HER2CLIMB. Applied PF utilities by cycle interval: tucatinib </w:t>
            </w:r>
            <w:r w:rsidR="00072382" w:rsidRPr="00FD1145">
              <w:t>0.872-</w:t>
            </w:r>
            <w:r w:rsidRPr="00FD1145">
              <w:t>0.823; comparator 0.845-0.810; PD 0.738 applied to both arms. Scenario with literature utilities (Lloyd et al., 2006: PF 0.786; PD 0.538)</w:t>
            </w:r>
          </w:p>
        </w:tc>
        <w:tc>
          <w:tcPr>
            <w:tcW w:w="2094" w:type="pct"/>
          </w:tcPr>
          <w:p w14:paraId="035930F2" w14:textId="69FE8B04" w:rsidR="00F84089" w:rsidRPr="00FD1145" w:rsidRDefault="00F84089" w:rsidP="002213C2">
            <w:pPr>
              <w:pStyle w:val="TableText0"/>
            </w:pPr>
            <w:r w:rsidRPr="00FD1145">
              <w:t xml:space="preserve">Approach unchanged. PBAC </w:t>
            </w:r>
            <w:r w:rsidR="00120414" w:rsidRPr="00FD1145">
              <w:t xml:space="preserve">previously </w:t>
            </w:r>
            <w:r w:rsidRPr="00FD1145">
              <w:t xml:space="preserve">considered it </w:t>
            </w:r>
            <w:r w:rsidR="00827B8D" w:rsidRPr="00FD1145">
              <w:t xml:space="preserve">was </w:t>
            </w:r>
            <w:r w:rsidR="00342F6D">
              <w:t>‘</w:t>
            </w:r>
            <w:r w:rsidRPr="00FD1145">
              <w:t xml:space="preserve">not clinically plausible for patients with second- or later-line </w:t>
            </w:r>
            <w:proofErr w:type="spellStart"/>
            <w:r w:rsidRPr="00FD1145">
              <w:t>mBC</w:t>
            </w:r>
            <w:proofErr w:type="spellEnd"/>
            <w:r w:rsidRPr="00FD1145">
              <w:t xml:space="preserve"> to have utility values as high as 0.872</w:t>
            </w:r>
            <w:r w:rsidR="00342F6D">
              <w:t>’</w:t>
            </w:r>
            <w:r w:rsidRPr="00FD1145">
              <w:t xml:space="preserve">; utilities from Lloyd et al., 2006 were considered </w:t>
            </w:r>
            <w:r w:rsidR="00342F6D">
              <w:t>‘</w:t>
            </w:r>
            <w:r w:rsidRPr="00FD1145">
              <w:t>more clinically plausible.</w:t>
            </w:r>
            <w:r w:rsidR="00342F6D">
              <w:t>’</w:t>
            </w:r>
            <w:r w:rsidRPr="00FD1145">
              <w:t xml:space="preserve"> (</w:t>
            </w:r>
            <w:r w:rsidR="00C22038" w:rsidRPr="00FD1145">
              <w:t>paragraph</w:t>
            </w:r>
            <w:r w:rsidRPr="00FD1145">
              <w:t xml:space="preserve"> 7.13, tucatinib</w:t>
            </w:r>
            <w:r w:rsidR="00E321C3" w:rsidRPr="00FD1145">
              <w:t xml:space="preserve"> PSD</w:t>
            </w:r>
            <w:r w:rsidRPr="00FD1145">
              <w:t>, March 2021 PBAC meeting).</w:t>
            </w:r>
          </w:p>
        </w:tc>
      </w:tr>
    </w:tbl>
    <w:p w14:paraId="4B64C0E5" w14:textId="77777777" w:rsidR="00B4733A" w:rsidRDefault="00B4733A" w:rsidP="002213C2">
      <w:pPr>
        <w:pStyle w:val="FooterTableFigure"/>
        <w:keepNext/>
      </w:pPr>
    </w:p>
    <w:p w14:paraId="50BDB472" w14:textId="77777777" w:rsidR="00B4733A" w:rsidRDefault="00B4733A" w:rsidP="002213C2">
      <w:pPr>
        <w:keepNext/>
        <w:jc w:val="left"/>
        <w:rPr>
          <w:rFonts w:ascii="Arial Narrow" w:hAnsi="Arial Narrow"/>
          <w:snapToGrid w:val="0"/>
          <w:sz w:val="18"/>
          <w:szCs w:val="22"/>
        </w:rPr>
      </w:pPr>
      <w:r>
        <w:br w:type="page"/>
      </w:r>
    </w:p>
    <w:p w14:paraId="08A4A8E9" w14:textId="7348F3CB" w:rsidR="00F84089" w:rsidRPr="00FD1145" w:rsidRDefault="00F84089" w:rsidP="002213C2">
      <w:pPr>
        <w:pStyle w:val="FooterTableFigure"/>
        <w:keepNext/>
      </w:pPr>
      <w:r w:rsidRPr="00FD1145">
        <w:lastRenderedPageBreak/>
        <w:t>Source: Figure 3.6</w:t>
      </w:r>
      <w:r w:rsidRPr="00FD1145">
        <w:rPr>
          <w:rFonts w:ascii="Cambria Math" w:hAnsi="Cambria Math" w:cs="Cambria Math"/>
        </w:rPr>
        <w:t>‑</w:t>
      </w:r>
      <w:r w:rsidRPr="00FD1145">
        <w:t>1; Section 3.12.1; Tables 3.8.1</w:t>
      </w:r>
      <w:r w:rsidRPr="00FD1145">
        <w:rPr>
          <w:rFonts w:cs="Arial Narrow"/>
        </w:rPr>
        <w:t>-</w:t>
      </w:r>
      <w:r w:rsidRPr="00FD1145">
        <w:t>3.8.7 (Section 3.8), Figure 3.8</w:t>
      </w:r>
      <w:r w:rsidRPr="00FD1145">
        <w:rPr>
          <w:rFonts w:ascii="Cambria Math" w:hAnsi="Cambria Math" w:cs="Cambria Math"/>
        </w:rPr>
        <w:t>‑</w:t>
      </w:r>
      <w:r w:rsidRPr="00FD1145">
        <w:t>7; Tables 3.9.1 and 3.9.3; Table 3.10.2 and Tables 3.10.4</w:t>
      </w:r>
      <w:r w:rsidRPr="00FD1145">
        <w:rPr>
          <w:rFonts w:cs="Arial Narrow"/>
        </w:rPr>
        <w:t>-</w:t>
      </w:r>
      <w:r w:rsidRPr="00FD1145">
        <w:t xml:space="preserve">3.10.13 (Section 3.10) of the resubmission. </w:t>
      </w:r>
    </w:p>
    <w:p w14:paraId="2FF0ADD7" w14:textId="316B1BA2" w:rsidR="00F84089" w:rsidRPr="00FD1145" w:rsidRDefault="00F84089" w:rsidP="002213C2">
      <w:pPr>
        <w:pStyle w:val="FooterTableFigure"/>
        <w:keepNext/>
        <w:widowControl w:val="0"/>
        <w:rPr>
          <w:shd w:val="clear" w:color="auto" w:fill="B8CCE4" w:themeFill="accent1" w:themeFillTint="66"/>
        </w:rPr>
      </w:pPr>
      <w:r w:rsidRPr="00FD1145">
        <w:t xml:space="preserve">Abbreviations: AIC, Akaike information criterion; BIC, Bayesian information criterion; CMA, cost-minimisation analysis; CUA, cost-utility analysis; EQ-5D-5L, EuroQol 5-Dimension 5-Level; K-M, Kaplan–Meier; LYs, life-years; </w:t>
      </w:r>
      <w:proofErr w:type="spellStart"/>
      <w:r w:rsidRPr="00FD1145">
        <w:t>mBC</w:t>
      </w:r>
      <w:proofErr w:type="spellEnd"/>
      <w:r w:rsidRPr="00FD1145">
        <w:t xml:space="preserve">, metastatic breast cancer; OS, overall survival; PBAC, Pharmaceutical Benefits Advisory Committee; PD, progressed disease; PF, progression-free; PFS, progression-free survival; </w:t>
      </w:r>
      <w:r w:rsidR="00E321C3" w:rsidRPr="00FD1145">
        <w:t xml:space="preserve">PSD, Public Summary Document; </w:t>
      </w:r>
      <w:r w:rsidRPr="00FD1145">
        <w:t>QALYs, quality-adjusted life-years; T-DM1, trastuzumab emtansine; TTD, time to treatment discontinuation.</w:t>
      </w:r>
    </w:p>
    <w:p w14:paraId="3F49D79D" w14:textId="77777777" w:rsidR="00F84089" w:rsidRPr="00FD1145" w:rsidRDefault="00F84089" w:rsidP="002213C2">
      <w:pPr>
        <w:pStyle w:val="FooterTableFigure"/>
        <w:keepNext/>
        <w:widowControl w:val="0"/>
        <w:rPr>
          <w:lang w:val="en-GB" w:eastAsia="en-GB"/>
        </w:rPr>
      </w:pPr>
      <w:r w:rsidRPr="00FD1145">
        <w:rPr>
          <w:shd w:val="clear" w:color="auto" w:fill="B8CCE4" w:themeFill="accent1" w:themeFillTint="66"/>
        </w:rPr>
        <w:t>Blue shading</w:t>
      </w:r>
      <w:r w:rsidRPr="00FD1145">
        <w:t xml:space="preserve"> indicates these elements were unchanged from the March 2024 submission.  </w:t>
      </w:r>
    </w:p>
    <w:p w14:paraId="0EE178F5" w14:textId="77777777" w:rsidR="00F84089" w:rsidRPr="00FD1145" w:rsidRDefault="00F84089" w:rsidP="00F84089">
      <w:pPr>
        <w:pStyle w:val="FooterTableFigure"/>
      </w:pPr>
    </w:p>
    <w:p w14:paraId="4F502394" w14:textId="22009ED1" w:rsidR="001501F5" w:rsidRPr="001501F5" w:rsidRDefault="00B40993" w:rsidP="001501F5">
      <w:pPr>
        <w:pStyle w:val="3-BodyText"/>
        <w:rPr>
          <w:color w:val="0066FF"/>
        </w:rPr>
      </w:pPr>
      <w:bookmarkStart w:id="68" w:name="_Ref211006486"/>
      <w:r w:rsidRPr="00FD1145">
        <w:t xml:space="preserve">The </w:t>
      </w:r>
      <w:r w:rsidR="006F0379">
        <w:t xml:space="preserve">evaluation and the ESC considered that there were three key </w:t>
      </w:r>
      <w:r w:rsidR="00F84089" w:rsidRPr="00FD1145">
        <w:t xml:space="preserve">model assumptions and parameter choices </w:t>
      </w:r>
      <w:r w:rsidR="006F0379">
        <w:t xml:space="preserve">that were uncertain and </w:t>
      </w:r>
      <w:r w:rsidR="00F84089" w:rsidRPr="00FD1145">
        <w:t>had a substantial impact on cost-effectiveness results</w:t>
      </w:r>
      <w:r w:rsidR="006F0379">
        <w:t xml:space="preserve">. </w:t>
      </w:r>
    </w:p>
    <w:p w14:paraId="7CB90E02" w14:textId="5B20C8D8" w:rsidR="00F84089" w:rsidRPr="00FD1145" w:rsidRDefault="006F0379" w:rsidP="001501F5">
      <w:pPr>
        <w:pStyle w:val="3-BodyText"/>
      </w:pPr>
      <w:r>
        <w:t xml:space="preserve">Firstly, </w:t>
      </w:r>
      <w:bookmarkEnd w:id="68"/>
      <w:r w:rsidR="00E30914">
        <w:rPr>
          <w:rFonts w:eastAsia="Calibri"/>
        </w:rPr>
        <w:t>t</w:t>
      </w:r>
      <w:r w:rsidR="00F84089" w:rsidRPr="006F0379">
        <w:rPr>
          <w:rFonts w:eastAsia="Calibri"/>
        </w:rPr>
        <w:t>he</w:t>
      </w:r>
      <w:r w:rsidR="00F84089" w:rsidRPr="00FD1145">
        <w:t xml:space="preserve"> model retained a 10</w:t>
      </w:r>
      <w:r w:rsidR="00F84089" w:rsidRPr="006F0379">
        <w:rPr>
          <w:rFonts w:ascii="Cambria Math" w:hAnsi="Cambria Math" w:cs="Cambria Math"/>
        </w:rPr>
        <w:t>‑</w:t>
      </w:r>
      <w:r w:rsidR="00F84089" w:rsidRPr="00FD1145">
        <w:t xml:space="preserve">year horizon despite </w:t>
      </w:r>
      <w:r w:rsidR="005C5BEB" w:rsidRPr="00FD1145">
        <w:t xml:space="preserve">the </w:t>
      </w:r>
      <w:r w:rsidR="00F84089" w:rsidRPr="00FD1145">
        <w:t xml:space="preserve">PBAC having previously considered 5 years more appropriate for </w:t>
      </w:r>
      <w:r w:rsidR="005C5BEB" w:rsidRPr="00FD1145">
        <w:t xml:space="preserve">third-line </w:t>
      </w:r>
      <w:proofErr w:type="spellStart"/>
      <w:r w:rsidR="00F84089" w:rsidRPr="00FD1145">
        <w:t>mBC</w:t>
      </w:r>
      <w:proofErr w:type="spellEnd"/>
      <w:r w:rsidR="00F84089" w:rsidRPr="00FD1145">
        <w:t>, particularly for patients with brain metastases (</w:t>
      </w:r>
      <w:r w:rsidR="00C22038" w:rsidRPr="00FD1145">
        <w:t>paragraph</w:t>
      </w:r>
      <w:r w:rsidR="00F84089" w:rsidRPr="00FD1145">
        <w:t xml:space="preserve"> 7.13, tucatinib </w:t>
      </w:r>
      <w:r w:rsidR="00F21B64" w:rsidRPr="00FD1145">
        <w:t>PSD</w:t>
      </w:r>
      <w:r w:rsidR="00F84089" w:rsidRPr="00FD1145">
        <w:t>, March 2021 PBAC meeting). A 5</w:t>
      </w:r>
      <w:r w:rsidR="00F84089" w:rsidRPr="006F0379">
        <w:rPr>
          <w:rFonts w:ascii="Cambria Math" w:hAnsi="Cambria Math" w:cs="Cambria Math"/>
        </w:rPr>
        <w:t>‑</w:t>
      </w:r>
      <w:r w:rsidR="00F84089" w:rsidRPr="00FD1145">
        <w:t xml:space="preserve">year horizon increased the ICER by </w:t>
      </w:r>
      <w:r w:rsidR="009B6432" w:rsidRPr="009B6432">
        <w:rPr>
          <w:highlight w:val="black"/>
        </w:rPr>
        <w:t>&amp;&amp;&amp;&amp;</w:t>
      </w:r>
      <w:r w:rsidR="00F84089" w:rsidRPr="00FD1145">
        <w:t>% to $</w:t>
      </w:r>
      <w:r w:rsidR="00FC2C74">
        <w:t>95,000 to &lt; $1</w:t>
      </w:r>
      <w:r w:rsidR="00012A1E">
        <w:t>1</w:t>
      </w:r>
      <w:r w:rsidR="00FC2C74">
        <w:t>5,000</w:t>
      </w:r>
      <w:r w:rsidR="00F84089" w:rsidRPr="00FD1145">
        <w:t xml:space="preserve"> per </w:t>
      </w:r>
      <w:r w:rsidR="008C2F85" w:rsidRPr="00FD1145">
        <w:t>quality adjusted life year (</w:t>
      </w:r>
      <w:r w:rsidR="00F84089" w:rsidRPr="00FD1145">
        <w:t>QALY</w:t>
      </w:r>
      <w:r w:rsidR="008C2F85" w:rsidRPr="00FD1145">
        <w:t>)</w:t>
      </w:r>
      <w:r w:rsidR="00F84089" w:rsidRPr="00FD1145">
        <w:t xml:space="preserve">, and 7.5 years increased it by </w:t>
      </w:r>
      <w:r w:rsidR="009B6432" w:rsidRPr="009B6432">
        <w:rPr>
          <w:highlight w:val="black"/>
        </w:rPr>
        <w:t>&amp;&amp;&amp;&amp;</w:t>
      </w:r>
      <w:r w:rsidR="00F84089" w:rsidRPr="00FD1145">
        <w:t xml:space="preserve">%. This </w:t>
      </w:r>
      <w:r w:rsidR="00EB625C" w:rsidRPr="00FD1145">
        <w:t xml:space="preserve">remained </w:t>
      </w:r>
      <w:r w:rsidR="00F84089" w:rsidRPr="00FD1145">
        <w:t xml:space="preserve">a key driver of </w:t>
      </w:r>
      <w:r w:rsidR="00205955" w:rsidRPr="00FD1145">
        <w:t xml:space="preserve">the </w:t>
      </w:r>
      <w:r w:rsidR="00F84089" w:rsidRPr="00FD1145">
        <w:t xml:space="preserve">modelled </w:t>
      </w:r>
      <w:r w:rsidR="006E6A7C" w:rsidRPr="00FD1145">
        <w:t>ICER</w:t>
      </w:r>
      <w:r w:rsidR="00F84089" w:rsidRPr="00FD1145">
        <w:t>.</w:t>
      </w:r>
      <w:r w:rsidR="006C1796" w:rsidRPr="00FD1145">
        <w:t xml:space="preserve"> Relative to the previous submission (median OS follow-up 14.0 months), the resubmission used extended OS follow-up</w:t>
      </w:r>
      <w:r w:rsidR="00A52666" w:rsidRPr="00FD1145">
        <w:t xml:space="preserve"> (median follow-up of</w:t>
      </w:r>
      <w:r w:rsidR="006C1796" w:rsidRPr="00FD1145">
        <w:t xml:space="preserve"> 29.6 months</w:t>
      </w:r>
      <w:r w:rsidR="00A52666" w:rsidRPr="00FD1145">
        <w:t>;</w:t>
      </w:r>
      <w:r w:rsidR="006C1796" w:rsidRPr="00FD1145">
        <w:t xml:space="preserve"> final analysis, 8 Feb 2021)</w:t>
      </w:r>
      <w:r w:rsidR="000E6CBF" w:rsidRPr="00FD1145">
        <w:t>.</w:t>
      </w:r>
      <w:r w:rsidR="00A52666" w:rsidRPr="00FD1145">
        <w:t xml:space="preserve"> However, while the</w:t>
      </w:r>
      <w:r w:rsidR="006C1796" w:rsidRPr="00FD1145">
        <w:t xml:space="preserve"> additional follow-up modestly improve</w:t>
      </w:r>
      <w:r w:rsidR="00A52666" w:rsidRPr="00FD1145">
        <w:t>d</w:t>
      </w:r>
      <w:r w:rsidR="006C1796" w:rsidRPr="00FD1145">
        <w:t xml:space="preserve"> certainty over the first 2.5 years</w:t>
      </w:r>
      <w:r w:rsidR="00A52666" w:rsidRPr="00FD1145">
        <w:t xml:space="preserve">, </w:t>
      </w:r>
      <w:r w:rsidR="00BC15A7" w:rsidRPr="00FD1145">
        <w:t xml:space="preserve">the evaluation and ESC considered that </w:t>
      </w:r>
      <w:r w:rsidR="00A52666" w:rsidRPr="00FD1145">
        <w:t>it did</w:t>
      </w:r>
      <w:r w:rsidR="006C1796" w:rsidRPr="00FD1145">
        <w:t xml:space="preserve"> not materially reduce uncertainty in the long-term survival extrapolat</w:t>
      </w:r>
      <w:r w:rsidR="00C150E6" w:rsidRPr="00FD1145">
        <w:t>ions</w:t>
      </w:r>
      <w:r w:rsidR="006C1796" w:rsidRPr="00FD1145">
        <w:t xml:space="preserve">. The resubmission also provided external/real-world </w:t>
      </w:r>
      <w:r w:rsidR="00BD75AC" w:rsidRPr="00FD1145">
        <w:t>validation</w:t>
      </w:r>
      <w:r w:rsidR="006C1796" w:rsidRPr="00FD1145">
        <w:t xml:space="preserve"> of OS and TTD against published cohorts (e.g., Kaufman et al. 2023; Anders et al. 2025); the</w:t>
      </w:r>
      <w:r w:rsidR="005D3EFA" w:rsidRPr="00FD1145">
        <w:t xml:space="preserve"> evaluation considered that the</w:t>
      </w:r>
      <w:r w:rsidR="006C1796" w:rsidRPr="00FD1145">
        <w:t xml:space="preserve">se align reasonably at 12-30 months but have limited </w:t>
      </w:r>
      <w:r w:rsidR="0007343A" w:rsidRPr="00FD1145">
        <w:t xml:space="preserve">longer term </w:t>
      </w:r>
      <w:r w:rsidR="006C1796" w:rsidRPr="00FD1145">
        <w:t>generalisability and therefore do not appear to resolve tail-of-curve uncertainty.</w:t>
      </w:r>
      <w:r w:rsidR="005D3EFA" w:rsidRPr="00FD1145">
        <w:t xml:space="preserve"> The PSCR argued that</w:t>
      </w:r>
      <w:r w:rsidR="00071B99" w:rsidRPr="00FD1145">
        <w:t>:</w:t>
      </w:r>
      <w:r w:rsidR="005D3EFA" w:rsidRPr="00FD1145">
        <w:t xml:space="preserve"> </w:t>
      </w:r>
      <w:r w:rsidR="00071B99" w:rsidRPr="00FD1145">
        <w:t>patients remain alive at 5 years in the model (15.4% in the tucatinib arm and 8.5% in the placebo arm in the base case)</w:t>
      </w:r>
      <w:r w:rsidR="008F4608" w:rsidRPr="00FD1145">
        <w:t xml:space="preserve">; and </w:t>
      </w:r>
      <w:r w:rsidR="00AB1CDD" w:rsidRPr="00FD1145">
        <w:t>a 5 year time horizon</w:t>
      </w:r>
      <w:r w:rsidR="008F4608" w:rsidRPr="00FD1145">
        <w:t xml:space="preserve"> would be inconsistent with the PBAC’s previous consideration of T-</w:t>
      </w:r>
      <w:proofErr w:type="spellStart"/>
      <w:r w:rsidR="008F4608" w:rsidRPr="00FD1145">
        <w:t>DXd</w:t>
      </w:r>
      <w:proofErr w:type="spellEnd"/>
      <w:r w:rsidR="008F4608" w:rsidRPr="00FD1145">
        <w:t xml:space="preserve"> in which a 15-year time horizon was used</w:t>
      </w:r>
      <w:r w:rsidR="00185828" w:rsidRPr="00FD1145">
        <w:t>. H</w:t>
      </w:r>
      <w:r w:rsidR="008A4C89" w:rsidRPr="00FD1145">
        <w:t>owever</w:t>
      </w:r>
      <w:r w:rsidR="00F71108" w:rsidRPr="00FD1145">
        <w:t>,</w:t>
      </w:r>
      <w:r w:rsidR="008A4C89" w:rsidRPr="00FD1145">
        <w:t xml:space="preserve"> the ESC noted th</w:t>
      </w:r>
      <w:r w:rsidR="005B5D9D" w:rsidRPr="00FD1145">
        <w:t>at T-</w:t>
      </w:r>
      <w:proofErr w:type="spellStart"/>
      <w:r w:rsidR="005B5D9D" w:rsidRPr="00FD1145">
        <w:t>DXd</w:t>
      </w:r>
      <w:proofErr w:type="spellEnd"/>
      <w:r w:rsidR="008A4C89" w:rsidRPr="00FD1145">
        <w:t xml:space="preserve"> </w:t>
      </w:r>
      <w:r w:rsidR="00F71108" w:rsidRPr="00FD1145">
        <w:t>i</w:t>
      </w:r>
      <w:r w:rsidR="008A4C89" w:rsidRPr="00FD1145">
        <w:t xml:space="preserve">s </w:t>
      </w:r>
      <w:r w:rsidR="00C87342" w:rsidRPr="00FD1145">
        <w:t>for</w:t>
      </w:r>
      <w:r w:rsidR="008A4C89" w:rsidRPr="00FD1145">
        <w:t xml:space="preserve"> </w:t>
      </w:r>
      <w:r w:rsidR="00C87342" w:rsidRPr="00FD1145">
        <w:t>the</w:t>
      </w:r>
      <w:r w:rsidR="008A4C89" w:rsidRPr="00FD1145">
        <w:t xml:space="preserve"> second-line metastatic setting rather than the </w:t>
      </w:r>
      <w:r w:rsidR="005B5D9D" w:rsidRPr="00FD1145">
        <w:t>third</w:t>
      </w:r>
      <w:r w:rsidR="008A4C89" w:rsidRPr="00FD1145">
        <w:t xml:space="preserve">-line </w:t>
      </w:r>
      <w:r w:rsidR="005B5D9D" w:rsidRPr="00FD1145">
        <w:t>setting proposed for tucatinib</w:t>
      </w:r>
      <w:r w:rsidR="00071B99" w:rsidRPr="00FD1145">
        <w:t>.</w:t>
      </w:r>
      <w:r w:rsidR="009A6A31" w:rsidRPr="00FD1145">
        <w:t xml:space="preserve"> </w:t>
      </w:r>
      <w:r w:rsidR="005B5D9D" w:rsidRPr="00FD1145">
        <w:t>Overall</w:t>
      </w:r>
      <w:r w:rsidR="009A6A31" w:rsidRPr="00FD1145">
        <w:t xml:space="preserve">, the ESC considered that a 7.5 year time horizon </w:t>
      </w:r>
      <w:r w:rsidR="005B5D9D" w:rsidRPr="00FD1145">
        <w:t xml:space="preserve">was likely appropriate </w:t>
      </w:r>
      <w:r w:rsidR="008F006C" w:rsidRPr="00FD1145">
        <w:t xml:space="preserve">to reduce uncertainty in the extrapolation of the trial data, and in the context of the </w:t>
      </w:r>
      <w:r w:rsidR="002963A2" w:rsidRPr="00FD1145">
        <w:t xml:space="preserve">third-line </w:t>
      </w:r>
      <w:proofErr w:type="spellStart"/>
      <w:r w:rsidR="002963A2" w:rsidRPr="00FD1145">
        <w:t>mBC</w:t>
      </w:r>
      <w:proofErr w:type="spellEnd"/>
      <w:r w:rsidR="008F006C" w:rsidRPr="00FD1145">
        <w:t xml:space="preserve"> </w:t>
      </w:r>
      <w:r w:rsidR="002963A2" w:rsidRPr="00FD1145">
        <w:t>setting</w:t>
      </w:r>
      <w:r w:rsidR="008F006C" w:rsidRPr="00FD1145">
        <w:t xml:space="preserve">. </w:t>
      </w:r>
      <w:r w:rsidR="00CE2E87">
        <w:t xml:space="preserve">The PBAC considered that </w:t>
      </w:r>
      <w:r w:rsidR="007851E0">
        <w:t xml:space="preserve">a 7.5 or 10 year time horizon would be appropriate </w:t>
      </w:r>
      <w:r w:rsidR="00486792">
        <w:t xml:space="preserve">given the </w:t>
      </w:r>
      <w:r w:rsidR="000D446E">
        <w:t xml:space="preserve">resubmission had provided </w:t>
      </w:r>
      <w:r w:rsidR="00486792">
        <w:t xml:space="preserve">updated trial data </w:t>
      </w:r>
      <w:r w:rsidR="000D446E">
        <w:t>compared with</w:t>
      </w:r>
      <w:r w:rsidR="00486792">
        <w:t xml:space="preserve"> the previous submission, which provided greater certainty in the extrapolation.</w:t>
      </w:r>
    </w:p>
    <w:p w14:paraId="625B6F37" w14:textId="28FBCB38" w:rsidR="00F84089" w:rsidRPr="00FD1145" w:rsidRDefault="00E30914" w:rsidP="00551CEE">
      <w:pPr>
        <w:pStyle w:val="3-BodyText"/>
      </w:pPr>
      <w:r w:rsidRPr="003B689E">
        <w:rPr>
          <w:rFonts w:eastAsia="Calibri"/>
        </w:rPr>
        <w:t>Secondly, u</w:t>
      </w:r>
      <w:r w:rsidR="00F84089" w:rsidRPr="003B689E">
        <w:rPr>
          <w:rFonts w:eastAsia="Calibri"/>
        </w:rPr>
        <w:t>tilities</w:t>
      </w:r>
      <w:r w:rsidR="00F84089" w:rsidRPr="00FD1145">
        <w:t xml:space="preserve"> were drawn from HER2CLIMB EQ</w:t>
      </w:r>
      <w:r w:rsidR="00F84089" w:rsidRPr="003B689E">
        <w:rPr>
          <w:rFonts w:ascii="Cambria Math" w:hAnsi="Cambria Math" w:cs="Cambria Math"/>
        </w:rPr>
        <w:t>‑</w:t>
      </w:r>
      <w:r w:rsidR="00F84089" w:rsidRPr="00FD1145">
        <w:t>5D</w:t>
      </w:r>
      <w:r w:rsidR="00F84089" w:rsidRPr="003B689E">
        <w:rPr>
          <w:rFonts w:ascii="Cambria Math" w:hAnsi="Cambria Math" w:cs="Cambria Math"/>
        </w:rPr>
        <w:t>‑</w:t>
      </w:r>
      <w:r w:rsidR="00F84089" w:rsidRPr="00FD1145">
        <w:t>5L with substantial missing baseline data (46%</w:t>
      </w:r>
      <w:r w:rsidR="00666AEA" w:rsidRPr="00FD1145">
        <w:t xml:space="preserve"> of patients did not have a bas</w:t>
      </w:r>
      <w:r w:rsidR="006612B7" w:rsidRPr="00FD1145">
        <w:t>e</w:t>
      </w:r>
      <w:r w:rsidR="00666AEA" w:rsidRPr="00FD1145">
        <w:t>line</w:t>
      </w:r>
      <w:r w:rsidR="006612B7" w:rsidRPr="00FD1145">
        <w:t xml:space="preserve"> assessment</w:t>
      </w:r>
      <w:r w:rsidR="00F84089" w:rsidRPr="00FD1145">
        <w:t xml:space="preserve"> </w:t>
      </w:r>
      <w:r w:rsidR="00666AEA" w:rsidRPr="00FD1145">
        <w:t xml:space="preserve">as </w:t>
      </w:r>
      <w:r w:rsidR="00454FBC" w:rsidRPr="00FD1145">
        <w:t xml:space="preserve">collection of </w:t>
      </w:r>
      <w:r w:rsidR="00666AEA" w:rsidRPr="003B689E">
        <w:rPr>
          <w:rFonts w:eastAsia="Calibri"/>
        </w:rPr>
        <w:t>EQ</w:t>
      </w:r>
      <w:r w:rsidR="00666AEA" w:rsidRPr="00FD1145">
        <w:t xml:space="preserve">-5D </w:t>
      </w:r>
      <w:r w:rsidR="00454FBC" w:rsidRPr="00FD1145">
        <w:t xml:space="preserve">data </w:t>
      </w:r>
      <w:r w:rsidR="00666AEA" w:rsidRPr="00FD1145">
        <w:t xml:space="preserve">was added in a </w:t>
      </w:r>
      <w:r w:rsidR="00454FBC" w:rsidRPr="00FD1145">
        <w:t xml:space="preserve">late </w:t>
      </w:r>
      <w:r w:rsidR="00666AEA" w:rsidRPr="00FD1145">
        <w:t>protocol amendment</w:t>
      </w:r>
      <w:r w:rsidR="006B4F25" w:rsidRPr="00FD1145">
        <w:t>),</w:t>
      </w:r>
      <w:r w:rsidR="00666AEA" w:rsidRPr="00FD1145">
        <w:t xml:space="preserve"> </w:t>
      </w:r>
      <w:r w:rsidR="00F84089" w:rsidRPr="00FD1145">
        <w:t xml:space="preserve">and </w:t>
      </w:r>
      <w:r w:rsidR="002D0864" w:rsidRPr="00FD1145">
        <w:t xml:space="preserve">the values appeared </w:t>
      </w:r>
      <w:r w:rsidR="00F84089" w:rsidRPr="00FD1145">
        <w:t>high</w:t>
      </w:r>
      <w:r w:rsidR="002D0864" w:rsidRPr="00FD1145">
        <w:t>. T</w:t>
      </w:r>
      <w:r w:rsidR="002718BF" w:rsidRPr="00FD1145">
        <w:t xml:space="preserve">he </w:t>
      </w:r>
      <w:r w:rsidR="00F84089" w:rsidRPr="00FD1145">
        <w:t xml:space="preserve">PBAC previously considered it </w:t>
      </w:r>
      <w:r w:rsidR="002718BF" w:rsidRPr="00FD1145">
        <w:t xml:space="preserve">was </w:t>
      </w:r>
      <w:r w:rsidR="00F84089" w:rsidRPr="00FD1145">
        <w:t>not clinically plausible for patients with second</w:t>
      </w:r>
      <w:r w:rsidR="00F84089" w:rsidRPr="003B689E">
        <w:rPr>
          <w:rFonts w:ascii="Cambria Math" w:hAnsi="Cambria Math" w:cs="Cambria Math"/>
        </w:rPr>
        <w:t>‑</w:t>
      </w:r>
      <w:r w:rsidR="00F84089" w:rsidRPr="00FD1145">
        <w:t xml:space="preserve"> or later</w:t>
      </w:r>
      <w:r w:rsidR="00F84089" w:rsidRPr="003B689E">
        <w:rPr>
          <w:rFonts w:ascii="Cambria Math" w:hAnsi="Cambria Math" w:cs="Cambria Math"/>
        </w:rPr>
        <w:t>‑</w:t>
      </w:r>
      <w:r w:rsidR="00F84089" w:rsidRPr="00FD1145">
        <w:t xml:space="preserve">line </w:t>
      </w:r>
      <w:proofErr w:type="spellStart"/>
      <w:r w:rsidR="00F84089" w:rsidRPr="00FD1145">
        <w:t>mBC</w:t>
      </w:r>
      <w:proofErr w:type="spellEnd"/>
      <w:r w:rsidR="00F84089" w:rsidRPr="00FD1145">
        <w:t xml:space="preserve"> to have utility values as high as 0.872, and that </w:t>
      </w:r>
      <w:r w:rsidR="00377DB7">
        <w:rPr>
          <w:rFonts w:cs="Calibri"/>
        </w:rPr>
        <w:t>'</w:t>
      </w:r>
      <w:r w:rsidR="00F84089" w:rsidRPr="00FD1145">
        <w:t>utilities derived from Lloyd et al., 2006 were considered more clinically plausible</w:t>
      </w:r>
      <w:r w:rsidR="00377DB7" w:rsidRPr="003F5E96">
        <w:t>’</w:t>
      </w:r>
      <w:r w:rsidR="00F84089" w:rsidRPr="003F5E96">
        <w:t xml:space="preserve"> </w:t>
      </w:r>
      <w:r w:rsidR="00F84089" w:rsidRPr="00FD1145">
        <w:t>(</w:t>
      </w:r>
      <w:r w:rsidR="00C22038" w:rsidRPr="00FD1145">
        <w:t>paragraph</w:t>
      </w:r>
      <w:r w:rsidR="00F84089" w:rsidRPr="00FD1145">
        <w:t xml:space="preserve"> 7.13, tucatinib</w:t>
      </w:r>
      <w:r w:rsidR="00D928FF" w:rsidRPr="00FD1145">
        <w:t xml:space="preserve"> PSD</w:t>
      </w:r>
      <w:r w:rsidR="00F84089" w:rsidRPr="00FD1145">
        <w:t xml:space="preserve">, March 2021 PBAC meeting). </w:t>
      </w:r>
      <w:r w:rsidR="00003BBF" w:rsidRPr="00FD1145">
        <w:t xml:space="preserve">Further, </w:t>
      </w:r>
      <w:r w:rsidR="007035AA" w:rsidRPr="00FD1145">
        <w:t xml:space="preserve">the submission applied </w:t>
      </w:r>
      <w:r w:rsidR="00244928" w:rsidRPr="00FD1145">
        <w:t xml:space="preserve">treatment-specific utilities </w:t>
      </w:r>
      <w:r w:rsidR="00C54749" w:rsidRPr="00FD1145">
        <w:t>(</w:t>
      </w:r>
      <w:r w:rsidR="007035AA" w:rsidRPr="00FD1145">
        <w:t>i.e. higher utility value</w:t>
      </w:r>
      <w:r w:rsidR="00700232" w:rsidRPr="00FD1145">
        <w:t>s were applied</w:t>
      </w:r>
      <w:r w:rsidR="007035AA" w:rsidRPr="00FD1145">
        <w:t xml:space="preserve"> in the </w:t>
      </w:r>
      <w:r w:rsidR="00CD5D7D" w:rsidRPr="00FD1145">
        <w:t xml:space="preserve">tucatinib </w:t>
      </w:r>
      <w:r w:rsidR="007035AA" w:rsidRPr="00FD1145">
        <w:t xml:space="preserve">arm </w:t>
      </w:r>
      <w:r w:rsidR="00700232" w:rsidRPr="00FD1145">
        <w:t>versus</w:t>
      </w:r>
      <w:r w:rsidR="007035AA" w:rsidRPr="00FD1145">
        <w:t xml:space="preserve"> the </w:t>
      </w:r>
      <w:r w:rsidR="00CD5D7D" w:rsidRPr="00FD1145">
        <w:t xml:space="preserve">placebo </w:t>
      </w:r>
      <w:r w:rsidR="007035AA" w:rsidRPr="00FD1145">
        <w:t>arm</w:t>
      </w:r>
      <w:r w:rsidR="00CD5D7D" w:rsidRPr="00FD1145">
        <w:t xml:space="preserve">, </w:t>
      </w:r>
      <w:r w:rsidR="00003254" w:rsidRPr="00FD1145">
        <w:t xml:space="preserve">from Cycle 5 onwards </w:t>
      </w:r>
      <w:r w:rsidR="00C54749" w:rsidRPr="00FD1145">
        <w:t>in the progression-free health state</w:t>
      </w:r>
      <w:r w:rsidR="00483D1B" w:rsidRPr="00FD1145">
        <w:t>)</w:t>
      </w:r>
      <w:r w:rsidR="00CD5D7D" w:rsidRPr="00FD1145">
        <w:t xml:space="preserve">. It was unclear whether this was appropriate </w:t>
      </w:r>
      <w:r w:rsidR="00506199" w:rsidRPr="00FD1145">
        <w:t xml:space="preserve">given tucatinib was associated with a higher rate of AEs </w:t>
      </w:r>
      <w:r w:rsidR="00506199" w:rsidRPr="00FD1145">
        <w:lastRenderedPageBreak/>
        <w:t>than placebo</w:t>
      </w:r>
      <w:r w:rsidR="00244928" w:rsidRPr="00FD1145">
        <w:t xml:space="preserve">. </w:t>
      </w:r>
      <w:r w:rsidR="00CB1905" w:rsidRPr="00FD1145">
        <w:t xml:space="preserve">No AE disutility was applied in the base case. </w:t>
      </w:r>
      <w:r w:rsidR="00F84089" w:rsidRPr="00FD1145">
        <w:t>Using treatment</w:t>
      </w:r>
      <w:r w:rsidR="00F84089" w:rsidRPr="003B689E">
        <w:rPr>
          <w:rFonts w:ascii="Cambria Math" w:hAnsi="Cambria Math" w:cs="Cambria Math"/>
        </w:rPr>
        <w:t>‑</w:t>
      </w:r>
      <w:r w:rsidR="00F84089" w:rsidRPr="00FD1145">
        <w:t>independent Lloyd utilities in scenario analysis increased the ICER by</w:t>
      </w:r>
      <w:r w:rsidR="00B4733A">
        <w:t xml:space="preserve"> </w:t>
      </w:r>
      <w:r w:rsidR="009B6432" w:rsidRPr="009B6432">
        <w:rPr>
          <w:highlight w:val="black"/>
        </w:rPr>
        <w:t>&amp;&amp;&amp;&amp;</w:t>
      </w:r>
      <w:r w:rsidR="00F84089" w:rsidRPr="00FD1145">
        <w:t>%</w:t>
      </w:r>
      <w:r w:rsidR="00B4733A">
        <w:t> </w:t>
      </w:r>
      <w:r w:rsidR="00F84089" w:rsidRPr="00FD1145">
        <w:t>to $</w:t>
      </w:r>
      <w:r w:rsidR="003F5E96">
        <w:t>95,000 to &lt; $115,000</w:t>
      </w:r>
      <w:r w:rsidR="00AA390B">
        <w:t xml:space="preserve"> </w:t>
      </w:r>
      <w:r w:rsidR="00F84089" w:rsidRPr="00FD1145">
        <w:t xml:space="preserve">per QALY. </w:t>
      </w:r>
      <w:r w:rsidR="008C5005" w:rsidRPr="00FD1145">
        <w:t xml:space="preserve">The PSCR argued that </w:t>
      </w:r>
      <w:r w:rsidR="007D3551" w:rsidRPr="00FD1145">
        <w:t xml:space="preserve">the utility values reported in Lloyd et al. 2006 were </w:t>
      </w:r>
      <w:r w:rsidR="00342F6D">
        <w:t>‘</w:t>
      </w:r>
      <w:r w:rsidR="007D3551" w:rsidRPr="00FD1145">
        <w:t>based on a literature review and clinician interviews without direct patient input or validation</w:t>
      </w:r>
      <w:r w:rsidR="00342F6D">
        <w:t>’</w:t>
      </w:r>
      <w:r w:rsidR="0008577C" w:rsidRPr="00FD1145">
        <w:t xml:space="preserve"> and</w:t>
      </w:r>
      <w:r w:rsidR="007D3551" w:rsidRPr="00FD1145">
        <w:t xml:space="preserve"> </w:t>
      </w:r>
      <w:r w:rsidR="00342F6D">
        <w:t>‘</w:t>
      </w:r>
      <w:r w:rsidR="007D3551" w:rsidRPr="00FD1145">
        <w:t xml:space="preserve">do not reflect the current treatment landscape, advances in supportive care, or the improved quality of life experienced by patients with </w:t>
      </w:r>
      <w:proofErr w:type="spellStart"/>
      <w:r w:rsidR="007D3551" w:rsidRPr="00FD1145">
        <w:t>mBC</w:t>
      </w:r>
      <w:proofErr w:type="spellEnd"/>
      <w:r w:rsidR="007D3551" w:rsidRPr="00FD1145">
        <w:t xml:space="preserve"> receiving modern therapies</w:t>
      </w:r>
      <w:r w:rsidR="008E4930" w:rsidRPr="00FD1145">
        <w:t>.</w:t>
      </w:r>
      <w:r w:rsidR="00342F6D">
        <w:t>’</w:t>
      </w:r>
      <w:r w:rsidR="002A212C" w:rsidRPr="00FD1145">
        <w:t xml:space="preserve"> </w:t>
      </w:r>
      <w:r w:rsidR="008A45AC" w:rsidRPr="00FD1145">
        <w:t xml:space="preserve">The ESC noted the limitations of both </w:t>
      </w:r>
      <w:r w:rsidR="00F75903" w:rsidRPr="00FD1145">
        <w:t xml:space="preserve">Lloyd et al, 2006 and </w:t>
      </w:r>
      <w:r w:rsidR="008A45AC" w:rsidRPr="00FD1145">
        <w:t xml:space="preserve">the </w:t>
      </w:r>
      <w:r w:rsidR="002F48F4" w:rsidRPr="00FD1145">
        <w:t>collection of EQ</w:t>
      </w:r>
      <w:r w:rsidR="002F48F4" w:rsidRPr="003B689E">
        <w:rPr>
          <w:rFonts w:ascii="Cambria Math" w:hAnsi="Cambria Math" w:cs="Cambria Math"/>
        </w:rPr>
        <w:t>‑</w:t>
      </w:r>
      <w:r w:rsidR="002F48F4" w:rsidRPr="00FD1145">
        <w:t>5D data in HER2CLIMB</w:t>
      </w:r>
      <w:r w:rsidR="001D2BE5" w:rsidRPr="00FD1145">
        <w:t xml:space="preserve">; but overall </w:t>
      </w:r>
      <w:r w:rsidR="002A212C" w:rsidRPr="00FD1145">
        <w:t xml:space="preserve">considered the </w:t>
      </w:r>
      <w:r w:rsidR="006D5C09" w:rsidRPr="00FD1145">
        <w:t xml:space="preserve">trial-based utilities were </w:t>
      </w:r>
      <w:r w:rsidR="00F8515A" w:rsidRPr="00FD1145">
        <w:t>implausibly</w:t>
      </w:r>
      <w:r w:rsidR="006D5C09" w:rsidRPr="00FD1145">
        <w:t xml:space="preserve"> high</w:t>
      </w:r>
      <w:r w:rsidR="00540C7C" w:rsidRPr="00FD1145">
        <w:t>. Overall, the ESC</w:t>
      </w:r>
      <w:r w:rsidR="006D5C09" w:rsidRPr="00FD1145">
        <w:t xml:space="preserve"> </w:t>
      </w:r>
      <w:r w:rsidR="00F8515A" w:rsidRPr="00FD1145">
        <w:t xml:space="preserve">agreed with the previous PBAC advice </w:t>
      </w:r>
      <w:r w:rsidR="00B071CF" w:rsidRPr="00FD1145">
        <w:t>that the utility values derived from Lloyd et al, 2006 were more clinically plausible.</w:t>
      </w:r>
      <w:r w:rsidR="00D207D3">
        <w:t xml:space="preserve"> </w:t>
      </w:r>
      <w:r w:rsidR="004C5520">
        <w:t>However, t</w:t>
      </w:r>
      <w:r w:rsidR="00D207D3">
        <w:t>he PBAC considered that</w:t>
      </w:r>
      <w:r w:rsidR="004C5520">
        <w:t xml:space="preserve"> </w:t>
      </w:r>
      <w:r w:rsidR="00281F68">
        <w:t xml:space="preserve">while the utility values reported in the trial appeared high, these </w:t>
      </w:r>
      <w:r w:rsidR="003A251A">
        <w:t>were</w:t>
      </w:r>
      <w:r w:rsidR="00281F68">
        <w:t xml:space="preserve"> preferred given </w:t>
      </w:r>
      <w:r w:rsidR="004C5520">
        <w:t>the utilities from</w:t>
      </w:r>
      <w:r w:rsidR="00281F68">
        <w:t xml:space="preserve"> the literature (</w:t>
      </w:r>
      <w:r w:rsidR="00CD7E3E">
        <w:t>Lloyd et al, 2006</w:t>
      </w:r>
      <w:r w:rsidR="00281F68">
        <w:t>)</w:t>
      </w:r>
      <w:r w:rsidR="00CD7E3E">
        <w:t xml:space="preserve"> may not reflect the current treatment landscape</w:t>
      </w:r>
      <w:r w:rsidR="00D207D3">
        <w:t xml:space="preserve">. </w:t>
      </w:r>
      <w:r w:rsidR="003B689E">
        <w:t xml:space="preserve">Further, the PBAC </w:t>
      </w:r>
      <w:r w:rsidR="003A251A">
        <w:t>noted that the trial-based utilities resulted in a</w:t>
      </w:r>
      <w:r w:rsidR="003B689E">
        <w:t xml:space="preserve"> higher utility in the</w:t>
      </w:r>
      <w:r w:rsidR="003A251A" w:rsidRPr="003A251A">
        <w:t xml:space="preserve"> tucatinib arm versus the placebo arm from Cycle 5 onwards in the progression-free health state</w:t>
      </w:r>
      <w:r w:rsidR="003A251A">
        <w:t>. The PBAC considered this may be reasonable</w:t>
      </w:r>
      <w:r w:rsidR="003B689E">
        <w:t xml:space="preserve"> in this case, noting the </w:t>
      </w:r>
      <w:r w:rsidR="00F6460A">
        <w:t>effect of tucatinib in patients with brain metastases</w:t>
      </w:r>
      <w:r w:rsidR="003B689E">
        <w:t xml:space="preserve"> </w:t>
      </w:r>
      <w:r w:rsidR="00347AB0">
        <w:t>(e</w:t>
      </w:r>
      <w:r w:rsidR="003F5E96">
        <w:t>.</w:t>
      </w:r>
      <w:r w:rsidR="00347AB0">
        <w:t>g</w:t>
      </w:r>
      <w:r w:rsidR="003F5E96">
        <w:t>.,</w:t>
      </w:r>
      <w:r w:rsidR="00347AB0">
        <w:t xml:space="preserve"> the potential to reduce neurological symptoms). </w:t>
      </w:r>
    </w:p>
    <w:p w14:paraId="68C680FF" w14:textId="482EE233" w:rsidR="00F84089" w:rsidRPr="00FD1145" w:rsidRDefault="00416868" w:rsidP="00416868">
      <w:pPr>
        <w:pStyle w:val="3-BodyText"/>
      </w:pPr>
      <w:bookmarkStart w:id="69" w:name="_Ref214283275"/>
      <w:r>
        <w:t xml:space="preserve">Thirdly, </w:t>
      </w:r>
      <w:r w:rsidR="00D928FF" w:rsidRPr="00FD1145">
        <w:t>TTD</w:t>
      </w:r>
      <w:r w:rsidR="00F84089" w:rsidRPr="00FD1145">
        <w:t xml:space="preserve"> for tucatinib was extrapolated </w:t>
      </w:r>
      <w:r w:rsidR="000E5BD2" w:rsidRPr="00FD1145">
        <w:t xml:space="preserve">using </w:t>
      </w:r>
      <w:r w:rsidR="00F84089" w:rsidRPr="00FD1145">
        <w:t xml:space="preserve">a Gompertz function rather than the </w:t>
      </w:r>
      <w:r w:rsidR="00F84089" w:rsidRPr="00416868">
        <w:rPr>
          <w:rFonts w:eastAsia="Calibri"/>
        </w:rPr>
        <w:t>statistically</w:t>
      </w:r>
      <w:r w:rsidR="00F84089" w:rsidRPr="00FD1145">
        <w:t xml:space="preserve"> best</w:t>
      </w:r>
      <w:r w:rsidR="00F84089" w:rsidRPr="00416868">
        <w:rPr>
          <w:rFonts w:ascii="Cambria Math" w:hAnsi="Cambria Math" w:cs="Cambria Math"/>
        </w:rPr>
        <w:t>‑</w:t>
      </w:r>
      <w:r w:rsidR="00F84089" w:rsidRPr="00FD1145">
        <w:t>fitting log</w:t>
      </w:r>
      <w:r w:rsidR="00F84089" w:rsidRPr="00416868">
        <w:rPr>
          <w:rFonts w:ascii="Cambria Math" w:hAnsi="Cambria Math" w:cs="Cambria Math"/>
        </w:rPr>
        <w:t>‑</w:t>
      </w:r>
      <w:r w:rsidR="00F84089" w:rsidRPr="00FD1145">
        <w:t xml:space="preserve">logistic; </w:t>
      </w:r>
      <w:r w:rsidR="001D3A49" w:rsidRPr="00FD1145">
        <w:t xml:space="preserve">using </w:t>
      </w:r>
      <w:r w:rsidR="00F84089" w:rsidRPr="00FD1145">
        <w:t>log</w:t>
      </w:r>
      <w:r w:rsidR="00F84089" w:rsidRPr="00416868">
        <w:rPr>
          <w:rFonts w:ascii="Cambria Math" w:hAnsi="Cambria Math" w:cs="Cambria Math"/>
        </w:rPr>
        <w:t>‑</w:t>
      </w:r>
      <w:r w:rsidR="00F84089" w:rsidRPr="00FD1145">
        <w:t xml:space="preserve">logistic increased the ICER by </w:t>
      </w:r>
      <w:r w:rsidR="009B6432" w:rsidRPr="009B6432">
        <w:rPr>
          <w:highlight w:val="black"/>
        </w:rPr>
        <w:t>&amp;&amp;&amp;&amp;</w:t>
      </w:r>
      <w:r w:rsidR="00F84089" w:rsidRPr="00FD1145">
        <w:t>%</w:t>
      </w:r>
      <w:r w:rsidR="00B4733A">
        <w:t> </w:t>
      </w:r>
      <w:r w:rsidR="00F84089" w:rsidRPr="00FD1145">
        <w:t>to</w:t>
      </w:r>
      <w:r w:rsidR="00B4733A">
        <w:t> </w:t>
      </w:r>
      <w:r w:rsidR="00F84089" w:rsidRPr="00FD1145">
        <w:t>$</w:t>
      </w:r>
      <w:r w:rsidR="003F5E96">
        <w:t>95,000 to &lt; $115,000</w:t>
      </w:r>
      <w:r w:rsidR="00E821F6">
        <w:t xml:space="preserve"> </w:t>
      </w:r>
      <w:r w:rsidR="00F84089" w:rsidRPr="00FD1145">
        <w:t xml:space="preserve">per QALY, while Weibull or Gamma reduced it by </w:t>
      </w:r>
      <w:r w:rsidR="009B6432" w:rsidRPr="009B6432">
        <w:rPr>
          <w:highlight w:val="black"/>
        </w:rPr>
        <w:t>&amp;&amp;&amp;&amp;</w:t>
      </w:r>
      <w:r w:rsidR="00F84089" w:rsidRPr="001C7F50">
        <w:t>%</w:t>
      </w:r>
      <w:r w:rsidR="00F84089" w:rsidRPr="00FD1145">
        <w:t xml:space="preserve"> each.</w:t>
      </w:r>
      <w:r w:rsidR="009E653D" w:rsidRPr="00FD1145">
        <w:t xml:space="preserve"> The resubmission justified </w:t>
      </w:r>
      <w:r w:rsidR="00A30732" w:rsidRPr="00FD1145">
        <w:t>the G</w:t>
      </w:r>
      <w:r w:rsidR="00EB1373" w:rsidRPr="00FD1145">
        <w:t xml:space="preserve">ompertz </w:t>
      </w:r>
      <w:r w:rsidR="00BE1850" w:rsidRPr="00FD1145">
        <w:t>choice</w:t>
      </w:r>
      <w:r w:rsidR="00B2483D" w:rsidRPr="00FD1145">
        <w:t xml:space="preserve"> based</w:t>
      </w:r>
      <w:r w:rsidR="007562B7" w:rsidRPr="00FD1145">
        <w:t xml:space="preserve"> on visual fit</w:t>
      </w:r>
      <w:r w:rsidR="00940644" w:rsidRPr="00FD1145">
        <w:t xml:space="preserve"> and external validation </w:t>
      </w:r>
      <w:r w:rsidR="00865691" w:rsidRPr="00FD1145">
        <w:t>against real-world TTD data</w:t>
      </w:r>
      <w:r w:rsidR="00187D99" w:rsidRPr="00FD1145">
        <w:t xml:space="preserve"> (Kaufman et al., 2023)</w:t>
      </w:r>
      <w:r w:rsidR="008042E7" w:rsidRPr="00FD1145">
        <w:t>. However</w:t>
      </w:r>
      <w:r w:rsidR="00CB6AE8" w:rsidRPr="00FD1145">
        <w:t>, the</w:t>
      </w:r>
      <w:r w:rsidR="00C04D71" w:rsidRPr="00FD1145" w:rsidDel="00CB6AE8">
        <w:t xml:space="preserve"> </w:t>
      </w:r>
      <w:r w:rsidR="00C04D71" w:rsidRPr="00FD1145">
        <w:t xml:space="preserve">Gompertz </w:t>
      </w:r>
      <w:r w:rsidR="00CB6AE8" w:rsidRPr="00FD1145">
        <w:t xml:space="preserve">function </w:t>
      </w:r>
      <w:r w:rsidR="00380118" w:rsidRPr="00FD1145">
        <w:t xml:space="preserve">has a poorer statistical fit </w:t>
      </w:r>
      <w:r w:rsidR="00934DF6" w:rsidRPr="00FD1145">
        <w:t>(</w:t>
      </w:r>
      <w:r w:rsidR="00300DCC" w:rsidRPr="00FD1145">
        <w:t xml:space="preserve">fifth-ranked by </w:t>
      </w:r>
      <w:r w:rsidR="00C04D71" w:rsidRPr="00FD1145">
        <w:t>AIC/BIC</w:t>
      </w:r>
      <w:r w:rsidR="00300DCC" w:rsidRPr="00FD1145">
        <w:t>),</w:t>
      </w:r>
      <w:r w:rsidR="00C04D71" w:rsidRPr="00FD1145">
        <w:t xml:space="preserve"> and</w:t>
      </w:r>
      <w:r w:rsidR="00DD482D" w:rsidRPr="00FD1145">
        <w:t xml:space="preserve"> the </w:t>
      </w:r>
      <w:r w:rsidR="00C04D71" w:rsidRPr="00FD1145">
        <w:t>ESC had previously preferred log</w:t>
      </w:r>
      <w:r w:rsidR="00C04D71" w:rsidRPr="00416868">
        <w:rPr>
          <w:rFonts w:ascii="Cambria Math" w:hAnsi="Cambria Math" w:cs="Cambria Math"/>
        </w:rPr>
        <w:t>‑</w:t>
      </w:r>
      <w:r w:rsidR="00C04D71" w:rsidRPr="00FD1145">
        <w:t>logistic</w:t>
      </w:r>
      <w:r w:rsidR="00875483" w:rsidRPr="00FD1145">
        <w:t xml:space="preserve"> (paragraph 6.47, tucatinib PSD, March 2021 PBAC meeting)</w:t>
      </w:r>
      <w:r w:rsidR="007042B9" w:rsidRPr="00FD1145">
        <w:t>.</w:t>
      </w:r>
      <w:r w:rsidR="00F84089" w:rsidRPr="00FD1145">
        <w:t xml:space="preserve"> The ICER is</w:t>
      </w:r>
      <w:r w:rsidR="00F84089" w:rsidRPr="00FD1145" w:rsidDel="00BF7196">
        <w:t xml:space="preserve"> </w:t>
      </w:r>
      <w:r w:rsidR="00F84089" w:rsidRPr="00FD1145">
        <w:t>sensitive to time</w:t>
      </w:r>
      <w:r w:rsidR="00F84089" w:rsidRPr="00416868">
        <w:rPr>
          <w:rFonts w:ascii="Cambria Math" w:hAnsi="Cambria Math" w:cs="Cambria Math"/>
        </w:rPr>
        <w:t>‑</w:t>
      </w:r>
      <w:r w:rsidR="00F84089" w:rsidRPr="00FD1145">
        <w:t>on</w:t>
      </w:r>
      <w:r w:rsidR="00F84089" w:rsidRPr="00416868">
        <w:rPr>
          <w:rFonts w:ascii="Cambria Math" w:hAnsi="Cambria Math" w:cs="Cambria Math"/>
        </w:rPr>
        <w:t>‑</w:t>
      </w:r>
      <w:r w:rsidR="00F84089" w:rsidRPr="00FD1145">
        <w:t xml:space="preserve">treatment </w:t>
      </w:r>
      <w:r w:rsidR="000E5BD2" w:rsidRPr="00FD1145">
        <w:t>extrap</w:t>
      </w:r>
      <w:r w:rsidR="00B705B0" w:rsidRPr="00FD1145">
        <w:t>olation functions</w:t>
      </w:r>
      <w:r w:rsidR="00F84089" w:rsidRPr="00FD1145">
        <w:t>.</w:t>
      </w:r>
      <w:r w:rsidR="00E91D96" w:rsidRPr="00FD1145">
        <w:t xml:space="preserve"> The PSCR </w:t>
      </w:r>
      <w:r w:rsidR="008D1441">
        <w:t xml:space="preserve">and pre-PBAC response </w:t>
      </w:r>
      <w:r w:rsidR="00E91D96" w:rsidRPr="00FD1145">
        <w:t xml:space="preserve">argued that, while the log-logistic distribution has the statistical best fit based on AIC/BIC, </w:t>
      </w:r>
      <w:r w:rsidR="00943055" w:rsidRPr="00FD1145">
        <w:t xml:space="preserve">it is </w:t>
      </w:r>
      <w:r w:rsidR="00342F6D">
        <w:t>‘</w:t>
      </w:r>
      <w:r w:rsidR="00943055" w:rsidRPr="00FD1145">
        <w:t>not clinically plausible</w:t>
      </w:r>
      <w:r w:rsidR="00342F6D">
        <w:t>’</w:t>
      </w:r>
      <w:r w:rsidR="00943055" w:rsidRPr="00FD1145">
        <w:t xml:space="preserve"> as </w:t>
      </w:r>
      <w:r w:rsidR="00342F6D">
        <w:t>‘</w:t>
      </w:r>
      <w:r w:rsidR="00E91D96" w:rsidRPr="00FD1145">
        <w:t>from around 2 years onward in the tucatinib arm, the log-logistic extrapolation predicts that TTD crosses above the PFS curve</w:t>
      </w:r>
      <w:r w:rsidR="00741F75" w:rsidRPr="00FD1145">
        <w:t>.</w:t>
      </w:r>
      <w:r w:rsidR="00342F6D">
        <w:t>’</w:t>
      </w:r>
      <w:r w:rsidR="002F203C" w:rsidRPr="00FD1145">
        <w:t xml:space="preserve"> The PSCR </w:t>
      </w:r>
      <w:r w:rsidR="0018057B">
        <w:t xml:space="preserve">and pre-PBAC response </w:t>
      </w:r>
      <w:r w:rsidR="002F203C" w:rsidRPr="00FD1145">
        <w:t xml:space="preserve">argued that </w:t>
      </w:r>
      <w:r w:rsidR="00814D9A" w:rsidRPr="00FD1145">
        <w:t xml:space="preserve">the </w:t>
      </w:r>
      <w:r w:rsidR="00B348AE" w:rsidRPr="00FD1145">
        <w:t>log-logistic form overestimate</w:t>
      </w:r>
      <w:r w:rsidR="00741F75" w:rsidRPr="00FD1145">
        <w:t>d</w:t>
      </w:r>
      <w:r w:rsidR="00B348AE" w:rsidRPr="00FD1145">
        <w:t xml:space="preserve"> the treatment duration</w:t>
      </w:r>
      <w:r w:rsidR="002F203C" w:rsidRPr="00FD1145">
        <w:t>, and</w:t>
      </w:r>
      <w:r w:rsidR="00F2100B" w:rsidRPr="00FD1145">
        <w:t xml:space="preserve"> that</w:t>
      </w:r>
      <w:r w:rsidR="002F203C" w:rsidRPr="00FD1145">
        <w:t xml:space="preserve"> </w:t>
      </w:r>
      <w:r w:rsidR="00342F6D">
        <w:t>‘</w:t>
      </w:r>
      <w:r w:rsidR="002F203C" w:rsidRPr="00FD1145">
        <w:t>the</w:t>
      </w:r>
      <w:r w:rsidR="00F2100B" w:rsidRPr="00FD1145">
        <w:t xml:space="preserve"> Gompertz function is the closest and ‘highest’ of the remaining functions relative to the K</w:t>
      </w:r>
      <w:r w:rsidR="0047723B" w:rsidRPr="00FD1145">
        <w:t>aplan</w:t>
      </w:r>
      <w:r w:rsidR="00F2100B" w:rsidRPr="00FD1145">
        <w:t>–M</w:t>
      </w:r>
      <w:r w:rsidR="0047723B" w:rsidRPr="00FD1145">
        <w:t xml:space="preserve">eier </w:t>
      </w:r>
      <w:r w:rsidR="00F2100B" w:rsidRPr="00FD1145">
        <w:t>curve</w:t>
      </w:r>
      <w:r w:rsidR="00342F6D">
        <w:t>’</w:t>
      </w:r>
      <w:r w:rsidR="00943055" w:rsidRPr="00FD1145">
        <w:t>.</w:t>
      </w:r>
      <w:r w:rsidR="0050283C" w:rsidRPr="00FD1145">
        <w:t xml:space="preserve"> T</w:t>
      </w:r>
      <w:r w:rsidR="008269FE" w:rsidRPr="00FD1145">
        <w:t>he ESC considered the treatment duration remained uncertain.</w:t>
      </w:r>
      <w:r w:rsidR="00D34872">
        <w:t xml:space="preserve"> </w:t>
      </w:r>
      <w:r w:rsidR="0041025E">
        <w:t>The PBAC considered that</w:t>
      </w:r>
      <w:r w:rsidR="007C0183">
        <w:t>, while the Gompertz function was not the best</w:t>
      </w:r>
      <w:r w:rsidR="00FC2963">
        <w:t>-</w:t>
      </w:r>
      <w:r w:rsidR="007C0183">
        <w:t xml:space="preserve">fitting function statistically, it may be reasonable in this case given </w:t>
      </w:r>
      <w:r w:rsidR="00BD5C96">
        <w:t>the resubmission had externally validated it against real-world TTD dat</w:t>
      </w:r>
      <w:r w:rsidR="00156E78">
        <w:t>a.</w:t>
      </w:r>
      <w:bookmarkEnd w:id="69"/>
      <w:r w:rsidR="00BD5C96">
        <w:t xml:space="preserve"> </w:t>
      </w:r>
    </w:p>
    <w:p w14:paraId="18D41DB9" w14:textId="3EE00C45" w:rsidR="00F84089" w:rsidRPr="00FD1145" w:rsidRDefault="00F84089" w:rsidP="0039549A">
      <w:pPr>
        <w:pStyle w:val="3-BodyText"/>
        <w:rPr>
          <w:color w:val="0066FF"/>
        </w:rPr>
      </w:pPr>
      <w:r w:rsidRPr="00FD1145">
        <w:t>The model traces and extrapolations showed early separation of PFS and OS between arms consistent with HER2CLIMB, with K</w:t>
      </w:r>
      <w:r w:rsidR="00D928FF" w:rsidRPr="00FD1145">
        <w:t>-</w:t>
      </w:r>
      <w:r w:rsidRPr="00FD1145">
        <w:t>M data used to the 20% at</w:t>
      </w:r>
      <w:r w:rsidRPr="00FD1145">
        <w:rPr>
          <w:rFonts w:ascii="Cambria Math" w:hAnsi="Cambria Math" w:cs="Cambria Math"/>
        </w:rPr>
        <w:t>‑</w:t>
      </w:r>
      <w:r w:rsidRPr="00FD1145">
        <w:t>risk point then parametric functions applied (OS generalised gamma; PFS log</w:t>
      </w:r>
      <w:r w:rsidRPr="00FD1145">
        <w:rPr>
          <w:rFonts w:ascii="Cambria Math" w:hAnsi="Cambria Math" w:cs="Cambria Math"/>
        </w:rPr>
        <w:t>‑</w:t>
      </w:r>
      <w:r w:rsidRPr="00FD1145">
        <w:t xml:space="preserve">logistic), as shown in </w:t>
      </w:r>
      <w:r w:rsidR="0086180D" w:rsidRPr="00FD1145">
        <w:fldChar w:fldCharType="begin"/>
      </w:r>
      <w:r w:rsidR="0086180D" w:rsidRPr="00FD1145">
        <w:instrText xml:space="preserve"> REF _Ref206419511 \h </w:instrText>
      </w:r>
      <w:r w:rsidR="00C33092" w:rsidRPr="00FD1145">
        <w:instrText xml:space="preserve"> \* MERGEFORMAT </w:instrText>
      </w:r>
      <w:r w:rsidR="0086180D" w:rsidRPr="00FD1145">
        <w:fldChar w:fldCharType="separate"/>
      </w:r>
      <w:r w:rsidR="009B3037" w:rsidRPr="00FD1145">
        <w:t xml:space="preserve">Figure </w:t>
      </w:r>
      <w:r w:rsidR="009B3037">
        <w:rPr>
          <w:noProof/>
        </w:rPr>
        <w:t>4</w:t>
      </w:r>
      <w:r w:rsidR="0086180D" w:rsidRPr="00FD1145">
        <w:fldChar w:fldCharType="end"/>
      </w:r>
      <w:r w:rsidRPr="00FD1145">
        <w:t xml:space="preserve">. </w:t>
      </w:r>
      <w:r w:rsidR="00A30702" w:rsidRPr="00FD1145">
        <w:t xml:space="preserve">Using the extended OS </w:t>
      </w:r>
      <w:r w:rsidR="0057451A" w:rsidRPr="00FD1145">
        <w:t>cut (08 F</w:t>
      </w:r>
      <w:r w:rsidR="00412E5F" w:rsidRPr="00FD1145">
        <w:t>ebruary 2021</w:t>
      </w:r>
      <w:r w:rsidR="0057451A" w:rsidRPr="00FD1145">
        <w:t>)</w:t>
      </w:r>
      <w:r w:rsidR="00412E5F" w:rsidRPr="00FD1145">
        <w:t xml:space="preserve">, log-logistic </w:t>
      </w:r>
      <w:r w:rsidR="00D80A22" w:rsidRPr="00FD1145">
        <w:t>remained</w:t>
      </w:r>
      <w:r w:rsidR="0022322E" w:rsidRPr="00FD1145">
        <w:t xml:space="preserve"> the statistical best fit</w:t>
      </w:r>
      <w:r w:rsidR="0057451A" w:rsidRPr="00FD1145">
        <w:t xml:space="preserve"> </w:t>
      </w:r>
      <w:r w:rsidR="00890866" w:rsidRPr="00FD1145">
        <w:t>by AIC/BIC, but the resubmission</w:t>
      </w:r>
      <w:r w:rsidR="00415E39" w:rsidRPr="00FD1145">
        <w:t xml:space="preserve"> selected generalised</w:t>
      </w:r>
      <w:r w:rsidR="00E61F98" w:rsidRPr="00FD1145">
        <w:t xml:space="preserve"> gamma </w:t>
      </w:r>
      <w:r w:rsidR="001C2509" w:rsidRPr="00FD1145">
        <w:t>on clinical-plausi</w:t>
      </w:r>
      <w:r w:rsidR="0094026D" w:rsidRPr="00FD1145">
        <w:t>bility grounds (lower long-term survival);</w:t>
      </w:r>
      <w:r w:rsidR="0057451A" w:rsidRPr="00FD1145">
        <w:t xml:space="preserve"> </w:t>
      </w:r>
      <w:r w:rsidR="006C1344" w:rsidRPr="00FD1145">
        <w:t>Gamma or Weibull produced more conservative long</w:t>
      </w:r>
      <w:r w:rsidR="006C1344" w:rsidRPr="00FD1145">
        <w:rPr>
          <w:rFonts w:ascii="Cambria Math" w:hAnsi="Cambria Math" w:cs="Cambria Math"/>
        </w:rPr>
        <w:t>‑</w:t>
      </w:r>
      <w:r w:rsidR="006C1344" w:rsidRPr="00FD1145">
        <w:t>term survival and modestly higher ICERs (+3</w:t>
      </w:r>
      <w:r w:rsidR="00255A40" w:rsidRPr="00FD1145">
        <w:t xml:space="preserve"> to</w:t>
      </w:r>
      <w:r w:rsidR="00255A40" w:rsidRPr="00FD1145">
        <w:rPr>
          <w:rFonts w:ascii="Calibri" w:hAnsi="Calibri" w:cs="Calibri"/>
        </w:rPr>
        <w:t xml:space="preserve"> </w:t>
      </w:r>
      <w:r w:rsidR="006C1344" w:rsidRPr="00FD1145">
        <w:t xml:space="preserve">5%). The </w:t>
      </w:r>
      <w:r w:rsidR="006C1344" w:rsidRPr="00FD1145">
        <w:lastRenderedPageBreak/>
        <w:t xml:space="preserve">evaluation considered Gamma/Weibull </w:t>
      </w:r>
      <w:r w:rsidR="0004482C">
        <w:t xml:space="preserve">were </w:t>
      </w:r>
      <w:r w:rsidR="006C1344" w:rsidRPr="00FD1145">
        <w:t>more clinically plausible and noted limited justification for preferring generalised gamma</w:t>
      </w:r>
      <w:r w:rsidR="0057451A" w:rsidRPr="00FD1145">
        <w:t xml:space="preserve">. </w:t>
      </w:r>
      <w:r w:rsidRPr="00FD1145">
        <w:t>Only around the first 2.5 years of the 10</w:t>
      </w:r>
      <w:r w:rsidRPr="00FD1145">
        <w:rPr>
          <w:rFonts w:ascii="Cambria Math" w:hAnsi="Cambria Math" w:cs="Cambria Math"/>
        </w:rPr>
        <w:t>‑</w:t>
      </w:r>
      <w:r w:rsidRPr="00FD1145">
        <w:t>year horizon were informed by trial follow</w:t>
      </w:r>
      <w:r w:rsidRPr="00FD1145">
        <w:rPr>
          <w:rFonts w:ascii="Cambria Math" w:hAnsi="Cambria Math" w:cs="Cambria Math"/>
        </w:rPr>
        <w:t>‑</w:t>
      </w:r>
      <w:r w:rsidRPr="00FD1145">
        <w:t xml:space="preserve">up; beyond this, survival was projected by the selected parametric forms. </w:t>
      </w:r>
    </w:p>
    <w:p w14:paraId="1C85075E" w14:textId="79F803F2" w:rsidR="00F84089" w:rsidRPr="00FD1145" w:rsidRDefault="00F84089" w:rsidP="00F84089">
      <w:pPr>
        <w:pStyle w:val="Caption"/>
      </w:pPr>
      <w:bookmarkStart w:id="70" w:name="_Ref206419511"/>
      <w:r w:rsidRPr="00FD1145">
        <w:t xml:space="preserve">Figure </w:t>
      </w:r>
      <w:r w:rsidR="007000FA">
        <w:fldChar w:fldCharType="begin"/>
      </w:r>
      <w:r w:rsidR="007000FA">
        <w:instrText xml:space="preserve"> SEQ Figure \* ARABIC </w:instrText>
      </w:r>
      <w:r w:rsidR="007000FA">
        <w:fldChar w:fldCharType="separate"/>
      </w:r>
      <w:r w:rsidR="009B3037">
        <w:rPr>
          <w:noProof/>
        </w:rPr>
        <w:t>4</w:t>
      </w:r>
      <w:r w:rsidR="007000FA">
        <w:rPr>
          <w:noProof/>
        </w:rPr>
        <w:fldChar w:fldCharType="end"/>
      </w:r>
      <w:bookmarkEnd w:id="70"/>
      <w:r w:rsidRPr="00FD1145">
        <w:t xml:space="preserve">: Full model trace, </w:t>
      </w:r>
      <w:r w:rsidR="00172427" w:rsidRPr="00FD1145">
        <w:t xml:space="preserve">both </w:t>
      </w:r>
      <w:r w:rsidR="0093199C" w:rsidRPr="00FD1145">
        <w:t xml:space="preserve">treatment </w:t>
      </w:r>
      <w:r w:rsidR="00172427" w:rsidRPr="00FD1145">
        <w:t>arms</w:t>
      </w:r>
      <w:r w:rsidRPr="00FD1145">
        <w:rPr>
          <w:rFonts w:ascii="Arial" w:hAnsi="Arial"/>
        </w:rPr>
        <w:t> </w:t>
      </w:r>
    </w:p>
    <w:p w14:paraId="36786DBA" w14:textId="514C48C0" w:rsidR="00F84089" w:rsidRPr="00FD1145" w:rsidRDefault="00C8558E" w:rsidP="00F84089">
      <w:pPr>
        <w:pStyle w:val="3-BodyText"/>
        <w:numPr>
          <w:ilvl w:val="0"/>
          <w:numId w:val="0"/>
        </w:numPr>
        <w:rPr>
          <w:color w:val="0066FF"/>
        </w:rPr>
      </w:pPr>
      <w:r w:rsidRPr="00FD1145">
        <w:rPr>
          <w:noProof/>
          <w:color w:val="0066FF"/>
        </w:rPr>
        <w:drawing>
          <wp:inline distT="0" distB="0" distL="0" distR="0" wp14:anchorId="4CB318B8" wp14:editId="372C4FFF">
            <wp:extent cx="5276798" cy="3671570"/>
            <wp:effectExtent l="0" t="0" r="635" b="5080"/>
            <wp:docPr id="226420063" name="Picture 1" descr=" Full model trace, both treatment arm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420063" name="Picture 1" descr=" Full model trace, both treatment arm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91570" cy="3681848"/>
                    </a:xfrm>
                    <a:prstGeom prst="rect">
                      <a:avLst/>
                    </a:prstGeom>
                    <a:noFill/>
                  </pic:spPr>
                </pic:pic>
              </a:graphicData>
            </a:graphic>
          </wp:inline>
        </w:drawing>
      </w:r>
    </w:p>
    <w:p w14:paraId="45164479" w14:textId="55610DFA" w:rsidR="00F84089" w:rsidRPr="00FD1145" w:rsidRDefault="00F84089" w:rsidP="00F84089">
      <w:pPr>
        <w:pStyle w:val="TableFigureFooter"/>
        <w:rPr>
          <w:rFonts w:eastAsiaTheme="minorHAnsi"/>
        </w:rPr>
      </w:pPr>
      <w:r w:rsidRPr="00FD1145">
        <w:rPr>
          <w:rFonts w:eastAsiaTheme="minorHAnsi"/>
        </w:rPr>
        <w:t xml:space="preserve">Source: </w:t>
      </w:r>
      <w:r w:rsidR="00B053C5" w:rsidRPr="00FD1145">
        <w:rPr>
          <w:rFonts w:eastAsiaTheme="minorHAnsi"/>
        </w:rPr>
        <w:t xml:space="preserve">Generated during the evaluation from </w:t>
      </w:r>
      <w:r w:rsidR="00766A2B" w:rsidRPr="00FD1145">
        <w:rPr>
          <w:rFonts w:eastAsiaTheme="minorHAnsi"/>
        </w:rPr>
        <w:t>Model</w:t>
      </w:r>
      <w:r w:rsidR="00B053C5" w:rsidRPr="00FD1145">
        <w:rPr>
          <w:rFonts w:eastAsiaTheme="minorHAnsi"/>
        </w:rPr>
        <w:t xml:space="preserve"> traces in tab </w:t>
      </w:r>
      <w:r w:rsidR="00F93230" w:rsidRPr="00FD1145">
        <w:rPr>
          <w:rFonts w:eastAsiaTheme="minorHAnsi"/>
        </w:rPr>
        <w:t>‘PSM Trace’</w:t>
      </w:r>
      <w:r w:rsidR="00B053C5" w:rsidRPr="00FD1145">
        <w:rPr>
          <w:rFonts w:eastAsiaTheme="minorHAnsi"/>
        </w:rPr>
        <w:t xml:space="preserve">, workbook </w:t>
      </w:r>
      <w:r w:rsidR="00342F6D">
        <w:rPr>
          <w:rFonts w:eastAsiaTheme="minorHAnsi"/>
        </w:rPr>
        <w:t>‘</w:t>
      </w:r>
      <w:r w:rsidR="00B053C5" w:rsidRPr="00FD1145">
        <w:rPr>
          <w:rFonts w:eastAsiaTheme="minorHAnsi"/>
        </w:rPr>
        <w:t xml:space="preserve">Economic Model - </w:t>
      </w:r>
      <w:proofErr w:type="spellStart"/>
      <w:r w:rsidR="00B053C5" w:rsidRPr="00FD1145">
        <w:rPr>
          <w:rFonts w:eastAsiaTheme="minorHAnsi"/>
        </w:rPr>
        <w:t>Tuksya</w:t>
      </w:r>
      <w:proofErr w:type="spellEnd"/>
      <w:r w:rsidR="00B053C5" w:rsidRPr="00FD1145">
        <w:rPr>
          <w:rFonts w:eastAsiaTheme="minorHAnsi"/>
        </w:rPr>
        <w:t xml:space="preserve"> </w:t>
      </w:r>
      <w:proofErr w:type="spellStart"/>
      <w:r w:rsidR="00B053C5" w:rsidRPr="00FD1145">
        <w:rPr>
          <w:rFonts w:eastAsiaTheme="minorHAnsi"/>
        </w:rPr>
        <w:t>CEA_Section</w:t>
      </w:r>
      <w:proofErr w:type="spellEnd"/>
      <w:r w:rsidR="00B053C5" w:rsidRPr="00FD1145">
        <w:rPr>
          <w:rFonts w:eastAsiaTheme="minorHAnsi"/>
        </w:rPr>
        <w:t xml:space="preserve"> 3B_v1.0.xlsm.</w:t>
      </w:r>
      <w:r w:rsidR="00342F6D">
        <w:rPr>
          <w:rFonts w:eastAsiaTheme="minorHAnsi"/>
        </w:rPr>
        <w:t>’</w:t>
      </w:r>
      <w:r w:rsidRPr="00FD1145">
        <w:rPr>
          <w:rFonts w:eastAsiaTheme="minorHAnsi"/>
        </w:rPr>
        <w:t>.</w:t>
      </w:r>
    </w:p>
    <w:p w14:paraId="024DAFE0" w14:textId="77777777" w:rsidR="00F84089" w:rsidRPr="00FD1145" w:rsidRDefault="00F84089" w:rsidP="00F84089">
      <w:pPr>
        <w:pStyle w:val="TableFigureFooter"/>
        <w:rPr>
          <w:rFonts w:eastAsiaTheme="minorHAnsi"/>
        </w:rPr>
      </w:pPr>
      <w:r w:rsidRPr="00FD1145">
        <w:rPr>
          <w:rFonts w:eastAsiaTheme="minorHAnsi"/>
        </w:rPr>
        <w:t>Abbreviations: PFS, progression</w:t>
      </w:r>
      <w:r w:rsidRPr="00FD1145">
        <w:rPr>
          <w:rFonts w:ascii="Cambria Math" w:eastAsiaTheme="minorHAnsi" w:hAnsi="Cambria Math" w:cs="Cambria Math"/>
        </w:rPr>
        <w:t>‑</w:t>
      </w:r>
      <w:r w:rsidRPr="00FD1145">
        <w:rPr>
          <w:rFonts w:eastAsiaTheme="minorHAnsi"/>
        </w:rPr>
        <w:t>free survival; OS, overall survival.</w:t>
      </w:r>
    </w:p>
    <w:p w14:paraId="2ACF98BB" w14:textId="77777777" w:rsidR="00F84089" w:rsidRPr="00FD1145" w:rsidRDefault="00F84089" w:rsidP="00F84089">
      <w:pPr>
        <w:pStyle w:val="TableFigureHeading"/>
      </w:pPr>
    </w:p>
    <w:p w14:paraId="2989C853" w14:textId="5568826B" w:rsidR="00F84089" w:rsidRPr="00FD1145" w:rsidRDefault="00F84089" w:rsidP="00F84089">
      <w:pPr>
        <w:pStyle w:val="3-BodyText"/>
      </w:pPr>
      <w:r w:rsidRPr="00FD1145">
        <w:t xml:space="preserve">A summary of the key drivers of the model is presented in </w:t>
      </w:r>
      <w:r w:rsidR="0086180D" w:rsidRPr="00FD1145">
        <w:rPr>
          <w:highlight w:val="yellow"/>
        </w:rPr>
        <w:fldChar w:fldCharType="begin"/>
      </w:r>
      <w:r w:rsidR="0086180D" w:rsidRPr="00FD1145">
        <w:instrText xml:space="preserve"> REF _Ref206419542 \h </w:instrText>
      </w:r>
      <w:r w:rsidR="00C33092" w:rsidRPr="00FD1145">
        <w:rPr>
          <w:highlight w:val="yellow"/>
        </w:rPr>
        <w:instrText xml:space="preserve"> \* MERGEFORMAT </w:instrText>
      </w:r>
      <w:r w:rsidR="0086180D" w:rsidRPr="00FD1145">
        <w:rPr>
          <w:highlight w:val="yellow"/>
        </w:rPr>
      </w:r>
      <w:r w:rsidR="0086180D" w:rsidRPr="00FD1145">
        <w:rPr>
          <w:highlight w:val="yellow"/>
        </w:rPr>
        <w:fldChar w:fldCharType="separate"/>
      </w:r>
      <w:r w:rsidR="009B3037" w:rsidRPr="00FD1145">
        <w:t xml:space="preserve">Table </w:t>
      </w:r>
      <w:r w:rsidR="009B3037">
        <w:rPr>
          <w:noProof/>
        </w:rPr>
        <w:t>14</w:t>
      </w:r>
      <w:r w:rsidR="0086180D" w:rsidRPr="00FD1145">
        <w:rPr>
          <w:highlight w:val="yellow"/>
        </w:rPr>
        <w:fldChar w:fldCharType="end"/>
      </w:r>
      <w:r w:rsidR="0086180D" w:rsidRPr="00FD1145">
        <w:t>.</w:t>
      </w:r>
    </w:p>
    <w:p w14:paraId="25D6EEEC" w14:textId="163A4BE8" w:rsidR="00F84089" w:rsidRPr="00FD1145" w:rsidRDefault="00F84089" w:rsidP="00F84089">
      <w:pPr>
        <w:pStyle w:val="Caption"/>
        <w:jc w:val="left"/>
        <w:rPr>
          <w:rStyle w:val="CommentReference"/>
          <w:b/>
          <w:szCs w:val="24"/>
        </w:rPr>
      </w:pPr>
      <w:bookmarkStart w:id="71" w:name="_Ref206419542"/>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14</w:t>
      </w:r>
      <w:r w:rsidR="007000FA">
        <w:rPr>
          <w:noProof/>
        </w:rPr>
        <w:fldChar w:fldCharType="end"/>
      </w:r>
      <w:bookmarkEnd w:id="71"/>
      <w:r w:rsidRPr="00FD1145">
        <w:t>:</w:t>
      </w:r>
      <w:r w:rsidRPr="00FD1145">
        <w:rPr>
          <w:rStyle w:val="CommentReference"/>
          <w:b/>
          <w:szCs w:val="24"/>
        </w:rPr>
        <w:t xml:space="preserve">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drivers of the model"/>
      </w:tblPr>
      <w:tblGrid>
        <w:gridCol w:w="1129"/>
        <w:gridCol w:w="5103"/>
        <w:gridCol w:w="2784"/>
      </w:tblGrid>
      <w:tr w:rsidR="00F84089" w:rsidRPr="00FD1145" w14:paraId="1F53CDFE" w14:textId="77777777" w:rsidTr="008B1086">
        <w:trPr>
          <w:tblHeader/>
        </w:trPr>
        <w:tc>
          <w:tcPr>
            <w:tcW w:w="626" w:type="pct"/>
            <w:vAlign w:val="center"/>
          </w:tcPr>
          <w:p w14:paraId="4198943F" w14:textId="77777777" w:rsidR="00F84089" w:rsidRPr="00FD1145" w:rsidRDefault="00F84089" w:rsidP="00CA6BDE">
            <w:pPr>
              <w:pStyle w:val="In-tableHeading"/>
            </w:pPr>
            <w:r w:rsidRPr="00FD1145">
              <w:t>Description</w:t>
            </w:r>
          </w:p>
        </w:tc>
        <w:tc>
          <w:tcPr>
            <w:tcW w:w="2830" w:type="pct"/>
            <w:vAlign w:val="center"/>
          </w:tcPr>
          <w:p w14:paraId="157C1DCA" w14:textId="77777777" w:rsidR="00F84089" w:rsidRPr="00FD1145" w:rsidRDefault="00F84089" w:rsidP="00CA6BDE">
            <w:pPr>
              <w:pStyle w:val="In-tableHeading"/>
            </w:pPr>
            <w:r w:rsidRPr="00FD1145">
              <w:t>Method/Value</w:t>
            </w:r>
          </w:p>
        </w:tc>
        <w:tc>
          <w:tcPr>
            <w:tcW w:w="1544" w:type="pct"/>
            <w:vAlign w:val="center"/>
          </w:tcPr>
          <w:p w14:paraId="558F8D3F" w14:textId="77777777" w:rsidR="00F84089" w:rsidRPr="00FD1145" w:rsidRDefault="00F84089" w:rsidP="00CA6BDE">
            <w:pPr>
              <w:pStyle w:val="In-tableHeading"/>
            </w:pPr>
            <w:r w:rsidRPr="00FD1145">
              <w:t>Impact</w:t>
            </w:r>
          </w:p>
          <w:p w14:paraId="7F2A92EF" w14:textId="2EB9C532" w:rsidR="00F84089" w:rsidRPr="00FD1145" w:rsidRDefault="00F84089" w:rsidP="00CA6BDE">
            <w:pPr>
              <w:pStyle w:val="In-tableHeading"/>
            </w:pPr>
            <w:r w:rsidRPr="00FD1145">
              <w:t>Base case: $</w:t>
            </w:r>
            <w:r w:rsidR="009B6432" w:rsidRPr="009B6432">
              <w:rPr>
                <w:highlight w:val="black"/>
              </w:rPr>
              <w:t>&amp;&amp;&amp;&amp;</w:t>
            </w:r>
            <w:r w:rsidR="00947D6B">
              <w:rPr>
                <w:vertAlign w:val="superscript"/>
              </w:rPr>
              <w:t>1</w:t>
            </w:r>
            <w:r w:rsidRPr="00FD1145">
              <w:t xml:space="preserve"> /QALY gained</w:t>
            </w:r>
            <w:r w:rsidRPr="00FD1145">
              <w:rPr>
                <w:color w:val="3366FF"/>
              </w:rPr>
              <w:t>.</w:t>
            </w:r>
          </w:p>
        </w:tc>
      </w:tr>
      <w:tr w:rsidR="00F84089" w:rsidRPr="00FD1145" w14:paraId="7F43DE7B" w14:textId="77777777" w:rsidTr="008B1086">
        <w:trPr>
          <w:tblHeader/>
        </w:trPr>
        <w:tc>
          <w:tcPr>
            <w:tcW w:w="626" w:type="pct"/>
            <w:vAlign w:val="center"/>
          </w:tcPr>
          <w:p w14:paraId="6D1243CA" w14:textId="77777777" w:rsidR="00F84089" w:rsidRPr="00FD1145" w:rsidRDefault="00F84089" w:rsidP="008B1086">
            <w:pPr>
              <w:pStyle w:val="TableText0"/>
            </w:pPr>
            <w:r w:rsidRPr="00FD1145">
              <w:t>Time horizon</w:t>
            </w:r>
          </w:p>
        </w:tc>
        <w:tc>
          <w:tcPr>
            <w:tcW w:w="2830" w:type="pct"/>
            <w:vAlign w:val="center"/>
          </w:tcPr>
          <w:p w14:paraId="70BF9743" w14:textId="11A453FB" w:rsidR="00F84089" w:rsidRPr="00FD1145" w:rsidRDefault="00F84089" w:rsidP="008B1086">
            <w:pPr>
              <w:pStyle w:val="TableText0"/>
            </w:pPr>
            <w:r w:rsidRPr="00FD1145">
              <w:t>10</w:t>
            </w:r>
            <w:r w:rsidRPr="00FD1145">
              <w:rPr>
                <w:rFonts w:ascii="Cambria Math" w:hAnsi="Cambria Math" w:cs="Cambria Math"/>
              </w:rPr>
              <w:t>‑</w:t>
            </w:r>
            <w:r w:rsidRPr="00FD1145">
              <w:t>year base case; PBAC</w:t>
            </w:r>
            <w:r w:rsidR="00930EDE">
              <w:t xml:space="preserve">’s previous </w:t>
            </w:r>
            <w:r w:rsidRPr="00FD1145">
              <w:t>preference for 5 years not adopted [unchanged]</w:t>
            </w:r>
          </w:p>
        </w:tc>
        <w:tc>
          <w:tcPr>
            <w:tcW w:w="1544" w:type="pct"/>
            <w:vAlign w:val="center"/>
          </w:tcPr>
          <w:p w14:paraId="011AE15A" w14:textId="1BE27A1A" w:rsidR="00F84089" w:rsidRPr="00FD1145" w:rsidRDefault="00F84089" w:rsidP="008B1086">
            <w:pPr>
              <w:pStyle w:val="TableText0"/>
            </w:pPr>
            <w:r w:rsidRPr="00FD1145">
              <w:t>Moderate, favours tucatinib. 7.5</w:t>
            </w:r>
            <w:r w:rsidRPr="00FD1145">
              <w:rPr>
                <w:rFonts w:ascii="Cambria Math" w:hAnsi="Cambria Math" w:cs="Cambria Math"/>
              </w:rPr>
              <w:t>‑</w:t>
            </w:r>
            <w:r w:rsidRPr="00FD1145">
              <w:t>year horizon increased the ICER to $</w:t>
            </w:r>
            <w:r w:rsidR="009B6432" w:rsidRPr="009B6432">
              <w:rPr>
                <w:highlight w:val="black"/>
              </w:rPr>
              <w:t>&amp;&amp;&amp;&amp;</w:t>
            </w:r>
            <w:r w:rsidR="00947D6B">
              <w:rPr>
                <w:vertAlign w:val="superscript"/>
              </w:rPr>
              <w:t>1</w:t>
            </w:r>
            <w:r w:rsidRPr="00FD1145">
              <w:t>/QALY (+</w:t>
            </w:r>
            <w:r w:rsidR="009B6432" w:rsidRPr="009B6432">
              <w:rPr>
                <w:highlight w:val="black"/>
              </w:rPr>
              <w:t>&amp;&amp;&amp;&amp;</w:t>
            </w:r>
            <w:r w:rsidRPr="00FD1145">
              <w:t>%); 5</w:t>
            </w:r>
            <w:r w:rsidRPr="00FD1145">
              <w:rPr>
                <w:rFonts w:ascii="Cambria Math" w:hAnsi="Cambria Math" w:cs="Cambria Math"/>
              </w:rPr>
              <w:t>‑</w:t>
            </w:r>
            <w:r w:rsidRPr="00FD1145">
              <w:t>year to $</w:t>
            </w:r>
            <w:r w:rsidR="009B6432" w:rsidRPr="009B6432">
              <w:rPr>
                <w:highlight w:val="black"/>
              </w:rPr>
              <w:t>&amp;&amp;&amp;&amp;</w:t>
            </w:r>
            <w:r w:rsidRPr="00FD1145">
              <w:t>/QALY (+</w:t>
            </w:r>
            <w:r w:rsidR="009B6432" w:rsidRPr="009B6432">
              <w:rPr>
                <w:highlight w:val="black"/>
              </w:rPr>
              <w:t>&amp;&amp;&amp;&amp;</w:t>
            </w:r>
            <w:r w:rsidRPr="00FD1145">
              <w:t>%).</w:t>
            </w:r>
          </w:p>
        </w:tc>
      </w:tr>
      <w:tr w:rsidR="00F84089" w:rsidRPr="00FD1145" w14:paraId="79EC7275" w14:textId="77777777" w:rsidTr="008B1086">
        <w:trPr>
          <w:tblHeader/>
        </w:trPr>
        <w:tc>
          <w:tcPr>
            <w:tcW w:w="626" w:type="pct"/>
            <w:vAlign w:val="center"/>
          </w:tcPr>
          <w:p w14:paraId="69BB1C01" w14:textId="77777777" w:rsidR="00F84089" w:rsidRPr="00FD1145" w:rsidRDefault="00F84089" w:rsidP="008B1086">
            <w:pPr>
              <w:pStyle w:val="TableText0"/>
            </w:pPr>
            <w:r w:rsidRPr="00FD1145">
              <w:t>Health</w:t>
            </w:r>
            <w:r w:rsidRPr="00FD1145">
              <w:rPr>
                <w:rFonts w:ascii="Cambria Math" w:hAnsi="Cambria Math" w:cs="Cambria Math"/>
              </w:rPr>
              <w:t>‑</w:t>
            </w:r>
            <w:r w:rsidRPr="00FD1145">
              <w:t>state utilities</w:t>
            </w:r>
          </w:p>
        </w:tc>
        <w:tc>
          <w:tcPr>
            <w:tcW w:w="2830" w:type="pct"/>
            <w:vAlign w:val="center"/>
          </w:tcPr>
          <w:p w14:paraId="4A2E3964" w14:textId="77777777" w:rsidR="00F84089" w:rsidRPr="00FD1145" w:rsidRDefault="00F84089" w:rsidP="008B1086">
            <w:pPr>
              <w:pStyle w:val="TableText0"/>
            </w:pPr>
            <w:r w:rsidRPr="00FD1145">
              <w:t>Trial EQ</w:t>
            </w:r>
            <w:r w:rsidRPr="00FD1145">
              <w:rPr>
                <w:rFonts w:ascii="Cambria Math" w:hAnsi="Cambria Math" w:cs="Cambria Math"/>
              </w:rPr>
              <w:t>‑</w:t>
            </w:r>
            <w:r w:rsidRPr="00FD1145">
              <w:t>5D</w:t>
            </w:r>
            <w:r w:rsidRPr="00FD1145">
              <w:rPr>
                <w:rFonts w:ascii="Cambria Math" w:hAnsi="Cambria Math" w:cs="Cambria Math"/>
              </w:rPr>
              <w:t>‑</w:t>
            </w:r>
            <w:r w:rsidRPr="00FD1145">
              <w:t>5L values applied by cycle for PF; PD set to the minimum of the two arms; no AE disutility in base case [unchanged; Lloyd et</w:t>
            </w:r>
            <w:r w:rsidRPr="00FD1145">
              <w:rPr>
                <w:rFonts w:ascii="Arial" w:hAnsi="Arial" w:cs="Arial"/>
              </w:rPr>
              <w:t> </w:t>
            </w:r>
            <w:r w:rsidRPr="00FD1145">
              <w:t>al. 2006 used in scenario only]</w:t>
            </w:r>
          </w:p>
        </w:tc>
        <w:tc>
          <w:tcPr>
            <w:tcW w:w="1544" w:type="pct"/>
            <w:vAlign w:val="center"/>
          </w:tcPr>
          <w:p w14:paraId="6A5C81CD" w14:textId="3E9474A0" w:rsidR="00F84089" w:rsidRPr="00FD1145" w:rsidRDefault="00F84089" w:rsidP="008B1086">
            <w:pPr>
              <w:pStyle w:val="TableText0"/>
            </w:pPr>
            <w:r w:rsidRPr="00FD1145">
              <w:t>High, favours tucatinib. Using treatment</w:t>
            </w:r>
            <w:r w:rsidRPr="00FD1145">
              <w:rPr>
                <w:rFonts w:ascii="Cambria Math" w:hAnsi="Cambria Math" w:cs="Cambria Math"/>
              </w:rPr>
              <w:t>‑</w:t>
            </w:r>
            <w:r w:rsidRPr="00FD1145">
              <w:t>independent Lloyd utilities increased the ICER to $</w:t>
            </w:r>
            <w:r w:rsidR="009B6432" w:rsidRPr="009B6432">
              <w:rPr>
                <w:highlight w:val="black"/>
              </w:rPr>
              <w:t>&amp;&amp;&amp;&amp;</w:t>
            </w:r>
            <w:r w:rsidR="000B4FC6">
              <w:rPr>
                <w:vertAlign w:val="superscript"/>
              </w:rPr>
              <w:t>2</w:t>
            </w:r>
            <w:r w:rsidRPr="00FD1145">
              <w:t>/QALY (+</w:t>
            </w:r>
            <w:r w:rsidR="009B6432" w:rsidRPr="009B6432">
              <w:rPr>
                <w:highlight w:val="black"/>
              </w:rPr>
              <w:t>&amp;&amp;&amp;&amp;</w:t>
            </w:r>
            <w:r w:rsidRPr="00FD1145">
              <w:t>%); using PD 0.538 alone increased it to $</w:t>
            </w:r>
            <w:r w:rsidR="009B6432" w:rsidRPr="009B6432">
              <w:rPr>
                <w:highlight w:val="black"/>
              </w:rPr>
              <w:t>&amp;&amp;&amp;&amp;</w:t>
            </w:r>
            <w:r w:rsidR="00947D6B">
              <w:rPr>
                <w:vertAlign w:val="superscript"/>
              </w:rPr>
              <w:t>1</w:t>
            </w:r>
            <w:r w:rsidRPr="00FD1145">
              <w:t>/QALY (+</w:t>
            </w:r>
            <w:r w:rsidR="009B6432" w:rsidRPr="009B6432">
              <w:rPr>
                <w:highlight w:val="black"/>
              </w:rPr>
              <w:t>&amp;&amp;&amp;&amp;</w:t>
            </w:r>
            <w:r w:rsidRPr="00FD1145">
              <w:t>%).</w:t>
            </w:r>
          </w:p>
        </w:tc>
      </w:tr>
      <w:tr w:rsidR="00F84089" w:rsidRPr="00FD1145" w14:paraId="738A9460" w14:textId="77777777" w:rsidTr="008B1086">
        <w:trPr>
          <w:tblHeader/>
        </w:trPr>
        <w:tc>
          <w:tcPr>
            <w:tcW w:w="626" w:type="pct"/>
            <w:vAlign w:val="center"/>
          </w:tcPr>
          <w:p w14:paraId="7EEFDC4D" w14:textId="77777777" w:rsidR="00F84089" w:rsidRPr="00FD1145" w:rsidRDefault="00F84089" w:rsidP="008B1086">
            <w:pPr>
              <w:pStyle w:val="TableText0"/>
            </w:pPr>
            <w:r w:rsidRPr="00FD1145">
              <w:t>Time to treatment discontinuation (tucatinib arm)</w:t>
            </w:r>
          </w:p>
        </w:tc>
        <w:tc>
          <w:tcPr>
            <w:tcW w:w="2830" w:type="pct"/>
            <w:vAlign w:val="center"/>
          </w:tcPr>
          <w:p w14:paraId="52E36218" w14:textId="77777777" w:rsidR="00F84089" w:rsidRPr="00FD1145" w:rsidRDefault="00F84089" w:rsidP="008B1086">
            <w:pPr>
              <w:pStyle w:val="TableText0"/>
            </w:pPr>
            <w:r w:rsidRPr="00FD1145">
              <w:t>Gompertz chosen despite log</w:t>
            </w:r>
            <w:r w:rsidRPr="00FD1145">
              <w:rPr>
                <w:rFonts w:ascii="Cambria Math" w:hAnsi="Cambria Math" w:cs="Cambria Math"/>
              </w:rPr>
              <w:t>‑</w:t>
            </w:r>
            <w:r w:rsidRPr="00FD1145">
              <w:t>logistic best statistical fit; KM to 20% at risk; external TTD validation presented [cut</w:t>
            </w:r>
            <w:r w:rsidRPr="00FD1145">
              <w:rPr>
                <w:rFonts w:ascii="Cambria Math" w:hAnsi="Cambria Math" w:cs="Cambria Math"/>
              </w:rPr>
              <w:t>‑</w:t>
            </w:r>
            <w:r w:rsidRPr="00FD1145">
              <w:t>off revised; choice of function unchanged]</w:t>
            </w:r>
          </w:p>
        </w:tc>
        <w:tc>
          <w:tcPr>
            <w:tcW w:w="1544" w:type="pct"/>
            <w:vAlign w:val="center"/>
          </w:tcPr>
          <w:p w14:paraId="783710C0" w14:textId="0680EFE4" w:rsidR="00F84089" w:rsidRPr="00FD1145" w:rsidRDefault="00F84089" w:rsidP="008B1086">
            <w:pPr>
              <w:pStyle w:val="TableText0"/>
            </w:pPr>
            <w:r w:rsidRPr="00FD1145">
              <w:t>High, favours tucatinib. Using log</w:t>
            </w:r>
            <w:r w:rsidRPr="00FD1145">
              <w:rPr>
                <w:rFonts w:ascii="Cambria Math" w:hAnsi="Cambria Math" w:cs="Cambria Math"/>
              </w:rPr>
              <w:t>‑</w:t>
            </w:r>
            <w:r w:rsidRPr="00FD1145">
              <w:t>logistic increased the ICER to $</w:t>
            </w:r>
            <w:r w:rsidR="009B6432" w:rsidRPr="009B6432">
              <w:rPr>
                <w:highlight w:val="black"/>
              </w:rPr>
              <w:t>&amp;&amp;&amp;&amp;</w:t>
            </w:r>
            <w:r w:rsidR="000B4FC6">
              <w:rPr>
                <w:vertAlign w:val="superscript"/>
              </w:rPr>
              <w:t>2</w:t>
            </w:r>
            <w:r w:rsidRPr="00FD1145">
              <w:t xml:space="preserve"> (+</w:t>
            </w:r>
            <w:r w:rsidR="009B6432" w:rsidRPr="009B6432">
              <w:rPr>
                <w:highlight w:val="black"/>
              </w:rPr>
              <w:t>&amp;&amp;&amp;&amp;</w:t>
            </w:r>
            <w:r w:rsidRPr="00FD1145">
              <w:t>%).</w:t>
            </w:r>
          </w:p>
        </w:tc>
      </w:tr>
    </w:tbl>
    <w:p w14:paraId="296E2668" w14:textId="77777777" w:rsidR="000F3B56" w:rsidRDefault="00F84089" w:rsidP="00F84089">
      <w:pPr>
        <w:pStyle w:val="FooterTableFigure"/>
      </w:pPr>
      <w:r w:rsidRPr="00FD1145">
        <w:t>Source: Table 3.13.2; Table 3.12.1; Section 3.8 of the resubmission. Abbreviations: QALY, Quality-Adjusted Life Year; PBAC, Pharmaceutical Benefits Advisory Committee; ICER, Incremental Cost-Effectiveness Ratio; PF, Progression-Free; PD, Progressive Disease; AE, Adverse Event.</w:t>
      </w:r>
    </w:p>
    <w:p w14:paraId="75BF7D6C" w14:textId="0BEDF0FA" w:rsidR="000F3B56" w:rsidRPr="000F3B56" w:rsidRDefault="000F3B56" w:rsidP="000F3B56">
      <w:pPr>
        <w:pStyle w:val="FooterTableFigure"/>
        <w:rPr>
          <w:i/>
        </w:rPr>
      </w:pPr>
      <w:r w:rsidRPr="000F3B56">
        <w:rPr>
          <w:i/>
        </w:rPr>
        <w:t xml:space="preserve">The redacted values correspond to the following ranges: </w:t>
      </w:r>
    </w:p>
    <w:p w14:paraId="4E3B9E95" w14:textId="46B1E926" w:rsidR="000F3B56" w:rsidRPr="000F3B56" w:rsidRDefault="000F3B56" w:rsidP="000F3B56">
      <w:pPr>
        <w:pStyle w:val="FooterTableFigure"/>
        <w:rPr>
          <w:i/>
        </w:rPr>
      </w:pPr>
      <w:r w:rsidRPr="000F3B56">
        <w:rPr>
          <w:i/>
          <w:vertAlign w:val="superscript"/>
        </w:rPr>
        <w:t>1</w:t>
      </w:r>
      <w:r w:rsidRPr="000F3B56">
        <w:rPr>
          <w:i/>
        </w:rPr>
        <w:t xml:space="preserve"> </w:t>
      </w:r>
      <w:r w:rsidR="00947D6B" w:rsidRPr="00947D6B">
        <w:rPr>
          <w:i/>
        </w:rPr>
        <w:t>$75,000 to &lt; $95,000</w:t>
      </w:r>
    </w:p>
    <w:p w14:paraId="1AD0399F" w14:textId="7B5F0567" w:rsidR="00F84089" w:rsidRPr="00FD1145" w:rsidRDefault="000F3B56" w:rsidP="00F84089">
      <w:pPr>
        <w:pStyle w:val="FooterTableFigure"/>
      </w:pPr>
      <w:r w:rsidRPr="000F3B56">
        <w:rPr>
          <w:i/>
          <w:vertAlign w:val="superscript"/>
        </w:rPr>
        <w:t>2</w:t>
      </w:r>
      <w:r w:rsidRPr="000F3B56">
        <w:rPr>
          <w:i/>
        </w:rPr>
        <w:t xml:space="preserve"> </w:t>
      </w:r>
      <w:r w:rsidR="000B4FC6" w:rsidRPr="000B4FC6">
        <w:rPr>
          <w:i/>
        </w:rPr>
        <w:t>$95,000 to &lt; $115,000</w:t>
      </w:r>
    </w:p>
    <w:p w14:paraId="413F3AAA" w14:textId="5F658866" w:rsidR="00F84089" w:rsidRPr="00FD1145" w:rsidRDefault="00DB00EC" w:rsidP="00301ED7">
      <w:pPr>
        <w:pStyle w:val="3-BodyText"/>
      </w:pPr>
      <w:r w:rsidRPr="00FD1145">
        <w:t xml:space="preserve">The results of the stepped economic evaluation </w:t>
      </w:r>
      <w:r w:rsidR="0028621E" w:rsidRPr="00FD1145">
        <w:t>are</w:t>
      </w:r>
      <w:r w:rsidRPr="00FD1145">
        <w:t xml:space="preserve"> presented in </w:t>
      </w:r>
      <w:r w:rsidR="0086180D" w:rsidRPr="00FD1145">
        <w:fldChar w:fldCharType="begin"/>
      </w:r>
      <w:r w:rsidR="0086180D" w:rsidRPr="00FD1145">
        <w:instrText xml:space="preserve"> REF _Ref206419559 \h </w:instrText>
      </w:r>
      <w:r w:rsidR="00C33092" w:rsidRPr="00FD1145">
        <w:instrText xml:space="preserve"> \* MERGEFORMAT </w:instrText>
      </w:r>
      <w:r w:rsidR="0086180D" w:rsidRPr="00FD1145">
        <w:fldChar w:fldCharType="separate"/>
      </w:r>
      <w:r w:rsidR="009B3037" w:rsidRPr="00FD1145">
        <w:t xml:space="preserve">Table </w:t>
      </w:r>
      <w:r w:rsidR="009B3037">
        <w:rPr>
          <w:noProof/>
        </w:rPr>
        <w:t>15</w:t>
      </w:r>
      <w:r w:rsidR="0086180D" w:rsidRPr="00FD1145">
        <w:fldChar w:fldCharType="end"/>
      </w:r>
      <w:r w:rsidRPr="00FD1145">
        <w:t xml:space="preserve">. </w:t>
      </w:r>
    </w:p>
    <w:p w14:paraId="56B03210" w14:textId="3A4E6C10" w:rsidR="00F84089" w:rsidRPr="00FD1145" w:rsidRDefault="00F84089" w:rsidP="00707926">
      <w:pPr>
        <w:pStyle w:val="Caption"/>
      </w:pPr>
      <w:bookmarkStart w:id="72" w:name="_Ref206419559"/>
      <w:r w:rsidRPr="00FD1145">
        <w:lastRenderedPageBreak/>
        <w:t xml:space="preserve">Table </w:t>
      </w:r>
      <w:r w:rsidR="007000FA">
        <w:fldChar w:fldCharType="begin"/>
      </w:r>
      <w:r w:rsidR="007000FA">
        <w:instrText xml:space="preserve"> SEQ Table \* ARABIC </w:instrText>
      </w:r>
      <w:r w:rsidR="007000FA">
        <w:fldChar w:fldCharType="separate"/>
      </w:r>
      <w:r w:rsidR="009B3037">
        <w:rPr>
          <w:noProof/>
        </w:rPr>
        <w:t>15</w:t>
      </w:r>
      <w:r w:rsidR="007000FA">
        <w:rPr>
          <w:noProof/>
        </w:rPr>
        <w:fldChar w:fldCharType="end"/>
      </w:r>
      <w:bookmarkEnd w:id="72"/>
      <w:r w:rsidRPr="00FD1145">
        <w:t>:</w:t>
      </w:r>
      <w:r w:rsidRPr="00FD1145">
        <w:rPr>
          <w:rStyle w:val="CommentReference"/>
          <w:b/>
          <w:szCs w:val="24"/>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Results of the stepped economic evaluation"/>
      </w:tblPr>
      <w:tblGrid>
        <w:gridCol w:w="2757"/>
        <w:gridCol w:w="2451"/>
        <w:gridCol w:w="2297"/>
        <w:gridCol w:w="1511"/>
      </w:tblGrid>
      <w:tr w:rsidR="00F84089" w:rsidRPr="00FD1145" w14:paraId="72EDC206" w14:textId="77777777" w:rsidTr="008B1086">
        <w:trPr>
          <w:cantSplit/>
          <w:tblHeader/>
        </w:trPr>
        <w:tc>
          <w:tcPr>
            <w:tcW w:w="1529" w:type="pct"/>
          </w:tcPr>
          <w:p w14:paraId="407D7C89" w14:textId="77777777" w:rsidR="00F84089" w:rsidRPr="00FD1145" w:rsidRDefault="00F84089" w:rsidP="00707926">
            <w:pPr>
              <w:pStyle w:val="In-tableHeading"/>
              <w:rPr>
                <w:lang w:val="en-AU"/>
              </w:rPr>
            </w:pPr>
            <w:r w:rsidRPr="00FD1145">
              <w:t>Step &amp; component</w:t>
            </w:r>
          </w:p>
        </w:tc>
        <w:tc>
          <w:tcPr>
            <w:tcW w:w="1359" w:type="pct"/>
          </w:tcPr>
          <w:p w14:paraId="291F5CC0" w14:textId="77777777" w:rsidR="00F84089" w:rsidRPr="00FD1145" w:rsidRDefault="00F84089" w:rsidP="00707926">
            <w:pPr>
              <w:pStyle w:val="In-tableHeading"/>
              <w:jc w:val="center"/>
              <w:rPr>
                <w:lang w:val="en-AU"/>
              </w:rPr>
            </w:pPr>
            <w:r w:rsidRPr="00FD1145">
              <w:t>Proposed medicine (tucatinib</w:t>
            </w:r>
            <w:r w:rsidRPr="00FD1145">
              <w:rPr>
                <w:rFonts w:ascii="Arial" w:hAnsi="Arial" w:cs="Arial"/>
              </w:rPr>
              <w:t> </w:t>
            </w:r>
            <w:r w:rsidRPr="00FD1145">
              <w:t>+</w:t>
            </w:r>
            <w:r w:rsidRPr="00FD1145">
              <w:rPr>
                <w:rFonts w:ascii="Arial" w:hAnsi="Arial" w:cs="Arial"/>
              </w:rPr>
              <w:t> </w:t>
            </w:r>
            <w:r w:rsidRPr="00FD1145">
              <w:t>trastuzumab</w:t>
            </w:r>
            <w:r w:rsidRPr="00FD1145">
              <w:rPr>
                <w:rFonts w:ascii="Arial" w:hAnsi="Arial" w:cs="Arial"/>
              </w:rPr>
              <w:t> </w:t>
            </w:r>
            <w:r w:rsidRPr="00FD1145">
              <w:t>+</w:t>
            </w:r>
            <w:r w:rsidRPr="00FD1145">
              <w:rPr>
                <w:rFonts w:ascii="Arial" w:hAnsi="Arial" w:cs="Arial"/>
              </w:rPr>
              <w:t> </w:t>
            </w:r>
            <w:r w:rsidRPr="00FD1145">
              <w:t>capecitabine)</w:t>
            </w:r>
          </w:p>
        </w:tc>
        <w:tc>
          <w:tcPr>
            <w:tcW w:w="1274" w:type="pct"/>
          </w:tcPr>
          <w:p w14:paraId="33360871" w14:textId="77777777" w:rsidR="00F84089" w:rsidRPr="00FD1145" w:rsidRDefault="00F84089" w:rsidP="00707926">
            <w:pPr>
              <w:pStyle w:val="In-tableHeading"/>
              <w:jc w:val="center"/>
              <w:rPr>
                <w:lang w:val="en-AU"/>
              </w:rPr>
            </w:pPr>
            <w:r w:rsidRPr="00FD1145">
              <w:t>Comparator (trastuzumab</w:t>
            </w:r>
            <w:r w:rsidRPr="00FD1145">
              <w:rPr>
                <w:rFonts w:ascii="Arial" w:hAnsi="Arial" w:cs="Arial"/>
              </w:rPr>
              <w:t> </w:t>
            </w:r>
            <w:r w:rsidRPr="00FD1145">
              <w:t>+</w:t>
            </w:r>
            <w:r w:rsidRPr="00FD1145">
              <w:rPr>
                <w:rFonts w:ascii="Arial" w:hAnsi="Arial" w:cs="Arial"/>
              </w:rPr>
              <w:t> </w:t>
            </w:r>
            <w:r w:rsidRPr="00FD1145">
              <w:t>capecitabine)</w:t>
            </w:r>
          </w:p>
        </w:tc>
        <w:tc>
          <w:tcPr>
            <w:tcW w:w="838" w:type="pct"/>
          </w:tcPr>
          <w:p w14:paraId="3AEEB6F6" w14:textId="77777777" w:rsidR="00F84089" w:rsidRPr="00FD1145" w:rsidRDefault="00F84089" w:rsidP="00707926">
            <w:pPr>
              <w:pStyle w:val="In-tableHeading"/>
              <w:jc w:val="center"/>
              <w:rPr>
                <w:lang w:val="en-AU"/>
              </w:rPr>
            </w:pPr>
            <w:r w:rsidRPr="00FD1145">
              <w:t>Increment</w:t>
            </w:r>
          </w:p>
        </w:tc>
      </w:tr>
      <w:tr w:rsidR="00F84089" w:rsidRPr="00FD1145" w14:paraId="7E1A30A0" w14:textId="77777777" w:rsidTr="008B1086">
        <w:trPr>
          <w:cantSplit/>
        </w:trPr>
        <w:tc>
          <w:tcPr>
            <w:tcW w:w="5000" w:type="pct"/>
            <w:gridSpan w:val="4"/>
            <w:vAlign w:val="center"/>
          </w:tcPr>
          <w:p w14:paraId="26394509" w14:textId="77777777" w:rsidR="00F84089" w:rsidRPr="00FD1145" w:rsidRDefault="00F84089" w:rsidP="00707926">
            <w:pPr>
              <w:pStyle w:val="In-tableHeading"/>
            </w:pPr>
            <w:r w:rsidRPr="00FD1145">
              <w:t>Step 1: trial-based costs and outcomes (29.6-month horizon)</w:t>
            </w:r>
          </w:p>
        </w:tc>
      </w:tr>
      <w:tr w:rsidR="00F84089" w:rsidRPr="00FD1145" w14:paraId="4B763FBB" w14:textId="77777777" w:rsidTr="008B1086">
        <w:trPr>
          <w:cantSplit/>
        </w:trPr>
        <w:tc>
          <w:tcPr>
            <w:tcW w:w="1529" w:type="pct"/>
            <w:vAlign w:val="center"/>
          </w:tcPr>
          <w:p w14:paraId="4DC85978" w14:textId="77777777" w:rsidR="00F84089" w:rsidRPr="00FD1145" w:rsidRDefault="00F84089" w:rsidP="00707926">
            <w:pPr>
              <w:pStyle w:val="TableText0"/>
              <w:rPr>
                <w:rFonts w:ascii="Times" w:hAnsi="Times"/>
              </w:rPr>
            </w:pPr>
            <w:r w:rsidRPr="00FD1145">
              <w:t>Costs</w:t>
            </w:r>
          </w:p>
        </w:tc>
        <w:tc>
          <w:tcPr>
            <w:tcW w:w="1359" w:type="pct"/>
          </w:tcPr>
          <w:p w14:paraId="1A1D2770" w14:textId="0A88A89E"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c>
          <w:tcPr>
            <w:tcW w:w="1274" w:type="pct"/>
          </w:tcPr>
          <w:p w14:paraId="6B7EBB2B" w14:textId="0438C555" w:rsidR="00F84089" w:rsidRPr="00FD1145" w:rsidRDefault="009017B3" w:rsidP="00707926">
            <w:pPr>
              <w:pStyle w:val="TableText0"/>
              <w:jc w:val="center"/>
              <w:rPr>
                <w:rFonts w:ascii="Times" w:hAnsi="Times"/>
              </w:rPr>
            </w:pPr>
            <w:r w:rsidRPr="00FD1145">
              <w:t>$8,347</w:t>
            </w:r>
          </w:p>
        </w:tc>
        <w:tc>
          <w:tcPr>
            <w:tcW w:w="838" w:type="pct"/>
          </w:tcPr>
          <w:p w14:paraId="77DF4566" w14:textId="607499F9" w:rsidR="00F84089" w:rsidRPr="00FD1145" w:rsidRDefault="0008501D" w:rsidP="00707926">
            <w:pPr>
              <w:pStyle w:val="TableText0"/>
              <w:jc w:val="center"/>
              <w:rPr>
                <w:rFonts w:ascii="Times" w:hAnsi="Times"/>
              </w:rPr>
            </w:pPr>
            <w:r w:rsidRPr="00FD1145">
              <w:t>$</w:t>
            </w:r>
            <w:r w:rsidR="009B6432" w:rsidRPr="009B6432">
              <w:rPr>
                <w:highlight w:val="black"/>
              </w:rPr>
              <w:t>&amp;&amp;&amp;&amp;</w:t>
            </w:r>
          </w:p>
        </w:tc>
      </w:tr>
      <w:tr w:rsidR="00F84089" w:rsidRPr="00FD1145" w14:paraId="284A4E99" w14:textId="77777777" w:rsidTr="008B1086">
        <w:trPr>
          <w:cantSplit/>
        </w:trPr>
        <w:tc>
          <w:tcPr>
            <w:tcW w:w="1529" w:type="pct"/>
            <w:vAlign w:val="center"/>
          </w:tcPr>
          <w:p w14:paraId="1277D582" w14:textId="0BC46F97" w:rsidR="00F84089" w:rsidRPr="00FD1145" w:rsidRDefault="00F84089" w:rsidP="00707926">
            <w:pPr>
              <w:pStyle w:val="TableText0"/>
              <w:rPr>
                <w:rFonts w:ascii="Times" w:hAnsi="Times"/>
              </w:rPr>
            </w:pPr>
            <w:r w:rsidRPr="00FD1145">
              <w:t>L</w:t>
            </w:r>
            <w:r w:rsidR="009E1AE0">
              <w:t>Y</w:t>
            </w:r>
            <w:r w:rsidRPr="00FD1145">
              <w:t>s</w:t>
            </w:r>
          </w:p>
        </w:tc>
        <w:tc>
          <w:tcPr>
            <w:tcW w:w="1359" w:type="pct"/>
          </w:tcPr>
          <w:p w14:paraId="1A469746" w14:textId="77777777" w:rsidR="00F84089" w:rsidRPr="00FD1145" w:rsidRDefault="00F84089" w:rsidP="00707926">
            <w:pPr>
              <w:pStyle w:val="TableText0"/>
              <w:jc w:val="center"/>
              <w:rPr>
                <w:rFonts w:ascii="Times" w:hAnsi="Times"/>
              </w:rPr>
            </w:pPr>
            <w:r w:rsidRPr="00FD1145">
              <w:t>1.74</w:t>
            </w:r>
          </w:p>
        </w:tc>
        <w:tc>
          <w:tcPr>
            <w:tcW w:w="1274" w:type="pct"/>
          </w:tcPr>
          <w:p w14:paraId="21261101" w14:textId="3F4F0048" w:rsidR="00F84089" w:rsidRPr="00FD1145" w:rsidRDefault="00882585" w:rsidP="00707926">
            <w:pPr>
              <w:pStyle w:val="TableText0"/>
              <w:jc w:val="center"/>
              <w:rPr>
                <w:rFonts w:ascii="Times" w:hAnsi="Times"/>
              </w:rPr>
            </w:pPr>
            <w:r w:rsidRPr="00FD1145">
              <w:t>1.55</w:t>
            </w:r>
          </w:p>
        </w:tc>
        <w:tc>
          <w:tcPr>
            <w:tcW w:w="838" w:type="pct"/>
          </w:tcPr>
          <w:p w14:paraId="4C670C29" w14:textId="224D7111" w:rsidR="00F84089" w:rsidRPr="00FD1145" w:rsidRDefault="00882585" w:rsidP="00707926">
            <w:pPr>
              <w:pStyle w:val="TableText0"/>
              <w:jc w:val="center"/>
            </w:pPr>
            <w:r w:rsidRPr="00FD1145">
              <w:t>0.19</w:t>
            </w:r>
          </w:p>
        </w:tc>
      </w:tr>
      <w:tr w:rsidR="00F84089" w:rsidRPr="00FD1145" w14:paraId="392D206D" w14:textId="77777777" w:rsidTr="008B1086">
        <w:trPr>
          <w:cantSplit/>
        </w:trPr>
        <w:tc>
          <w:tcPr>
            <w:tcW w:w="4162" w:type="pct"/>
            <w:gridSpan w:val="3"/>
            <w:vAlign w:val="center"/>
          </w:tcPr>
          <w:p w14:paraId="45B604EB" w14:textId="77777777" w:rsidR="00F84089" w:rsidRPr="00FD1145" w:rsidRDefault="00F84089" w:rsidP="00707926">
            <w:pPr>
              <w:pStyle w:val="TableText0"/>
              <w:rPr>
                <w:rFonts w:ascii="Times" w:hAnsi="Times"/>
              </w:rPr>
            </w:pPr>
            <w:r w:rsidRPr="00FD1145">
              <w:t>Incremental cost/extra life year gained</w:t>
            </w:r>
          </w:p>
        </w:tc>
        <w:tc>
          <w:tcPr>
            <w:tcW w:w="838" w:type="pct"/>
            <w:vAlign w:val="center"/>
          </w:tcPr>
          <w:p w14:paraId="72E79431" w14:textId="6AB4A2BD" w:rsidR="00F84089" w:rsidRPr="00266CA0" w:rsidRDefault="00F84089" w:rsidP="00707926">
            <w:pPr>
              <w:pStyle w:val="TableText0"/>
              <w:jc w:val="center"/>
              <w:rPr>
                <w:rFonts w:ascii="Times" w:hAnsi="Times"/>
                <w:vertAlign w:val="superscript"/>
              </w:rPr>
            </w:pPr>
            <w:r w:rsidRPr="00FD1145">
              <w:t>$</w:t>
            </w:r>
            <w:r w:rsidR="009B6432" w:rsidRPr="009B6432">
              <w:rPr>
                <w:highlight w:val="black"/>
              </w:rPr>
              <w:t>&amp;&amp;&amp;&amp;</w:t>
            </w:r>
            <w:r w:rsidRPr="00FD1145">
              <w:t>/LY</w:t>
            </w:r>
            <w:r w:rsidR="00266CA0">
              <w:rPr>
                <w:vertAlign w:val="superscript"/>
              </w:rPr>
              <w:t>1</w:t>
            </w:r>
          </w:p>
        </w:tc>
      </w:tr>
      <w:tr w:rsidR="00F84089" w:rsidRPr="00FD1145" w14:paraId="5BEB6DF3" w14:textId="77777777" w:rsidTr="008B1086">
        <w:trPr>
          <w:cantSplit/>
        </w:trPr>
        <w:tc>
          <w:tcPr>
            <w:tcW w:w="5000" w:type="pct"/>
            <w:gridSpan w:val="4"/>
            <w:vAlign w:val="center"/>
          </w:tcPr>
          <w:p w14:paraId="1341BC8F" w14:textId="77777777" w:rsidR="00F84089" w:rsidRPr="00FD1145" w:rsidRDefault="00F84089" w:rsidP="00707926">
            <w:pPr>
              <w:pStyle w:val="In-tableHeading"/>
            </w:pPr>
            <w:r w:rsidRPr="00FD1145">
              <w:t>Step 2: Step 1 + costs of grade ≥3 adverse events and terminal care</w:t>
            </w:r>
          </w:p>
        </w:tc>
      </w:tr>
      <w:tr w:rsidR="00F84089" w:rsidRPr="00FD1145" w14:paraId="628E2368" w14:textId="77777777" w:rsidTr="008B1086">
        <w:trPr>
          <w:cantSplit/>
        </w:trPr>
        <w:tc>
          <w:tcPr>
            <w:tcW w:w="1529" w:type="pct"/>
          </w:tcPr>
          <w:p w14:paraId="71E5DF5D" w14:textId="77777777" w:rsidR="00F84089" w:rsidRPr="00FD1145" w:rsidRDefault="00F84089" w:rsidP="00707926">
            <w:pPr>
              <w:pStyle w:val="TableText0"/>
              <w:rPr>
                <w:rFonts w:ascii="Times" w:hAnsi="Times"/>
              </w:rPr>
            </w:pPr>
            <w:r w:rsidRPr="00FD1145">
              <w:t>Costs</w:t>
            </w:r>
          </w:p>
        </w:tc>
        <w:tc>
          <w:tcPr>
            <w:tcW w:w="1359" w:type="pct"/>
          </w:tcPr>
          <w:p w14:paraId="1AB6D5B1" w14:textId="1A010C08"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c>
          <w:tcPr>
            <w:tcW w:w="1274" w:type="pct"/>
          </w:tcPr>
          <w:p w14:paraId="7330B825" w14:textId="77777777" w:rsidR="00F84089" w:rsidRPr="00FD1145" w:rsidRDefault="00F84089" w:rsidP="00707926">
            <w:pPr>
              <w:pStyle w:val="TableText0"/>
              <w:jc w:val="center"/>
              <w:rPr>
                <w:rFonts w:ascii="Times" w:hAnsi="Times"/>
              </w:rPr>
            </w:pPr>
            <w:r w:rsidRPr="00FD1145">
              <w:t>$24,057</w:t>
            </w:r>
          </w:p>
        </w:tc>
        <w:tc>
          <w:tcPr>
            <w:tcW w:w="838" w:type="pct"/>
          </w:tcPr>
          <w:p w14:paraId="2F156345" w14:textId="279811A2"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r>
      <w:tr w:rsidR="00F84089" w:rsidRPr="00FD1145" w14:paraId="137010B3" w14:textId="77777777" w:rsidTr="008B1086">
        <w:trPr>
          <w:cantSplit/>
        </w:trPr>
        <w:tc>
          <w:tcPr>
            <w:tcW w:w="1529" w:type="pct"/>
          </w:tcPr>
          <w:p w14:paraId="01F148B7" w14:textId="37F85709" w:rsidR="00F84089" w:rsidRPr="00FD1145" w:rsidRDefault="00F84089" w:rsidP="00707926">
            <w:pPr>
              <w:pStyle w:val="TableText0"/>
              <w:rPr>
                <w:rFonts w:ascii="Times" w:hAnsi="Times"/>
              </w:rPr>
            </w:pPr>
            <w:r w:rsidRPr="00FD1145">
              <w:t>L</w:t>
            </w:r>
            <w:r w:rsidR="009E1AE0">
              <w:t>Y</w:t>
            </w:r>
            <w:r w:rsidRPr="00FD1145">
              <w:t>s</w:t>
            </w:r>
          </w:p>
        </w:tc>
        <w:tc>
          <w:tcPr>
            <w:tcW w:w="1359" w:type="pct"/>
          </w:tcPr>
          <w:p w14:paraId="207F5898" w14:textId="77777777" w:rsidR="00F84089" w:rsidRPr="00FD1145" w:rsidRDefault="00F84089" w:rsidP="00707926">
            <w:pPr>
              <w:pStyle w:val="TableText0"/>
              <w:jc w:val="center"/>
              <w:rPr>
                <w:rFonts w:ascii="Times" w:hAnsi="Times"/>
              </w:rPr>
            </w:pPr>
            <w:r w:rsidRPr="00FD1145">
              <w:t>1.74</w:t>
            </w:r>
          </w:p>
        </w:tc>
        <w:tc>
          <w:tcPr>
            <w:tcW w:w="1274" w:type="pct"/>
          </w:tcPr>
          <w:p w14:paraId="507676F8" w14:textId="710BD9A7" w:rsidR="00F84089" w:rsidRPr="00FD1145" w:rsidRDefault="00F84089" w:rsidP="00707926">
            <w:pPr>
              <w:pStyle w:val="TableText0"/>
              <w:jc w:val="center"/>
              <w:rPr>
                <w:rFonts w:ascii="Times" w:hAnsi="Times"/>
              </w:rPr>
            </w:pPr>
            <w:r w:rsidRPr="00FD1145">
              <w:t>1.55</w:t>
            </w:r>
          </w:p>
        </w:tc>
        <w:tc>
          <w:tcPr>
            <w:tcW w:w="838" w:type="pct"/>
          </w:tcPr>
          <w:p w14:paraId="6BBED7F7" w14:textId="77777777" w:rsidR="00F84089" w:rsidRPr="00FD1145" w:rsidRDefault="00F84089" w:rsidP="00707926">
            <w:pPr>
              <w:pStyle w:val="TableText0"/>
              <w:jc w:val="center"/>
            </w:pPr>
            <w:r w:rsidRPr="00FD1145">
              <w:t>0.19</w:t>
            </w:r>
          </w:p>
        </w:tc>
      </w:tr>
      <w:tr w:rsidR="00F84089" w:rsidRPr="00FD1145" w14:paraId="7E2871A1" w14:textId="77777777" w:rsidTr="008B1086">
        <w:trPr>
          <w:cantSplit/>
        </w:trPr>
        <w:tc>
          <w:tcPr>
            <w:tcW w:w="4162" w:type="pct"/>
            <w:gridSpan w:val="3"/>
          </w:tcPr>
          <w:p w14:paraId="4D3D6124" w14:textId="77777777" w:rsidR="00F84089" w:rsidRPr="00FD1145" w:rsidRDefault="00F84089" w:rsidP="00707926">
            <w:pPr>
              <w:pStyle w:val="TableText0"/>
              <w:rPr>
                <w:rFonts w:ascii="Times" w:hAnsi="Times"/>
              </w:rPr>
            </w:pPr>
            <w:r w:rsidRPr="00FD1145">
              <w:t>Incremental cost/extra life year gained</w:t>
            </w:r>
          </w:p>
        </w:tc>
        <w:tc>
          <w:tcPr>
            <w:tcW w:w="838" w:type="pct"/>
          </w:tcPr>
          <w:p w14:paraId="46C4922C" w14:textId="00E0F8CF" w:rsidR="00F84089" w:rsidRPr="000B0EC3" w:rsidRDefault="00F84089" w:rsidP="00707926">
            <w:pPr>
              <w:pStyle w:val="TableText0"/>
              <w:jc w:val="center"/>
              <w:rPr>
                <w:rFonts w:ascii="Times" w:hAnsi="Times"/>
                <w:vertAlign w:val="superscript"/>
              </w:rPr>
            </w:pPr>
            <w:r w:rsidRPr="00FD1145">
              <w:t>$</w:t>
            </w:r>
            <w:r w:rsidR="009B6432" w:rsidRPr="009B6432">
              <w:rPr>
                <w:highlight w:val="black"/>
              </w:rPr>
              <w:t>&amp;&amp;&amp;&amp;</w:t>
            </w:r>
            <w:r w:rsidRPr="00FD1145">
              <w:t>/LY</w:t>
            </w:r>
            <w:r w:rsidR="000B0EC3">
              <w:rPr>
                <w:vertAlign w:val="superscript"/>
              </w:rPr>
              <w:t>1</w:t>
            </w:r>
          </w:p>
        </w:tc>
      </w:tr>
      <w:tr w:rsidR="00F84089" w:rsidRPr="00FD1145" w14:paraId="330D4B90" w14:textId="77777777" w:rsidTr="008B1086">
        <w:trPr>
          <w:cantSplit/>
        </w:trPr>
        <w:tc>
          <w:tcPr>
            <w:tcW w:w="5000" w:type="pct"/>
            <w:gridSpan w:val="4"/>
            <w:vAlign w:val="center"/>
          </w:tcPr>
          <w:p w14:paraId="709C30E9" w14:textId="77777777" w:rsidR="00F84089" w:rsidRPr="00FD1145" w:rsidRDefault="00F84089" w:rsidP="00707926">
            <w:pPr>
              <w:pStyle w:val="In-tableHeading"/>
            </w:pPr>
            <w:r w:rsidRPr="00FD1145">
              <w:t>Step 3a: Step 2 + trial-based utilities applied to PFS only (no new costs)</w:t>
            </w:r>
          </w:p>
        </w:tc>
      </w:tr>
      <w:tr w:rsidR="00F84089" w:rsidRPr="00FD1145" w14:paraId="1D14D23A" w14:textId="77777777" w:rsidTr="008B1086">
        <w:trPr>
          <w:cantSplit/>
        </w:trPr>
        <w:tc>
          <w:tcPr>
            <w:tcW w:w="1529" w:type="pct"/>
          </w:tcPr>
          <w:p w14:paraId="2018A2F7" w14:textId="77777777" w:rsidR="00F84089" w:rsidRPr="00FD1145" w:rsidRDefault="00F84089" w:rsidP="00707926">
            <w:pPr>
              <w:pStyle w:val="TableText0"/>
              <w:rPr>
                <w:rFonts w:ascii="Times" w:hAnsi="Times"/>
              </w:rPr>
            </w:pPr>
            <w:r w:rsidRPr="00FD1145">
              <w:t>Costs</w:t>
            </w:r>
          </w:p>
        </w:tc>
        <w:tc>
          <w:tcPr>
            <w:tcW w:w="1359" w:type="pct"/>
          </w:tcPr>
          <w:p w14:paraId="6C30946D" w14:textId="4780899B"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c>
          <w:tcPr>
            <w:tcW w:w="1274" w:type="pct"/>
          </w:tcPr>
          <w:p w14:paraId="1EBB0A5E" w14:textId="77777777" w:rsidR="00F84089" w:rsidRPr="00FD1145" w:rsidRDefault="00F84089" w:rsidP="00707926">
            <w:pPr>
              <w:pStyle w:val="TableText0"/>
              <w:jc w:val="center"/>
              <w:rPr>
                <w:rFonts w:ascii="Times" w:hAnsi="Times"/>
              </w:rPr>
            </w:pPr>
            <w:r w:rsidRPr="00FD1145">
              <w:t>$24,057</w:t>
            </w:r>
          </w:p>
        </w:tc>
        <w:tc>
          <w:tcPr>
            <w:tcW w:w="838" w:type="pct"/>
          </w:tcPr>
          <w:p w14:paraId="088979DD" w14:textId="13642AE6"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r>
      <w:tr w:rsidR="00F84089" w:rsidRPr="00FD1145" w14:paraId="6C372837" w14:textId="77777777" w:rsidTr="008B1086">
        <w:trPr>
          <w:cantSplit/>
        </w:trPr>
        <w:tc>
          <w:tcPr>
            <w:tcW w:w="1529" w:type="pct"/>
          </w:tcPr>
          <w:p w14:paraId="42D1C4BA" w14:textId="77777777" w:rsidR="00F84089" w:rsidRPr="00FD1145" w:rsidRDefault="00F84089" w:rsidP="00707926">
            <w:pPr>
              <w:pStyle w:val="TableText0"/>
              <w:rPr>
                <w:rFonts w:ascii="Times" w:hAnsi="Times"/>
              </w:rPr>
            </w:pPr>
            <w:r w:rsidRPr="00FD1145">
              <w:t>QALYs</w:t>
            </w:r>
          </w:p>
        </w:tc>
        <w:tc>
          <w:tcPr>
            <w:tcW w:w="1359" w:type="pct"/>
          </w:tcPr>
          <w:p w14:paraId="0474DC41" w14:textId="77777777" w:rsidR="00F84089" w:rsidRPr="00FD1145" w:rsidRDefault="00F84089" w:rsidP="00707926">
            <w:pPr>
              <w:pStyle w:val="TableText0"/>
              <w:jc w:val="center"/>
              <w:rPr>
                <w:rFonts w:ascii="Times" w:hAnsi="Times"/>
              </w:rPr>
            </w:pPr>
            <w:r w:rsidRPr="00FD1145">
              <w:t>0.81</w:t>
            </w:r>
          </w:p>
        </w:tc>
        <w:tc>
          <w:tcPr>
            <w:tcW w:w="1274" w:type="pct"/>
          </w:tcPr>
          <w:p w14:paraId="1232646F" w14:textId="77777777" w:rsidR="00F84089" w:rsidRPr="00FD1145" w:rsidRDefault="00F84089" w:rsidP="00707926">
            <w:pPr>
              <w:pStyle w:val="TableText0"/>
              <w:jc w:val="center"/>
              <w:rPr>
                <w:rFonts w:ascii="Times" w:hAnsi="Times"/>
              </w:rPr>
            </w:pPr>
            <w:r w:rsidRPr="00FD1145">
              <w:t>0.54</w:t>
            </w:r>
          </w:p>
        </w:tc>
        <w:tc>
          <w:tcPr>
            <w:tcW w:w="838" w:type="pct"/>
          </w:tcPr>
          <w:p w14:paraId="3243C05B" w14:textId="77777777" w:rsidR="00F84089" w:rsidRPr="00FD1145" w:rsidRDefault="00F84089" w:rsidP="00707926">
            <w:pPr>
              <w:pStyle w:val="TableText0"/>
              <w:jc w:val="center"/>
            </w:pPr>
            <w:r w:rsidRPr="00FD1145">
              <w:t>0.27</w:t>
            </w:r>
          </w:p>
        </w:tc>
      </w:tr>
      <w:tr w:rsidR="00F84089" w:rsidRPr="00FD1145" w14:paraId="062663E0" w14:textId="77777777" w:rsidTr="008B1086">
        <w:trPr>
          <w:cantSplit/>
        </w:trPr>
        <w:tc>
          <w:tcPr>
            <w:tcW w:w="4162" w:type="pct"/>
            <w:gridSpan w:val="3"/>
            <w:vAlign w:val="center"/>
          </w:tcPr>
          <w:p w14:paraId="1B0EB8EC" w14:textId="77777777" w:rsidR="00F84089" w:rsidRPr="00FD1145" w:rsidRDefault="00F84089" w:rsidP="00707926">
            <w:pPr>
              <w:pStyle w:val="TableText0"/>
              <w:rPr>
                <w:rFonts w:ascii="Times" w:hAnsi="Times"/>
              </w:rPr>
            </w:pPr>
            <w:r w:rsidRPr="00FD1145">
              <w:t>Incremental cost/extra QALY gained</w:t>
            </w:r>
          </w:p>
        </w:tc>
        <w:tc>
          <w:tcPr>
            <w:tcW w:w="838" w:type="pct"/>
            <w:vAlign w:val="center"/>
          </w:tcPr>
          <w:p w14:paraId="1ED901CA" w14:textId="024D0EA3" w:rsidR="00F84089" w:rsidRPr="000B0EC3" w:rsidRDefault="00F84089" w:rsidP="00707926">
            <w:pPr>
              <w:pStyle w:val="TableText0"/>
              <w:jc w:val="center"/>
              <w:rPr>
                <w:rFonts w:ascii="Times" w:hAnsi="Times"/>
                <w:vertAlign w:val="superscript"/>
              </w:rPr>
            </w:pPr>
            <w:r w:rsidRPr="00FD1145">
              <w:t>$</w:t>
            </w:r>
            <w:r w:rsidR="009B6432" w:rsidRPr="009B6432">
              <w:rPr>
                <w:highlight w:val="black"/>
              </w:rPr>
              <w:t>&amp;&amp;&amp;&amp;</w:t>
            </w:r>
            <w:r w:rsidRPr="00FD1145">
              <w:t>/QALY</w:t>
            </w:r>
            <w:r w:rsidR="000B0EC3">
              <w:rPr>
                <w:vertAlign w:val="superscript"/>
              </w:rPr>
              <w:t>2</w:t>
            </w:r>
          </w:p>
        </w:tc>
      </w:tr>
      <w:tr w:rsidR="00F84089" w:rsidRPr="00FD1145" w14:paraId="5FE4BC29" w14:textId="77777777" w:rsidTr="008B1086">
        <w:trPr>
          <w:cantSplit/>
        </w:trPr>
        <w:tc>
          <w:tcPr>
            <w:tcW w:w="5000" w:type="pct"/>
            <w:gridSpan w:val="4"/>
            <w:vAlign w:val="center"/>
          </w:tcPr>
          <w:p w14:paraId="09D2326A" w14:textId="77777777" w:rsidR="00F84089" w:rsidRPr="00FD1145" w:rsidRDefault="00F84089" w:rsidP="00707926">
            <w:pPr>
              <w:pStyle w:val="In-tableHeading"/>
            </w:pPr>
            <w:r w:rsidRPr="00FD1145">
              <w:t>Step 3b: Step 2 + trial-based utilities applied to total LYs (no new costs)</w:t>
            </w:r>
          </w:p>
        </w:tc>
      </w:tr>
      <w:tr w:rsidR="00F84089" w:rsidRPr="00FD1145" w14:paraId="2E076D13" w14:textId="77777777" w:rsidTr="008B1086">
        <w:trPr>
          <w:cantSplit/>
        </w:trPr>
        <w:tc>
          <w:tcPr>
            <w:tcW w:w="1529" w:type="pct"/>
          </w:tcPr>
          <w:p w14:paraId="65135ED0" w14:textId="77777777" w:rsidR="00F84089" w:rsidRPr="00FD1145" w:rsidRDefault="00F84089" w:rsidP="00707926">
            <w:pPr>
              <w:pStyle w:val="TableText0"/>
              <w:rPr>
                <w:rFonts w:ascii="Times" w:hAnsi="Times"/>
              </w:rPr>
            </w:pPr>
            <w:r w:rsidRPr="00FD1145">
              <w:t>Costs</w:t>
            </w:r>
          </w:p>
        </w:tc>
        <w:tc>
          <w:tcPr>
            <w:tcW w:w="1359" w:type="pct"/>
          </w:tcPr>
          <w:p w14:paraId="33293D4F" w14:textId="1E31565E"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c>
          <w:tcPr>
            <w:tcW w:w="1274" w:type="pct"/>
          </w:tcPr>
          <w:p w14:paraId="5021E12E" w14:textId="77777777" w:rsidR="00F84089" w:rsidRPr="00FD1145" w:rsidRDefault="00F84089" w:rsidP="00707926">
            <w:pPr>
              <w:pStyle w:val="TableText0"/>
              <w:jc w:val="center"/>
              <w:rPr>
                <w:rFonts w:ascii="Times" w:hAnsi="Times"/>
              </w:rPr>
            </w:pPr>
            <w:r w:rsidRPr="00FD1145">
              <w:t>$24,057</w:t>
            </w:r>
          </w:p>
        </w:tc>
        <w:tc>
          <w:tcPr>
            <w:tcW w:w="838" w:type="pct"/>
          </w:tcPr>
          <w:p w14:paraId="3EC8879D" w14:textId="386C1CBF"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r>
      <w:tr w:rsidR="00F84089" w:rsidRPr="00FD1145" w14:paraId="145DEBC7" w14:textId="77777777" w:rsidTr="008B1086">
        <w:trPr>
          <w:cantSplit/>
        </w:trPr>
        <w:tc>
          <w:tcPr>
            <w:tcW w:w="1529" w:type="pct"/>
          </w:tcPr>
          <w:p w14:paraId="6DF03FFA" w14:textId="77777777" w:rsidR="00F84089" w:rsidRPr="00FD1145" w:rsidRDefault="00F84089" w:rsidP="00707926">
            <w:pPr>
              <w:pStyle w:val="TableText0"/>
              <w:rPr>
                <w:rFonts w:ascii="Times" w:hAnsi="Times"/>
              </w:rPr>
            </w:pPr>
            <w:r w:rsidRPr="00FD1145">
              <w:t>QALYs</w:t>
            </w:r>
          </w:p>
        </w:tc>
        <w:tc>
          <w:tcPr>
            <w:tcW w:w="1359" w:type="pct"/>
          </w:tcPr>
          <w:p w14:paraId="34D33E00" w14:textId="77777777" w:rsidR="00F84089" w:rsidRPr="00FD1145" w:rsidRDefault="00F84089" w:rsidP="00707926">
            <w:pPr>
              <w:pStyle w:val="TableText0"/>
              <w:jc w:val="center"/>
              <w:rPr>
                <w:rFonts w:ascii="Times" w:hAnsi="Times"/>
              </w:rPr>
            </w:pPr>
            <w:r w:rsidRPr="00FD1145">
              <w:t>1.40</w:t>
            </w:r>
          </w:p>
        </w:tc>
        <w:tc>
          <w:tcPr>
            <w:tcW w:w="1274" w:type="pct"/>
          </w:tcPr>
          <w:p w14:paraId="26FE5A4C" w14:textId="77777777" w:rsidR="00F84089" w:rsidRPr="00FD1145" w:rsidRDefault="00F84089" w:rsidP="00707926">
            <w:pPr>
              <w:pStyle w:val="TableText0"/>
              <w:jc w:val="center"/>
              <w:rPr>
                <w:rFonts w:ascii="Times" w:hAnsi="Times"/>
              </w:rPr>
            </w:pPr>
            <w:r w:rsidRPr="00FD1145">
              <w:t>1.19</w:t>
            </w:r>
          </w:p>
        </w:tc>
        <w:tc>
          <w:tcPr>
            <w:tcW w:w="838" w:type="pct"/>
          </w:tcPr>
          <w:p w14:paraId="06DAD65A" w14:textId="77777777" w:rsidR="00F84089" w:rsidRPr="00FD1145" w:rsidRDefault="00F84089" w:rsidP="00707926">
            <w:pPr>
              <w:pStyle w:val="TableText0"/>
              <w:jc w:val="center"/>
            </w:pPr>
            <w:r w:rsidRPr="00FD1145">
              <w:t>0.21</w:t>
            </w:r>
          </w:p>
        </w:tc>
      </w:tr>
      <w:tr w:rsidR="00F84089" w:rsidRPr="00FD1145" w14:paraId="12CF3C0D" w14:textId="77777777" w:rsidTr="008B1086">
        <w:trPr>
          <w:cantSplit/>
        </w:trPr>
        <w:tc>
          <w:tcPr>
            <w:tcW w:w="4162" w:type="pct"/>
            <w:gridSpan w:val="3"/>
            <w:vAlign w:val="center"/>
          </w:tcPr>
          <w:p w14:paraId="722AE3CB" w14:textId="77777777" w:rsidR="00F84089" w:rsidRPr="00FD1145" w:rsidRDefault="00F84089" w:rsidP="00707926">
            <w:pPr>
              <w:pStyle w:val="TableText0"/>
              <w:rPr>
                <w:rFonts w:ascii="Times" w:hAnsi="Times"/>
              </w:rPr>
            </w:pPr>
            <w:r w:rsidRPr="00FD1145">
              <w:t>Incremental cost/extra QALY gained</w:t>
            </w:r>
          </w:p>
        </w:tc>
        <w:tc>
          <w:tcPr>
            <w:tcW w:w="838" w:type="pct"/>
            <w:vAlign w:val="center"/>
          </w:tcPr>
          <w:p w14:paraId="7271CCEB" w14:textId="2242F866" w:rsidR="00F84089" w:rsidRPr="000B0EC3" w:rsidRDefault="00F84089" w:rsidP="00707926">
            <w:pPr>
              <w:pStyle w:val="TableText0"/>
              <w:jc w:val="center"/>
              <w:rPr>
                <w:rFonts w:ascii="Times" w:hAnsi="Times"/>
                <w:vertAlign w:val="superscript"/>
              </w:rPr>
            </w:pPr>
            <w:r w:rsidRPr="00FD1145">
              <w:t>$</w:t>
            </w:r>
            <w:r w:rsidR="009B6432" w:rsidRPr="009B6432">
              <w:rPr>
                <w:highlight w:val="black"/>
              </w:rPr>
              <w:t>&amp;&amp;&amp;&amp;</w:t>
            </w:r>
            <w:r w:rsidRPr="00FD1145">
              <w:t>/QALY</w:t>
            </w:r>
            <w:r w:rsidR="000B0EC3">
              <w:rPr>
                <w:vertAlign w:val="superscript"/>
              </w:rPr>
              <w:t>1</w:t>
            </w:r>
          </w:p>
        </w:tc>
      </w:tr>
      <w:tr w:rsidR="00F84089" w:rsidRPr="00FD1145" w14:paraId="22A2B07F" w14:textId="77777777" w:rsidTr="008B1086">
        <w:trPr>
          <w:cantSplit/>
        </w:trPr>
        <w:tc>
          <w:tcPr>
            <w:tcW w:w="5000" w:type="pct"/>
            <w:gridSpan w:val="4"/>
            <w:vAlign w:val="center"/>
          </w:tcPr>
          <w:p w14:paraId="333F68C2" w14:textId="77777777" w:rsidR="00F84089" w:rsidRPr="00FD1145" w:rsidRDefault="00F84089" w:rsidP="00707926">
            <w:pPr>
              <w:pStyle w:val="In-tableHeading"/>
            </w:pPr>
            <w:r w:rsidRPr="00FD1145">
              <w:t>Step 4 (Base case): modelled evaluation to 10-year horizon; parametric OS/PFS extrapolation, post-progression costs; 5% discounting</w:t>
            </w:r>
          </w:p>
        </w:tc>
      </w:tr>
      <w:tr w:rsidR="00F84089" w:rsidRPr="00FD1145" w14:paraId="1E170BC4" w14:textId="77777777" w:rsidTr="008B1086">
        <w:trPr>
          <w:cantSplit/>
        </w:trPr>
        <w:tc>
          <w:tcPr>
            <w:tcW w:w="1529" w:type="pct"/>
          </w:tcPr>
          <w:p w14:paraId="5659BFB1" w14:textId="77777777" w:rsidR="00F84089" w:rsidRPr="00FD1145" w:rsidRDefault="00F84089" w:rsidP="00707926">
            <w:pPr>
              <w:pStyle w:val="TableText0"/>
              <w:rPr>
                <w:rFonts w:ascii="Times" w:hAnsi="Times"/>
              </w:rPr>
            </w:pPr>
            <w:r w:rsidRPr="00FD1145">
              <w:t>Costs</w:t>
            </w:r>
          </w:p>
        </w:tc>
        <w:tc>
          <w:tcPr>
            <w:tcW w:w="1359" w:type="pct"/>
          </w:tcPr>
          <w:p w14:paraId="4C1BD50C" w14:textId="004B7E70"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c>
          <w:tcPr>
            <w:tcW w:w="1274" w:type="pct"/>
          </w:tcPr>
          <w:p w14:paraId="62C90ED7" w14:textId="77777777" w:rsidR="00F84089" w:rsidRPr="00FD1145" w:rsidRDefault="00F84089" w:rsidP="00707926">
            <w:pPr>
              <w:pStyle w:val="TableText0"/>
              <w:jc w:val="center"/>
              <w:rPr>
                <w:rFonts w:ascii="Times" w:hAnsi="Times"/>
              </w:rPr>
            </w:pPr>
            <w:r w:rsidRPr="00FD1145">
              <w:t>$38,233</w:t>
            </w:r>
          </w:p>
        </w:tc>
        <w:tc>
          <w:tcPr>
            <w:tcW w:w="838" w:type="pct"/>
          </w:tcPr>
          <w:p w14:paraId="564B3402" w14:textId="4E211B12" w:rsidR="00F84089" w:rsidRPr="00FD1145" w:rsidRDefault="00F84089" w:rsidP="00707926">
            <w:pPr>
              <w:pStyle w:val="TableText0"/>
              <w:jc w:val="center"/>
              <w:rPr>
                <w:rFonts w:ascii="Times" w:hAnsi="Times"/>
              </w:rPr>
            </w:pPr>
            <w:r w:rsidRPr="00FD1145">
              <w:t>$</w:t>
            </w:r>
            <w:r w:rsidR="009B6432" w:rsidRPr="009B6432">
              <w:rPr>
                <w:highlight w:val="black"/>
              </w:rPr>
              <w:t>&amp;&amp;&amp;&amp;</w:t>
            </w:r>
          </w:p>
        </w:tc>
      </w:tr>
      <w:tr w:rsidR="00F84089" w:rsidRPr="00FD1145" w14:paraId="18ABD1A4" w14:textId="77777777" w:rsidTr="008B1086">
        <w:trPr>
          <w:cantSplit/>
        </w:trPr>
        <w:tc>
          <w:tcPr>
            <w:tcW w:w="1529" w:type="pct"/>
          </w:tcPr>
          <w:p w14:paraId="752B2C47" w14:textId="77777777" w:rsidR="00F84089" w:rsidRPr="00FD1145" w:rsidRDefault="00F84089" w:rsidP="00707926">
            <w:pPr>
              <w:pStyle w:val="TableText0"/>
              <w:rPr>
                <w:rFonts w:ascii="Times" w:hAnsi="Times"/>
              </w:rPr>
            </w:pPr>
            <w:r w:rsidRPr="00FD1145">
              <w:t>QALYs</w:t>
            </w:r>
          </w:p>
        </w:tc>
        <w:tc>
          <w:tcPr>
            <w:tcW w:w="1359" w:type="pct"/>
          </w:tcPr>
          <w:p w14:paraId="144E83FA" w14:textId="77777777" w:rsidR="00F84089" w:rsidRPr="00FD1145" w:rsidRDefault="00F84089" w:rsidP="00707926">
            <w:pPr>
              <w:pStyle w:val="TableText0"/>
              <w:jc w:val="center"/>
              <w:rPr>
                <w:rFonts w:ascii="Times" w:hAnsi="Times"/>
              </w:rPr>
            </w:pPr>
            <w:r w:rsidRPr="00FD1145">
              <w:t>2.00</w:t>
            </w:r>
          </w:p>
        </w:tc>
        <w:tc>
          <w:tcPr>
            <w:tcW w:w="1274" w:type="pct"/>
          </w:tcPr>
          <w:p w14:paraId="2329BBC1" w14:textId="77777777" w:rsidR="00F84089" w:rsidRPr="00FD1145" w:rsidRDefault="00F84089" w:rsidP="00707926">
            <w:pPr>
              <w:pStyle w:val="TableText0"/>
              <w:jc w:val="center"/>
              <w:rPr>
                <w:rFonts w:ascii="Times" w:hAnsi="Times"/>
              </w:rPr>
            </w:pPr>
            <w:r w:rsidRPr="00FD1145">
              <w:t>1.55</w:t>
            </w:r>
          </w:p>
        </w:tc>
        <w:tc>
          <w:tcPr>
            <w:tcW w:w="838" w:type="pct"/>
          </w:tcPr>
          <w:p w14:paraId="13149BDB" w14:textId="77777777" w:rsidR="00F84089" w:rsidRPr="00FD1145" w:rsidRDefault="00F84089" w:rsidP="00707926">
            <w:pPr>
              <w:pStyle w:val="TableText0"/>
              <w:jc w:val="center"/>
            </w:pPr>
            <w:r w:rsidRPr="00FD1145">
              <w:t>0.46</w:t>
            </w:r>
          </w:p>
        </w:tc>
      </w:tr>
      <w:tr w:rsidR="00F84089" w:rsidRPr="00FD1145" w14:paraId="55106149" w14:textId="77777777" w:rsidTr="008B1086">
        <w:trPr>
          <w:cantSplit/>
        </w:trPr>
        <w:tc>
          <w:tcPr>
            <w:tcW w:w="4162" w:type="pct"/>
            <w:gridSpan w:val="3"/>
            <w:vAlign w:val="center"/>
          </w:tcPr>
          <w:p w14:paraId="12963315" w14:textId="77777777" w:rsidR="00F84089" w:rsidRPr="00FD1145" w:rsidRDefault="00F84089" w:rsidP="00707926">
            <w:pPr>
              <w:pStyle w:val="TableText0"/>
              <w:rPr>
                <w:rFonts w:ascii="Times" w:hAnsi="Times"/>
              </w:rPr>
            </w:pPr>
            <w:r w:rsidRPr="00FD1145">
              <w:t>Incremental cost/extra QALY gained</w:t>
            </w:r>
          </w:p>
        </w:tc>
        <w:tc>
          <w:tcPr>
            <w:tcW w:w="838" w:type="pct"/>
            <w:vAlign w:val="center"/>
          </w:tcPr>
          <w:p w14:paraId="27327071" w14:textId="2B51371A" w:rsidR="00F84089" w:rsidRPr="000B0EC3" w:rsidRDefault="00F84089" w:rsidP="00707926">
            <w:pPr>
              <w:pStyle w:val="TableText0"/>
              <w:jc w:val="center"/>
              <w:rPr>
                <w:rFonts w:ascii="Times" w:hAnsi="Times"/>
                <w:vertAlign w:val="superscript"/>
              </w:rPr>
            </w:pPr>
            <w:r w:rsidRPr="00FD1145">
              <w:t>$</w:t>
            </w:r>
            <w:r w:rsidR="009B6432" w:rsidRPr="009B6432">
              <w:rPr>
                <w:highlight w:val="black"/>
              </w:rPr>
              <w:t>&amp;&amp;&amp;&amp;</w:t>
            </w:r>
            <w:r w:rsidRPr="00FD1145">
              <w:t>/QALY</w:t>
            </w:r>
            <w:r w:rsidR="000B0EC3">
              <w:rPr>
                <w:vertAlign w:val="superscript"/>
              </w:rPr>
              <w:t>3</w:t>
            </w:r>
          </w:p>
        </w:tc>
      </w:tr>
    </w:tbl>
    <w:p w14:paraId="70711D3C" w14:textId="77777777" w:rsidR="00F84089" w:rsidRDefault="00F84089" w:rsidP="00707926">
      <w:pPr>
        <w:pStyle w:val="FooterTableFigure"/>
        <w:keepNext/>
        <w:keepLines/>
      </w:pPr>
      <w:r w:rsidRPr="00FD1145">
        <w:t xml:space="preserve">Source: Table 3.12.1 of the resubmission. </w:t>
      </w:r>
    </w:p>
    <w:p w14:paraId="30E18316" w14:textId="3DC51257" w:rsidR="00707926" w:rsidRDefault="00707926" w:rsidP="00707926">
      <w:pPr>
        <w:pStyle w:val="FooterTableFigure"/>
        <w:keepNext/>
        <w:keepLines/>
      </w:pPr>
      <w:r w:rsidRPr="00707926">
        <w:t>Abbreviations: LYs, life-years; LYG, life-years gained; LY, life-year; PFS, progression-free survival; QALYs, quality-adjusted life years; QALY, quality-adjusted life year</w:t>
      </w:r>
    </w:p>
    <w:p w14:paraId="14EED11B" w14:textId="77777777" w:rsidR="000B0EC3" w:rsidRDefault="000B0EC3" w:rsidP="00707926">
      <w:pPr>
        <w:pStyle w:val="FooterTableFigure"/>
        <w:keepNext/>
        <w:keepLines/>
        <w:jc w:val="left"/>
        <w:rPr>
          <w:i/>
          <w:iCs/>
        </w:rPr>
      </w:pPr>
      <w:r>
        <w:rPr>
          <w:i/>
          <w:iCs/>
        </w:rPr>
        <w:t>The redacted values correspond to the following ranges:</w:t>
      </w:r>
      <w:r>
        <w:rPr>
          <w:i/>
          <w:iCs/>
        </w:rPr>
        <w:br/>
      </w:r>
      <w:r>
        <w:rPr>
          <w:i/>
          <w:iCs/>
          <w:vertAlign w:val="superscript"/>
        </w:rPr>
        <w:t>1</w:t>
      </w:r>
      <w:r>
        <w:rPr>
          <w:i/>
          <w:iCs/>
        </w:rPr>
        <w:t xml:space="preserve"> $155,000 to &lt; $255,000</w:t>
      </w:r>
      <w:r>
        <w:rPr>
          <w:i/>
          <w:iCs/>
        </w:rPr>
        <w:br/>
      </w:r>
      <w:r>
        <w:rPr>
          <w:i/>
          <w:iCs/>
          <w:vertAlign w:val="superscript"/>
        </w:rPr>
        <w:t>2</w:t>
      </w:r>
      <w:r>
        <w:rPr>
          <w:i/>
          <w:iCs/>
        </w:rPr>
        <w:t xml:space="preserve"> $115,000 to &lt; $135,000</w:t>
      </w:r>
    </w:p>
    <w:p w14:paraId="20E89044" w14:textId="71391ACE" w:rsidR="000B0EC3" w:rsidRPr="000B0EC3" w:rsidRDefault="000B0EC3" w:rsidP="00707926">
      <w:pPr>
        <w:pStyle w:val="FooterTableFigure"/>
        <w:keepNext/>
        <w:keepLines/>
        <w:jc w:val="left"/>
        <w:rPr>
          <w:i/>
          <w:iCs/>
        </w:rPr>
      </w:pPr>
      <w:r>
        <w:rPr>
          <w:i/>
          <w:iCs/>
          <w:vertAlign w:val="superscript"/>
        </w:rPr>
        <w:t>3</w:t>
      </w:r>
      <w:r>
        <w:rPr>
          <w:i/>
          <w:iCs/>
        </w:rPr>
        <w:t xml:space="preserve"> $75,000 to &lt; $95,000</w:t>
      </w:r>
      <w:r>
        <w:rPr>
          <w:i/>
          <w:iCs/>
        </w:rPr>
        <w:br/>
      </w:r>
    </w:p>
    <w:p w14:paraId="7A077B58" w14:textId="15DAAFCF" w:rsidR="00F84089" w:rsidRPr="00FD1145" w:rsidRDefault="005B4FE0" w:rsidP="00F84089">
      <w:pPr>
        <w:pStyle w:val="3-BodyText"/>
      </w:pPr>
      <w:r w:rsidRPr="00FD1145">
        <w:fldChar w:fldCharType="begin"/>
      </w:r>
      <w:r w:rsidRPr="00FD1145">
        <w:instrText xml:space="preserve"> REF _Ref206422043 \h </w:instrText>
      </w:r>
      <w:r w:rsidR="00C33092" w:rsidRPr="00FD1145">
        <w:instrText xml:space="preserve"> \* MERGEFORMAT </w:instrText>
      </w:r>
      <w:r w:rsidRPr="00FD1145">
        <w:fldChar w:fldCharType="separate"/>
      </w:r>
      <w:r w:rsidR="009B3037" w:rsidRPr="00FD1145">
        <w:t xml:space="preserve">Table </w:t>
      </w:r>
      <w:r w:rsidR="009B3037">
        <w:rPr>
          <w:noProof/>
        </w:rPr>
        <w:t>16</w:t>
      </w:r>
      <w:r w:rsidRPr="00FD1145">
        <w:fldChar w:fldCharType="end"/>
      </w:r>
      <w:r w:rsidR="00F84089" w:rsidRPr="00FD1145">
        <w:t xml:space="preserve"> presents the results of the brain metastases subgroup. </w:t>
      </w:r>
    </w:p>
    <w:p w14:paraId="0C13D057" w14:textId="2CF98F7F" w:rsidR="00F84089" w:rsidRPr="00FD1145" w:rsidRDefault="00F84089" w:rsidP="00F84089">
      <w:pPr>
        <w:pStyle w:val="TableFigureHeading"/>
      </w:pPr>
      <w:bookmarkStart w:id="73" w:name="_Ref206422043"/>
      <w:r w:rsidRPr="00FD1145">
        <w:t xml:space="preserve">Table </w:t>
      </w:r>
      <w:r w:rsidR="007000FA">
        <w:fldChar w:fldCharType="begin"/>
      </w:r>
      <w:r w:rsidR="007000FA">
        <w:instrText xml:space="preserve"> SEQ Table \* ARABIC </w:instrText>
      </w:r>
      <w:r w:rsidR="007000FA">
        <w:fldChar w:fldCharType="separate"/>
      </w:r>
      <w:r w:rsidR="009B3037">
        <w:rPr>
          <w:noProof/>
        </w:rPr>
        <w:t>16</w:t>
      </w:r>
      <w:r w:rsidR="007000FA">
        <w:rPr>
          <w:noProof/>
        </w:rPr>
        <w:fldChar w:fldCharType="end"/>
      </w:r>
      <w:bookmarkEnd w:id="73"/>
      <w:r w:rsidRPr="00FD1145">
        <w:t>: Results of the economic evaluation for the brain metastases subgroup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Results of the economic evaluation for the brain metastases subgroup"/>
      </w:tblPr>
      <w:tblGrid>
        <w:gridCol w:w="1696"/>
        <w:gridCol w:w="2440"/>
        <w:gridCol w:w="2440"/>
        <w:gridCol w:w="2440"/>
      </w:tblGrid>
      <w:tr w:rsidR="00F858C8" w:rsidRPr="00FD1145" w14:paraId="5259B4D9" w14:textId="77777777" w:rsidTr="00F10DFD">
        <w:trPr>
          <w:cantSplit/>
          <w:tblHeader/>
        </w:trPr>
        <w:tc>
          <w:tcPr>
            <w:tcW w:w="941" w:type="pct"/>
          </w:tcPr>
          <w:p w14:paraId="14AD5010" w14:textId="15E39F26" w:rsidR="00F858C8" w:rsidRPr="00FD1145" w:rsidRDefault="00F858C8" w:rsidP="00CA6BDE">
            <w:pPr>
              <w:pStyle w:val="In-tableHeading"/>
            </w:pPr>
          </w:p>
        </w:tc>
        <w:tc>
          <w:tcPr>
            <w:tcW w:w="1353" w:type="pct"/>
          </w:tcPr>
          <w:p w14:paraId="57E53F04" w14:textId="77777777" w:rsidR="00F858C8" w:rsidRPr="00FD1145" w:rsidRDefault="00F858C8" w:rsidP="008043D7">
            <w:pPr>
              <w:pStyle w:val="In-tableHeading"/>
              <w:jc w:val="center"/>
              <w:rPr>
                <w:lang w:val="en-AU"/>
              </w:rPr>
            </w:pPr>
            <w:r w:rsidRPr="00FD1145">
              <w:t>Proposed medicine (tucatinib</w:t>
            </w:r>
            <w:r w:rsidRPr="00FD1145">
              <w:rPr>
                <w:rFonts w:ascii="Arial" w:hAnsi="Arial" w:cs="Arial"/>
              </w:rPr>
              <w:t> </w:t>
            </w:r>
            <w:r w:rsidRPr="00FD1145">
              <w:t>+</w:t>
            </w:r>
            <w:r w:rsidRPr="00FD1145">
              <w:rPr>
                <w:rFonts w:ascii="Arial" w:hAnsi="Arial" w:cs="Arial"/>
              </w:rPr>
              <w:t> </w:t>
            </w:r>
            <w:r w:rsidRPr="00FD1145">
              <w:t>trastuzumab</w:t>
            </w:r>
            <w:r w:rsidRPr="00FD1145">
              <w:rPr>
                <w:rFonts w:ascii="Arial" w:hAnsi="Arial" w:cs="Arial"/>
              </w:rPr>
              <w:t> </w:t>
            </w:r>
            <w:r w:rsidRPr="00FD1145">
              <w:t>+</w:t>
            </w:r>
            <w:r w:rsidRPr="00FD1145">
              <w:rPr>
                <w:rFonts w:ascii="Arial" w:hAnsi="Arial" w:cs="Arial"/>
              </w:rPr>
              <w:t> </w:t>
            </w:r>
            <w:r w:rsidRPr="00FD1145">
              <w:t>capecitabine)</w:t>
            </w:r>
          </w:p>
        </w:tc>
        <w:tc>
          <w:tcPr>
            <w:tcW w:w="1353" w:type="pct"/>
          </w:tcPr>
          <w:p w14:paraId="10AF680E" w14:textId="77777777" w:rsidR="00F858C8" w:rsidRPr="00FD1145" w:rsidRDefault="00F858C8" w:rsidP="008043D7">
            <w:pPr>
              <w:pStyle w:val="In-tableHeading"/>
              <w:jc w:val="center"/>
              <w:rPr>
                <w:lang w:val="en-AU"/>
              </w:rPr>
            </w:pPr>
            <w:r w:rsidRPr="00FD1145">
              <w:t>Comparator (trastuzumab</w:t>
            </w:r>
            <w:r w:rsidRPr="00FD1145">
              <w:rPr>
                <w:rFonts w:ascii="Arial" w:hAnsi="Arial" w:cs="Arial"/>
              </w:rPr>
              <w:t> </w:t>
            </w:r>
            <w:r w:rsidRPr="00FD1145">
              <w:t>+</w:t>
            </w:r>
            <w:r w:rsidRPr="00FD1145">
              <w:rPr>
                <w:rFonts w:ascii="Arial" w:hAnsi="Arial" w:cs="Arial"/>
              </w:rPr>
              <w:t> </w:t>
            </w:r>
            <w:r w:rsidRPr="00FD1145">
              <w:t>capecitabine)</w:t>
            </w:r>
          </w:p>
        </w:tc>
        <w:tc>
          <w:tcPr>
            <w:tcW w:w="1353" w:type="pct"/>
          </w:tcPr>
          <w:p w14:paraId="34378E45" w14:textId="77777777" w:rsidR="00F858C8" w:rsidRPr="00FD1145" w:rsidRDefault="00F858C8" w:rsidP="008043D7">
            <w:pPr>
              <w:pStyle w:val="In-tableHeading"/>
              <w:jc w:val="center"/>
              <w:rPr>
                <w:lang w:val="en-AU"/>
              </w:rPr>
            </w:pPr>
            <w:r w:rsidRPr="00FD1145">
              <w:t>Increment</w:t>
            </w:r>
          </w:p>
        </w:tc>
      </w:tr>
      <w:tr w:rsidR="00F10DFD" w:rsidRPr="00FD1145" w14:paraId="41ED4BF8" w14:textId="77777777">
        <w:trPr>
          <w:cantSplit/>
        </w:trPr>
        <w:tc>
          <w:tcPr>
            <w:tcW w:w="941" w:type="pct"/>
            <w:vAlign w:val="center"/>
          </w:tcPr>
          <w:p w14:paraId="4BB3DD44" w14:textId="77777777" w:rsidR="00F10DFD" w:rsidRPr="00FD1145" w:rsidRDefault="00F10DFD" w:rsidP="00F10DFD">
            <w:pPr>
              <w:pStyle w:val="TableText0"/>
              <w:rPr>
                <w:rFonts w:ascii="Times" w:hAnsi="Times"/>
              </w:rPr>
            </w:pPr>
            <w:r w:rsidRPr="00FD1145">
              <w:t>Costs</w:t>
            </w:r>
          </w:p>
        </w:tc>
        <w:tc>
          <w:tcPr>
            <w:tcW w:w="1353" w:type="pct"/>
            <w:vAlign w:val="center"/>
          </w:tcPr>
          <w:p w14:paraId="4E3C4A2D" w14:textId="6D95D7CF" w:rsidR="00F10DFD" w:rsidRPr="00FD1145" w:rsidRDefault="00F10DFD" w:rsidP="00E00281">
            <w:pPr>
              <w:pStyle w:val="TableText0"/>
              <w:jc w:val="center"/>
              <w:rPr>
                <w:rFonts w:ascii="Times" w:hAnsi="Times"/>
              </w:rPr>
            </w:pPr>
            <w:r w:rsidRPr="00FD1145">
              <w:t>$</w:t>
            </w:r>
            <w:r w:rsidR="009B6432" w:rsidRPr="009B6432">
              <w:rPr>
                <w:highlight w:val="black"/>
              </w:rPr>
              <w:t>&amp;&amp;&amp;&amp;</w:t>
            </w:r>
          </w:p>
        </w:tc>
        <w:tc>
          <w:tcPr>
            <w:tcW w:w="1353" w:type="pct"/>
            <w:vAlign w:val="center"/>
          </w:tcPr>
          <w:p w14:paraId="79F67D55" w14:textId="29B7B88D" w:rsidR="00F10DFD" w:rsidRPr="00FD1145" w:rsidRDefault="00F10DFD" w:rsidP="00E00281">
            <w:pPr>
              <w:pStyle w:val="TableText0"/>
              <w:jc w:val="center"/>
              <w:rPr>
                <w:rFonts w:ascii="Times" w:hAnsi="Times"/>
              </w:rPr>
            </w:pPr>
            <w:r w:rsidRPr="00FD1145">
              <w:t>$35,519</w:t>
            </w:r>
          </w:p>
        </w:tc>
        <w:tc>
          <w:tcPr>
            <w:tcW w:w="1353" w:type="pct"/>
            <w:vAlign w:val="center"/>
          </w:tcPr>
          <w:p w14:paraId="00330FAF" w14:textId="1633216D" w:rsidR="00F10DFD" w:rsidRPr="00FD1145" w:rsidRDefault="00F10DFD" w:rsidP="00E00281">
            <w:pPr>
              <w:pStyle w:val="TableText0"/>
              <w:jc w:val="center"/>
              <w:rPr>
                <w:rFonts w:ascii="Times" w:hAnsi="Times"/>
              </w:rPr>
            </w:pPr>
            <w:r w:rsidRPr="00FD1145">
              <w:t>$</w:t>
            </w:r>
            <w:r w:rsidR="009B6432" w:rsidRPr="009B6432">
              <w:rPr>
                <w:highlight w:val="black"/>
              </w:rPr>
              <w:t>&amp;&amp;&amp;&amp;</w:t>
            </w:r>
          </w:p>
        </w:tc>
      </w:tr>
      <w:tr w:rsidR="00F10DFD" w:rsidRPr="00FD1145" w14:paraId="56555D67" w14:textId="77777777">
        <w:trPr>
          <w:cantSplit/>
        </w:trPr>
        <w:tc>
          <w:tcPr>
            <w:tcW w:w="941" w:type="pct"/>
            <w:vAlign w:val="center"/>
          </w:tcPr>
          <w:p w14:paraId="6B1FE386" w14:textId="3FAF0959" w:rsidR="00F10DFD" w:rsidRPr="00FD1145" w:rsidRDefault="00F10DFD" w:rsidP="00F10DFD">
            <w:pPr>
              <w:pStyle w:val="TableText0"/>
            </w:pPr>
            <w:r w:rsidRPr="00FD1145">
              <w:t>L</w:t>
            </w:r>
            <w:r w:rsidR="00223A99" w:rsidRPr="00FD1145">
              <w:t>y</w:t>
            </w:r>
            <w:r w:rsidRPr="00FD1145">
              <w:t>s</w:t>
            </w:r>
          </w:p>
        </w:tc>
        <w:tc>
          <w:tcPr>
            <w:tcW w:w="1353" w:type="pct"/>
            <w:vAlign w:val="center"/>
          </w:tcPr>
          <w:p w14:paraId="416878DA" w14:textId="6BEA3163" w:rsidR="00F10DFD" w:rsidRPr="00FD1145" w:rsidRDefault="00F10DFD" w:rsidP="00E00281">
            <w:pPr>
              <w:pStyle w:val="TableText0"/>
              <w:jc w:val="center"/>
            </w:pPr>
            <w:r w:rsidRPr="00FD1145">
              <w:t>1.77</w:t>
            </w:r>
          </w:p>
        </w:tc>
        <w:tc>
          <w:tcPr>
            <w:tcW w:w="1353" w:type="pct"/>
            <w:vAlign w:val="center"/>
          </w:tcPr>
          <w:p w14:paraId="5FF10FB2" w14:textId="45A57E82" w:rsidR="00F10DFD" w:rsidRPr="00FD1145" w:rsidRDefault="00F10DFD" w:rsidP="00E00281">
            <w:pPr>
              <w:pStyle w:val="TableText0"/>
              <w:jc w:val="center"/>
            </w:pPr>
            <w:r w:rsidRPr="00FD1145">
              <w:t>1.23</w:t>
            </w:r>
          </w:p>
        </w:tc>
        <w:tc>
          <w:tcPr>
            <w:tcW w:w="1353" w:type="pct"/>
            <w:vAlign w:val="center"/>
          </w:tcPr>
          <w:p w14:paraId="3DF40AF6" w14:textId="1F2066D8" w:rsidR="00F10DFD" w:rsidRPr="00FD1145" w:rsidRDefault="00F10DFD" w:rsidP="00E00281">
            <w:pPr>
              <w:pStyle w:val="TableText0"/>
              <w:jc w:val="center"/>
            </w:pPr>
            <w:r w:rsidRPr="00FD1145">
              <w:t>0.53</w:t>
            </w:r>
          </w:p>
        </w:tc>
      </w:tr>
      <w:tr w:rsidR="00856601" w:rsidRPr="00FD1145" w14:paraId="1EF09743" w14:textId="77777777" w:rsidTr="00856601">
        <w:trPr>
          <w:cantSplit/>
        </w:trPr>
        <w:tc>
          <w:tcPr>
            <w:tcW w:w="3647" w:type="pct"/>
            <w:gridSpan w:val="3"/>
            <w:vAlign w:val="center"/>
          </w:tcPr>
          <w:p w14:paraId="2BAA22B4" w14:textId="0069D246" w:rsidR="00856601" w:rsidRPr="00FD1145" w:rsidRDefault="00856601" w:rsidP="00D2025B">
            <w:pPr>
              <w:pStyle w:val="TableText0"/>
            </w:pPr>
            <w:r w:rsidRPr="00FD1145">
              <w:t>Incremental cost/extra life year gained</w:t>
            </w:r>
          </w:p>
        </w:tc>
        <w:tc>
          <w:tcPr>
            <w:tcW w:w="1353" w:type="pct"/>
          </w:tcPr>
          <w:p w14:paraId="39020E6F" w14:textId="12AA1F1A" w:rsidR="00856601" w:rsidRPr="00F74DFF" w:rsidRDefault="00856601" w:rsidP="00E00281">
            <w:pPr>
              <w:pStyle w:val="TableText0"/>
              <w:jc w:val="center"/>
              <w:rPr>
                <w:vertAlign w:val="superscript"/>
              </w:rPr>
            </w:pPr>
            <w:r w:rsidRPr="00FD1145">
              <w:t>$</w:t>
            </w:r>
            <w:r w:rsidR="009B6432" w:rsidRPr="009B6432">
              <w:rPr>
                <w:highlight w:val="black"/>
              </w:rPr>
              <w:t>&amp;&amp;&amp;&amp;</w:t>
            </w:r>
            <w:r w:rsidR="00F74DFF">
              <w:rPr>
                <w:vertAlign w:val="superscript"/>
              </w:rPr>
              <w:t>1</w:t>
            </w:r>
          </w:p>
        </w:tc>
      </w:tr>
      <w:tr w:rsidR="00856601" w:rsidRPr="00FD1145" w14:paraId="7CAB890B" w14:textId="77777777">
        <w:trPr>
          <w:cantSplit/>
        </w:trPr>
        <w:tc>
          <w:tcPr>
            <w:tcW w:w="941" w:type="pct"/>
            <w:vAlign w:val="center"/>
          </w:tcPr>
          <w:p w14:paraId="4788470E" w14:textId="16440D85" w:rsidR="00856601" w:rsidRPr="00FD1145" w:rsidRDefault="00856601" w:rsidP="00856601">
            <w:pPr>
              <w:pStyle w:val="Tabletext"/>
            </w:pPr>
            <w:r w:rsidRPr="00FD1145">
              <w:t>QALYs</w:t>
            </w:r>
          </w:p>
        </w:tc>
        <w:tc>
          <w:tcPr>
            <w:tcW w:w="1353" w:type="pct"/>
            <w:vAlign w:val="center"/>
          </w:tcPr>
          <w:p w14:paraId="521AC3C5" w14:textId="1D10F2FC" w:rsidR="00856601" w:rsidRPr="00FD1145" w:rsidRDefault="00856601" w:rsidP="00E00281">
            <w:pPr>
              <w:pStyle w:val="TableText0"/>
              <w:jc w:val="center"/>
              <w:rPr>
                <w:rFonts w:ascii="Times" w:hAnsi="Times"/>
              </w:rPr>
            </w:pPr>
            <w:r w:rsidRPr="00FD1145">
              <w:t>1.33</w:t>
            </w:r>
          </w:p>
        </w:tc>
        <w:tc>
          <w:tcPr>
            <w:tcW w:w="1353" w:type="pct"/>
            <w:vAlign w:val="center"/>
          </w:tcPr>
          <w:p w14:paraId="67D534AE" w14:textId="2E4660A6" w:rsidR="00856601" w:rsidRPr="00FD1145" w:rsidRDefault="00856601" w:rsidP="00E00281">
            <w:pPr>
              <w:pStyle w:val="TableText0"/>
              <w:jc w:val="center"/>
              <w:rPr>
                <w:rFonts w:ascii="Times" w:hAnsi="Times"/>
              </w:rPr>
            </w:pPr>
            <w:r w:rsidRPr="00FD1145">
              <w:t>0.92</w:t>
            </w:r>
          </w:p>
        </w:tc>
        <w:tc>
          <w:tcPr>
            <w:tcW w:w="1353" w:type="pct"/>
            <w:vAlign w:val="center"/>
          </w:tcPr>
          <w:p w14:paraId="7952E86D" w14:textId="5CF6957F" w:rsidR="00856601" w:rsidRPr="00FD1145" w:rsidRDefault="00856601" w:rsidP="00E00281">
            <w:pPr>
              <w:pStyle w:val="TableText0"/>
              <w:jc w:val="center"/>
            </w:pPr>
            <w:r w:rsidRPr="00FD1145">
              <w:t>0.41</w:t>
            </w:r>
          </w:p>
        </w:tc>
      </w:tr>
      <w:tr w:rsidR="000644E0" w:rsidRPr="00FD1145" w14:paraId="59E16A90" w14:textId="77777777" w:rsidTr="000644E0">
        <w:trPr>
          <w:cantSplit/>
        </w:trPr>
        <w:tc>
          <w:tcPr>
            <w:tcW w:w="3647" w:type="pct"/>
            <w:gridSpan w:val="3"/>
            <w:vAlign w:val="center"/>
          </w:tcPr>
          <w:p w14:paraId="01450FEF" w14:textId="547C72CF" w:rsidR="000644E0" w:rsidRPr="00FD1145" w:rsidRDefault="000644E0" w:rsidP="00E00281">
            <w:pPr>
              <w:pStyle w:val="TableText0"/>
            </w:pPr>
            <w:r w:rsidRPr="00FD1145">
              <w:t>Incremental cost/QALY gained</w:t>
            </w:r>
          </w:p>
        </w:tc>
        <w:tc>
          <w:tcPr>
            <w:tcW w:w="1353" w:type="pct"/>
            <w:vAlign w:val="center"/>
          </w:tcPr>
          <w:p w14:paraId="5180EBC3" w14:textId="473CE9EB" w:rsidR="000644E0" w:rsidRPr="00F74DFF" w:rsidRDefault="000644E0" w:rsidP="00E00281">
            <w:pPr>
              <w:pStyle w:val="TableText0"/>
              <w:jc w:val="center"/>
              <w:rPr>
                <w:vertAlign w:val="superscript"/>
              </w:rPr>
            </w:pPr>
            <w:r w:rsidRPr="00FD1145">
              <w:t>$</w:t>
            </w:r>
            <w:r w:rsidR="009B6432" w:rsidRPr="009B6432">
              <w:rPr>
                <w:highlight w:val="black"/>
              </w:rPr>
              <w:t>&amp;&amp;&amp;&amp;</w:t>
            </w:r>
            <w:r w:rsidR="00F74DFF">
              <w:rPr>
                <w:vertAlign w:val="superscript"/>
              </w:rPr>
              <w:t>2</w:t>
            </w:r>
          </w:p>
        </w:tc>
      </w:tr>
    </w:tbl>
    <w:p w14:paraId="36AC7FD9" w14:textId="77777777" w:rsidR="00C27203" w:rsidRPr="00FD1145" w:rsidRDefault="00F84089" w:rsidP="00F84089">
      <w:pPr>
        <w:pStyle w:val="TableFigureFooter"/>
        <w:rPr>
          <w:bCs/>
        </w:rPr>
      </w:pPr>
      <w:r w:rsidRPr="00FD1145">
        <w:rPr>
          <w:bCs/>
        </w:rPr>
        <w:t xml:space="preserve">Source: Tables 3.12.6, p280 of the resubmission. </w:t>
      </w:r>
    </w:p>
    <w:p w14:paraId="0348281C" w14:textId="1DA8BEF9" w:rsidR="00F74DFF" w:rsidRPr="004306B8" w:rsidRDefault="00F84089" w:rsidP="00F74DFF">
      <w:pPr>
        <w:pStyle w:val="TableFigureFooter"/>
        <w:rPr>
          <w:i/>
          <w:iCs/>
        </w:rPr>
      </w:pPr>
      <w:r w:rsidRPr="00FD1145">
        <w:rPr>
          <w:bCs/>
        </w:rPr>
        <w:t xml:space="preserve">Abbreviations: </w:t>
      </w:r>
      <w:r w:rsidRPr="00FD1145">
        <w:t>Tuc: tucatinib; Tras: trastuzumab: Cap: Capecitabine; LYs: Life years; QALYs: Quality-adjusted life years; ICER: Incremental cost-effectiveness ratio.</w:t>
      </w:r>
      <w:r w:rsidR="00F74DFF">
        <w:br/>
      </w:r>
      <w:r w:rsidR="00F74DFF">
        <w:rPr>
          <w:i/>
          <w:iCs/>
        </w:rPr>
        <w:t>The redacted values correspond to the following ranges:</w:t>
      </w:r>
      <w:r w:rsidR="00F74DFF">
        <w:rPr>
          <w:i/>
          <w:iCs/>
        </w:rPr>
        <w:br/>
      </w:r>
      <w:r w:rsidR="00F74DFF">
        <w:rPr>
          <w:i/>
          <w:iCs/>
          <w:vertAlign w:val="superscript"/>
        </w:rPr>
        <w:t>1</w:t>
      </w:r>
      <w:r w:rsidR="00F74DFF">
        <w:rPr>
          <w:i/>
          <w:iCs/>
        </w:rPr>
        <w:t xml:space="preserve"> $</w:t>
      </w:r>
      <w:r w:rsidR="004306B8">
        <w:rPr>
          <w:i/>
          <w:iCs/>
        </w:rPr>
        <w:t>55,000 to &lt; $75,000</w:t>
      </w:r>
      <w:r w:rsidR="004306B8">
        <w:rPr>
          <w:i/>
          <w:iCs/>
        </w:rPr>
        <w:br/>
      </w:r>
      <w:r w:rsidR="004306B8">
        <w:rPr>
          <w:i/>
          <w:iCs/>
          <w:vertAlign w:val="superscript"/>
        </w:rPr>
        <w:t>2</w:t>
      </w:r>
      <w:r w:rsidR="004306B8">
        <w:rPr>
          <w:i/>
          <w:iCs/>
        </w:rPr>
        <w:t xml:space="preserve"> $75,000 to &lt; $95,000</w:t>
      </w:r>
    </w:p>
    <w:p w14:paraId="2F47CEAD" w14:textId="79FB01A1" w:rsidR="00F84089" w:rsidRPr="00FD1145" w:rsidRDefault="00F84089" w:rsidP="00F84089">
      <w:pPr>
        <w:pStyle w:val="3-BodyText"/>
      </w:pPr>
      <w:r w:rsidRPr="00FD1145">
        <w:t>The resubmission reported a base-case ICER of $</w:t>
      </w:r>
      <w:r w:rsidR="004306B8">
        <w:t>75,000 to &lt; $95,000</w:t>
      </w:r>
      <w:r w:rsidRPr="00FD1145">
        <w:t xml:space="preserve">/QALY for all-comers, a </w:t>
      </w:r>
      <w:r w:rsidR="009B6432" w:rsidRPr="009B6432">
        <w:rPr>
          <w:highlight w:val="black"/>
        </w:rPr>
        <w:t>&amp;&amp;&amp;&amp;</w:t>
      </w:r>
      <w:r w:rsidRPr="00FD1145">
        <w:t>%</w:t>
      </w:r>
      <w:r w:rsidR="00B4733A">
        <w:t> </w:t>
      </w:r>
      <w:r w:rsidRPr="00FD1145">
        <w:t>reduction from $</w:t>
      </w:r>
      <w:r w:rsidR="004306B8">
        <w:t>255,000 to &lt;$355,000</w:t>
      </w:r>
      <w:r w:rsidRPr="00FD1145">
        <w:t>/QALY in the March 2021 submission, largely driven by a lower effective EMP for tucatinib</w:t>
      </w:r>
      <w:r w:rsidR="00D84CD0" w:rsidRPr="00FD1145">
        <w:t xml:space="preserve"> </w:t>
      </w:r>
      <w:r w:rsidR="003F44A3" w:rsidRPr="00FD1145">
        <w:t xml:space="preserve">(per </w:t>
      </w:r>
      <w:r w:rsidR="003F44A3" w:rsidRPr="00FD1145">
        <w:fldChar w:fldCharType="begin"/>
      </w:r>
      <w:r w:rsidR="003F44A3" w:rsidRPr="00FD1145">
        <w:instrText xml:space="preserve"> REF _Ref206407859 \h  \* MERGEFORMAT </w:instrText>
      </w:r>
      <w:r w:rsidR="003F44A3" w:rsidRPr="00FD1145">
        <w:fldChar w:fldCharType="separate"/>
      </w:r>
      <w:r w:rsidR="009B3037" w:rsidRPr="00C33092">
        <w:t xml:space="preserve">Table </w:t>
      </w:r>
      <w:r w:rsidR="009B3037">
        <w:rPr>
          <w:noProof/>
        </w:rPr>
        <w:t>3</w:t>
      </w:r>
      <w:r w:rsidR="003F44A3" w:rsidRPr="00FD1145">
        <w:fldChar w:fldCharType="end"/>
      </w:r>
      <w:r w:rsidR="003F44A3" w:rsidRPr="00FD1145">
        <w:t>)</w:t>
      </w:r>
      <w:r w:rsidRPr="00FD1145">
        <w:t xml:space="preserve">. </w:t>
      </w:r>
    </w:p>
    <w:p w14:paraId="70D09FCC" w14:textId="05AFC816" w:rsidR="00F84089" w:rsidRPr="00FD1145" w:rsidRDefault="00F84089" w:rsidP="00F84089">
      <w:pPr>
        <w:pStyle w:val="3-BodyText"/>
      </w:pPr>
      <w:r w:rsidRPr="00FD1145">
        <w:lastRenderedPageBreak/>
        <w:t xml:space="preserve">The results of key univariate and multivariate sensitivity analyses are summarised in </w:t>
      </w:r>
      <w:r w:rsidR="000B6445" w:rsidRPr="00FD1145">
        <w:fldChar w:fldCharType="begin"/>
      </w:r>
      <w:r w:rsidR="000B6445" w:rsidRPr="00FD1145">
        <w:instrText xml:space="preserve"> REF _Ref206091849 \h </w:instrText>
      </w:r>
      <w:r w:rsidR="00FD1145" w:rsidRPr="00FD1145">
        <w:instrText xml:space="preserve"> \* MERGEFORMAT </w:instrText>
      </w:r>
      <w:r w:rsidR="000B6445" w:rsidRPr="00FD1145">
        <w:fldChar w:fldCharType="separate"/>
      </w:r>
      <w:r w:rsidR="009B3037" w:rsidRPr="00FD1145">
        <w:t xml:space="preserve">Table </w:t>
      </w:r>
      <w:r w:rsidR="009B3037">
        <w:rPr>
          <w:noProof/>
        </w:rPr>
        <w:t>17</w:t>
      </w:r>
      <w:r w:rsidR="000B6445" w:rsidRPr="00FD1145">
        <w:fldChar w:fldCharType="end"/>
      </w:r>
      <w:r w:rsidR="000B6445" w:rsidRPr="00FD1145">
        <w:t xml:space="preserve"> </w:t>
      </w:r>
      <w:r w:rsidR="63E3ED34" w:rsidRPr="00FD1145">
        <w:t>below</w:t>
      </w:r>
      <w:r w:rsidRPr="00FD1145">
        <w:t xml:space="preserve">. The ICER </w:t>
      </w:r>
      <w:r w:rsidR="003C2724">
        <w:t>wa</w:t>
      </w:r>
      <w:r w:rsidRPr="00FD1145">
        <w:t>s most sensitive to treatment duration (TTD) and to the source of health-state utilities</w:t>
      </w:r>
      <w:r w:rsidR="00CB1593" w:rsidRPr="00FD1145">
        <w:t>. T</w:t>
      </w:r>
      <w:r w:rsidRPr="00FD1145">
        <w:t>he time horizon and OS extrapolation have smaller but still material impacts.</w:t>
      </w:r>
    </w:p>
    <w:p w14:paraId="0E8F35E2" w14:textId="19D6146E" w:rsidR="00F84089" w:rsidRPr="00FD1145" w:rsidRDefault="00F84089" w:rsidP="00F84089">
      <w:pPr>
        <w:pStyle w:val="Caption"/>
      </w:pPr>
      <w:bookmarkStart w:id="74" w:name="_Ref206091849"/>
      <w:r w:rsidRPr="00FD1145">
        <w:t xml:space="preserve">Table </w:t>
      </w:r>
      <w:r w:rsidR="007000FA">
        <w:fldChar w:fldCharType="begin"/>
      </w:r>
      <w:r w:rsidR="007000FA">
        <w:instrText xml:space="preserve"> SEQ Table \* ARABIC </w:instrText>
      </w:r>
      <w:r w:rsidR="007000FA">
        <w:fldChar w:fldCharType="separate"/>
      </w:r>
      <w:r w:rsidR="009B3037">
        <w:rPr>
          <w:noProof/>
        </w:rPr>
        <w:t>17</w:t>
      </w:r>
      <w:r w:rsidR="007000FA">
        <w:rPr>
          <w:noProof/>
        </w:rPr>
        <w:fldChar w:fldCharType="end"/>
      </w:r>
      <w:bookmarkEnd w:id="74"/>
      <w:r w:rsidRPr="00FD1145">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nsitivity analyses"/>
      </w:tblPr>
      <w:tblGrid>
        <w:gridCol w:w="3988"/>
        <w:gridCol w:w="1239"/>
        <w:gridCol w:w="1360"/>
        <w:gridCol w:w="1064"/>
        <w:gridCol w:w="1365"/>
      </w:tblGrid>
      <w:tr w:rsidR="00F84089" w:rsidRPr="00FD1145" w14:paraId="13659DB8" w14:textId="77777777" w:rsidTr="00A23B4B">
        <w:trPr>
          <w:tblHeader/>
        </w:trPr>
        <w:tc>
          <w:tcPr>
            <w:tcW w:w="2212" w:type="pct"/>
          </w:tcPr>
          <w:p w14:paraId="2712D607" w14:textId="77777777" w:rsidR="00F84089" w:rsidRPr="00FD1145" w:rsidRDefault="00F84089" w:rsidP="008B1086">
            <w:pPr>
              <w:pStyle w:val="TableText0"/>
              <w:rPr>
                <w:b/>
                <w:bCs w:val="0"/>
                <w:lang w:val="en-US"/>
              </w:rPr>
            </w:pPr>
            <w:r w:rsidRPr="00FD1145">
              <w:rPr>
                <w:b/>
                <w:bCs w:val="0"/>
                <w:lang w:val="en-US"/>
              </w:rPr>
              <w:t>Analyses</w:t>
            </w:r>
          </w:p>
        </w:tc>
        <w:tc>
          <w:tcPr>
            <w:tcW w:w="687" w:type="pct"/>
          </w:tcPr>
          <w:p w14:paraId="18A9837E" w14:textId="77777777" w:rsidR="00F84089" w:rsidRPr="00FD1145" w:rsidRDefault="00F84089" w:rsidP="00A23B4B">
            <w:pPr>
              <w:pStyle w:val="TableText0"/>
              <w:jc w:val="center"/>
              <w:rPr>
                <w:b/>
                <w:bCs w:val="0"/>
                <w:lang w:val="en-US"/>
              </w:rPr>
            </w:pPr>
            <w:r w:rsidRPr="00FD1145">
              <w:rPr>
                <w:b/>
                <w:bCs w:val="0"/>
                <w:lang w:val="en-US"/>
              </w:rPr>
              <w:t>Incremental cost</w:t>
            </w:r>
          </w:p>
        </w:tc>
        <w:tc>
          <w:tcPr>
            <w:tcW w:w="754" w:type="pct"/>
          </w:tcPr>
          <w:p w14:paraId="3A262E0C" w14:textId="77777777" w:rsidR="00F84089" w:rsidRPr="00FD1145" w:rsidRDefault="00F84089" w:rsidP="00A23B4B">
            <w:pPr>
              <w:pStyle w:val="TableText0"/>
              <w:jc w:val="center"/>
              <w:rPr>
                <w:b/>
                <w:bCs w:val="0"/>
                <w:lang w:val="en-US"/>
              </w:rPr>
            </w:pPr>
            <w:r w:rsidRPr="00FD1145">
              <w:rPr>
                <w:b/>
                <w:bCs w:val="0"/>
                <w:lang w:val="en-US"/>
              </w:rPr>
              <w:t>Incremental QALY</w:t>
            </w:r>
          </w:p>
        </w:tc>
        <w:tc>
          <w:tcPr>
            <w:tcW w:w="590" w:type="pct"/>
          </w:tcPr>
          <w:p w14:paraId="65C161D1" w14:textId="77777777" w:rsidR="00F84089" w:rsidRPr="00FD1145" w:rsidRDefault="00F84089" w:rsidP="00A23B4B">
            <w:pPr>
              <w:pStyle w:val="TableText0"/>
              <w:jc w:val="center"/>
              <w:rPr>
                <w:b/>
                <w:bCs w:val="0"/>
                <w:lang w:val="en-US"/>
              </w:rPr>
            </w:pPr>
            <w:r w:rsidRPr="00FD1145">
              <w:rPr>
                <w:b/>
                <w:bCs w:val="0"/>
                <w:lang w:val="en-US"/>
              </w:rPr>
              <w:t>ICER</w:t>
            </w:r>
          </w:p>
        </w:tc>
        <w:tc>
          <w:tcPr>
            <w:tcW w:w="757" w:type="pct"/>
          </w:tcPr>
          <w:p w14:paraId="46D27880" w14:textId="77777777" w:rsidR="00F84089" w:rsidRPr="00FD1145" w:rsidRDefault="00F84089" w:rsidP="00A23B4B">
            <w:pPr>
              <w:pStyle w:val="TableText0"/>
              <w:jc w:val="center"/>
              <w:rPr>
                <w:b/>
                <w:bCs w:val="0"/>
                <w:lang w:val="en-US"/>
              </w:rPr>
            </w:pPr>
            <w:r w:rsidRPr="00FD1145">
              <w:rPr>
                <w:b/>
                <w:bCs w:val="0"/>
                <w:lang w:val="en-US"/>
              </w:rPr>
              <w:t>% Change in ICER from Base Case</w:t>
            </w:r>
          </w:p>
        </w:tc>
      </w:tr>
      <w:tr w:rsidR="00F84089" w:rsidRPr="00FD1145" w14:paraId="70631B55" w14:textId="77777777" w:rsidTr="00A23B4B">
        <w:tc>
          <w:tcPr>
            <w:tcW w:w="2212" w:type="pct"/>
          </w:tcPr>
          <w:p w14:paraId="3C605FCE" w14:textId="77777777" w:rsidR="00F84089" w:rsidRPr="00FD1145" w:rsidRDefault="00F84089" w:rsidP="008B1086">
            <w:pPr>
              <w:pStyle w:val="TableText0"/>
              <w:rPr>
                <w:b/>
              </w:rPr>
            </w:pPr>
            <w:r w:rsidRPr="00FD1145">
              <w:rPr>
                <w:b/>
              </w:rPr>
              <w:t>Base case</w:t>
            </w:r>
          </w:p>
        </w:tc>
        <w:tc>
          <w:tcPr>
            <w:tcW w:w="687" w:type="pct"/>
          </w:tcPr>
          <w:p w14:paraId="58483202" w14:textId="73AE9BD0" w:rsidR="00F84089" w:rsidRPr="00FD1145" w:rsidRDefault="00F84089" w:rsidP="00155473">
            <w:pPr>
              <w:pStyle w:val="TableText0"/>
              <w:jc w:val="center"/>
              <w:rPr>
                <w:b/>
              </w:rPr>
            </w:pPr>
            <w:r w:rsidRPr="00FD1145">
              <w:rPr>
                <w:b/>
              </w:rPr>
              <w:t>$</w:t>
            </w:r>
            <w:r w:rsidR="009B6432" w:rsidRPr="009B6432">
              <w:rPr>
                <w:b/>
                <w:highlight w:val="black"/>
              </w:rPr>
              <w:t>&amp;&amp;&amp;&amp;</w:t>
            </w:r>
          </w:p>
        </w:tc>
        <w:tc>
          <w:tcPr>
            <w:tcW w:w="754" w:type="pct"/>
          </w:tcPr>
          <w:p w14:paraId="64B35E33" w14:textId="77777777" w:rsidR="00F84089" w:rsidRPr="00FD1145" w:rsidRDefault="00F84089" w:rsidP="00155473">
            <w:pPr>
              <w:pStyle w:val="TableText0"/>
              <w:jc w:val="center"/>
              <w:rPr>
                <w:b/>
              </w:rPr>
            </w:pPr>
            <w:r w:rsidRPr="00FD1145">
              <w:rPr>
                <w:b/>
              </w:rPr>
              <w:t>0.46</w:t>
            </w:r>
          </w:p>
        </w:tc>
        <w:tc>
          <w:tcPr>
            <w:tcW w:w="590" w:type="pct"/>
          </w:tcPr>
          <w:p w14:paraId="5031C4CF" w14:textId="692FED9B" w:rsidR="00F84089" w:rsidRPr="004306B8" w:rsidRDefault="00F84089" w:rsidP="00155473">
            <w:pPr>
              <w:pStyle w:val="TableText0"/>
              <w:jc w:val="center"/>
              <w:rPr>
                <w:b/>
                <w:vertAlign w:val="superscript"/>
              </w:rPr>
            </w:pPr>
            <w:r w:rsidRPr="00FD1145">
              <w:rPr>
                <w:b/>
              </w:rPr>
              <w:t>$</w:t>
            </w:r>
            <w:r w:rsidR="009B6432" w:rsidRPr="009B6432">
              <w:rPr>
                <w:b/>
                <w:highlight w:val="black"/>
              </w:rPr>
              <w:t>&amp;&amp;&amp;&amp;</w:t>
            </w:r>
            <w:r w:rsidR="004306B8">
              <w:rPr>
                <w:b/>
                <w:vertAlign w:val="superscript"/>
              </w:rPr>
              <w:t>1</w:t>
            </w:r>
          </w:p>
        </w:tc>
        <w:tc>
          <w:tcPr>
            <w:tcW w:w="758" w:type="pct"/>
          </w:tcPr>
          <w:p w14:paraId="205823D3" w14:textId="77777777" w:rsidR="00F84089" w:rsidRPr="00FD1145" w:rsidRDefault="00F84089" w:rsidP="00155473">
            <w:pPr>
              <w:pStyle w:val="TableText0"/>
              <w:jc w:val="center"/>
              <w:rPr>
                <w:b/>
              </w:rPr>
            </w:pPr>
            <w:r w:rsidRPr="00FD1145">
              <w:rPr>
                <w:b/>
              </w:rPr>
              <w:t>-</w:t>
            </w:r>
          </w:p>
        </w:tc>
      </w:tr>
      <w:tr w:rsidR="00F84089" w:rsidRPr="00FD1145" w14:paraId="48A3B613" w14:textId="77777777" w:rsidTr="00A23B4B">
        <w:tc>
          <w:tcPr>
            <w:tcW w:w="2212" w:type="pct"/>
          </w:tcPr>
          <w:p w14:paraId="03A8836A" w14:textId="77777777" w:rsidR="00F84089" w:rsidRPr="00FD1145" w:rsidRDefault="00F84089" w:rsidP="008B1086">
            <w:pPr>
              <w:pStyle w:val="TableText0"/>
            </w:pPr>
            <w:r w:rsidRPr="00FD1145">
              <w:t>Discount rate (base case: 5% costs and outcomes)</w:t>
            </w:r>
          </w:p>
          <w:p w14:paraId="72C61B13" w14:textId="07A07609" w:rsidR="00F84089" w:rsidRPr="00FD1145" w:rsidRDefault="00F84089" w:rsidP="00A126B7">
            <w:pPr>
              <w:pStyle w:val="TableText0"/>
              <w:numPr>
                <w:ilvl w:val="0"/>
                <w:numId w:val="15"/>
              </w:numPr>
              <w:ind w:left="168" w:hanging="168"/>
            </w:pPr>
            <w:r w:rsidRPr="00FD1145">
              <w:t>0% costs and outcomes</w:t>
            </w:r>
          </w:p>
          <w:p w14:paraId="3509A71F" w14:textId="23C26FE2" w:rsidR="00F84089" w:rsidRPr="00FD1145" w:rsidRDefault="00F84089" w:rsidP="00A126B7">
            <w:pPr>
              <w:pStyle w:val="TableText0"/>
              <w:numPr>
                <w:ilvl w:val="0"/>
                <w:numId w:val="15"/>
              </w:numPr>
              <w:ind w:left="168" w:hanging="168"/>
            </w:pPr>
            <w:r w:rsidRPr="00FD1145">
              <w:t>3.5% costs and outcomes</w:t>
            </w:r>
          </w:p>
        </w:tc>
        <w:tc>
          <w:tcPr>
            <w:tcW w:w="687" w:type="pct"/>
          </w:tcPr>
          <w:p w14:paraId="4E5D2B4D" w14:textId="77777777" w:rsidR="00F84089" w:rsidRPr="00FD1145" w:rsidRDefault="00F84089" w:rsidP="00155473">
            <w:pPr>
              <w:pStyle w:val="TableText0"/>
              <w:jc w:val="center"/>
            </w:pPr>
          </w:p>
          <w:p w14:paraId="6752F70C" w14:textId="3074BB18" w:rsidR="00F84089" w:rsidRPr="00FD1145" w:rsidRDefault="00F84089" w:rsidP="00155473">
            <w:pPr>
              <w:pStyle w:val="TableText0"/>
              <w:jc w:val="center"/>
            </w:pPr>
            <w:r w:rsidRPr="00FD1145">
              <w:t>$</w:t>
            </w:r>
            <w:r w:rsidR="009B6432" w:rsidRPr="009B6432">
              <w:rPr>
                <w:highlight w:val="black"/>
              </w:rPr>
              <w:t>&amp;&amp;&amp;&amp;</w:t>
            </w:r>
            <w:r w:rsidRPr="00FD1145">
              <w:t xml:space="preserve"> $</w:t>
            </w:r>
            <w:r w:rsidR="009B6432" w:rsidRPr="009B6432">
              <w:rPr>
                <w:highlight w:val="black"/>
              </w:rPr>
              <w:t>&amp;&amp;&amp;&amp;</w:t>
            </w:r>
          </w:p>
        </w:tc>
        <w:tc>
          <w:tcPr>
            <w:tcW w:w="754" w:type="pct"/>
          </w:tcPr>
          <w:p w14:paraId="74DC6B89" w14:textId="77777777" w:rsidR="00F84089" w:rsidRPr="00FD1145" w:rsidRDefault="00F84089" w:rsidP="00155473">
            <w:pPr>
              <w:pStyle w:val="TableText0"/>
              <w:jc w:val="center"/>
            </w:pPr>
          </w:p>
          <w:p w14:paraId="4716615A" w14:textId="77777777" w:rsidR="00F84089" w:rsidRPr="00FD1145" w:rsidRDefault="00F84089" w:rsidP="00155473">
            <w:pPr>
              <w:pStyle w:val="TableText0"/>
              <w:jc w:val="center"/>
            </w:pPr>
            <w:r w:rsidRPr="00FD1145">
              <w:t>0.53</w:t>
            </w:r>
          </w:p>
          <w:p w14:paraId="40A199D4" w14:textId="77777777" w:rsidR="00F84089" w:rsidRPr="00FD1145" w:rsidRDefault="00F84089" w:rsidP="00155473">
            <w:pPr>
              <w:pStyle w:val="TableText0"/>
              <w:jc w:val="center"/>
            </w:pPr>
            <w:r w:rsidRPr="00FD1145">
              <w:t>0.48</w:t>
            </w:r>
          </w:p>
        </w:tc>
        <w:tc>
          <w:tcPr>
            <w:tcW w:w="590" w:type="pct"/>
          </w:tcPr>
          <w:p w14:paraId="12973595" w14:textId="77777777" w:rsidR="00F84089" w:rsidRPr="00FD1145" w:rsidRDefault="00F84089" w:rsidP="00155473">
            <w:pPr>
              <w:pStyle w:val="TableText0"/>
              <w:jc w:val="center"/>
            </w:pPr>
          </w:p>
          <w:p w14:paraId="4DEF4741" w14:textId="1FDFFB12" w:rsidR="00F84089" w:rsidRPr="004306B8" w:rsidRDefault="00F84089" w:rsidP="00155473">
            <w:pPr>
              <w:pStyle w:val="TableText0"/>
              <w:jc w:val="center"/>
              <w:rPr>
                <w:vertAlign w:val="superscript"/>
              </w:rPr>
            </w:pPr>
            <w:r w:rsidRPr="00FD1145">
              <w:t>$</w:t>
            </w:r>
            <w:r w:rsidR="009B6432" w:rsidRPr="009B6432">
              <w:rPr>
                <w:highlight w:val="black"/>
              </w:rPr>
              <w:t>&amp;&amp;&amp;&amp;</w:t>
            </w:r>
            <w:r w:rsidR="004306B8">
              <w:rPr>
                <w:vertAlign w:val="superscript"/>
              </w:rPr>
              <w:t>2</w:t>
            </w:r>
          </w:p>
          <w:p w14:paraId="6F8D764E" w14:textId="64F99DD3" w:rsidR="00F84089" w:rsidRPr="004306B8" w:rsidRDefault="00F84089" w:rsidP="00155473">
            <w:pPr>
              <w:pStyle w:val="TableText0"/>
              <w:jc w:val="center"/>
              <w:rPr>
                <w:vertAlign w:val="superscript"/>
              </w:rPr>
            </w:pPr>
            <w:r w:rsidRPr="00FD1145">
              <w:t>$</w:t>
            </w:r>
            <w:r w:rsidR="009B6432" w:rsidRPr="009B6432">
              <w:rPr>
                <w:highlight w:val="black"/>
              </w:rPr>
              <w:t>&amp;&amp;&amp;&amp;</w:t>
            </w:r>
            <w:r w:rsidR="004306B8">
              <w:rPr>
                <w:vertAlign w:val="superscript"/>
              </w:rPr>
              <w:t>1</w:t>
            </w:r>
          </w:p>
        </w:tc>
        <w:tc>
          <w:tcPr>
            <w:tcW w:w="758" w:type="pct"/>
          </w:tcPr>
          <w:p w14:paraId="21008B8B" w14:textId="77777777" w:rsidR="00F84089" w:rsidRPr="00FD1145" w:rsidRDefault="00F84089" w:rsidP="00155473">
            <w:pPr>
              <w:pStyle w:val="TableText0"/>
              <w:jc w:val="center"/>
            </w:pPr>
          </w:p>
          <w:p w14:paraId="2CF61B0E" w14:textId="4B0A6D45" w:rsidR="00F84089" w:rsidRPr="00FD1145" w:rsidRDefault="00F84089" w:rsidP="00155473">
            <w:pPr>
              <w:pStyle w:val="TableText0"/>
              <w:jc w:val="center"/>
            </w:pPr>
            <w:r w:rsidRPr="00FD1145">
              <w:t>-</w:t>
            </w:r>
            <w:r w:rsidR="009B6432" w:rsidRPr="009B6432">
              <w:rPr>
                <w:highlight w:val="black"/>
              </w:rPr>
              <w:t>&amp;&amp;&amp;&amp;</w:t>
            </w:r>
            <w:r w:rsidRPr="00FD1145">
              <w:t>%</w:t>
            </w:r>
          </w:p>
          <w:p w14:paraId="7878AD77" w14:textId="53116A36" w:rsidR="00F84089" w:rsidRPr="00FD1145" w:rsidRDefault="00F84089" w:rsidP="00155473">
            <w:pPr>
              <w:pStyle w:val="TableText0"/>
              <w:jc w:val="center"/>
            </w:pPr>
            <w:r w:rsidRPr="00FD1145">
              <w:t>-</w:t>
            </w:r>
            <w:r w:rsidR="009B6432" w:rsidRPr="009B6432">
              <w:rPr>
                <w:highlight w:val="black"/>
              </w:rPr>
              <w:t>&amp;&amp;&amp;&amp;</w:t>
            </w:r>
            <w:r w:rsidRPr="00FD1145">
              <w:t>%</w:t>
            </w:r>
          </w:p>
        </w:tc>
      </w:tr>
      <w:tr w:rsidR="00F84089" w:rsidRPr="00FD1145" w14:paraId="39DF0ACF" w14:textId="77777777" w:rsidTr="00A23B4B">
        <w:tc>
          <w:tcPr>
            <w:tcW w:w="2212" w:type="pct"/>
          </w:tcPr>
          <w:p w14:paraId="4B8CDCE1" w14:textId="77777777" w:rsidR="00F84089" w:rsidRPr="00FD1145" w:rsidRDefault="00F84089" w:rsidP="008B1086">
            <w:pPr>
              <w:pStyle w:val="TableText0"/>
            </w:pPr>
            <w:r w:rsidRPr="00FD1145">
              <w:t>Time horizon (base case: 10 years)</w:t>
            </w:r>
          </w:p>
          <w:p w14:paraId="760285BE" w14:textId="6C1D7AB0" w:rsidR="00F84089" w:rsidRPr="00FD1145" w:rsidRDefault="00F84089" w:rsidP="00A126B7">
            <w:pPr>
              <w:pStyle w:val="TableText0"/>
              <w:numPr>
                <w:ilvl w:val="0"/>
                <w:numId w:val="15"/>
              </w:numPr>
              <w:ind w:left="168" w:hanging="168"/>
            </w:pPr>
            <w:r w:rsidRPr="00FD1145">
              <w:t>5 years</w:t>
            </w:r>
          </w:p>
          <w:p w14:paraId="59D1BA57" w14:textId="1BF753D6" w:rsidR="00F84089" w:rsidRPr="00FD1145" w:rsidRDefault="00F84089" w:rsidP="00A126B7">
            <w:pPr>
              <w:pStyle w:val="TableText0"/>
              <w:numPr>
                <w:ilvl w:val="0"/>
                <w:numId w:val="15"/>
              </w:numPr>
              <w:ind w:left="168" w:hanging="168"/>
            </w:pPr>
            <w:r w:rsidRPr="00FD1145">
              <w:t>7.5 years</w:t>
            </w:r>
          </w:p>
        </w:tc>
        <w:tc>
          <w:tcPr>
            <w:tcW w:w="687" w:type="pct"/>
          </w:tcPr>
          <w:p w14:paraId="5DE6803C" w14:textId="77777777" w:rsidR="00F84089" w:rsidRPr="00FD1145" w:rsidRDefault="00F84089" w:rsidP="00155473">
            <w:pPr>
              <w:pStyle w:val="TableText0"/>
              <w:jc w:val="center"/>
            </w:pPr>
          </w:p>
          <w:p w14:paraId="6ED25576" w14:textId="2DE069D4" w:rsidR="00F84089" w:rsidRPr="00FD1145" w:rsidRDefault="00F84089" w:rsidP="00155473">
            <w:pPr>
              <w:pStyle w:val="TableText0"/>
              <w:jc w:val="center"/>
            </w:pPr>
            <w:r w:rsidRPr="00FD1145">
              <w:t>$</w:t>
            </w:r>
            <w:r w:rsidR="009B6432" w:rsidRPr="009B6432">
              <w:rPr>
                <w:highlight w:val="black"/>
              </w:rPr>
              <w:t>&amp;&amp;&amp;&amp;</w:t>
            </w:r>
            <w:r w:rsidRPr="00FD1145">
              <w:t xml:space="preserve"> $</w:t>
            </w:r>
            <w:r w:rsidR="009B6432" w:rsidRPr="009B6432">
              <w:rPr>
                <w:highlight w:val="black"/>
              </w:rPr>
              <w:t>&amp;&amp;&amp;&amp;</w:t>
            </w:r>
          </w:p>
        </w:tc>
        <w:tc>
          <w:tcPr>
            <w:tcW w:w="754" w:type="pct"/>
          </w:tcPr>
          <w:p w14:paraId="16257DA4" w14:textId="77777777" w:rsidR="00F84089" w:rsidRPr="00FD1145" w:rsidRDefault="00F84089" w:rsidP="00155473">
            <w:pPr>
              <w:pStyle w:val="TableText0"/>
              <w:jc w:val="center"/>
            </w:pPr>
          </w:p>
          <w:p w14:paraId="3751B41A" w14:textId="77777777" w:rsidR="00F84089" w:rsidRPr="00FD1145" w:rsidRDefault="00F84089" w:rsidP="00155473">
            <w:pPr>
              <w:pStyle w:val="TableText0"/>
              <w:jc w:val="center"/>
            </w:pPr>
            <w:r w:rsidRPr="00FD1145">
              <w:t>0.35</w:t>
            </w:r>
          </w:p>
          <w:p w14:paraId="547713C6" w14:textId="77777777" w:rsidR="00F84089" w:rsidRPr="00FD1145" w:rsidRDefault="00F84089" w:rsidP="00155473">
            <w:pPr>
              <w:pStyle w:val="TableText0"/>
              <w:jc w:val="center"/>
            </w:pPr>
            <w:r w:rsidRPr="00FD1145">
              <w:t>0.43</w:t>
            </w:r>
          </w:p>
        </w:tc>
        <w:tc>
          <w:tcPr>
            <w:tcW w:w="590" w:type="pct"/>
          </w:tcPr>
          <w:p w14:paraId="773E73F5" w14:textId="77777777" w:rsidR="00F84089" w:rsidRPr="00FD1145" w:rsidRDefault="00F84089" w:rsidP="00155473">
            <w:pPr>
              <w:pStyle w:val="TableText0"/>
              <w:jc w:val="center"/>
            </w:pPr>
          </w:p>
          <w:p w14:paraId="77C7C632" w14:textId="203BA083" w:rsidR="0097685E" w:rsidRPr="00FD1145" w:rsidRDefault="00F84089" w:rsidP="00155473">
            <w:pPr>
              <w:pStyle w:val="TableText0"/>
              <w:jc w:val="center"/>
            </w:pPr>
            <w:r w:rsidRPr="00FD1145">
              <w:t>$</w:t>
            </w:r>
            <w:r w:rsidR="009B6432" w:rsidRPr="009B6432">
              <w:rPr>
                <w:highlight w:val="black"/>
              </w:rPr>
              <w:t>&amp;&amp;&amp;&amp;</w:t>
            </w:r>
            <w:r w:rsidR="004306B8">
              <w:rPr>
                <w:vertAlign w:val="superscript"/>
              </w:rPr>
              <w:t>3</w:t>
            </w:r>
            <w:r w:rsidRPr="00FD1145">
              <w:t xml:space="preserve"> </w:t>
            </w:r>
          </w:p>
          <w:p w14:paraId="31F386D3" w14:textId="7AE06ADB" w:rsidR="00F84089" w:rsidRPr="004306B8" w:rsidRDefault="00F84089" w:rsidP="00155473">
            <w:pPr>
              <w:pStyle w:val="TableText0"/>
              <w:jc w:val="center"/>
              <w:rPr>
                <w:vertAlign w:val="superscript"/>
              </w:rPr>
            </w:pPr>
            <w:r w:rsidRPr="00FD1145">
              <w:t>$</w:t>
            </w:r>
            <w:r w:rsidR="009B6432" w:rsidRPr="009B6432">
              <w:rPr>
                <w:highlight w:val="black"/>
              </w:rPr>
              <w:t>&amp;&amp;&amp;&amp;</w:t>
            </w:r>
            <w:r w:rsidR="004306B8">
              <w:rPr>
                <w:vertAlign w:val="superscript"/>
              </w:rPr>
              <w:t>1</w:t>
            </w:r>
          </w:p>
        </w:tc>
        <w:tc>
          <w:tcPr>
            <w:tcW w:w="758" w:type="pct"/>
          </w:tcPr>
          <w:p w14:paraId="66881A33" w14:textId="77777777" w:rsidR="00F84089" w:rsidRPr="00FD1145" w:rsidRDefault="00F84089" w:rsidP="00155473">
            <w:pPr>
              <w:pStyle w:val="TableText0"/>
              <w:jc w:val="center"/>
            </w:pPr>
          </w:p>
          <w:p w14:paraId="0E6216A8" w14:textId="052ABE86" w:rsidR="00F84089" w:rsidRPr="00FD1145" w:rsidRDefault="009B6432" w:rsidP="00155473">
            <w:pPr>
              <w:pStyle w:val="TableText0"/>
              <w:jc w:val="center"/>
            </w:pPr>
            <w:r w:rsidRPr="009B6432">
              <w:rPr>
                <w:highlight w:val="black"/>
              </w:rPr>
              <w:t>&amp;&amp;&amp;&amp;</w:t>
            </w:r>
            <w:r w:rsidR="00F84089" w:rsidRPr="00FD1145">
              <w:t>%</w:t>
            </w:r>
          </w:p>
          <w:p w14:paraId="640BF5BC" w14:textId="31FF4C06" w:rsidR="00F84089" w:rsidRPr="00FD1145" w:rsidRDefault="009B6432" w:rsidP="00155473">
            <w:pPr>
              <w:pStyle w:val="TableText0"/>
              <w:jc w:val="center"/>
            </w:pPr>
            <w:r w:rsidRPr="009B6432">
              <w:rPr>
                <w:highlight w:val="black"/>
              </w:rPr>
              <w:t>&amp;&amp;&amp;&amp;</w:t>
            </w:r>
            <w:r w:rsidR="00F84089" w:rsidRPr="00FD1145">
              <w:t>%</w:t>
            </w:r>
          </w:p>
        </w:tc>
      </w:tr>
      <w:tr w:rsidR="00F84089" w:rsidRPr="00FD1145" w14:paraId="7009E8E7" w14:textId="77777777" w:rsidTr="00A23B4B">
        <w:tc>
          <w:tcPr>
            <w:tcW w:w="2212" w:type="pct"/>
          </w:tcPr>
          <w:p w14:paraId="3CAE750D" w14:textId="77777777" w:rsidR="00F84089" w:rsidRPr="00FD1145" w:rsidRDefault="00F84089" w:rsidP="008B1086">
            <w:pPr>
              <w:pStyle w:val="TableText0"/>
            </w:pPr>
            <w:r w:rsidRPr="00FD1145">
              <w:t>TTD Extrapolation (Tuc + Tras + Cap) (base case: Gompertz)</w:t>
            </w:r>
          </w:p>
          <w:p w14:paraId="0BCD4300" w14:textId="22E74354" w:rsidR="00F84089" w:rsidRPr="00FD1145" w:rsidRDefault="00F84089" w:rsidP="00A126B7">
            <w:pPr>
              <w:pStyle w:val="TableText0"/>
              <w:numPr>
                <w:ilvl w:val="0"/>
                <w:numId w:val="15"/>
              </w:numPr>
              <w:ind w:left="168" w:hanging="168"/>
            </w:pPr>
            <w:r w:rsidRPr="00FD1145">
              <w:t>Log-logistic</w:t>
            </w:r>
          </w:p>
        </w:tc>
        <w:tc>
          <w:tcPr>
            <w:tcW w:w="687" w:type="pct"/>
          </w:tcPr>
          <w:p w14:paraId="5C901138" w14:textId="77777777" w:rsidR="00F84089" w:rsidRPr="00FD1145" w:rsidRDefault="00F84089" w:rsidP="00155473">
            <w:pPr>
              <w:pStyle w:val="TableText0"/>
              <w:jc w:val="center"/>
            </w:pPr>
          </w:p>
          <w:p w14:paraId="1DF1705B" w14:textId="77777777" w:rsidR="00F84089" w:rsidRPr="00FD1145" w:rsidRDefault="00F84089" w:rsidP="00155473">
            <w:pPr>
              <w:pStyle w:val="TableText0"/>
              <w:jc w:val="center"/>
            </w:pPr>
          </w:p>
          <w:p w14:paraId="527012D2" w14:textId="69156941" w:rsidR="00F84089" w:rsidRPr="00FD1145" w:rsidRDefault="00F84089" w:rsidP="00155473">
            <w:pPr>
              <w:pStyle w:val="TableText0"/>
              <w:jc w:val="center"/>
            </w:pPr>
            <w:r w:rsidRPr="00FD1145">
              <w:t>$</w:t>
            </w:r>
            <w:r w:rsidR="009B6432" w:rsidRPr="009B6432">
              <w:rPr>
                <w:highlight w:val="black"/>
              </w:rPr>
              <w:t>&amp;&amp;&amp;&amp;</w:t>
            </w:r>
          </w:p>
        </w:tc>
        <w:tc>
          <w:tcPr>
            <w:tcW w:w="754" w:type="pct"/>
          </w:tcPr>
          <w:p w14:paraId="308EF23C" w14:textId="77777777" w:rsidR="00F84089" w:rsidRPr="00FD1145" w:rsidRDefault="00F84089" w:rsidP="00155473">
            <w:pPr>
              <w:pStyle w:val="TableText0"/>
              <w:jc w:val="center"/>
            </w:pPr>
          </w:p>
          <w:p w14:paraId="76EFA982" w14:textId="77777777" w:rsidR="00F84089" w:rsidRPr="00FD1145" w:rsidRDefault="00F84089" w:rsidP="00155473">
            <w:pPr>
              <w:pStyle w:val="TableText0"/>
              <w:jc w:val="center"/>
            </w:pPr>
          </w:p>
          <w:p w14:paraId="6346C587" w14:textId="77777777" w:rsidR="00F84089" w:rsidRPr="00FD1145" w:rsidRDefault="00F84089" w:rsidP="00155473">
            <w:pPr>
              <w:pStyle w:val="TableText0"/>
              <w:jc w:val="center"/>
            </w:pPr>
            <w:r w:rsidRPr="00FD1145">
              <w:t>0.46</w:t>
            </w:r>
          </w:p>
        </w:tc>
        <w:tc>
          <w:tcPr>
            <w:tcW w:w="590" w:type="pct"/>
          </w:tcPr>
          <w:p w14:paraId="2D14BC10" w14:textId="77777777" w:rsidR="00F84089" w:rsidRPr="00FD1145" w:rsidRDefault="00F84089" w:rsidP="00155473">
            <w:pPr>
              <w:pStyle w:val="TableText0"/>
              <w:jc w:val="center"/>
            </w:pPr>
          </w:p>
          <w:p w14:paraId="0F7F7A7F" w14:textId="77777777" w:rsidR="00F84089" w:rsidRPr="00FD1145" w:rsidRDefault="00F84089" w:rsidP="00155473">
            <w:pPr>
              <w:pStyle w:val="TableText0"/>
              <w:jc w:val="center"/>
            </w:pPr>
          </w:p>
          <w:p w14:paraId="288B14F5" w14:textId="78756D3E" w:rsidR="00F84089" w:rsidRPr="004306B8" w:rsidRDefault="00F84089" w:rsidP="00155473">
            <w:pPr>
              <w:pStyle w:val="TableText0"/>
              <w:jc w:val="center"/>
              <w:rPr>
                <w:vertAlign w:val="superscript"/>
              </w:rPr>
            </w:pPr>
            <w:r w:rsidRPr="00FD1145">
              <w:t>$</w:t>
            </w:r>
            <w:r w:rsidR="009B6432" w:rsidRPr="009B6432">
              <w:rPr>
                <w:highlight w:val="black"/>
              </w:rPr>
              <w:t>&amp;&amp;&amp;&amp;</w:t>
            </w:r>
            <w:r w:rsidR="006C4911">
              <w:rPr>
                <w:vertAlign w:val="superscript"/>
              </w:rPr>
              <w:t>3</w:t>
            </w:r>
          </w:p>
        </w:tc>
        <w:tc>
          <w:tcPr>
            <w:tcW w:w="758" w:type="pct"/>
          </w:tcPr>
          <w:p w14:paraId="7AAFC508" w14:textId="77777777" w:rsidR="00F84089" w:rsidRPr="00FD1145" w:rsidRDefault="00F84089" w:rsidP="00155473">
            <w:pPr>
              <w:pStyle w:val="TableText0"/>
              <w:jc w:val="center"/>
            </w:pPr>
          </w:p>
          <w:p w14:paraId="4426AF6E" w14:textId="77777777" w:rsidR="00F84089" w:rsidRPr="00FD1145" w:rsidRDefault="00F84089" w:rsidP="00155473">
            <w:pPr>
              <w:pStyle w:val="TableText0"/>
              <w:jc w:val="center"/>
            </w:pPr>
          </w:p>
          <w:p w14:paraId="1B24DB9D" w14:textId="59D7E917" w:rsidR="00F84089" w:rsidRPr="00FD1145" w:rsidRDefault="009B6432" w:rsidP="00155473">
            <w:pPr>
              <w:pStyle w:val="TableText0"/>
              <w:jc w:val="center"/>
            </w:pPr>
            <w:r w:rsidRPr="009B6432">
              <w:rPr>
                <w:highlight w:val="black"/>
              </w:rPr>
              <w:t>&amp;&amp;&amp;&amp;</w:t>
            </w:r>
            <w:r w:rsidR="00F84089" w:rsidRPr="00FD1145">
              <w:t>%</w:t>
            </w:r>
          </w:p>
        </w:tc>
      </w:tr>
      <w:tr w:rsidR="00F84089" w:rsidRPr="00FD1145" w14:paraId="2EE161DD" w14:textId="77777777" w:rsidTr="00A23B4B">
        <w:tc>
          <w:tcPr>
            <w:tcW w:w="2212" w:type="pct"/>
          </w:tcPr>
          <w:p w14:paraId="4738E213" w14:textId="77777777" w:rsidR="00F84089" w:rsidRPr="00FD1145" w:rsidRDefault="00F84089" w:rsidP="008B1086">
            <w:pPr>
              <w:pStyle w:val="TableText0"/>
              <w:rPr>
                <w:rtl/>
                <w:lang w:bidi="fa-IR"/>
              </w:rPr>
            </w:pPr>
            <w:r w:rsidRPr="00FD1145">
              <w:t>PD health state utility (base case: HER2CLIMB trial EQ-5D data; 0.738)</w:t>
            </w:r>
          </w:p>
          <w:p w14:paraId="6C45CBFD" w14:textId="049C5535" w:rsidR="00F84089" w:rsidRPr="00FD1145" w:rsidRDefault="00F84089" w:rsidP="00A126B7">
            <w:pPr>
              <w:pStyle w:val="TableText0"/>
              <w:numPr>
                <w:ilvl w:val="0"/>
                <w:numId w:val="15"/>
              </w:numPr>
              <w:ind w:left="168" w:hanging="168"/>
            </w:pPr>
            <w:r w:rsidRPr="00FD1145">
              <w:t>Llo</w:t>
            </w:r>
            <w:r w:rsidR="000C2C95" w:rsidRPr="00FD1145">
              <w:t>y</w:t>
            </w:r>
            <w:r w:rsidRPr="00FD1145">
              <w:t>d et al., 2006: 0.538</w:t>
            </w:r>
          </w:p>
        </w:tc>
        <w:tc>
          <w:tcPr>
            <w:tcW w:w="687" w:type="pct"/>
            <w:vAlign w:val="center"/>
          </w:tcPr>
          <w:p w14:paraId="4CAFA7FD" w14:textId="77777777" w:rsidR="00F84089" w:rsidRPr="00FD1145" w:rsidRDefault="00F84089" w:rsidP="00155473">
            <w:pPr>
              <w:pStyle w:val="TableText0"/>
              <w:jc w:val="center"/>
            </w:pPr>
          </w:p>
          <w:p w14:paraId="09CC7127" w14:textId="77777777" w:rsidR="00F84089" w:rsidRPr="00FD1145" w:rsidRDefault="00F84089" w:rsidP="00155473">
            <w:pPr>
              <w:pStyle w:val="TableText0"/>
              <w:jc w:val="center"/>
            </w:pPr>
          </w:p>
          <w:p w14:paraId="031D894A" w14:textId="288186E9" w:rsidR="00F84089" w:rsidRPr="00FD1145" w:rsidRDefault="00F84089" w:rsidP="00155473">
            <w:pPr>
              <w:pStyle w:val="TableText0"/>
              <w:jc w:val="center"/>
            </w:pPr>
            <w:r w:rsidRPr="00FD1145">
              <w:t>$</w:t>
            </w:r>
            <w:r w:rsidR="009B6432" w:rsidRPr="009B6432">
              <w:rPr>
                <w:highlight w:val="black"/>
              </w:rPr>
              <w:t>&amp;&amp;&amp;&amp;</w:t>
            </w:r>
          </w:p>
        </w:tc>
        <w:tc>
          <w:tcPr>
            <w:tcW w:w="754" w:type="pct"/>
            <w:vAlign w:val="center"/>
          </w:tcPr>
          <w:p w14:paraId="1F287E21" w14:textId="77777777" w:rsidR="00F84089" w:rsidRPr="00FD1145" w:rsidRDefault="00F84089" w:rsidP="00155473">
            <w:pPr>
              <w:pStyle w:val="TableText0"/>
              <w:jc w:val="center"/>
            </w:pPr>
          </w:p>
          <w:p w14:paraId="6F7B6BD7" w14:textId="77777777" w:rsidR="00F84089" w:rsidRPr="00FD1145" w:rsidRDefault="00F84089" w:rsidP="00155473">
            <w:pPr>
              <w:pStyle w:val="TableText0"/>
              <w:jc w:val="center"/>
            </w:pPr>
          </w:p>
          <w:p w14:paraId="6CE4FC42" w14:textId="77777777" w:rsidR="00F84089" w:rsidRPr="00FD1145" w:rsidRDefault="00F84089" w:rsidP="00155473">
            <w:pPr>
              <w:pStyle w:val="TableText0"/>
              <w:jc w:val="center"/>
            </w:pPr>
            <w:r w:rsidRPr="00FD1145">
              <w:t>0.43</w:t>
            </w:r>
          </w:p>
        </w:tc>
        <w:tc>
          <w:tcPr>
            <w:tcW w:w="590" w:type="pct"/>
            <w:vAlign w:val="center"/>
          </w:tcPr>
          <w:p w14:paraId="27AE5236" w14:textId="77777777" w:rsidR="00F84089" w:rsidRPr="00FD1145" w:rsidRDefault="00F84089" w:rsidP="00155473">
            <w:pPr>
              <w:pStyle w:val="TableText0"/>
              <w:jc w:val="center"/>
            </w:pPr>
          </w:p>
          <w:p w14:paraId="65949A30" w14:textId="77777777" w:rsidR="00F84089" w:rsidRPr="00FD1145" w:rsidRDefault="00F84089" w:rsidP="00155473">
            <w:pPr>
              <w:pStyle w:val="TableText0"/>
              <w:jc w:val="center"/>
            </w:pPr>
          </w:p>
          <w:p w14:paraId="10EC029A" w14:textId="758EA621" w:rsidR="00F84089" w:rsidRPr="006C4911" w:rsidRDefault="00F84089" w:rsidP="00155473">
            <w:pPr>
              <w:pStyle w:val="TableText0"/>
              <w:jc w:val="center"/>
              <w:rPr>
                <w:vertAlign w:val="superscript"/>
              </w:rPr>
            </w:pPr>
            <w:r w:rsidRPr="00FD1145">
              <w:t>$</w:t>
            </w:r>
            <w:r w:rsidR="009B6432" w:rsidRPr="009B6432">
              <w:rPr>
                <w:highlight w:val="black"/>
              </w:rPr>
              <w:t>&amp;&amp;&amp;&amp;</w:t>
            </w:r>
            <w:r w:rsidR="006C4911">
              <w:rPr>
                <w:vertAlign w:val="superscript"/>
              </w:rPr>
              <w:t>1</w:t>
            </w:r>
          </w:p>
        </w:tc>
        <w:tc>
          <w:tcPr>
            <w:tcW w:w="758" w:type="pct"/>
            <w:vAlign w:val="center"/>
          </w:tcPr>
          <w:p w14:paraId="492C7548" w14:textId="77777777" w:rsidR="00F84089" w:rsidRPr="00FD1145" w:rsidRDefault="00F84089" w:rsidP="00155473">
            <w:pPr>
              <w:pStyle w:val="TableText0"/>
              <w:jc w:val="center"/>
            </w:pPr>
          </w:p>
          <w:p w14:paraId="499C32DB" w14:textId="77777777" w:rsidR="00F84089" w:rsidRPr="00FD1145" w:rsidRDefault="00F84089" w:rsidP="00155473">
            <w:pPr>
              <w:pStyle w:val="TableText0"/>
              <w:jc w:val="center"/>
            </w:pPr>
          </w:p>
          <w:p w14:paraId="0857E463" w14:textId="0E5BF448" w:rsidR="00F84089" w:rsidRPr="00FD1145" w:rsidRDefault="009B6432" w:rsidP="00155473">
            <w:pPr>
              <w:pStyle w:val="TableText0"/>
              <w:jc w:val="center"/>
            </w:pPr>
            <w:r w:rsidRPr="009B6432">
              <w:rPr>
                <w:highlight w:val="black"/>
              </w:rPr>
              <w:t>&amp;&amp;&amp;&amp;</w:t>
            </w:r>
            <w:r w:rsidR="00F84089" w:rsidRPr="00FD1145">
              <w:t>%</w:t>
            </w:r>
          </w:p>
        </w:tc>
      </w:tr>
      <w:tr w:rsidR="00F84089" w:rsidRPr="00FD1145" w14:paraId="2086E5E5" w14:textId="77777777" w:rsidTr="00A23B4B">
        <w:tc>
          <w:tcPr>
            <w:tcW w:w="2212" w:type="pct"/>
          </w:tcPr>
          <w:p w14:paraId="17742218" w14:textId="2F292B00" w:rsidR="00F84089" w:rsidRPr="00FD1145" w:rsidRDefault="00F84089" w:rsidP="008B1086">
            <w:pPr>
              <w:pStyle w:val="TableText0"/>
            </w:pPr>
            <w:r w:rsidRPr="00FD1145">
              <w:t xml:space="preserve">Health state utility value type (base case: </w:t>
            </w:r>
            <w:r w:rsidR="00A250D8" w:rsidRPr="00FD1145">
              <w:t>treatment specific from the trial</w:t>
            </w:r>
            <w:r w:rsidRPr="00FD1145">
              <w:t>)</w:t>
            </w:r>
          </w:p>
          <w:p w14:paraId="5D4CBF25" w14:textId="560EB992" w:rsidR="00F84089" w:rsidRPr="00FD1145" w:rsidRDefault="00F84089" w:rsidP="00A126B7">
            <w:pPr>
              <w:pStyle w:val="TableText0"/>
              <w:numPr>
                <w:ilvl w:val="0"/>
                <w:numId w:val="15"/>
              </w:numPr>
              <w:ind w:left="168" w:hanging="168"/>
            </w:pPr>
            <w:r w:rsidRPr="00FD1145">
              <w:t>Ll</w:t>
            </w:r>
            <w:r w:rsidR="000C2C95" w:rsidRPr="00FD1145">
              <w:t>o</w:t>
            </w:r>
            <w:r w:rsidR="00A13527" w:rsidRPr="00FD1145">
              <w:t>y</w:t>
            </w:r>
            <w:r w:rsidRPr="00FD1145">
              <w:t>d et al., 2006 (PFS: 0.786; PD: 0.538)</w:t>
            </w:r>
          </w:p>
        </w:tc>
        <w:tc>
          <w:tcPr>
            <w:tcW w:w="687" w:type="pct"/>
            <w:vAlign w:val="center"/>
          </w:tcPr>
          <w:p w14:paraId="644DD2C5" w14:textId="77777777" w:rsidR="00F84089" w:rsidRPr="00FD1145" w:rsidRDefault="00F84089" w:rsidP="00155473">
            <w:pPr>
              <w:pStyle w:val="TableText0"/>
              <w:jc w:val="center"/>
            </w:pPr>
          </w:p>
          <w:p w14:paraId="27FDDE1A" w14:textId="77777777" w:rsidR="00F84089" w:rsidRPr="00FD1145" w:rsidRDefault="00F84089" w:rsidP="00155473">
            <w:pPr>
              <w:pStyle w:val="TableText0"/>
              <w:jc w:val="center"/>
            </w:pPr>
          </w:p>
          <w:p w14:paraId="513E4165" w14:textId="27B6F150" w:rsidR="00F84089" w:rsidRPr="00FD1145" w:rsidRDefault="00F84089" w:rsidP="00155473">
            <w:pPr>
              <w:pStyle w:val="TableText0"/>
              <w:jc w:val="center"/>
            </w:pPr>
            <w:r w:rsidRPr="00FD1145">
              <w:t>$</w:t>
            </w:r>
            <w:r w:rsidR="009B6432" w:rsidRPr="009B6432">
              <w:rPr>
                <w:highlight w:val="black"/>
              </w:rPr>
              <w:t>&amp;&amp;&amp;&amp;</w:t>
            </w:r>
          </w:p>
        </w:tc>
        <w:tc>
          <w:tcPr>
            <w:tcW w:w="754" w:type="pct"/>
            <w:vAlign w:val="center"/>
          </w:tcPr>
          <w:p w14:paraId="5C5F9123" w14:textId="77777777" w:rsidR="00F84089" w:rsidRPr="00FD1145" w:rsidRDefault="00F84089" w:rsidP="00155473">
            <w:pPr>
              <w:pStyle w:val="TableText0"/>
              <w:jc w:val="center"/>
            </w:pPr>
          </w:p>
          <w:p w14:paraId="66E72CE6" w14:textId="77777777" w:rsidR="00F84089" w:rsidRPr="00FD1145" w:rsidRDefault="00F84089" w:rsidP="00155473">
            <w:pPr>
              <w:pStyle w:val="TableText0"/>
              <w:jc w:val="center"/>
            </w:pPr>
          </w:p>
          <w:p w14:paraId="4DB2648C" w14:textId="77777777" w:rsidR="00F84089" w:rsidRPr="00FD1145" w:rsidRDefault="00F84089" w:rsidP="00155473">
            <w:pPr>
              <w:pStyle w:val="TableText0"/>
              <w:jc w:val="center"/>
            </w:pPr>
            <w:r w:rsidRPr="00FD1145">
              <w:t>0.37</w:t>
            </w:r>
          </w:p>
        </w:tc>
        <w:tc>
          <w:tcPr>
            <w:tcW w:w="590" w:type="pct"/>
            <w:vAlign w:val="center"/>
          </w:tcPr>
          <w:p w14:paraId="4FC82567" w14:textId="77777777" w:rsidR="00F84089" w:rsidRPr="00FD1145" w:rsidRDefault="00F84089" w:rsidP="00155473">
            <w:pPr>
              <w:pStyle w:val="TableText0"/>
              <w:jc w:val="center"/>
            </w:pPr>
          </w:p>
          <w:p w14:paraId="287B753B" w14:textId="77777777" w:rsidR="00F84089" w:rsidRPr="00FD1145" w:rsidRDefault="00F84089" w:rsidP="00155473">
            <w:pPr>
              <w:pStyle w:val="TableText0"/>
              <w:jc w:val="center"/>
            </w:pPr>
          </w:p>
          <w:p w14:paraId="234D162D" w14:textId="300AEC48" w:rsidR="00F84089" w:rsidRPr="00FD1145" w:rsidRDefault="00F84089" w:rsidP="00155473">
            <w:pPr>
              <w:pStyle w:val="TableText0"/>
              <w:jc w:val="center"/>
            </w:pPr>
            <w:r w:rsidRPr="00FD1145">
              <w:t>$</w:t>
            </w:r>
            <w:r w:rsidR="009B6432" w:rsidRPr="009B6432">
              <w:rPr>
                <w:highlight w:val="black"/>
              </w:rPr>
              <w:t>&amp;&amp;&amp;&amp;</w:t>
            </w:r>
            <w:r w:rsidR="006C4911" w:rsidRPr="006C4911">
              <w:rPr>
                <w:vertAlign w:val="superscript"/>
              </w:rPr>
              <w:t>3</w:t>
            </w:r>
          </w:p>
        </w:tc>
        <w:tc>
          <w:tcPr>
            <w:tcW w:w="758" w:type="pct"/>
          </w:tcPr>
          <w:p w14:paraId="5F588999" w14:textId="77777777" w:rsidR="00F84089" w:rsidRPr="00FD1145" w:rsidRDefault="00F84089" w:rsidP="00155473">
            <w:pPr>
              <w:pStyle w:val="TableText0"/>
              <w:jc w:val="center"/>
            </w:pPr>
          </w:p>
          <w:p w14:paraId="38DE6AEE" w14:textId="77777777" w:rsidR="00F84089" w:rsidRPr="00FD1145" w:rsidRDefault="00F84089" w:rsidP="00155473">
            <w:pPr>
              <w:pStyle w:val="TableText0"/>
              <w:jc w:val="center"/>
            </w:pPr>
          </w:p>
          <w:p w14:paraId="47B90879" w14:textId="5026DE31" w:rsidR="00F84089" w:rsidRPr="00FD1145" w:rsidRDefault="009B6432" w:rsidP="00155473">
            <w:pPr>
              <w:pStyle w:val="TableText0"/>
              <w:jc w:val="center"/>
            </w:pPr>
            <w:r w:rsidRPr="009B6432">
              <w:rPr>
                <w:highlight w:val="black"/>
              </w:rPr>
              <w:t>&amp;&amp;&amp;&amp;</w:t>
            </w:r>
            <w:r w:rsidR="00F84089" w:rsidRPr="00FD1145">
              <w:t>%</w:t>
            </w:r>
          </w:p>
        </w:tc>
      </w:tr>
      <w:tr w:rsidR="00115AC2" w:rsidRPr="00FD1145" w14:paraId="2307BDAB" w14:textId="77777777" w:rsidTr="00A23B4B">
        <w:tc>
          <w:tcPr>
            <w:tcW w:w="2212" w:type="pct"/>
          </w:tcPr>
          <w:p w14:paraId="2588888C" w14:textId="1BA0790F" w:rsidR="00115AC2" w:rsidRPr="00FD1145" w:rsidRDefault="00115AC2" w:rsidP="008B1086">
            <w:pPr>
              <w:pStyle w:val="TableText0"/>
            </w:pPr>
            <w:r w:rsidRPr="00FD1145">
              <w:t>Treatment</w:t>
            </w:r>
            <w:r w:rsidR="001D2143" w:rsidRPr="00FD1145">
              <w:t>-</w:t>
            </w:r>
            <w:r w:rsidRPr="00FD1145">
              <w:t>independent</w:t>
            </w:r>
            <w:r w:rsidR="001D2143" w:rsidRPr="00FD1145">
              <w:t xml:space="preserve"> PF utilities</w:t>
            </w:r>
            <w:r w:rsidRPr="00FD1145">
              <w:t xml:space="preserve"> from the trial</w:t>
            </w:r>
            <w:r w:rsidR="00C12917" w:rsidRPr="00FD1145">
              <w:t xml:space="preserve"> (base case: treatment-specific)</w:t>
            </w:r>
            <w:r w:rsidRPr="00FD1145">
              <w:t xml:space="preserve"> </w:t>
            </w:r>
          </w:p>
          <w:p w14:paraId="64A5E540" w14:textId="4588E6F1" w:rsidR="009A1EA8" w:rsidRPr="00FD1145" w:rsidRDefault="00E14835" w:rsidP="00A126B7">
            <w:pPr>
              <w:pStyle w:val="TableText0"/>
              <w:numPr>
                <w:ilvl w:val="0"/>
                <w:numId w:val="15"/>
              </w:numPr>
              <w:ind w:left="168" w:hanging="168"/>
            </w:pPr>
            <w:r w:rsidRPr="00FD1145">
              <w:t xml:space="preserve">Based on tucatinib arm: </w:t>
            </w:r>
            <w:r w:rsidR="00164C21" w:rsidRPr="00FD1145">
              <w:t>PF Cycle</w:t>
            </w:r>
            <w:r w:rsidR="002038EB" w:rsidRPr="00FD1145">
              <w:t>s</w:t>
            </w:r>
            <w:r w:rsidR="00164C21" w:rsidRPr="00FD1145">
              <w:t xml:space="preserve"> 1-2: 0.823; Cycle</w:t>
            </w:r>
            <w:r w:rsidR="002038EB" w:rsidRPr="00FD1145">
              <w:t>s</w:t>
            </w:r>
            <w:r w:rsidR="00164C21" w:rsidRPr="00FD1145">
              <w:t xml:space="preserve"> 3-4: 0.835; Cycle</w:t>
            </w:r>
            <w:r w:rsidR="002038EB" w:rsidRPr="00FD1145">
              <w:t>s</w:t>
            </w:r>
            <w:r w:rsidR="00164C21" w:rsidRPr="00FD1145">
              <w:t xml:space="preserve"> 5-6 0.859; Cycle 7+: </w:t>
            </w:r>
            <w:r w:rsidR="001D2143" w:rsidRPr="00FD1145">
              <w:t xml:space="preserve">0.872. </w:t>
            </w:r>
          </w:p>
          <w:p w14:paraId="4D6B8808" w14:textId="52E506F0" w:rsidR="002F6643" w:rsidRPr="00FD1145" w:rsidRDefault="002F6643" w:rsidP="00A126B7">
            <w:pPr>
              <w:pStyle w:val="TableText0"/>
              <w:numPr>
                <w:ilvl w:val="0"/>
                <w:numId w:val="15"/>
              </w:numPr>
              <w:ind w:left="168" w:hanging="168"/>
            </w:pPr>
            <w:r w:rsidRPr="00FD1145">
              <w:t xml:space="preserve">Based on placebo arm: PF: </w:t>
            </w:r>
            <w:r w:rsidR="00FF5B61" w:rsidRPr="00FD1145">
              <w:t>Cycle</w:t>
            </w:r>
            <w:r w:rsidR="002038EB" w:rsidRPr="00FD1145">
              <w:t>s</w:t>
            </w:r>
            <w:r w:rsidR="00FF5B61" w:rsidRPr="00FD1145">
              <w:t xml:space="preserve"> 1-2: 0.845; Cycle</w:t>
            </w:r>
            <w:r w:rsidR="002038EB" w:rsidRPr="00FD1145">
              <w:t>s</w:t>
            </w:r>
            <w:r w:rsidR="00FF5B61" w:rsidRPr="00FD1145">
              <w:t xml:space="preserve"> 3-4: 0.835; Cycle</w:t>
            </w:r>
            <w:r w:rsidR="002038EB" w:rsidRPr="00FD1145">
              <w:t>s</w:t>
            </w:r>
            <w:r w:rsidR="00FF5B61" w:rsidRPr="00FD1145">
              <w:t xml:space="preserve"> 5-6 0.808; Cycle 7+: 0.810</w:t>
            </w:r>
          </w:p>
        </w:tc>
        <w:tc>
          <w:tcPr>
            <w:tcW w:w="687" w:type="pct"/>
            <w:vAlign w:val="center"/>
          </w:tcPr>
          <w:p w14:paraId="12ABE6CC" w14:textId="77777777" w:rsidR="00C12917" w:rsidRPr="00FD1145" w:rsidRDefault="00C12917" w:rsidP="00155473">
            <w:pPr>
              <w:pStyle w:val="TableText0"/>
              <w:jc w:val="center"/>
            </w:pPr>
          </w:p>
          <w:p w14:paraId="79DAED16" w14:textId="314895FA" w:rsidR="00115AC2" w:rsidRPr="00FD1145" w:rsidRDefault="000C68EA" w:rsidP="00155473">
            <w:pPr>
              <w:pStyle w:val="TableText0"/>
              <w:jc w:val="center"/>
            </w:pPr>
            <w:r w:rsidRPr="00FD1145">
              <w:t>$</w:t>
            </w:r>
            <w:r w:rsidR="009B6432" w:rsidRPr="009B6432">
              <w:rPr>
                <w:highlight w:val="black"/>
              </w:rPr>
              <w:t>&amp;&amp;&amp;&amp;</w:t>
            </w:r>
          </w:p>
          <w:p w14:paraId="1DEFD54E" w14:textId="77777777" w:rsidR="00FF5B61" w:rsidRPr="00FD1145" w:rsidRDefault="00FF5B61" w:rsidP="00155473">
            <w:pPr>
              <w:pStyle w:val="TableText0"/>
              <w:jc w:val="center"/>
            </w:pPr>
          </w:p>
          <w:p w14:paraId="0361A0FB" w14:textId="77777777" w:rsidR="00C12917" w:rsidRPr="00FD1145" w:rsidRDefault="00C12917" w:rsidP="00155473">
            <w:pPr>
              <w:pStyle w:val="TableText0"/>
              <w:jc w:val="center"/>
            </w:pPr>
          </w:p>
          <w:p w14:paraId="314E8707" w14:textId="6784AF7A" w:rsidR="00FF5B61" w:rsidRPr="00FD1145" w:rsidRDefault="00CD7D03" w:rsidP="00CD7D03">
            <w:pPr>
              <w:pStyle w:val="TableText0"/>
              <w:jc w:val="center"/>
            </w:pPr>
            <w:r w:rsidRPr="00FD1145">
              <w:t>$</w:t>
            </w:r>
            <w:r w:rsidR="009B6432" w:rsidRPr="009B6432">
              <w:rPr>
                <w:highlight w:val="black"/>
              </w:rPr>
              <w:t>&amp;&amp;&amp;&amp;</w:t>
            </w:r>
          </w:p>
        </w:tc>
        <w:tc>
          <w:tcPr>
            <w:tcW w:w="754" w:type="pct"/>
            <w:vAlign w:val="center"/>
          </w:tcPr>
          <w:p w14:paraId="0E624204" w14:textId="77777777" w:rsidR="00C12917" w:rsidRPr="00FD1145" w:rsidRDefault="00C12917" w:rsidP="00155473">
            <w:pPr>
              <w:pStyle w:val="TableText0"/>
              <w:jc w:val="center"/>
            </w:pPr>
          </w:p>
          <w:p w14:paraId="4DFD8665" w14:textId="5ECA350E" w:rsidR="00115AC2" w:rsidRPr="00FD1145" w:rsidRDefault="000C68EA" w:rsidP="00155473">
            <w:pPr>
              <w:pStyle w:val="TableText0"/>
              <w:jc w:val="center"/>
            </w:pPr>
            <w:r w:rsidRPr="00FD1145">
              <w:t>0.43</w:t>
            </w:r>
          </w:p>
          <w:p w14:paraId="7EA18CBB" w14:textId="77777777" w:rsidR="00FF5B61" w:rsidRPr="00FD1145" w:rsidRDefault="00FF5B61" w:rsidP="00155473">
            <w:pPr>
              <w:pStyle w:val="TableText0"/>
              <w:jc w:val="center"/>
            </w:pPr>
          </w:p>
          <w:p w14:paraId="55061AF0" w14:textId="77777777" w:rsidR="00C12917" w:rsidRPr="00FD1145" w:rsidRDefault="00C12917" w:rsidP="00155473">
            <w:pPr>
              <w:pStyle w:val="TableText0"/>
              <w:jc w:val="center"/>
            </w:pPr>
          </w:p>
          <w:p w14:paraId="2C9EF581" w14:textId="3C317DE6" w:rsidR="00FF5B61" w:rsidRPr="00FD1145" w:rsidRDefault="00CD7D03" w:rsidP="00155473">
            <w:pPr>
              <w:pStyle w:val="TableText0"/>
              <w:jc w:val="center"/>
            </w:pPr>
            <w:r w:rsidRPr="00FD1145">
              <w:t>0.41</w:t>
            </w:r>
          </w:p>
        </w:tc>
        <w:tc>
          <w:tcPr>
            <w:tcW w:w="590" w:type="pct"/>
            <w:vAlign w:val="center"/>
          </w:tcPr>
          <w:p w14:paraId="16F8C795" w14:textId="77777777" w:rsidR="00C12917" w:rsidRPr="00FD1145" w:rsidRDefault="00C12917" w:rsidP="00155473">
            <w:pPr>
              <w:pStyle w:val="TableText0"/>
              <w:jc w:val="center"/>
            </w:pPr>
          </w:p>
          <w:p w14:paraId="5766C608" w14:textId="66A2BFF4" w:rsidR="00115AC2" w:rsidRPr="00FD1145" w:rsidRDefault="006958C4" w:rsidP="00155473">
            <w:pPr>
              <w:pStyle w:val="TableText0"/>
              <w:jc w:val="center"/>
            </w:pPr>
            <w:r w:rsidRPr="00FD1145">
              <w:t>$</w:t>
            </w:r>
            <w:r w:rsidR="009B6432" w:rsidRPr="009B6432">
              <w:rPr>
                <w:highlight w:val="black"/>
              </w:rPr>
              <w:t>&amp;&amp;&amp;&amp;</w:t>
            </w:r>
            <w:r w:rsidR="006C4911">
              <w:rPr>
                <w:vertAlign w:val="superscript"/>
              </w:rPr>
              <w:t>2</w:t>
            </w:r>
          </w:p>
          <w:p w14:paraId="42F334A1" w14:textId="77777777" w:rsidR="00FF5B61" w:rsidRPr="00FD1145" w:rsidRDefault="00FF5B61" w:rsidP="00155473">
            <w:pPr>
              <w:pStyle w:val="TableText0"/>
              <w:jc w:val="center"/>
            </w:pPr>
          </w:p>
          <w:p w14:paraId="22AE11DA" w14:textId="77777777" w:rsidR="00C12917" w:rsidRPr="00FD1145" w:rsidRDefault="00C12917" w:rsidP="00155473">
            <w:pPr>
              <w:pStyle w:val="TableText0"/>
              <w:jc w:val="center"/>
            </w:pPr>
          </w:p>
          <w:p w14:paraId="693D2729" w14:textId="142E8498" w:rsidR="00FF5B61" w:rsidRPr="00FD1145" w:rsidRDefault="00CD7D03" w:rsidP="00155473">
            <w:pPr>
              <w:pStyle w:val="TableText0"/>
              <w:jc w:val="center"/>
            </w:pPr>
            <w:r w:rsidRPr="00FD1145">
              <w:t>$</w:t>
            </w:r>
            <w:r w:rsidR="009B6432" w:rsidRPr="009B6432">
              <w:rPr>
                <w:highlight w:val="black"/>
              </w:rPr>
              <w:t>&amp;&amp;&amp;&amp;</w:t>
            </w:r>
            <w:r w:rsidR="006C4911">
              <w:rPr>
                <w:vertAlign w:val="superscript"/>
              </w:rPr>
              <w:t>1</w:t>
            </w:r>
          </w:p>
        </w:tc>
        <w:tc>
          <w:tcPr>
            <w:tcW w:w="758" w:type="pct"/>
          </w:tcPr>
          <w:p w14:paraId="448DB04F" w14:textId="77777777" w:rsidR="00115AC2" w:rsidRPr="00FD1145" w:rsidRDefault="00115AC2" w:rsidP="00155473">
            <w:pPr>
              <w:pStyle w:val="TableText0"/>
              <w:jc w:val="center"/>
            </w:pPr>
          </w:p>
          <w:p w14:paraId="56FD8F6A" w14:textId="77777777" w:rsidR="002038EB" w:rsidRPr="00FD1145" w:rsidRDefault="002038EB" w:rsidP="00155473">
            <w:pPr>
              <w:pStyle w:val="TableText0"/>
              <w:jc w:val="center"/>
            </w:pPr>
          </w:p>
          <w:p w14:paraId="5183191E" w14:textId="77777777" w:rsidR="00C12917" w:rsidRPr="00FD1145" w:rsidRDefault="00C12917" w:rsidP="00155473">
            <w:pPr>
              <w:pStyle w:val="TableText0"/>
              <w:jc w:val="center"/>
            </w:pPr>
          </w:p>
          <w:p w14:paraId="5AE7459F" w14:textId="680C29BB" w:rsidR="002E33EC" w:rsidRPr="00FD1145" w:rsidRDefault="009B6432" w:rsidP="00155473">
            <w:pPr>
              <w:pStyle w:val="TableText0"/>
              <w:jc w:val="center"/>
            </w:pPr>
            <w:r w:rsidRPr="009B6432">
              <w:rPr>
                <w:highlight w:val="black"/>
              </w:rPr>
              <w:t>&amp;&amp;&amp;&amp;</w:t>
            </w:r>
            <w:r w:rsidR="005A0B3B" w:rsidRPr="00FD1145">
              <w:t>%</w:t>
            </w:r>
          </w:p>
          <w:p w14:paraId="788A3EFB" w14:textId="77777777" w:rsidR="002E33EC" w:rsidRPr="00FD1145" w:rsidRDefault="002E33EC" w:rsidP="00155473">
            <w:pPr>
              <w:pStyle w:val="TableText0"/>
              <w:jc w:val="center"/>
            </w:pPr>
          </w:p>
          <w:p w14:paraId="5625100A" w14:textId="77777777" w:rsidR="00C12917" w:rsidRPr="00FD1145" w:rsidRDefault="00C12917" w:rsidP="00155473">
            <w:pPr>
              <w:pStyle w:val="TableText0"/>
              <w:jc w:val="center"/>
            </w:pPr>
          </w:p>
          <w:p w14:paraId="6A142CCE" w14:textId="4DF725B4" w:rsidR="002E33EC" w:rsidRPr="00FD1145" w:rsidRDefault="009B6432" w:rsidP="00155473">
            <w:pPr>
              <w:pStyle w:val="TableText0"/>
              <w:jc w:val="center"/>
            </w:pPr>
            <w:r w:rsidRPr="009B6432">
              <w:rPr>
                <w:highlight w:val="black"/>
              </w:rPr>
              <w:t>&amp;&amp;&amp;&amp;</w:t>
            </w:r>
            <w:r w:rsidR="002E33EC" w:rsidRPr="00FD1145">
              <w:t>%</w:t>
            </w:r>
          </w:p>
        </w:tc>
      </w:tr>
      <w:tr w:rsidR="00F84089" w:rsidRPr="00FD1145" w14:paraId="0843D457" w14:textId="77777777" w:rsidTr="00A23B4B">
        <w:tc>
          <w:tcPr>
            <w:tcW w:w="4242" w:type="pct"/>
            <w:gridSpan w:val="4"/>
          </w:tcPr>
          <w:p w14:paraId="722E5728" w14:textId="77777777" w:rsidR="00F84089" w:rsidRPr="00FD1145" w:rsidRDefault="00F84089" w:rsidP="008B1086">
            <w:pPr>
              <w:pStyle w:val="TableText0"/>
              <w:rPr>
                <w:b/>
                <w:lang w:val="en-US"/>
              </w:rPr>
            </w:pPr>
            <w:r w:rsidRPr="00FD1145">
              <w:rPr>
                <w:b/>
                <w:lang w:val="en-US"/>
              </w:rPr>
              <w:t>Multivariate analyses</w:t>
            </w:r>
          </w:p>
        </w:tc>
        <w:tc>
          <w:tcPr>
            <w:tcW w:w="758" w:type="pct"/>
          </w:tcPr>
          <w:p w14:paraId="76D298FB" w14:textId="77777777" w:rsidR="00F84089" w:rsidRPr="00FD1145" w:rsidRDefault="00F84089" w:rsidP="008B1086">
            <w:pPr>
              <w:pStyle w:val="TableText0"/>
              <w:rPr>
                <w:lang w:val="en-US"/>
              </w:rPr>
            </w:pPr>
          </w:p>
        </w:tc>
      </w:tr>
      <w:tr w:rsidR="00F84089" w:rsidRPr="00FD1145" w14:paraId="29203CE0" w14:textId="77777777" w:rsidTr="00A23B4B">
        <w:tc>
          <w:tcPr>
            <w:tcW w:w="2212" w:type="pct"/>
          </w:tcPr>
          <w:p w14:paraId="2D35CA86" w14:textId="77777777" w:rsidR="00F84089" w:rsidRPr="00FD1145" w:rsidRDefault="00F84089" w:rsidP="008B1086">
            <w:pPr>
              <w:pStyle w:val="TableText0"/>
            </w:pPr>
            <w:r w:rsidRPr="00FD1145">
              <w:t>7.5-year horizon + TTD log-logistic (tucatinib arm)</w:t>
            </w:r>
          </w:p>
          <w:p w14:paraId="74B4D90C" w14:textId="77777777" w:rsidR="005A0B3B" w:rsidRPr="00FD1145" w:rsidRDefault="005A0B3B" w:rsidP="008B1086">
            <w:pPr>
              <w:pStyle w:val="TableText0"/>
            </w:pPr>
          </w:p>
          <w:p w14:paraId="03A74402" w14:textId="77777777" w:rsidR="00F84089" w:rsidRPr="00FD1145" w:rsidRDefault="00F84089" w:rsidP="008B1086">
            <w:pPr>
              <w:pStyle w:val="TableText0"/>
            </w:pPr>
            <w:r w:rsidRPr="00FD1145">
              <w:t>As above + treatment-independent utilities (Lloyd et al., 2006)</w:t>
            </w:r>
          </w:p>
        </w:tc>
        <w:tc>
          <w:tcPr>
            <w:tcW w:w="687" w:type="pct"/>
          </w:tcPr>
          <w:p w14:paraId="42E8C596" w14:textId="2AD79620" w:rsidR="00F84089" w:rsidRPr="00FD1145" w:rsidRDefault="00F84089" w:rsidP="00155473">
            <w:pPr>
              <w:pStyle w:val="TableText0"/>
              <w:jc w:val="center"/>
            </w:pPr>
            <w:r w:rsidRPr="00FD1145">
              <w:t>$</w:t>
            </w:r>
            <w:r w:rsidR="009B6432" w:rsidRPr="009B6432">
              <w:rPr>
                <w:highlight w:val="black"/>
              </w:rPr>
              <w:t>&amp;&amp;&amp;&amp;</w:t>
            </w:r>
          </w:p>
          <w:p w14:paraId="129A88AB" w14:textId="77777777" w:rsidR="005A0B3B" w:rsidRPr="00FD1145" w:rsidRDefault="005A0B3B" w:rsidP="00155473">
            <w:pPr>
              <w:pStyle w:val="TableText0"/>
              <w:jc w:val="center"/>
            </w:pPr>
          </w:p>
          <w:p w14:paraId="76F0E28E" w14:textId="415C93B4" w:rsidR="00F84089" w:rsidRPr="00FD1145" w:rsidRDefault="00F84089" w:rsidP="00155473">
            <w:pPr>
              <w:pStyle w:val="TableText0"/>
              <w:jc w:val="center"/>
            </w:pPr>
            <w:r w:rsidRPr="00FD1145">
              <w:t>$</w:t>
            </w:r>
            <w:r w:rsidR="009B6432" w:rsidRPr="009B6432">
              <w:rPr>
                <w:highlight w:val="black"/>
              </w:rPr>
              <w:t>&amp;&amp;&amp;&amp;</w:t>
            </w:r>
          </w:p>
        </w:tc>
        <w:tc>
          <w:tcPr>
            <w:tcW w:w="754" w:type="pct"/>
          </w:tcPr>
          <w:p w14:paraId="12306457" w14:textId="77777777" w:rsidR="00F84089" w:rsidRPr="00FD1145" w:rsidRDefault="00F84089" w:rsidP="00155473">
            <w:pPr>
              <w:pStyle w:val="TableText0"/>
              <w:jc w:val="center"/>
            </w:pPr>
            <w:r w:rsidRPr="00FD1145">
              <w:t>0.43</w:t>
            </w:r>
          </w:p>
          <w:p w14:paraId="266D5974" w14:textId="77777777" w:rsidR="005A0B3B" w:rsidRPr="00FD1145" w:rsidRDefault="005A0B3B" w:rsidP="00155473">
            <w:pPr>
              <w:pStyle w:val="TableText0"/>
              <w:jc w:val="center"/>
            </w:pPr>
          </w:p>
          <w:p w14:paraId="65860FBB" w14:textId="77777777" w:rsidR="00F84089" w:rsidRPr="00FD1145" w:rsidRDefault="00F84089" w:rsidP="00155473">
            <w:pPr>
              <w:pStyle w:val="TableText0"/>
              <w:jc w:val="center"/>
            </w:pPr>
            <w:r w:rsidRPr="00FD1145">
              <w:t>0.34</w:t>
            </w:r>
          </w:p>
        </w:tc>
        <w:tc>
          <w:tcPr>
            <w:tcW w:w="590" w:type="pct"/>
          </w:tcPr>
          <w:p w14:paraId="631666A0" w14:textId="37389093" w:rsidR="00F84089" w:rsidRPr="00FD1145" w:rsidRDefault="00F84089" w:rsidP="00155473">
            <w:pPr>
              <w:pStyle w:val="TableText0"/>
              <w:jc w:val="center"/>
            </w:pPr>
            <w:r w:rsidRPr="00FD1145">
              <w:t>$</w:t>
            </w:r>
            <w:r w:rsidR="009B6432" w:rsidRPr="009B6432">
              <w:rPr>
                <w:highlight w:val="black"/>
              </w:rPr>
              <w:t>&amp;&amp;&amp;&amp;</w:t>
            </w:r>
            <w:r w:rsidR="00F5029D">
              <w:rPr>
                <w:vertAlign w:val="superscript"/>
              </w:rPr>
              <w:t>3</w:t>
            </w:r>
          </w:p>
          <w:p w14:paraId="2C399C28" w14:textId="77777777" w:rsidR="005A0B3B" w:rsidRPr="00FD1145" w:rsidRDefault="005A0B3B" w:rsidP="00155473">
            <w:pPr>
              <w:pStyle w:val="TableText0"/>
              <w:jc w:val="center"/>
            </w:pPr>
          </w:p>
          <w:p w14:paraId="6D6C0554" w14:textId="30D87518" w:rsidR="00F84089" w:rsidRPr="00FD1145" w:rsidRDefault="00F84089" w:rsidP="00155473">
            <w:pPr>
              <w:pStyle w:val="TableText0"/>
              <w:jc w:val="center"/>
            </w:pPr>
            <w:r w:rsidRPr="00FD1145">
              <w:t>$</w:t>
            </w:r>
            <w:r w:rsidR="009B6432" w:rsidRPr="009B6432">
              <w:rPr>
                <w:highlight w:val="black"/>
              </w:rPr>
              <w:t>&amp;&amp;&amp;&amp;</w:t>
            </w:r>
            <w:r w:rsidR="00F5029D">
              <w:rPr>
                <w:vertAlign w:val="superscript"/>
              </w:rPr>
              <w:t>4</w:t>
            </w:r>
          </w:p>
        </w:tc>
        <w:tc>
          <w:tcPr>
            <w:tcW w:w="758" w:type="pct"/>
          </w:tcPr>
          <w:p w14:paraId="6415555C" w14:textId="539ECF28" w:rsidR="00F84089" w:rsidRPr="00FD1145" w:rsidRDefault="009B6432" w:rsidP="00155473">
            <w:pPr>
              <w:pStyle w:val="TableText0"/>
              <w:jc w:val="center"/>
            </w:pPr>
            <w:r w:rsidRPr="009B6432">
              <w:rPr>
                <w:highlight w:val="black"/>
              </w:rPr>
              <w:t>&amp;&amp;&amp;&amp;</w:t>
            </w:r>
            <w:r w:rsidR="00F84089" w:rsidRPr="00FD1145">
              <w:t>%</w:t>
            </w:r>
          </w:p>
          <w:p w14:paraId="65BDE787" w14:textId="77777777" w:rsidR="005A0B3B" w:rsidRPr="00FD1145" w:rsidRDefault="005A0B3B" w:rsidP="00155473">
            <w:pPr>
              <w:pStyle w:val="TableText0"/>
              <w:jc w:val="center"/>
            </w:pPr>
          </w:p>
          <w:p w14:paraId="21788F5A" w14:textId="14FA0803" w:rsidR="00F84089" w:rsidRPr="00FD1145" w:rsidRDefault="009B6432" w:rsidP="00155473">
            <w:pPr>
              <w:pStyle w:val="TableText0"/>
              <w:jc w:val="center"/>
            </w:pPr>
            <w:r w:rsidRPr="009B6432">
              <w:rPr>
                <w:highlight w:val="black"/>
              </w:rPr>
              <w:t>&amp;&amp;&amp;&amp;</w:t>
            </w:r>
            <w:r w:rsidR="00F84089" w:rsidRPr="00FD1145">
              <w:t>%</w:t>
            </w:r>
          </w:p>
        </w:tc>
      </w:tr>
    </w:tbl>
    <w:p w14:paraId="54CC144C" w14:textId="77777777" w:rsidR="00F84089" w:rsidRPr="00FD1145" w:rsidRDefault="00F84089" w:rsidP="00F84089">
      <w:pPr>
        <w:pStyle w:val="TableFigureFooter"/>
      </w:pPr>
      <w:r w:rsidRPr="00FD1145">
        <w:t xml:space="preserve">Source: Table 3.13.2 of the resubmission and developed during the evaluation. </w:t>
      </w:r>
    </w:p>
    <w:p w14:paraId="7930BD23" w14:textId="58606EE6" w:rsidR="004306B8" w:rsidRDefault="00F84089" w:rsidP="00F84089">
      <w:pPr>
        <w:pStyle w:val="TableFigureFooter"/>
        <w:rPr>
          <w:i/>
          <w:iCs/>
        </w:rPr>
      </w:pPr>
      <w:r w:rsidRPr="00FD1145">
        <w:t xml:space="preserve">Abbreviations: QALY, quality-adjusted life year; ICER, incremental cost-effectiveness ratio; OS, overall survival; PFS, progression-free survival; TTD, time-to-treatment discontinuation; PD, progressive disease; EQ-5D, EuroQol five-dimension questionnaire; K-M, Kaplan–Meier; Tuc, tucatinib; Tras, trastuzumab; Cap, capecitabine. </w:t>
      </w:r>
      <w:r w:rsidR="004306B8">
        <w:br/>
      </w:r>
      <w:r w:rsidR="004306B8">
        <w:rPr>
          <w:i/>
          <w:iCs/>
        </w:rPr>
        <w:t>The redacted values correspond to the following ranges:</w:t>
      </w:r>
      <w:r w:rsidR="004306B8">
        <w:rPr>
          <w:i/>
          <w:iCs/>
        </w:rPr>
        <w:br/>
      </w:r>
      <w:r w:rsidR="004306B8">
        <w:rPr>
          <w:i/>
          <w:iCs/>
          <w:vertAlign w:val="superscript"/>
        </w:rPr>
        <w:t>1</w:t>
      </w:r>
      <w:r w:rsidR="004306B8">
        <w:rPr>
          <w:i/>
          <w:iCs/>
        </w:rPr>
        <w:t xml:space="preserve"> $75,000 to &lt; $95,000</w:t>
      </w:r>
      <w:r w:rsidR="004306B8">
        <w:rPr>
          <w:i/>
          <w:iCs/>
        </w:rPr>
        <w:br/>
      </w:r>
      <w:r w:rsidR="004306B8">
        <w:rPr>
          <w:i/>
          <w:iCs/>
          <w:vertAlign w:val="superscript"/>
        </w:rPr>
        <w:t>2</w:t>
      </w:r>
      <w:r w:rsidR="004306B8">
        <w:rPr>
          <w:i/>
          <w:iCs/>
        </w:rPr>
        <w:t xml:space="preserve"> $55,000 to &lt; $75,000</w:t>
      </w:r>
    </w:p>
    <w:p w14:paraId="785EFE31" w14:textId="77777777" w:rsidR="00F5029D" w:rsidRDefault="004306B8" w:rsidP="00F84089">
      <w:pPr>
        <w:pStyle w:val="TableFigureFooter"/>
        <w:rPr>
          <w:i/>
          <w:iCs/>
        </w:rPr>
      </w:pPr>
      <w:r>
        <w:rPr>
          <w:i/>
          <w:iCs/>
          <w:vertAlign w:val="superscript"/>
        </w:rPr>
        <w:t>3</w:t>
      </w:r>
      <w:r>
        <w:rPr>
          <w:i/>
          <w:iCs/>
        </w:rPr>
        <w:t xml:space="preserve"> $95,000 to &lt; $155,000</w:t>
      </w:r>
    </w:p>
    <w:p w14:paraId="343386EB" w14:textId="7A05DADE" w:rsidR="00F84089" w:rsidRPr="004306B8" w:rsidRDefault="00F5029D" w:rsidP="00F84089">
      <w:pPr>
        <w:pStyle w:val="TableFigureFooter"/>
        <w:rPr>
          <w:i/>
          <w:iCs/>
        </w:rPr>
      </w:pPr>
      <w:r>
        <w:rPr>
          <w:i/>
          <w:iCs/>
          <w:vertAlign w:val="superscript"/>
        </w:rPr>
        <w:t>4</w:t>
      </w:r>
      <w:r>
        <w:rPr>
          <w:i/>
          <w:iCs/>
        </w:rPr>
        <w:t xml:space="preserve"> $115,000 to &lt; $135,000</w:t>
      </w:r>
      <w:r w:rsidR="004306B8">
        <w:rPr>
          <w:i/>
          <w:iCs/>
        </w:rPr>
        <w:br/>
      </w:r>
    </w:p>
    <w:p w14:paraId="75E31BB6" w14:textId="3799AFB1" w:rsidR="000775C8" w:rsidRPr="00FD1145" w:rsidRDefault="000775C8" w:rsidP="000775C8">
      <w:pPr>
        <w:pStyle w:val="3-BodyText"/>
      </w:pPr>
      <w:bookmarkStart w:id="75" w:name="_Ref210999512"/>
      <w:r w:rsidRPr="00FD1145">
        <w:t>The ESC considered th</w:t>
      </w:r>
      <w:r w:rsidR="00054205" w:rsidRPr="00FD1145">
        <w:t>e following multivariate sensitivity analysis was informative</w:t>
      </w:r>
      <w:r w:rsidR="00984674" w:rsidRPr="00FD1145">
        <w:t xml:space="preserve"> and may represent a revised base case</w:t>
      </w:r>
      <w:r w:rsidR="00054205" w:rsidRPr="00FD1145">
        <w:t>:</w:t>
      </w:r>
      <w:bookmarkEnd w:id="75"/>
    </w:p>
    <w:p w14:paraId="457D00D2" w14:textId="204DCC59" w:rsidR="00054205" w:rsidRPr="00FD1145" w:rsidRDefault="00054205" w:rsidP="005A71A9">
      <w:pPr>
        <w:pStyle w:val="ListParagraph"/>
        <w:ind w:left="1134"/>
      </w:pPr>
      <w:r w:rsidRPr="00FD1145">
        <w:t>7.5 year time horizon;</w:t>
      </w:r>
    </w:p>
    <w:p w14:paraId="4F5C5D25" w14:textId="7863E63F" w:rsidR="00054205" w:rsidRPr="00FD1145" w:rsidRDefault="00D81A08" w:rsidP="005A71A9">
      <w:pPr>
        <w:pStyle w:val="ListParagraph"/>
        <w:ind w:left="1134"/>
      </w:pPr>
      <w:r w:rsidRPr="00FD1145">
        <w:t>extrapolation</w:t>
      </w:r>
      <w:r w:rsidR="00626F4F" w:rsidRPr="00FD1145">
        <w:t xml:space="preserve"> of the </w:t>
      </w:r>
      <w:r w:rsidRPr="00FD1145">
        <w:t>TTD</w:t>
      </w:r>
      <w:r w:rsidR="00626F4F" w:rsidRPr="00FD1145">
        <w:t xml:space="preserve"> curve using the log-logistic function </w:t>
      </w:r>
      <w:r w:rsidR="00976BC6" w:rsidRPr="00FD1145">
        <w:t>(</w:t>
      </w:r>
      <w:r w:rsidR="00626F4F" w:rsidRPr="00FD1145">
        <w:t>tucatinib arm</w:t>
      </w:r>
      <w:r w:rsidR="00976BC6" w:rsidRPr="00FD1145">
        <w:t>)</w:t>
      </w:r>
      <w:r w:rsidR="00626F4F" w:rsidRPr="00FD1145">
        <w:t xml:space="preserve">; </w:t>
      </w:r>
      <w:r w:rsidR="005A71A9" w:rsidRPr="00FD1145">
        <w:t>and</w:t>
      </w:r>
    </w:p>
    <w:p w14:paraId="598037D7" w14:textId="0A2CF0C1" w:rsidR="005A71A9" w:rsidRPr="00FD1145" w:rsidRDefault="00D81A08" w:rsidP="005A71A9">
      <w:pPr>
        <w:pStyle w:val="ListParagraph"/>
        <w:ind w:left="1134"/>
      </w:pPr>
      <w:r w:rsidRPr="00FD1145">
        <w:t xml:space="preserve">utilities from </w:t>
      </w:r>
      <w:r w:rsidR="005A71A9" w:rsidRPr="00FD1145">
        <w:t>Lloyd et al, 2006.</w:t>
      </w:r>
    </w:p>
    <w:p w14:paraId="088C0AEC" w14:textId="1D683EB2" w:rsidR="005A71A9" w:rsidRPr="00FD1145" w:rsidRDefault="005A71A9" w:rsidP="005A71A9">
      <w:pPr>
        <w:ind w:left="774"/>
      </w:pPr>
      <w:r w:rsidRPr="00FD1145">
        <w:lastRenderedPageBreak/>
        <w:t>The ESC noted this resulted in an ICER of $</w:t>
      </w:r>
      <w:r w:rsidR="00F5029D">
        <w:t>115,000 to &lt; $135,000</w:t>
      </w:r>
      <w:r w:rsidR="00AD773E">
        <w:t xml:space="preserve"> </w:t>
      </w:r>
      <w:r w:rsidRPr="00FD1145">
        <w:t>per QALY.</w:t>
      </w:r>
      <w:r w:rsidR="00D25C7D">
        <w:t xml:space="preserve"> However, the PBAC considered that the </w:t>
      </w:r>
      <w:r w:rsidR="00D25C7D" w:rsidRPr="00D25C7D">
        <w:t>resubmission’s base case CUA versus trastuzumab plus capecitabine, which resulted in an ICER of $</w:t>
      </w:r>
      <w:r w:rsidR="00F5029D">
        <w:t>75,000 to &lt; $95,000</w:t>
      </w:r>
      <w:r w:rsidR="00AD773E">
        <w:t xml:space="preserve"> per </w:t>
      </w:r>
      <w:r w:rsidR="00D25C7D" w:rsidRPr="00D25C7D">
        <w:t>QALY, was reasonable at the CUA component price proposed in the resubmission</w:t>
      </w:r>
      <w:r w:rsidR="002749A6">
        <w:t xml:space="preserve">, particularly </w:t>
      </w:r>
      <w:r w:rsidR="00835987">
        <w:t>given that a</w:t>
      </w:r>
      <w:r w:rsidR="002749A6">
        <w:t xml:space="preserve"> high proportion of tucatinib </w:t>
      </w:r>
      <w:r w:rsidR="00A971FC">
        <w:t xml:space="preserve">use </w:t>
      </w:r>
      <w:r w:rsidR="002749A6">
        <w:t xml:space="preserve">will </w:t>
      </w:r>
      <w:r w:rsidR="00A971FC">
        <w:t>be in patients with</w:t>
      </w:r>
      <w:r w:rsidR="002749A6">
        <w:t xml:space="preserve"> brain metastases</w:t>
      </w:r>
      <w:r w:rsidR="00D25C7D">
        <w:t xml:space="preserve"> (refer to Section 7)</w:t>
      </w:r>
      <w:r w:rsidR="00D25C7D" w:rsidRPr="00D25C7D">
        <w:t>.</w:t>
      </w:r>
    </w:p>
    <w:p w14:paraId="68647BC1" w14:textId="7CA36668" w:rsidR="00B11F5E" w:rsidRPr="00FD1145" w:rsidRDefault="00B11F5E" w:rsidP="00B10057">
      <w:pPr>
        <w:pStyle w:val="3-BodyText"/>
        <w:keepNext/>
        <w:keepLines/>
        <w:numPr>
          <w:ilvl w:val="0"/>
          <w:numId w:val="0"/>
        </w:numPr>
        <w:ind w:left="720" w:hanging="720"/>
        <w:outlineLvl w:val="2"/>
        <w:rPr>
          <w:rFonts w:eastAsiaTheme="majorEastAsia" w:cstheme="majorBidi"/>
          <w:b/>
          <w:i/>
          <w:iCs/>
          <w:color w:val="000000" w:themeColor="text1"/>
          <w:szCs w:val="24"/>
          <w:lang w:eastAsia="en-US"/>
        </w:rPr>
      </w:pPr>
      <w:r w:rsidRPr="00FD1145">
        <w:rPr>
          <w:rFonts w:eastAsiaTheme="majorEastAsia" w:cstheme="majorBidi"/>
          <w:b/>
          <w:i/>
          <w:iCs/>
          <w:color w:val="000000" w:themeColor="text1"/>
          <w:szCs w:val="24"/>
          <w:lang w:eastAsia="en-US"/>
        </w:rPr>
        <w:t>Cost-minimisation approach versus T-DM1</w:t>
      </w:r>
    </w:p>
    <w:p w14:paraId="46C0A640" w14:textId="77777777" w:rsidR="006A7D25" w:rsidRPr="006A7D25" w:rsidRDefault="006A7D25" w:rsidP="006A7D25">
      <w:pPr>
        <w:pStyle w:val="3-BodyText"/>
      </w:pPr>
      <w:r w:rsidRPr="006A7D25">
        <w:t xml:space="preserve">The PBAC considered that the claim versus T-DM1 (i.e. non-inferior effectiveness and a different but manageable/tolerable safety profile) was not relevant as the Committee did not accept that T-DM1 was a relevant comparator. Thus, the PBAC considered that the CMA versus T-DM1 was not relevant. </w:t>
      </w:r>
    </w:p>
    <w:p w14:paraId="00E10124" w14:textId="69C503A4" w:rsidR="006B1BFD" w:rsidRPr="00FD1145" w:rsidRDefault="006B1BFD" w:rsidP="004014CE">
      <w:pPr>
        <w:pStyle w:val="TableFigureFooter"/>
        <w:outlineLvl w:val="2"/>
        <w:rPr>
          <w:rFonts w:asciiTheme="minorHAnsi" w:eastAsiaTheme="majorEastAsia" w:hAnsiTheme="minorHAnsi" w:cstheme="majorBidi"/>
          <w:b/>
          <w:i/>
          <w:iCs/>
          <w:snapToGrid/>
          <w:color w:val="000000" w:themeColor="text1"/>
          <w:sz w:val="24"/>
          <w:szCs w:val="24"/>
          <w:lang w:eastAsia="en-US"/>
        </w:rPr>
      </w:pPr>
      <w:r w:rsidRPr="00FD1145">
        <w:rPr>
          <w:rFonts w:asciiTheme="minorHAnsi" w:eastAsiaTheme="majorEastAsia" w:hAnsiTheme="minorHAnsi" w:cstheme="majorBidi"/>
          <w:b/>
          <w:i/>
          <w:iCs/>
          <w:snapToGrid/>
          <w:color w:val="000000" w:themeColor="text1"/>
          <w:sz w:val="24"/>
          <w:szCs w:val="24"/>
          <w:lang w:eastAsia="en-US"/>
        </w:rPr>
        <w:t>Weighted price</w:t>
      </w:r>
    </w:p>
    <w:p w14:paraId="47B76AF9" w14:textId="5EDF474C" w:rsidR="006B1BFD" w:rsidRPr="00FD1145" w:rsidRDefault="00765FE9" w:rsidP="00554A09">
      <w:pPr>
        <w:pStyle w:val="3-BodyText"/>
      </w:pPr>
      <w:r w:rsidRPr="00765FE9">
        <w:t xml:space="preserve">The PBAC considered that T-DM1 was </w:t>
      </w:r>
      <w:r w:rsidR="00C445CA">
        <w:t xml:space="preserve">not </w:t>
      </w:r>
      <w:r w:rsidRPr="00765FE9">
        <w:t xml:space="preserve">a relevant </w:t>
      </w:r>
      <w:r w:rsidR="00FA52EA">
        <w:t>comparator</w:t>
      </w:r>
      <w:r w:rsidR="00C445CA">
        <w:t>, and thus the Committee considered that the</w:t>
      </w:r>
      <w:r w:rsidR="00FA52EA">
        <w:t xml:space="preserve"> weighted price was not relevant. </w:t>
      </w:r>
    </w:p>
    <w:p w14:paraId="65432A04" w14:textId="6651356A" w:rsidR="00F84089" w:rsidRPr="00FD1145" w:rsidRDefault="00722067" w:rsidP="00230B9C">
      <w:pPr>
        <w:pStyle w:val="4-SubsectionHeading"/>
      </w:pPr>
      <w:bookmarkStart w:id="76" w:name="_Toc208931312"/>
      <w:r w:rsidRPr="00FD1145">
        <w:lastRenderedPageBreak/>
        <w:t>Tucatinib</w:t>
      </w:r>
      <w:r w:rsidR="00F84089" w:rsidRPr="00FD1145">
        <w:t xml:space="preserve"> cost/patient/course</w:t>
      </w:r>
      <w:bookmarkEnd w:id="76"/>
    </w:p>
    <w:p w14:paraId="0F770E9F" w14:textId="1A64BCE3" w:rsidR="0093618F" w:rsidRPr="00FD1145" w:rsidRDefault="00580B9A" w:rsidP="00580B9A">
      <w:pPr>
        <w:pStyle w:val="Caption"/>
        <w:rPr>
          <w:rStyle w:val="CommentReference"/>
          <w:b/>
          <w:szCs w:val="24"/>
        </w:rPr>
      </w:pPr>
      <w:r w:rsidRPr="00FD1145">
        <w:t xml:space="preserve">Table </w:t>
      </w:r>
      <w:r w:rsidR="006B7CCD">
        <w:fldChar w:fldCharType="begin"/>
      </w:r>
      <w:r w:rsidR="006B7CCD">
        <w:instrText xml:space="preserve"> SEQ Table \* ARABIC </w:instrText>
      </w:r>
      <w:r w:rsidR="006B7CCD">
        <w:fldChar w:fldCharType="separate"/>
      </w:r>
      <w:r w:rsidR="009B3037">
        <w:rPr>
          <w:noProof/>
        </w:rPr>
        <w:t>18</w:t>
      </w:r>
      <w:r w:rsidR="006B7CCD">
        <w:rPr>
          <w:noProof/>
        </w:rPr>
        <w:fldChar w:fldCharType="end"/>
      </w:r>
      <w:r w:rsidR="0093618F" w:rsidRPr="00FD1145">
        <w:t xml:space="preserve">: </w:t>
      </w:r>
      <w:r w:rsidR="0093618F" w:rsidRPr="00FD1145">
        <w:rPr>
          <w:rStyle w:val="CommentReference"/>
          <w:b/>
          <w:szCs w:val="24"/>
        </w:rPr>
        <w:t>Drug cost per patient for proposed and comparator drugs</w:t>
      </w:r>
    </w:p>
    <w:tbl>
      <w:tblPr>
        <w:tblStyle w:val="TableGrid"/>
        <w:tblW w:w="0" w:type="auto"/>
        <w:tblLook w:val="04A0" w:firstRow="1" w:lastRow="0" w:firstColumn="1" w:lastColumn="0" w:noHBand="0" w:noVBand="1"/>
        <w:tblCaption w:val="Drug cost per patient for proposed and comparator drugs"/>
      </w:tblPr>
      <w:tblGrid>
        <w:gridCol w:w="810"/>
        <w:gridCol w:w="1145"/>
        <w:gridCol w:w="1065"/>
        <w:gridCol w:w="1036"/>
        <w:gridCol w:w="872"/>
        <w:gridCol w:w="690"/>
        <w:gridCol w:w="671"/>
        <w:gridCol w:w="872"/>
        <w:gridCol w:w="882"/>
        <w:gridCol w:w="973"/>
      </w:tblGrid>
      <w:tr w:rsidR="00F02951" w:rsidRPr="00FD1145" w14:paraId="2BBE36AE" w14:textId="77777777" w:rsidTr="000A14B0">
        <w:tc>
          <w:tcPr>
            <w:tcW w:w="0" w:type="auto"/>
            <w:vMerge w:val="restart"/>
            <w:vAlign w:val="center"/>
          </w:tcPr>
          <w:p w14:paraId="2E0F48E2" w14:textId="77777777" w:rsidR="00B7472F" w:rsidRPr="00FD1145" w:rsidRDefault="00B7472F" w:rsidP="00551CEE">
            <w:pPr>
              <w:pStyle w:val="TableText0"/>
            </w:pPr>
          </w:p>
        </w:tc>
        <w:tc>
          <w:tcPr>
            <w:tcW w:w="3556" w:type="dxa"/>
            <w:gridSpan w:val="3"/>
            <w:vMerge w:val="restart"/>
            <w:vAlign w:val="center"/>
          </w:tcPr>
          <w:p w14:paraId="1B6BC98A" w14:textId="77777777" w:rsidR="00B7472F" w:rsidRPr="00FD1145" w:rsidRDefault="00B7472F" w:rsidP="00551CEE">
            <w:pPr>
              <w:pStyle w:val="TableText0"/>
              <w:jc w:val="center"/>
              <w:rPr>
                <w:b/>
                <w:bCs w:val="0"/>
              </w:rPr>
            </w:pPr>
            <w:r w:rsidRPr="00FD1145">
              <w:rPr>
                <w:b/>
                <w:bCs w:val="0"/>
              </w:rPr>
              <w:t>Proposed drug</w:t>
            </w:r>
          </w:p>
          <w:p w14:paraId="111F78E5" w14:textId="77777777" w:rsidR="00B7472F" w:rsidRPr="00FD1145" w:rsidRDefault="00B7472F" w:rsidP="00551CEE">
            <w:pPr>
              <w:pStyle w:val="TableText0"/>
              <w:jc w:val="center"/>
              <w:rPr>
                <w:b/>
                <w:bCs w:val="0"/>
              </w:rPr>
            </w:pPr>
            <w:r w:rsidRPr="00FD1145">
              <w:rPr>
                <w:b/>
                <w:bCs w:val="0"/>
              </w:rPr>
              <w:t>Tucatinib</w:t>
            </w:r>
          </w:p>
        </w:tc>
        <w:tc>
          <w:tcPr>
            <w:tcW w:w="4672" w:type="dxa"/>
            <w:gridSpan w:val="6"/>
            <w:vAlign w:val="center"/>
          </w:tcPr>
          <w:p w14:paraId="7F6DA0C9" w14:textId="77777777" w:rsidR="00B7472F" w:rsidRPr="00FD1145" w:rsidRDefault="00B7472F" w:rsidP="00551CEE">
            <w:pPr>
              <w:pStyle w:val="TableText0"/>
              <w:jc w:val="center"/>
              <w:rPr>
                <w:b/>
                <w:bCs w:val="0"/>
              </w:rPr>
            </w:pPr>
            <w:r w:rsidRPr="00FD1145">
              <w:rPr>
                <w:b/>
                <w:bCs w:val="0"/>
              </w:rPr>
              <w:t>Comparators</w:t>
            </w:r>
          </w:p>
        </w:tc>
      </w:tr>
      <w:tr w:rsidR="00646A68" w:rsidRPr="00FD1145" w14:paraId="4DBF64CF" w14:textId="77777777" w:rsidTr="000A14B0">
        <w:tc>
          <w:tcPr>
            <w:tcW w:w="0" w:type="auto"/>
            <w:vMerge/>
            <w:vAlign w:val="center"/>
          </w:tcPr>
          <w:p w14:paraId="3B448E33" w14:textId="77777777" w:rsidR="00B7472F" w:rsidRPr="00FD1145" w:rsidRDefault="00B7472F" w:rsidP="00551CEE">
            <w:pPr>
              <w:pStyle w:val="TableText0"/>
            </w:pPr>
          </w:p>
        </w:tc>
        <w:tc>
          <w:tcPr>
            <w:tcW w:w="3556" w:type="dxa"/>
            <w:gridSpan w:val="3"/>
            <w:vMerge/>
            <w:vAlign w:val="center"/>
          </w:tcPr>
          <w:p w14:paraId="500FFDF6" w14:textId="77777777" w:rsidR="00B7472F" w:rsidRPr="00FD1145" w:rsidRDefault="00B7472F" w:rsidP="00551CEE">
            <w:pPr>
              <w:pStyle w:val="TableText0"/>
              <w:jc w:val="center"/>
              <w:rPr>
                <w:b/>
                <w:bCs w:val="0"/>
              </w:rPr>
            </w:pPr>
          </w:p>
        </w:tc>
        <w:tc>
          <w:tcPr>
            <w:tcW w:w="2014" w:type="dxa"/>
            <w:gridSpan w:val="3"/>
            <w:vAlign w:val="center"/>
          </w:tcPr>
          <w:p w14:paraId="108EB27E" w14:textId="77777777" w:rsidR="00B7472F" w:rsidRPr="00FD1145" w:rsidRDefault="00B7472F" w:rsidP="00551CEE">
            <w:pPr>
              <w:pStyle w:val="TableText0"/>
              <w:jc w:val="center"/>
              <w:rPr>
                <w:b/>
                <w:bCs w:val="0"/>
              </w:rPr>
            </w:pPr>
            <w:r w:rsidRPr="00FD1145">
              <w:rPr>
                <w:b/>
                <w:bCs w:val="0"/>
              </w:rPr>
              <w:t>Capecitabine + trastuzumab</w:t>
            </w:r>
          </w:p>
        </w:tc>
        <w:tc>
          <w:tcPr>
            <w:tcW w:w="0" w:type="auto"/>
            <w:gridSpan w:val="3"/>
            <w:vAlign w:val="center"/>
          </w:tcPr>
          <w:p w14:paraId="4D62435F" w14:textId="77777777" w:rsidR="00B7472F" w:rsidRPr="00FD1145" w:rsidRDefault="00B7472F" w:rsidP="00551CEE">
            <w:pPr>
              <w:pStyle w:val="TableText0"/>
              <w:jc w:val="center"/>
              <w:rPr>
                <w:b/>
                <w:bCs w:val="0"/>
              </w:rPr>
            </w:pPr>
            <w:r w:rsidRPr="00FD1145">
              <w:rPr>
                <w:b/>
                <w:bCs w:val="0"/>
              </w:rPr>
              <w:t>T-DM1</w:t>
            </w:r>
          </w:p>
        </w:tc>
      </w:tr>
      <w:tr w:rsidR="00AF6E99" w:rsidRPr="00FD1145" w14:paraId="41D233E9" w14:textId="77777777" w:rsidTr="000A14B0">
        <w:tc>
          <w:tcPr>
            <w:tcW w:w="0" w:type="auto"/>
            <w:vMerge/>
            <w:vAlign w:val="center"/>
          </w:tcPr>
          <w:p w14:paraId="428B361C" w14:textId="77777777" w:rsidR="00B7472F" w:rsidRPr="00FD1145" w:rsidRDefault="00B7472F" w:rsidP="00551CEE">
            <w:pPr>
              <w:pStyle w:val="TableText0"/>
            </w:pPr>
          </w:p>
        </w:tc>
        <w:tc>
          <w:tcPr>
            <w:tcW w:w="1334" w:type="dxa"/>
            <w:vAlign w:val="center"/>
          </w:tcPr>
          <w:p w14:paraId="71A7B300" w14:textId="77777777" w:rsidR="00B7472F" w:rsidRPr="00FD1145" w:rsidRDefault="00B7472F" w:rsidP="00551CEE">
            <w:pPr>
              <w:pStyle w:val="TableText0"/>
              <w:jc w:val="center"/>
              <w:rPr>
                <w:b/>
                <w:bCs w:val="0"/>
              </w:rPr>
            </w:pPr>
            <w:r w:rsidRPr="00FD1145">
              <w:rPr>
                <w:b/>
                <w:bCs w:val="0"/>
              </w:rPr>
              <w:t>Trial dose and duration</w:t>
            </w:r>
          </w:p>
        </w:tc>
        <w:tc>
          <w:tcPr>
            <w:tcW w:w="1142" w:type="dxa"/>
            <w:vAlign w:val="center"/>
          </w:tcPr>
          <w:p w14:paraId="498AF73E" w14:textId="7249D418" w:rsidR="00B7472F" w:rsidRPr="00FD1145" w:rsidRDefault="00B7472F" w:rsidP="00551CEE">
            <w:pPr>
              <w:pStyle w:val="TableText0"/>
              <w:jc w:val="center"/>
              <w:rPr>
                <w:b/>
                <w:bCs w:val="0"/>
              </w:rPr>
            </w:pPr>
            <w:r w:rsidRPr="00FD1145">
              <w:rPr>
                <w:b/>
                <w:bCs w:val="0"/>
              </w:rPr>
              <w:t xml:space="preserve">CUA </w:t>
            </w:r>
            <w:r w:rsidR="008F230A" w:rsidRPr="00FD1145">
              <w:rPr>
                <w:b/>
                <w:bCs w:val="0"/>
              </w:rPr>
              <w:t xml:space="preserve">/ CMA </w:t>
            </w:r>
            <w:r w:rsidRPr="00FD1145">
              <w:rPr>
                <w:b/>
                <w:bCs w:val="0"/>
              </w:rPr>
              <w:t>Model</w:t>
            </w:r>
          </w:p>
        </w:tc>
        <w:tc>
          <w:tcPr>
            <w:tcW w:w="1080" w:type="dxa"/>
            <w:vAlign w:val="center"/>
          </w:tcPr>
          <w:p w14:paraId="733BE342" w14:textId="299571B7" w:rsidR="00B7472F" w:rsidRPr="00FD1145" w:rsidRDefault="00B7472F" w:rsidP="00551CEE">
            <w:pPr>
              <w:pStyle w:val="TableText0"/>
              <w:jc w:val="center"/>
              <w:rPr>
                <w:b/>
                <w:bCs w:val="0"/>
              </w:rPr>
            </w:pPr>
            <w:r w:rsidRPr="00FD1145">
              <w:rPr>
                <w:b/>
                <w:bCs w:val="0"/>
              </w:rPr>
              <w:t>Fin</w:t>
            </w:r>
            <w:r w:rsidR="00D9671A" w:rsidRPr="00FD1145">
              <w:rPr>
                <w:b/>
                <w:bCs w:val="0"/>
              </w:rPr>
              <w:t>ancial</w:t>
            </w:r>
            <w:r w:rsidRPr="00FD1145">
              <w:rPr>
                <w:b/>
                <w:bCs w:val="0"/>
              </w:rPr>
              <w:t xml:space="preserve"> est</w:t>
            </w:r>
            <w:r w:rsidR="00D9671A" w:rsidRPr="00FD1145">
              <w:rPr>
                <w:b/>
                <w:bCs w:val="0"/>
              </w:rPr>
              <w:t>imates</w:t>
            </w:r>
          </w:p>
        </w:tc>
        <w:tc>
          <w:tcPr>
            <w:tcW w:w="850" w:type="dxa"/>
            <w:vAlign w:val="center"/>
          </w:tcPr>
          <w:p w14:paraId="5B8A3DBB" w14:textId="77777777" w:rsidR="00B7472F" w:rsidRPr="00FD1145" w:rsidRDefault="00B7472F" w:rsidP="00551CEE">
            <w:pPr>
              <w:pStyle w:val="TableText0"/>
              <w:jc w:val="center"/>
              <w:rPr>
                <w:b/>
                <w:bCs w:val="0"/>
              </w:rPr>
            </w:pPr>
            <w:r w:rsidRPr="00FD1145">
              <w:rPr>
                <w:b/>
                <w:bCs w:val="0"/>
              </w:rPr>
              <w:t>Trial dose and duration</w:t>
            </w:r>
          </w:p>
        </w:tc>
        <w:tc>
          <w:tcPr>
            <w:tcW w:w="674" w:type="dxa"/>
            <w:vAlign w:val="center"/>
          </w:tcPr>
          <w:p w14:paraId="616F185B" w14:textId="77777777" w:rsidR="00B7472F" w:rsidRPr="00FD1145" w:rsidRDefault="00B7472F" w:rsidP="00551CEE">
            <w:pPr>
              <w:pStyle w:val="TableText0"/>
              <w:jc w:val="center"/>
              <w:rPr>
                <w:b/>
                <w:bCs w:val="0"/>
              </w:rPr>
            </w:pPr>
            <w:r w:rsidRPr="00FD1145">
              <w:rPr>
                <w:b/>
                <w:bCs w:val="0"/>
              </w:rPr>
              <w:t>CUA Model</w:t>
            </w:r>
          </w:p>
        </w:tc>
        <w:tc>
          <w:tcPr>
            <w:tcW w:w="0" w:type="auto"/>
            <w:vAlign w:val="center"/>
          </w:tcPr>
          <w:p w14:paraId="7E064AB3" w14:textId="77777777" w:rsidR="00B7472F" w:rsidRPr="00FD1145" w:rsidRDefault="00B7472F" w:rsidP="00551CEE">
            <w:pPr>
              <w:pStyle w:val="TableText0"/>
              <w:jc w:val="center"/>
              <w:rPr>
                <w:b/>
                <w:bCs w:val="0"/>
              </w:rPr>
            </w:pPr>
            <w:r w:rsidRPr="00FD1145">
              <w:rPr>
                <w:b/>
                <w:bCs w:val="0"/>
              </w:rPr>
              <w:t>Fin est.</w:t>
            </w:r>
          </w:p>
        </w:tc>
        <w:tc>
          <w:tcPr>
            <w:tcW w:w="0" w:type="auto"/>
            <w:vAlign w:val="center"/>
          </w:tcPr>
          <w:p w14:paraId="526CA798" w14:textId="77777777" w:rsidR="00B7472F" w:rsidRPr="00FD1145" w:rsidRDefault="00B7472F" w:rsidP="00551CEE">
            <w:pPr>
              <w:pStyle w:val="TableText0"/>
              <w:jc w:val="center"/>
              <w:rPr>
                <w:b/>
                <w:bCs w:val="0"/>
              </w:rPr>
            </w:pPr>
            <w:r w:rsidRPr="00FD1145">
              <w:rPr>
                <w:b/>
                <w:bCs w:val="0"/>
              </w:rPr>
              <w:t>Trial dose and duration</w:t>
            </w:r>
          </w:p>
        </w:tc>
        <w:tc>
          <w:tcPr>
            <w:tcW w:w="0" w:type="auto"/>
            <w:vAlign w:val="center"/>
          </w:tcPr>
          <w:p w14:paraId="2D6641B8" w14:textId="77777777" w:rsidR="00B7472F" w:rsidRPr="00FD1145" w:rsidRDefault="00B7472F" w:rsidP="00551CEE">
            <w:pPr>
              <w:pStyle w:val="TableText0"/>
              <w:jc w:val="center"/>
              <w:rPr>
                <w:b/>
                <w:bCs w:val="0"/>
              </w:rPr>
            </w:pPr>
            <w:r w:rsidRPr="00FD1145">
              <w:rPr>
                <w:b/>
                <w:bCs w:val="0"/>
              </w:rPr>
              <w:t>CMA</w:t>
            </w:r>
          </w:p>
          <w:p w14:paraId="46F3FEF8" w14:textId="77777777" w:rsidR="00B7472F" w:rsidRPr="00FD1145" w:rsidRDefault="00B7472F" w:rsidP="00551CEE">
            <w:pPr>
              <w:pStyle w:val="TableText0"/>
              <w:jc w:val="center"/>
              <w:rPr>
                <w:b/>
                <w:bCs w:val="0"/>
              </w:rPr>
            </w:pPr>
            <w:r w:rsidRPr="00FD1145">
              <w:rPr>
                <w:b/>
                <w:bCs w:val="0"/>
              </w:rPr>
              <w:t>Model</w:t>
            </w:r>
          </w:p>
        </w:tc>
        <w:tc>
          <w:tcPr>
            <w:tcW w:w="0" w:type="auto"/>
            <w:vAlign w:val="center"/>
          </w:tcPr>
          <w:p w14:paraId="198942BE" w14:textId="52C5BD0E" w:rsidR="00B7472F" w:rsidRPr="00FD1145" w:rsidRDefault="00D9671A" w:rsidP="00551CEE">
            <w:pPr>
              <w:pStyle w:val="TableText0"/>
              <w:jc w:val="center"/>
              <w:rPr>
                <w:b/>
                <w:bCs w:val="0"/>
              </w:rPr>
            </w:pPr>
            <w:r w:rsidRPr="00FD1145">
              <w:rPr>
                <w:b/>
                <w:bCs w:val="0"/>
              </w:rPr>
              <w:t>Financial estimates</w:t>
            </w:r>
          </w:p>
        </w:tc>
      </w:tr>
      <w:tr w:rsidR="00646A68" w:rsidRPr="00FD1145" w14:paraId="59510F6B" w14:textId="77777777" w:rsidTr="000A14B0">
        <w:tc>
          <w:tcPr>
            <w:tcW w:w="0" w:type="auto"/>
            <w:vAlign w:val="center"/>
          </w:tcPr>
          <w:p w14:paraId="381E5706" w14:textId="77777777" w:rsidR="00B7472F" w:rsidRPr="00FD1145" w:rsidRDefault="00B7472F" w:rsidP="00551CEE">
            <w:pPr>
              <w:pStyle w:val="TableText0"/>
            </w:pPr>
            <w:r w:rsidRPr="00FD1145">
              <w:t>Mean dose</w:t>
            </w:r>
          </w:p>
        </w:tc>
        <w:tc>
          <w:tcPr>
            <w:tcW w:w="3556" w:type="dxa"/>
            <w:gridSpan w:val="3"/>
            <w:vAlign w:val="center"/>
          </w:tcPr>
          <w:p w14:paraId="1CD9D453" w14:textId="603A92C5" w:rsidR="00B7472F" w:rsidRPr="00FD1145" w:rsidRDefault="00B7472F" w:rsidP="004379E4">
            <w:pPr>
              <w:pStyle w:val="TableText0"/>
              <w:jc w:val="center"/>
            </w:pPr>
            <w:r w:rsidRPr="00FD1145">
              <w:t xml:space="preserve">531 mg/day </w:t>
            </w:r>
            <w:r w:rsidRPr="00FD1145">
              <w:rPr>
                <w:vertAlign w:val="superscript"/>
              </w:rPr>
              <w:t>a</w:t>
            </w:r>
          </w:p>
        </w:tc>
        <w:tc>
          <w:tcPr>
            <w:tcW w:w="2014" w:type="dxa"/>
            <w:gridSpan w:val="3"/>
            <w:vAlign w:val="center"/>
          </w:tcPr>
          <w:p w14:paraId="6BB341A0" w14:textId="77777777" w:rsidR="00B7472F" w:rsidRPr="00FD1145" w:rsidRDefault="00B7472F" w:rsidP="00551CEE">
            <w:pPr>
              <w:pStyle w:val="TableText0"/>
              <w:jc w:val="center"/>
            </w:pPr>
            <w:r w:rsidRPr="00FD1145">
              <w:t>Capecitabine 39,816 mg per 21</w:t>
            </w:r>
            <w:r w:rsidRPr="00FD1145">
              <w:rPr>
                <w:rFonts w:ascii="Cambria Math" w:hAnsi="Cambria Math" w:cs="Cambria Math"/>
              </w:rPr>
              <w:t>‑</w:t>
            </w:r>
            <w:r w:rsidRPr="00FD1145">
              <w:t xml:space="preserve">day cycle Trastuzumab IV 556 mg (cycle 1), 329.4 mg (cycles </w:t>
            </w:r>
            <w:r w:rsidRPr="00FD1145">
              <w:rPr>
                <w:rFonts w:cs="Arial Narrow"/>
              </w:rPr>
              <w:t>≥</w:t>
            </w:r>
            <w:r w:rsidRPr="00FD1145">
              <w:t xml:space="preserve">2); SC 600 mg (cycle 1), 474.0 mg (cycles </w:t>
            </w:r>
            <w:r w:rsidRPr="00FD1145">
              <w:rPr>
                <w:rFonts w:cs="Arial Narrow"/>
              </w:rPr>
              <w:t>≥</w:t>
            </w:r>
            <w:r w:rsidRPr="00FD1145">
              <w:t>2)</w:t>
            </w:r>
          </w:p>
        </w:tc>
        <w:tc>
          <w:tcPr>
            <w:tcW w:w="0" w:type="auto"/>
            <w:gridSpan w:val="3"/>
            <w:vAlign w:val="center"/>
          </w:tcPr>
          <w:p w14:paraId="56E99048" w14:textId="77777777" w:rsidR="00B7472F" w:rsidRPr="00FD1145" w:rsidRDefault="00B7472F" w:rsidP="00551CEE">
            <w:pPr>
              <w:pStyle w:val="TableText0"/>
              <w:jc w:val="center"/>
            </w:pPr>
            <w:r w:rsidRPr="00FD1145">
              <w:t>11.58 mg/day</w:t>
            </w:r>
            <w:r w:rsidRPr="00FD1145">
              <w:rPr>
                <w:rFonts w:ascii="Arial" w:hAnsi="Arial" w:cs="Arial"/>
              </w:rPr>
              <w:t>ᵃ</w:t>
            </w:r>
          </w:p>
        </w:tc>
      </w:tr>
      <w:tr w:rsidR="00AF6E99" w:rsidRPr="00FD1145" w14:paraId="0A43ABAE" w14:textId="77777777" w:rsidTr="000A14B0">
        <w:tc>
          <w:tcPr>
            <w:tcW w:w="0" w:type="auto"/>
            <w:vAlign w:val="center"/>
          </w:tcPr>
          <w:p w14:paraId="15C95FFA" w14:textId="77777777" w:rsidR="0023581E" w:rsidRPr="00FD1145" w:rsidRDefault="0023581E" w:rsidP="00551CEE">
            <w:pPr>
              <w:pStyle w:val="TableText0"/>
            </w:pPr>
            <w:r w:rsidRPr="00FD1145">
              <w:t>Mean duration</w:t>
            </w:r>
          </w:p>
        </w:tc>
        <w:tc>
          <w:tcPr>
            <w:tcW w:w="1334" w:type="dxa"/>
            <w:vAlign w:val="center"/>
          </w:tcPr>
          <w:p w14:paraId="6973C712" w14:textId="77777777" w:rsidR="0023581E" w:rsidRPr="00FD1145" w:rsidRDefault="0023581E" w:rsidP="00551CEE">
            <w:pPr>
              <w:pStyle w:val="TableText0"/>
              <w:jc w:val="center"/>
            </w:pPr>
            <w:r w:rsidRPr="00FD1145">
              <w:t>7.6 months</w:t>
            </w:r>
          </w:p>
        </w:tc>
        <w:tc>
          <w:tcPr>
            <w:tcW w:w="2222" w:type="dxa"/>
            <w:gridSpan w:val="2"/>
            <w:vAlign w:val="center"/>
          </w:tcPr>
          <w:p w14:paraId="19A8E1CC" w14:textId="77777777" w:rsidR="0023581E" w:rsidRPr="00FD1145" w:rsidRDefault="0023581E" w:rsidP="00551CEE">
            <w:pPr>
              <w:pStyle w:val="TableText0"/>
              <w:jc w:val="center"/>
            </w:pPr>
            <w:r w:rsidRPr="00FD1145">
              <w:t>CUA: 11.43 months</w:t>
            </w:r>
          </w:p>
          <w:p w14:paraId="1902C3D7" w14:textId="5A956543" w:rsidR="0023581E" w:rsidRPr="00FD1145" w:rsidRDefault="0023581E" w:rsidP="0093283A">
            <w:pPr>
              <w:pStyle w:val="TableText0"/>
              <w:jc w:val="center"/>
            </w:pPr>
            <w:r w:rsidRPr="00FD1145">
              <w:t>CMA: assumed same duration as T-DM1</w:t>
            </w:r>
          </w:p>
        </w:tc>
        <w:tc>
          <w:tcPr>
            <w:tcW w:w="850" w:type="dxa"/>
            <w:vAlign w:val="center"/>
          </w:tcPr>
          <w:p w14:paraId="1A1FC4AF" w14:textId="77777777" w:rsidR="0023581E" w:rsidRPr="00FD1145" w:rsidRDefault="0023581E" w:rsidP="00551CEE">
            <w:pPr>
              <w:pStyle w:val="TableText0"/>
              <w:jc w:val="center"/>
            </w:pPr>
            <w:r w:rsidRPr="00FD1145">
              <w:t>5.11 months</w:t>
            </w:r>
          </w:p>
        </w:tc>
        <w:tc>
          <w:tcPr>
            <w:tcW w:w="1164" w:type="dxa"/>
            <w:gridSpan w:val="2"/>
            <w:vAlign w:val="center"/>
          </w:tcPr>
          <w:p w14:paraId="4FC91C2E" w14:textId="77777777" w:rsidR="0023581E" w:rsidRPr="00FD1145" w:rsidRDefault="0023581E" w:rsidP="00551CEE">
            <w:pPr>
              <w:pStyle w:val="TableText0"/>
              <w:jc w:val="center"/>
            </w:pPr>
            <w:r w:rsidRPr="00FD1145">
              <w:t>7.75 months</w:t>
            </w:r>
          </w:p>
        </w:tc>
        <w:tc>
          <w:tcPr>
            <w:tcW w:w="0" w:type="auto"/>
            <w:vAlign w:val="center"/>
          </w:tcPr>
          <w:p w14:paraId="714AE9CC" w14:textId="77777777" w:rsidR="0023581E" w:rsidRPr="00FD1145" w:rsidRDefault="0023581E" w:rsidP="00551CEE">
            <w:pPr>
              <w:pStyle w:val="TableText0"/>
              <w:jc w:val="center"/>
            </w:pPr>
            <w:r w:rsidRPr="00FD1145">
              <w:t>NR</w:t>
            </w:r>
          </w:p>
        </w:tc>
        <w:tc>
          <w:tcPr>
            <w:tcW w:w="0" w:type="auto"/>
            <w:vAlign w:val="center"/>
          </w:tcPr>
          <w:p w14:paraId="266B7D57" w14:textId="47FC9FA1" w:rsidR="0023581E" w:rsidRPr="00FD1145" w:rsidRDefault="0023581E" w:rsidP="00551CEE">
            <w:pPr>
              <w:pStyle w:val="TableText0"/>
              <w:jc w:val="center"/>
            </w:pPr>
            <w:r w:rsidRPr="00FD1145">
              <w:t>12 months</w:t>
            </w:r>
            <w:r w:rsidR="00756E49" w:rsidRPr="00FD1145">
              <w:t xml:space="preserve"> - </w:t>
            </w:r>
            <w:r w:rsidRPr="00FD1145">
              <w:t xml:space="preserve">assumed same duration as </w:t>
            </w:r>
            <w:r w:rsidR="00756E49" w:rsidRPr="00FD1145">
              <w:t>tucatinib</w:t>
            </w:r>
          </w:p>
        </w:tc>
        <w:tc>
          <w:tcPr>
            <w:tcW w:w="0" w:type="auto"/>
            <w:vAlign w:val="center"/>
          </w:tcPr>
          <w:p w14:paraId="420C96E7" w14:textId="77777777" w:rsidR="00F02951" w:rsidRPr="00FD1145" w:rsidRDefault="00C234A6" w:rsidP="00551CEE">
            <w:pPr>
              <w:pStyle w:val="TableText0"/>
              <w:jc w:val="center"/>
            </w:pPr>
            <w:r w:rsidRPr="00FD1145">
              <w:t>50 weeks</w:t>
            </w:r>
            <w:r w:rsidR="005317A7" w:rsidRPr="00FD1145">
              <w:t xml:space="preserve"> (11.5 months</w:t>
            </w:r>
            <w:r w:rsidR="00F02951" w:rsidRPr="00FD1145">
              <w:t>;</w:t>
            </w:r>
          </w:p>
          <w:p w14:paraId="61F83630" w14:textId="46BC54C3" w:rsidR="0023581E" w:rsidRPr="00FD1145" w:rsidRDefault="00F02951" w:rsidP="00551CEE">
            <w:pPr>
              <w:pStyle w:val="TableText0"/>
              <w:jc w:val="center"/>
            </w:pPr>
            <w:r w:rsidRPr="00FD1145">
              <w:t>16.2 admins</w:t>
            </w:r>
            <w:r w:rsidR="005317A7" w:rsidRPr="00FD1145">
              <w:t>)</w:t>
            </w:r>
          </w:p>
        </w:tc>
      </w:tr>
      <w:tr w:rsidR="00AF6E99" w:rsidRPr="00FD1145" w14:paraId="20F1FE53" w14:textId="77777777" w:rsidTr="000A14B0">
        <w:tc>
          <w:tcPr>
            <w:tcW w:w="0" w:type="auto"/>
            <w:vAlign w:val="center"/>
          </w:tcPr>
          <w:p w14:paraId="77575E4B" w14:textId="77777777" w:rsidR="009E4C5C" w:rsidRPr="00FD1145" w:rsidRDefault="00B7472F" w:rsidP="00551CEE">
            <w:pPr>
              <w:pStyle w:val="TableText0"/>
            </w:pPr>
            <w:r w:rsidRPr="00FD1145">
              <w:t>Cost/</w:t>
            </w:r>
          </w:p>
          <w:p w14:paraId="3233567A" w14:textId="77777777" w:rsidR="00B7472F" w:rsidRPr="00FD1145" w:rsidRDefault="00B7472F" w:rsidP="00551CEE">
            <w:pPr>
              <w:pStyle w:val="TableText0"/>
            </w:pPr>
            <w:r w:rsidRPr="00FD1145">
              <w:t>patient /month</w:t>
            </w:r>
          </w:p>
          <w:p w14:paraId="611DD653" w14:textId="43B2B84F" w:rsidR="004D148F" w:rsidRPr="00FD1145" w:rsidRDefault="004D148F" w:rsidP="00551CEE">
            <w:pPr>
              <w:pStyle w:val="TableText0"/>
            </w:pPr>
            <w:r w:rsidRPr="00FD1145">
              <w:t>(DPMA)</w:t>
            </w:r>
          </w:p>
        </w:tc>
        <w:tc>
          <w:tcPr>
            <w:tcW w:w="1334" w:type="dxa"/>
            <w:vAlign w:val="center"/>
          </w:tcPr>
          <w:p w14:paraId="50B41D1F" w14:textId="6EBF3490" w:rsidR="00B7472F" w:rsidRPr="005B3FE7" w:rsidRDefault="00B7472F" w:rsidP="00551CEE">
            <w:pPr>
              <w:pStyle w:val="TableText0"/>
              <w:jc w:val="center"/>
            </w:pPr>
            <w:r w:rsidRPr="005B3FE7">
              <w:t>$</w:t>
            </w:r>
            <w:r w:rsidR="009B6432" w:rsidRPr="009B6432">
              <w:rPr>
                <w:highlight w:val="black"/>
              </w:rPr>
              <w:t>&amp;&amp;&amp;&amp;</w:t>
            </w:r>
            <w:r w:rsidRPr="001C7F50">
              <w:rPr>
                <w:vertAlign w:val="superscript"/>
              </w:rPr>
              <w:t>b</w:t>
            </w:r>
          </w:p>
        </w:tc>
        <w:tc>
          <w:tcPr>
            <w:tcW w:w="1142" w:type="dxa"/>
            <w:vAlign w:val="center"/>
          </w:tcPr>
          <w:p w14:paraId="56C42BD6" w14:textId="2AF41E1B" w:rsidR="004277DF" w:rsidRPr="005B3FE7" w:rsidRDefault="004277DF" w:rsidP="00551CEE">
            <w:pPr>
              <w:pStyle w:val="TableText0"/>
              <w:jc w:val="center"/>
            </w:pPr>
            <w:r w:rsidRPr="005B3FE7">
              <w:t>Tucatinib alone:</w:t>
            </w:r>
          </w:p>
          <w:p w14:paraId="28CE087A" w14:textId="01F2B44A" w:rsidR="00B7472F" w:rsidRPr="005B3FE7" w:rsidRDefault="00B7472F" w:rsidP="00551CEE">
            <w:pPr>
              <w:pStyle w:val="TableText0"/>
              <w:jc w:val="center"/>
              <w:rPr>
                <w:vertAlign w:val="superscript"/>
              </w:rPr>
            </w:pPr>
            <w:r w:rsidRPr="005B3FE7">
              <w:t>CUA: $</w:t>
            </w:r>
            <w:r w:rsidR="009B6432" w:rsidRPr="009B6432">
              <w:rPr>
                <w:highlight w:val="black"/>
              </w:rPr>
              <w:t>&amp;&amp;&amp;&amp;</w:t>
            </w:r>
            <w:r w:rsidRPr="005B3FE7">
              <w:rPr>
                <w:vertAlign w:val="superscript"/>
              </w:rPr>
              <w:t>b</w:t>
            </w:r>
          </w:p>
          <w:p w14:paraId="0327FE79" w14:textId="7F02DC03" w:rsidR="00B7472F" w:rsidRPr="005B3FE7" w:rsidRDefault="00B7472F" w:rsidP="00551CEE">
            <w:pPr>
              <w:pStyle w:val="TableText0"/>
              <w:jc w:val="center"/>
              <w:rPr>
                <w:vertAlign w:val="superscript"/>
              </w:rPr>
            </w:pPr>
            <w:r w:rsidRPr="005B3FE7">
              <w:t>CMA: $</w:t>
            </w:r>
            <w:r w:rsidR="009B6432" w:rsidRPr="009B6432">
              <w:rPr>
                <w:highlight w:val="black"/>
              </w:rPr>
              <w:t>&amp;&amp;&amp;&amp;</w:t>
            </w:r>
            <w:r w:rsidR="00D95235" w:rsidRPr="001C7F50">
              <w:rPr>
                <w:vertAlign w:val="superscript"/>
              </w:rPr>
              <w:t>b</w:t>
            </w:r>
            <w:r w:rsidR="008F7649">
              <w:rPr>
                <w:vertAlign w:val="superscript"/>
              </w:rPr>
              <w:t xml:space="preserve"> </w:t>
            </w:r>
          </w:p>
        </w:tc>
        <w:tc>
          <w:tcPr>
            <w:tcW w:w="1080" w:type="dxa"/>
            <w:vAlign w:val="center"/>
          </w:tcPr>
          <w:p w14:paraId="305A2CBE" w14:textId="682A8CD1" w:rsidR="00B7472F" w:rsidRPr="005B3FE7" w:rsidRDefault="00D9671A" w:rsidP="00551CEE">
            <w:pPr>
              <w:pStyle w:val="TableText0"/>
              <w:jc w:val="center"/>
            </w:pPr>
            <w:r w:rsidRPr="005B3FE7">
              <w:t xml:space="preserve">Weighted: </w:t>
            </w:r>
            <w:r w:rsidR="00B7472F" w:rsidRPr="005B3FE7">
              <w:t>$</w:t>
            </w:r>
            <w:r w:rsidR="009B6432" w:rsidRPr="009B6432">
              <w:rPr>
                <w:highlight w:val="black"/>
              </w:rPr>
              <w:t>&amp;&amp;&amp;&amp;</w:t>
            </w:r>
            <w:r w:rsidR="003311BC" w:rsidRPr="005B3FE7">
              <w:rPr>
                <w:vertAlign w:val="superscript"/>
              </w:rPr>
              <w:t>b</w:t>
            </w:r>
          </w:p>
        </w:tc>
        <w:tc>
          <w:tcPr>
            <w:tcW w:w="850" w:type="dxa"/>
            <w:vAlign w:val="center"/>
          </w:tcPr>
          <w:p w14:paraId="0E734521" w14:textId="4A25B32F" w:rsidR="00B7472F" w:rsidRPr="005B3FE7" w:rsidRDefault="00B7472F" w:rsidP="00551CEE">
            <w:pPr>
              <w:pStyle w:val="TableText0"/>
              <w:jc w:val="center"/>
            </w:pPr>
            <w:r w:rsidRPr="005B3FE7">
              <w:t>$70</w:t>
            </w:r>
            <w:r w:rsidR="00BB5645" w:rsidRPr="005B3FE7">
              <w:t>2</w:t>
            </w:r>
            <w:r w:rsidRPr="005B3FE7">
              <w:rPr>
                <w:rFonts w:ascii="Arial" w:hAnsi="Arial" w:cs="Arial"/>
                <w:vertAlign w:val="superscript"/>
              </w:rPr>
              <w:t>ᵇ</w:t>
            </w:r>
          </w:p>
        </w:tc>
        <w:tc>
          <w:tcPr>
            <w:tcW w:w="1164" w:type="dxa"/>
            <w:gridSpan w:val="2"/>
            <w:vAlign w:val="center"/>
          </w:tcPr>
          <w:p w14:paraId="7B2A53E7" w14:textId="3D611412" w:rsidR="00B7472F" w:rsidRPr="007C776F" w:rsidRDefault="00B7472F" w:rsidP="005B784E">
            <w:pPr>
              <w:pStyle w:val="TableText0"/>
              <w:jc w:val="center"/>
            </w:pPr>
            <w:r w:rsidRPr="007C776F">
              <w:t>$68</w:t>
            </w:r>
            <w:r w:rsidR="00BB5645" w:rsidRPr="007C776F">
              <w:t>7</w:t>
            </w:r>
            <w:r w:rsidRPr="007C776F">
              <w:rPr>
                <w:vertAlign w:val="superscript"/>
              </w:rPr>
              <w:t>b</w:t>
            </w:r>
          </w:p>
        </w:tc>
        <w:tc>
          <w:tcPr>
            <w:tcW w:w="0" w:type="auto"/>
            <w:vAlign w:val="center"/>
          </w:tcPr>
          <w:p w14:paraId="21E1B024" w14:textId="77777777" w:rsidR="00B7472F" w:rsidRPr="007C776F" w:rsidRDefault="00B7472F" w:rsidP="00551CEE">
            <w:pPr>
              <w:pStyle w:val="TableText0"/>
              <w:jc w:val="center"/>
            </w:pPr>
            <w:r w:rsidRPr="007C776F">
              <w:t>NR</w:t>
            </w:r>
          </w:p>
        </w:tc>
        <w:tc>
          <w:tcPr>
            <w:tcW w:w="0" w:type="auto"/>
            <w:vAlign w:val="center"/>
          </w:tcPr>
          <w:p w14:paraId="6A2F2C38" w14:textId="734857EE" w:rsidR="00B7472F" w:rsidRPr="007C776F" w:rsidRDefault="00B7472F" w:rsidP="00551CEE">
            <w:pPr>
              <w:pStyle w:val="TableText0"/>
              <w:jc w:val="center"/>
            </w:pPr>
            <w:r w:rsidRPr="007C776F">
              <w:t>$5,</w:t>
            </w:r>
            <w:r w:rsidR="00E307AE" w:rsidRPr="007C776F">
              <w:t>927</w:t>
            </w:r>
            <w:r w:rsidRPr="007C776F">
              <w:rPr>
                <w:rFonts w:ascii="Arial" w:hAnsi="Arial" w:cs="Arial"/>
              </w:rPr>
              <w:t>ᵇ</w:t>
            </w:r>
          </w:p>
        </w:tc>
        <w:tc>
          <w:tcPr>
            <w:tcW w:w="0" w:type="auto"/>
            <w:vAlign w:val="center"/>
          </w:tcPr>
          <w:p w14:paraId="2EC043B3" w14:textId="085A467C" w:rsidR="00B7472F" w:rsidRPr="007C776F" w:rsidRDefault="00B7472F" w:rsidP="00551CEE">
            <w:pPr>
              <w:pStyle w:val="TableText0"/>
              <w:jc w:val="center"/>
            </w:pPr>
            <w:r w:rsidRPr="007C776F">
              <w:t>$</w:t>
            </w:r>
            <w:r w:rsidR="00B36B88" w:rsidRPr="007C776F">
              <w:t>6</w:t>
            </w:r>
            <w:r w:rsidRPr="007C776F">
              <w:t>,</w:t>
            </w:r>
            <w:r w:rsidR="00B36B88" w:rsidRPr="007C776F">
              <w:t>091</w:t>
            </w:r>
            <w:r w:rsidRPr="007C776F">
              <w:rPr>
                <w:rFonts w:ascii="Arial" w:hAnsi="Arial" w:cs="Arial"/>
              </w:rPr>
              <w:t>ᵇ</w:t>
            </w:r>
          </w:p>
        </w:tc>
      </w:tr>
      <w:tr w:rsidR="00AF6E99" w:rsidRPr="00FD1145" w14:paraId="7D2DE0C1" w14:textId="77777777" w:rsidTr="000A14B0">
        <w:tc>
          <w:tcPr>
            <w:tcW w:w="0" w:type="auto"/>
            <w:vAlign w:val="center"/>
          </w:tcPr>
          <w:p w14:paraId="5EB76A07" w14:textId="77777777" w:rsidR="009E4C5C" w:rsidRPr="00FD1145" w:rsidRDefault="00B7472F" w:rsidP="00551CEE">
            <w:pPr>
              <w:pStyle w:val="TableText0"/>
            </w:pPr>
            <w:r w:rsidRPr="00FD1145">
              <w:t>Cost/</w:t>
            </w:r>
          </w:p>
          <w:p w14:paraId="7EB676E3" w14:textId="6DC94DB7" w:rsidR="00B7472F" w:rsidRPr="00FD1145" w:rsidRDefault="00B7472F" w:rsidP="00551CEE">
            <w:pPr>
              <w:pStyle w:val="TableText0"/>
            </w:pPr>
            <w:r w:rsidRPr="00FD1145">
              <w:t>patient /course</w:t>
            </w:r>
          </w:p>
        </w:tc>
        <w:tc>
          <w:tcPr>
            <w:tcW w:w="1334" w:type="dxa"/>
            <w:vAlign w:val="center"/>
          </w:tcPr>
          <w:p w14:paraId="38FBE045" w14:textId="3460A211" w:rsidR="00B7472F" w:rsidRPr="005B3FE7" w:rsidRDefault="00B7472F" w:rsidP="00551CEE">
            <w:pPr>
              <w:pStyle w:val="TableText0"/>
              <w:jc w:val="center"/>
            </w:pPr>
            <w:r w:rsidRPr="001C7F50">
              <w:t>$</w:t>
            </w:r>
            <w:r w:rsidR="009B6432" w:rsidRPr="009B6432">
              <w:rPr>
                <w:highlight w:val="black"/>
              </w:rPr>
              <w:t>&amp;&amp;&amp;&amp;</w:t>
            </w:r>
          </w:p>
        </w:tc>
        <w:tc>
          <w:tcPr>
            <w:tcW w:w="1142" w:type="dxa"/>
            <w:vAlign w:val="center"/>
          </w:tcPr>
          <w:p w14:paraId="60D13FC3" w14:textId="76991B68" w:rsidR="004277DF" w:rsidRPr="005B3FE7" w:rsidRDefault="004277DF" w:rsidP="00551CEE">
            <w:pPr>
              <w:pStyle w:val="TableText0"/>
              <w:jc w:val="center"/>
            </w:pPr>
            <w:r w:rsidRPr="005B3FE7">
              <w:t>Tucatinib alone:</w:t>
            </w:r>
          </w:p>
          <w:p w14:paraId="18120B45" w14:textId="0E178D11" w:rsidR="00B7472F" w:rsidRPr="005B3FE7" w:rsidRDefault="00B7472F" w:rsidP="00551CEE">
            <w:pPr>
              <w:pStyle w:val="TableText0"/>
              <w:jc w:val="center"/>
            </w:pPr>
            <w:r w:rsidRPr="005B3FE7">
              <w:t>CUA: $</w:t>
            </w:r>
            <w:r w:rsidR="009B6432" w:rsidRPr="009B6432">
              <w:rPr>
                <w:highlight w:val="black"/>
              </w:rPr>
              <w:t>&amp;&amp;&amp;&amp;</w:t>
            </w:r>
          </w:p>
          <w:p w14:paraId="0D12F856" w14:textId="5D15C882" w:rsidR="00B403CA" w:rsidRPr="005B3FE7" w:rsidRDefault="00B403CA" w:rsidP="00551CEE">
            <w:pPr>
              <w:pStyle w:val="TableText0"/>
              <w:jc w:val="center"/>
            </w:pPr>
            <w:r w:rsidRPr="005B3FE7">
              <w:t>CMA</w:t>
            </w:r>
            <w:r w:rsidR="00C92BDB" w:rsidRPr="005B3FE7">
              <w:t>:</w:t>
            </w:r>
            <w:r w:rsidR="007F0794" w:rsidRPr="005B3FE7">
              <w:t xml:space="preserve"> </w:t>
            </w:r>
            <w:r w:rsidR="004B5BB5" w:rsidRPr="005B3FE7">
              <w:t>$</w:t>
            </w:r>
            <w:r w:rsidR="009B6432" w:rsidRPr="009B6432">
              <w:rPr>
                <w:highlight w:val="black"/>
              </w:rPr>
              <w:t>&amp;&amp;&amp;&amp;</w:t>
            </w:r>
            <w:r w:rsidR="00465580" w:rsidRPr="005B3FE7">
              <w:t xml:space="preserve"> </w:t>
            </w:r>
            <w:r w:rsidRPr="005B3FE7">
              <w:t>over 11.43 months</w:t>
            </w:r>
          </w:p>
          <w:p w14:paraId="31D79002" w14:textId="249E8D51" w:rsidR="00F06EE6" w:rsidRPr="005B3FE7" w:rsidRDefault="00F06EE6" w:rsidP="00551CEE">
            <w:pPr>
              <w:pStyle w:val="TableText0"/>
              <w:jc w:val="center"/>
            </w:pPr>
            <w:r w:rsidRPr="005B3FE7">
              <w:t>Weighted: $</w:t>
            </w:r>
            <w:r w:rsidR="009B6432" w:rsidRPr="009B6432">
              <w:rPr>
                <w:highlight w:val="black"/>
              </w:rPr>
              <w:t>&amp;&amp;&amp;&amp;</w:t>
            </w:r>
            <w:r w:rsidR="00B00DF4" w:rsidRPr="005B3FE7">
              <w:t xml:space="preserve"> </w:t>
            </w:r>
          </w:p>
        </w:tc>
        <w:tc>
          <w:tcPr>
            <w:tcW w:w="1080" w:type="dxa"/>
            <w:vAlign w:val="center"/>
          </w:tcPr>
          <w:p w14:paraId="3F57C646" w14:textId="21B3013F" w:rsidR="009165CA" w:rsidRPr="005B3FE7" w:rsidRDefault="009165CA" w:rsidP="00551CEE">
            <w:pPr>
              <w:pStyle w:val="TableText0"/>
              <w:jc w:val="center"/>
            </w:pPr>
            <w:r w:rsidRPr="005B3FE7">
              <w:t>Weighted:</w:t>
            </w:r>
          </w:p>
          <w:p w14:paraId="35BC6782" w14:textId="269FCACC" w:rsidR="00B7472F" w:rsidRPr="005B3FE7" w:rsidRDefault="00B7472F" w:rsidP="00551CEE">
            <w:pPr>
              <w:pStyle w:val="TableText0"/>
              <w:jc w:val="center"/>
            </w:pPr>
            <w:r w:rsidRPr="005B3FE7">
              <w:t>$</w:t>
            </w:r>
            <w:r w:rsidR="009B6432" w:rsidRPr="009B6432">
              <w:rPr>
                <w:highlight w:val="black"/>
              </w:rPr>
              <w:t>&amp;&amp;&amp;&amp;</w:t>
            </w:r>
          </w:p>
        </w:tc>
        <w:tc>
          <w:tcPr>
            <w:tcW w:w="850" w:type="dxa"/>
            <w:vAlign w:val="center"/>
          </w:tcPr>
          <w:p w14:paraId="17DBA458" w14:textId="00DE8776" w:rsidR="00B7472F" w:rsidRPr="005B3FE7" w:rsidRDefault="00B7472F" w:rsidP="00551CEE">
            <w:pPr>
              <w:pStyle w:val="TableText0"/>
              <w:jc w:val="center"/>
            </w:pPr>
            <w:r w:rsidRPr="005B3FE7">
              <w:t>$3,58</w:t>
            </w:r>
            <w:r w:rsidR="00BB5645" w:rsidRPr="005B3FE7">
              <w:t>3</w:t>
            </w:r>
            <w:r w:rsidRPr="005B3FE7">
              <w:rPr>
                <w:vertAlign w:val="superscript"/>
              </w:rPr>
              <w:t>bc</w:t>
            </w:r>
          </w:p>
        </w:tc>
        <w:tc>
          <w:tcPr>
            <w:tcW w:w="1164" w:type="dxa"/>
            <w:gridSpan w:val="2"/>
            <w:vAlign w:val="center"/>
          </w:tcPr>
          <w:p w14:paraId="0E14DBAE" w14:textId="5F9ADCAE" w:rsidR="00B7472F" w:rsidRPr="007C776F" w:rsidRDefault="00B7472F" w:rsidP="009E4C5C">
            <w:pPr>
              <w:pStyle w:val="TableText0"/>
              <w:jc w:val="center"/>
            </w:pPr>
            <w:r w:rsidRPr="007C776F">
              <w:t>$5,32</w:t>
            </w:r>
            <w:r w:rsidR="00BB5645" w:rsidRPr="007C776F">
              <w:t>4</w:t>
            </w:r>
          </w:p>
        </w:tc>
        <w:tc>
          <w:tcPr>
            <w:tcW w:w="0" w:type="auto"/>
            <w:vAlign w:val="center"/>
          </w:tcPr>
          <w:p w14:paraId="513C58E8" w14:textId="77777777" w:rsidR="00B7472F" w:rsidRPr="007C776F" w:rsidRDefault="00B7472F" w:rsidP="00551CEE">
            <w:pPr>
              <w:pStyle w:val="TableText0"/>
              <w:jc w:val="center"/>
            </w:pPr>
            <w:r w:rsidRPr="007C776F">
              <w:t>NR</w:t>
            </w:r>
          </w:p>
        </w:tc>
        <w:tc>
          <w:tcPr>
            <w:tcW w:w="0" w:type="auto"/>
            <w:vAlign w:val="center"/>
          </w:tcPr>
          <w:p w14:paraId="132BAD0D" w14:textId="5AC259E0" w:rsidR="00B7472F" w:rsidRPr="007C776F" w:rsidRDefault="00B7472F" w:rsidP="00551CEE">
            <w:pPr>
              <w:pStyle w:val="TableText0"/>
              <w:jc w:val="center"/>
            </w:pPr>
            <w:r w:rsidRPr="007C776F">
              <w:t>$</w:t>
            </w:r>
            <w:r w:rsidR="002B1BDB" w:rsidRPr="007C776F">
              <w:t>71,123</w:t>
            </w:r>
            <w:r w:rsidR="00AF1342" w:rsidRPr="007C776F">
              <w:t xml:space="preserve"> over 12 months (</w:t>
            </w:r>
            <w:r w:rsidR="0055361F" w:rsidRPr="007C776F">
              <w:t>or</w:t>
            </w:r>
            <w:r w:rsidR="00AF1342" w:rsidRPr="007C776F">
              <w:t xml:space="preserve"> </w:t>
            </w:r>
            <w:r w:rsidR="0055361F" w:rsidRPr="007C776F">
              <w:t>$66,246 over 11.5 months)</w:t>
            </w:r>
          </w:p>
        </w:tc>
        <w:tc>
          <w:tcPr>
            <w:tcW w:w="0" w:type="auto"/>
            <w:vAlign w:val="center"/>
          </w:tcPr>
          <w:p w14:paraId="0D9A8D5D" w14:textId="5302CA3C" w:rsidR="00B7472F" w:rsidRPr="007C776F" w:rsidRDefault="00B7472F" w:rsidP="00551CEE">
            <w:pPr>
              <w:pStyle w:val="TableText0"/>
              <w:jc w:val="center"/>
            </w:pPr>
            <w:r w:rsidRPr="007C776F">
              <w:t>$</w:t>
            </w:r>
            <w:r w:rsidR="00520592" w:rsidRPr="007C776F">
              <w:t>68</w:t>
            </w:r>
            <w:r w:rsidR="00F02951" w:rsidRPr="007C776F">
              <w:t>,174</w:t>
            </w:r>
            <w:r w:rsidR="0055361F" w:rsidRPr="007C776F">
              <w:t xml:space="preserve"> over 11.5 months</w:t>
            </w:r>
          </w:p>
        </w:tc>
      </w:tr>
    </w:tbl>
    <w:p w14:paraId="42539177" w14:textId="77777777" w:rsidR="00B4733A" w:rsidRDefault="00B4733A" w:rsidP="00F82058">
      <w:pPr>
        <w:rPr>
          <w:rFonts w:ascii="Arial Narrow" w:hAnsi="Arial Narrow"/>
          <w:snapToGrid w:val="0"/>
          <w:sz w:val="18"/>
          <w:szCs w:val="22"/>
        </w:rPr>
      </w:pPr>
    </w:p>
    <w:p w14:paraId="0D65C61B" w14:textId="1B005601" w:rsidR="00F82058" w:rsidRPr="00FD1145" w:rsidRDefault="00B4733A" w:rsidP="00F82058">
      <w:pPr>
        <w:rPr>
          <w:rFonts w:ascii="Arial Narrow" w:hAnsi="Arial Narrow"/>
          <w:snapToGrid w:val="0"/>
          <w:sz w:val="18"/>
          <w:szCs w:val="22"/>
        </w:rPr>
      </w:pPr>
      <w:r>
        <w:rPr>
          <w:rFonts w:ascii="Arial Narrow" w:hAnsi="Arial Narrow"/>
          <w:snapToGrid w:val="0"/>
          <w:sz w:val="18"/>
          <w:szCs w:val="22"/>
        </w:rPr>
        <w:br w:type="column"/>
      </w:r>
      <w:r w:rsidR="00F82058" w:rsidRPr="00FD1145">
        <w:rPr>
          <w:rFonts w:ascii="Arial Narrow" w:hAnsi="Arial Narrow"/>
          <w:snapToGrid w:val="0"/>
          <w:sz w:val="18"/>
          <w:szCs w:val="22"/>
        </w:rPr>
        <w:lastRenderedPageBreak/>
        <w:t>Source: Tucatinib per-cycle and course costs, dose and duration: Table 3.8.1; capecitabine and trastuzumab dose, duration and costs: Table 3.8.2; underlying inputs from Tables 1.1.4, 3.2.2, 3.10.2, 3.10.4, 3.10.5, 3.13.3, 2.4.6, 4.2.1 and 4.1.2 of the resubmission.</w:t>
      </w:r>
    </w:p>
    <w:p w14:paraId="146DA306" w14:textId="5CE880C4" w:rsidR="00F82058" w:rsidRPr="00FD1145" w:rsidRDefault="00F82058" w:rsidP="00F82058">
      <w:pPr>
        <w:rPr>
          <w:rFonts w:ascii="Arial Narrow" w:hAnsi="Arial Narrow"/>
          <w:snapToGrid w:val="0"/>
          <w:sz w:val="18"/>
          <w:szCs w:val="22"/>
        </w:rPr>
      </w:pPr>
      <w:r w:rsidRPr="00FD1145">
        <w:rPr>
          <w:rFonts w:ascii="Arial Narrow" w:hAnsi="Arial Narrow"/>
          <w:snapToGrid w:val="0"/>
          <w:sz w:val="18"/>
          <w:szCs w:val="22"/>
        </w:rPr>
        <w:t>Abbreviations: EMP ex-manufacturer price; CMA cost-minimisation analysis; CUA cost-utility analysis; DPMA/DPMQ dispensed price for maximum amount/quantity; EMILIA T-DM1 pivotal trial; IV intravenous; NR not reported; Q3W every 3 weeks; RDI relative dose intensity; SC subcutaneous; T-DM1 trastuzumab emtansine.</w:t>
      </w:r>
    </w:p>
    <w:p w14:paraId="64144040" w14:textId="77777777" w:rsidR="00B7472F" w:rsidRPr="00FD1145" w:rsidRDefault="00B7472F" w:rsidP="00B7472F">
      <w:pPr>
        <w:rPr>
          <w:rFonts w:ascii="Arial Narrow" w:hAnsi="Arial Narrow"/>
          <w:snapToGrid w:val="0"/>
          <w:sz w:val="18"/>
          <w:szCs w:val="22"/>
        </w:rPr>
      </w:pPr>
      <w:r w:rsidRPr="00FD1145">
        <w:rPr>
          <w:rFonts w:ascii="Arial" w:hAnsi="Arial"/>
          <w:snapToGrid w:val="0"/>
          <w:sz w:val="18"/>
          <w:szCs w:val="22"/>
        </w:rPr>
        <w:t>ᵃ</w:t>
      </w:r>
      <w:r w:rsidRPr="00FD1145">
        <w:rPr>
          <w:rFonts w:ascii="Arial Narrow" w:hAnsi="Arial Narrow"/>
          <w:snapToGrid w:val="0"/>
          <w:sz w:val="18"/>
          <w:szCs w:val="22"/>
        </w:rPr>
        <w:t xml:space="preserve"> Mean dose </w:t>
      </w:r>
      <w:r w:rsidRPr="009B7D19">
        <w:rPr>
          <w:rFonts w:ascii="Arial Narrow" w:hAnsi="Arial Narrow"/>
          <w:snapToGrid w:val="0"/>
          <w:sz w:val="18"/>
          <w:szCs w:val="22"/>
        </w:rPr>
        <w:t xml:space="preserve">calculations: tucatinib 11,151 mg per 21-day cycle </w:t>
      </w:r>
      <w:r w:rsidRPr="009B7D19">
        <w:rPr>
          <w:rFonts w:ascii="Arial Narrow" w:hAnsi="Arial Narrow" w:cs="Arial Narrow"/>
          <w:snapToGrid w:val="0"/>
          <w:sz w:val="18"/>
          <w:szCs w:val="22"/>
        </w:rPr>
        <w:t xml:space="preserve">/ </w:t>
      </w:r>
      <w:r w:rsidRPr="009B7D19">
        <w:rPr>
          <w:rFonts w:ascii="Arial Narrow" w:hAnsi="Arial Narrow"/>
          <w:snapToGrid w:val="0"/>
          <w:sz w:val="18"/>
          <w:szCs w:val="22"/>
        </w:rPr>
        <w:t xml:space="preserve">21 = 531 mg/day (planned 600 mg/day at 88.5% RDI); T-DM1 250.2 mg per 21-day cycle </w:t>
      </w:r>
      <w:r w:rsidRPr="009B7D19">
        <w:rPr>
          <w:rFonts w:ascii="Arial Narrow" w:hAnsi="Arial Narrow" w:cs="Arial Narrow"/>
          <w:snapToGrid w:val="0"/>
          <w:sz w:val="18"/>
          <w:szCs w:val="22"/>
        </w:rPr>
        <w:t>×</w:t>
      </w:r>
      <w:r w:rsidRPr="009B7D19">
        <w:rPr>
          <w:rFonts w:ascii="Arial Narrow" w:hAnsi="Arial Narrow"/>
          <w:snapToGrid w:val="0"/>
          <w:sz w:val="18"/>
          <w:szCs w:val="22"/>
        </w:rPr>
        <w:t xml:space="preserve"> 97.22% </w:t>
      </w:r>
      <w:r w:rsidRPr="009B7D19">
        <w:rPr>
          <w:rFonts w:ascii="Arial Narrow" w:hAnsi="Arial Narrow" w:cs="Arial Narrow"/>
          <w:snapToGrid w:val="0"/>
          <w:sz w:val="18"/>
          <w:szCs w:val="22"/>
        </w:rPr>
        <w:t>/</w:t>
      </w:r>
      <w:r w:rsidRPr="009B7D19">
        <w:rPr>
          <w:rFonts w:ascii="Arial Narrow" w:hAnsi="Arial Narrow"/>
          <w:snapToGrid w:val="0"/>
          <w:sz w:val="18"/>
          <w:szCs w:val="22"/>
        </w:rPr>
        <w:t xml:space="preserve"> 21</w:t>
      </w:r>
      <w:r w:rsidRPr="00FD1145">
        <w:rPr>
          <w:rFonts w:ascii="Arial Narrow" w:hAnsi="Arial Narrow"/>
          <w:snapToGrid w:val="0"/>
          <w:sz w:val="18"/>
          <w:szCs w:val="22"/>
        </w:rPr>
        <w:t xml:space="preserve"> = 11.58 mg/day.</w:t>
      </w:r>
    </w:p>
    <w:p w14:paraId="77F1C611" w14:textId="1A39AC2D" w:rsidR="00B7472F" w:rsidRPr="00FD1145" w:rsidRDefault="00B7472F" w:rsidP="00B7472F">
      <w:pPr>
        <w:rPr>
          <w:rFonts w:ascii="Arial Narrow" w:hAnsi="Arial Narrow"/>
          <w:snapToGrid w:val="0"/>
          <w:sz w:val="18"/>
          <w:szCs w:val="22"/>
        </w:rPr>
      </w:pPr>
      <w:r w:rsidRPr="00FD1145">
        <w:rPr>
          <w:rFonts w:ascii="Arial" w:hAnsi="Arial"/>
          <w:snapToGrid w:val="0"/>
          <w:sz w:val="18"/>
          <w:szCs w:val="22"/>
        </w:rPr>
        <w:t>ᵇ</w:t>
      </w:r>
      <w:r w:rsidRPr="00FD1145">
        <w:rPr>
          <w:rFonts w:ascii="Arial Narrow" w:hAnsi="Arial Narrow"/>
          <w:snapToGrid w:val="0"/>
          <w:sz w:val="18"/>
          <w:szCs w:val="22"/>
        </w:rPr>
        <w:t xml:space="preserve"> Monthly cost equals course </w:t>
      </w:r>
      <w:r w:rsidRPr="009B7D19">
        <w:rPr>
          <w:rFonts w:ascii="Arial Narrow" w:hAnsi="Arial Narrow"/>
          <w:snapToGrid w:val="0"/>
          <w:sz w:val="18"/>
          <w:szCs w:val="22"/>
        </w:rPr>
        <w:t xml:space="preserve">cost divided by mean duration (months). Calculations: tucatinib </w:t>
      </w:r>
      <w:r w:rsidRPr="005B3FE7">
        <w:rPr>
          <w:rFonts w:ascii="Arial Narrow" w:hAnsi="Arial Narrow"/>
          <w:snapToGrid w:val="0"/>
          <w:sz w:val="18"/>
          <w:szCs w:val="22"/>
        </w:rPr>
        <w:t>trial $</w:t>
      </w:r>
      <w:r w:rsidR="009B6432" w:rsidRPr="009B6432">
        <w:rPr>
          <w:rFonts w:ascii="Arial Narrow" w:hAnsi="Arial Narrow"/>
          <w:snapToGrid w:val="0"/>
          <w:sz w:val="18"/>
          <w:szCs w:val="22"/>
          <w:highlight w:val="black"/>
        </w:rPr>
        <w:t>&amp;&amp;&amp;&amp;</w:t>
      </w:r>
      <w:r w:rsidRPr="005B3FE7">
        <w:rPr>
          <w:rFonts w:ascii="Arial Narrow" w:hAnsi="Arial Narrow"/>
          <w:snapToGrid w:val="0"/>
          <w:sz w:val="18"/>
          <w:szCs w:val="22"/>
        </w:rPr>
        <w:t xml:space="preserve"> </w:t>
      </w:r>
      <w:r w:rsidRPr="005B3FE7">
        <w:rPr>
          <w:rFonts w:ascii="Arial Narrow" w:hAnsi="Arial Narrow" w:cs="Arial Narrow"/>
          <w:snapToGrid w:val="0"/>
          <w:sz w:val="18"/>
          <w:szCs w:val="22"/>
        </w:rPr>
        <w:t>/</w:t>
      </w:r>
      <w:r w:rsidRPr="005B3FE7">
        <w:rPr>
          <w:rFonts w:ascii="Arial Narrow" w:hAnsi="Arial Narrow"/>
          <w:snapToGrid w:val="0"/>
          <w:sz w:val="18"/>
          <w:szCs w:val="22"/>
        </w:rPr>
        <w:t xml:space="preserve"> 7.6 = $</w:t>
      </w:r>
      <w:r w:rsidR="009B6432" w:rsidRPr="009B6432">
        <w:rPr>
          <w:rFonts w:ascii="Arial Narrow" w:hAnsi="Arial Narrow"/>
          <w:snapToGrid w:val="0"/>
          <w:sz w:val="18"/>
          <w:szCs w:val="22"/>
          <w:highlight w:val="black"/>
        </w:rPr>
        <w:t>&amp;&amp;&amp;&amp;</w:t>
      </w:r>
      <w:r w:rsidRPr="005B3FE7">
        <w:rPr>
          <w:rFonts w:ascii="Arial Narrow" w:hAnsi="Arial Narrow"/>
          <w:snapToGrid w:val="0"/>
          <w:sz w:val="18"/>
          <w:szCs w:val="22"/>
        </w:rPr>
        <w:t>; tucatinib CUA</w:t>
      </w:r>
      <w:r w:rsidR="00B57E91" w:rsidRPr="005B3FE7">
        <w:rPr>
          <w:rFonts w:ascii="Arial Narrow" w:hAnsi="Arial Narrow"/>
          <w:snapToGrid w:val="0"/>
          <w:sz w:val="18"/>
          <w:szCs w:val="22"/>
        </w:rPr>
        <w:t xml:space="preserve"> </w:t>
      </w:r>
      <w:r w:rsidRPr="005B3FE7">
        <w:rPr>
          <w:rFonts w:ascii="Arial Narrow" w:hAnsi="Arial Narrow"/>
          <w:snapToGrid w:val="0"/>
          <w:sz w:val="18"/>
          <w:szCs w:val="22"/>
        </w:rPr>
        <w:t xml:space="preserve"> $</w:t>
      </w:r>
      <w:r w:rsidR="009B6432" w:rsidRPr="009B6432">
        <w:rPr>
          <w:rFonts w:ascii="Arial Narrow" w:hAnsi="Arial Narrow"/>
          <w:snapToGrid w:val="0"/>
          <w:sz w:val="18"/>
          <w:szCs w:val="22"/>
          <w:highlight w:val="black"/>
        </w:rPr>
        <w:t>&amp;&amp;&amp;&amp;</w:t>
      </w:r>
      <w:r w:rsidRPr="005B3FE7">
        <w:rPr>
          <w:rFonts w:ascii="Arial Narrow" w:hAnsi="Arial Narrow"/>
          <w:snapToGrid w:val="0"/>
          <w:sz w:val="18"/>
          <w:szCs w:val="22"/>
        </w:rPr>
        <w:t xml:space="preserve"> </w:t>
      </w:r>
      <w:r w:rsidRPr="005B3FE7">
        <w:rPr>
          <w:rFonts w:ascii="Arial Narrow" w:hAnsi="Arial Narrow" w:cs="Arial Narrow"/>
          <w:snapToGrid w:val="0"/>
          <w:sz w:val="18"/>
          <w:szCs w:val="22"/>
        </w:rPr>
        <w:t>/</w:t>
      </w:r>
      <w:r w:rsidRPr="005B3FE7">
        <w:rPr>
          <w:rFonts w:ascii="Arial Narrow" w:hAnsi="Arial Narrow"/>
          <w:snapToGrid w:val="0"/>
          <w:sz w:val="18"/>
          <w:szCs w:val="22"/>
        </w:rPr>
        <w:t xml:space="preserve"> 11.43 = $</w:t>
      </w:r>
      <w:r w:rsidR="009B6432" w:rsidRPr="009B6432">
        <w:rPr>
          <w:rFonts w:ascii="Arial Narrow" w:hAnsi="Arial Narrow"/>
          <w:snapToGrid w:val="0"/>
          <w:sz w:val="18"/>
          <w:szCs w:val="22"/>
          <w:highlight w:val="black"/>
        </w:rPr>
        <w:t>&amp;&amp;&amp;&amp;</w:t>
      </w:r>
      <w:r w:rsidR="00B57E91" w:rsidRPr="005B3FE7">
        <w:rPr>
          <w:rFonts w:ascii="Arial Narrow" w:hAnsi="Arial Narrow"/>
          <w:snapToGrid w:val="0"/>
          <w:sz w:val="18"/>
          <w:szCs w:val="22"/>
        </w:rPr>
        <w:t xml:space="preserve"> (undiscounted tucatinib costs, excluding </w:t>
      </w:r>
      <w:r w:rsidR="00FF03C3" w:rsidRPr="005B3FE7">
        <w:rPr>
          <w:rFonts w:ascii="Arial Narrow" w:hAnsi="Arial Narrow"/>
          <w:snapToGrid w:val="0"/>
          <w:sz w:val="18"/>
          <w:szCs w:val="22"/>
        </w:rPr>
        <w:t>capecitabine+trastuzumab</w:t>
      </w:r>
      <w:r w:rsidR="00DA016E" w:rsidRPr="005B3FE7">
        <w:rPr>
          <w:rFonts w:ascii="Arial Narrow" w:hAnsi="Arial Narrow"/>
          <w:snapToGrid w:val="0"/>
          <w:sz w:val="18"/>
          <w:szCs w:val="22"/>
        </w:rPr>
        <w:t xml:space="preserve">; also aligns with tucatinib cost per </w:t>
      </w:r>
      <w:r w:rsidR="009B7D19" w:rsidRPr="005B3FE7">
        <w:rPr>
          <w:rFonts w:ascii="Arial Narrow" w:hAnsi="Arial Narrow"/>
          <w:snapToGrid w:val="0"/>
          <w:sz w:val="18"/>
          <w:szCs w:val="22"/>
        </w:rPr>
        <w:t xml:space="preserve">21-day </w:t>
      </w:r>
      <w:r w:rsidR="00DA016E" w:rsidRPr="005B3FE7">
        <w:rPr>
          <w:rFonts w:ascii="Arial Narrow" w:hAnsi="Arial Narrow"/>
          <w:snapToGrid w:val="0"/>
          <w:sz w:val="18"/>
          <w:szCs w:val="22"/>
        </w:rPr>
        <w:t>cycle of $</w:t>
      </w:r>
      <w:r w:rsidR="009B6432" w:rsidRPr="009B6432">
        <w:rPr>
          <w:rFonts w:ascii="Arial Narrow" w:hAnsi="Arial Narrow"/>
          <w:snapToGrid w:val="0"/>
          <w:sz w:val="18"/>
          <w:szCs w:val="22"/>
          <w:highlight w:val="black"/>
        </w:rPr>
        <w:t>&amp;&amp;&amp;&amp;</w:t>
      </w:r>
      <w:r w:rsidR="00FF03C3" w:rsidRPr="005B3FE7">
        <w:rPr>
          <w:rFonts w:ascii="Arial Narrow" w:hAnsi="Arial Narrow"/>
          <w:snapToGrid w:val="0"/>
          <w:sz w:val="18"/>
          <w:szCs w:val="22"/>
        </w:rPr>
        <w:t>)</w:t>
      </w:r>
      <w:r w:rsidRPr="005B3FE7">
        <w:rPr>
          <w:rFonts w:ascii="Arial Narrow" w:hAnsi="Arial Narrow"/>
          <w:snapToGrid w:val="0"/>
          <w:sz w:val="18"/>
          <w:szCs w:val="22"/>
        </w:rPr>
        <w:t xml:space="preserve">; </w:t>
      </w:r>
      <w:r w:rsidR="00FE13E2" w:rsidRPr="005B3FE7">
        <w:rPr>
          <w:rFonts w:ascii="Arial Narrow" w:hAnsi="Arial Narrow"/>
          <w:snapToGrid w:val="0"/>
          <w:sz w:val="18"/>
          <w:szCs w:val="22"/>
        </w:rPr>
        <w:t xml:space="preserve">tucatinib CMA = </w:t>
      </w:r>
      <w:r w:rsidR="00A560F0" w:rsidRPr="005B3FE7">
        <w:rPr>
          <w:rFonts w:ascii="Arial Narrow" w:hAnsi="Arial Narrow"/>
          <w:snapToGrid w:val="0"/>
          <w:sz w:val="18"/>
          <w:szCs w:val="22"/>
        </w:rPr>
        <w:t>$</w:t>
      </w:r>
      <w:r w:rsidR="009B6432" w:rsidRPr="009B6432">
        <w:rPr>
          <w:rFonts w:ascii="Arial Narrow" w:hAnsi="Arial Narrow"/>
          <w:snapToGrid w:val="0"/>
          <w:sz w:val="18"/>
          <w:szCs w:val="22"/>
          <w:highlight w:val="black"/>
        </w:rPr>
        <w:t>&amp;&amp;&amp;&amp;</w:t>
      </w:r>
      <w:r w:rsidR="00A560F0" w:rsidRPr="005B3FE7">
        <w:rPr>
          <w:rFonts w:ascii="Arial Narrow" w:hAnsi="Arial Narrow"/>
          <w:snapToGrid w:val="0"/>
          <w:sz w:val="18"/>
          <w:szCs w:val="22"/>
        </w:rPr>
        <w:t xml:space="preserve"> /12; </w:t>
      </w:r>
      <w:r w:rsidRPr="005B3FE7">
        <w:rPr>
          <w:rFonts w:ascii="Arial Narrow" w:hAnsi="Arial Narrow"/>
          <w:snapToGrid w:val="0"/>
          <w:sz w:val="18"/>
          <w:szCs w:val="22"/>
        </w:rPr>
        <w:t>tucatinib financial $</w:t>
      </w:r>
      <w:r w:rsidR="009B6432" w:rsidRPr="009B6432">
        <w:rPr>
          <w:rFonts w:ascii="Arial Narrow" w:hAnsi="Arial Narrow"/>
          <w:snapToGrid w:val="0"/>
          <w:sz w:val="18"/>
          <w:szCs w:val="22"/>
          <w:highlight w:val="black"/>
        </w:rPr>
        <w:t>&amp;&amp;&amp;&amp;</w:t>
      </w:r>
      <w:r w:rsidR="00185A36" w:rsidRPr="005B3FE7">
        <w:rPr>
          <w:rFonts w:ascii="Arial Narrow" w:hAnsi="Arial Narrow"/>
          <w:snapToGrid w:val="0"/>
          <w:sz w:val="18"/>
          <w:szCs w:val="22"/>
        </w:rPr>
        <w:t xml:space="preserve"> </w:t>
      </w:r>
      <w:r w:rsidRPr="005B3FE7">
        <w:rPr>
          <w:rFonts w:ascii="Arial Narrow" w:hAnsi="Arial Narrow" w:cs="Arial Narrow"/>
          <w:snapToGrid w:val="0"/>
          <w:sz w:val="18"/>
          <w:szCs w:val="22"/>
        </w:rPr>
        <w:t>/</w:t>
      </w:r>
      <w:r w:rsidRPr="005B3FE7">
        <w:rPr>
          <w:rFonts w:ascii="Arial Narrow" w:hAnsi="Arial Narrow"/>
          <w:snapToGrid w:val="0"/>
          <w:sz w:val="18"/>
          <w:szCs w:val="22"/>
        </w:rPr>
        <w:t xml:space="preserve"> 11.43 = $</w:t>
      </w:r>
      <w:r w:rsidR="009B6432" w:rsidRPr="009B6432">
        <w:rPr>
          <w:rFonts w:ascii="Arial Narrow" w:hAnsi="Arial Narrow"/>
          <w:snapToGrid w:val="0"/>
          <w:sz w:val="18"/>
          <w:szCs w:val="22"/>
          <w:highlight w:val="black"/>
        </w:rPr>
        <w:t>&amp;&amp;&amp;&amp;</w:t>
      </w:r>
      <w:r w:rsidRPr="005B3FE7">
        <w:rPr>
          <w:rFonts w:ascii="Arial Narrow" w:hAnsi="Arial Narrow"/>
          <w:snapToGrid w:val="0"/>
          <w:sz w:val="18"/>
          <w:szCs w:val="22"/>
        </w:rPr>
        <w:t xml:space="preserve">; </w:t>
      </w:r>
      <w:proofErr w:type="spellStart"/>
      <w:r w:rsidRPr="005B3FE7">
        <w:rPr>
          <w:rFonts w:ascii="Arial Narrow" w:hAnsi="Arial Narrow"/>
          <w:snapToGrid w:val="0"/>
          <w:sz w:val="18"/>
          <w:szCs w:val="22"/>
        </w:rPr>
        <w:t>capecitabine</w:t>
      </w:r>
      <w:r w:rsidRPr="00FD1145">
        <w:rPr>
          <w:rFonts w:ascii="Arial Narrow" w:hAnsi="Arial Narrow"/>
          <w:snapToGrid w:val="0"/>
          <w:sz w:val="18"/>
          <w:szCs w:val="22"/>
        </w:rPr>
        <w:t>+trastuzumab</w:t>
      </w:r>
      <w:proofErr w:type="spellEnd"/>
      <w:r w:rsidRPr="00FD1145">
        <w:rPr>
          <w:rFonts w:ascii="Arial Narrow" w:hAnsi="Arial Narrow"/>
          <w:snapToGrid w:val="0"/>
          <w:sz w:val="18"/>
          <w:szCs w:val="22"/>
        </w:rPr>
        <w:t xml:space="preserve"> trial $3,582.68 </w:t>
      </w:r>
      <w:r w:rsidRPr="00FD1145">
        <w:rPr>
          <w:rFonts w:ascii="Arial Narrow" w:hAnsi="Arial Narrow" w:cs="Arial Narrow"/>
          <w:snapToGrid w:val="0"/>
          <w:sz w:val="18"/>
          <w:szCs w:val="22"/>
        </w:rPr>
        <w:t>/</w:t>
      </w:r>
      <w:r w:rsidRPr="00FD1145">
        <w:rPr>
          <w:rFonts w:ascii="Arial Narrow" w:hAnsi="Arial Narrow"/>
          <w:snapToGrid w:val="0"/>
          <w:sz w:val="18"/>
          <w:szCs w:val="22"/>
        </w:rPr>
        <w:t xml:space="preserve"> 5.11 = $701.72; capecitabine+trastuzumab financial $5,323.86 </w:t>
      </w:r>
      <w:r w:rsidRPr="00FD1145">
        <w:rPr>
          <w:rFonts w:ascii="Arial Narrow" w:hAnsi="Arial Narrow" w:cs="Arial Narrow"/>
          <w:snapToGrid w:val="0"/>
          <w:sz w:val="18"/>
          <w:szCs w:val="22"/>
        </w:rPr>
        <w:t>/</w:t>
      </w:r>
      <w:r w:rsidRPr="00FD1145">
        <w:rPr>
          <w:rFonts w:ascii="Arial Narrow" w:hAnsi="Arial Narrow"/>
          <w:snapToGrid w:val="0"/>
          <w:sz w:val="18"/>
          <w:szCs w:val="22"/>
        </w:rPr>
        <w:t xml:space="preserve"> 7.75 = $686.95; </w:t>
      </w:r>
      <w:r w:rsidRPr="007C776F">
        <w:rPr>
          <w:rFonts w:ascii="Arial Narrow" w:hAnsi="Arial Narrow"/>
          <w:snapToGrid w:val="0"/>
          <w:sz w:val="18"/>
          <w:szCs w:val="22"/>
        </w:rPr>
        <w:t>T-DM1 CMA model $</w:t>
      </w:r>
      <w:r w:rsidR="00DC3D8C" w:rsidRPr="007C776F">
        <w:rPr>
          <w:rFonts w:ascii="Arial Narrow" w:hAnsi="Arial Narrow"/>
          <w:snapToGrid w:val="0"/>
          <w:sz w:val="18"/>
          <w:szCs w:val="22"/>
        </w:rPr>
        <w:t>71,123</w:t>
      </w:r>
      <w:r w:rsidRPr="007C776F">
        <w:rPr>
          <w:rFonts w:ascii="Arial Narrow" w:hAnsi="Arial Narrow"/>
          <w:snapToGrid w:val="0"/>
          <w:sz w:val="18"/>
          <w:szCs w:val="22"/>
        </w:rPr>
        <w:t xml:space="preserve"> </w:t>
      </w:r>
      <w:r w:rsidRPr="007C776F">
        <w:rPr>
          <w:rFonts w:ascii="Arial Narrow" w:hAnsi="Arial Narrow" w:cs="Arial Narrow"/>
          <w:snapToGrid w:val="0"/>
          <w:sz w:val="18"/>
          <w:szCs w:val="22"/>
        </w:rPr>
        <w:t>/</w:t>
      </w:r>
      <w:r w:rsidRPr="007C776F">
        <w:rPr>
          <w:rFonts w:ascii="Arial Narrow" w:hAnsi="Arial Narrow"/>
          <w:snapToGrid w:val="0"/>
          <w:sz w:val="18"/>
          <w:szCs w:val="22"/>
        </w:rPr>
        <w:t xml:space="preserve"> 12 = $5,</w:t>
      </w:r>
      <w:r w:rsidR="00DC3D8C" w:rsidRPr="007C776F">
        <w:rPr>
          <w:rFonts w:ascii="Arial Narrow" w:hAnsi="Arial Narrow"/>
          <w:snapToGrid w:val="0"/>
          <w:sz w:val="18"/>
          <w:szCs w:val="22"/>
        </w:rPr>
        <w:t>927</w:t>
      </w:r>
      <w:r w:rsidRPr="007C776F">
        <w:rPr>
          <w:rFonts w:ascii="Arial Narrow" w:hAnsi="Arial Narrow"/>
          <w:snapToGrid w:val="0"/>
          <w:sz w:val="18"/>
          <w:szCs w:val="22"/>
        </w:rPr>
        <w:t>; T-DM1 financial $</w:t>
      </w:r>
      <w:r w:rsidR="00B36B88" w:rsidRPr="007C776F">
        <w:rPr>
          <w:rFonts w:ascii="Arial Narrow" w:hAnsi="Arial Narrow"/>
          <w:snapToGrid w:val="0"/>
          <w:sz w:val="18"/>
          <w:szCs w:val="22"/>
        </w:rPr>
        <w:t>4,301.73 weighted DPMA</w:t>
      </w:r>
      <w:r w:rsidR="00CE04CF" w:rsidRPr="007C776F">
        <w:rPr>
          <w:rFonts w:ascii="Arial Narrow" w:hAnsi="Arial Narrow"/>
          <w:snapToGrid w:val="0"/>
          <w:sz w:val="18"/>
          <w:szCs w:val="22"/>
        </w:rPr>
        <w:t xml:space="preserve"> * (30.4 days per month / 21 days per cycle)</w:t>
      </w:r>
      <w:r w:rsidRPr="007C776F">
        <w:rPr>
          <w:rFonts w:ascii="Arial Narrow" w:hAnsi="Arial Narrow"/>
          <w:snapToGrid w:val="0"/>
          <w:sz w:val="18"/>
          <w:szCs w:val="22"/>
        </w:rPr>
        <w:t xml:space="preserve"> = $</w:t>
      </w:r>
      <w:r w:rsidR="00CE04CF" w:rsidRPr="007C776F">
        <w:rPr>
          <w:rFonts w:ascii="Arial Narrow" w:hAnsi="Arial Narrow"/>
          <w:snapToGrid w:val="0"/>
          <w:sz w:val="18"/>
          <w:szCs w:val="22"/>
        </w:rPr>
        <w:t>6,091</w:t>
      </w:r>
      <w:r w:rsidRPr="007C776F">
        <w:rPr>
          <w:rFonts w:ascii="Arial Narrow" w:hAnsi="Arial Narrow"/>
          <w:snapToGrid w:val="0"/>
          <w:sz w:val="18"/>
          <w:szCs w:val="22"/>
        </w:rPr>
        <w:t>.</w:t>
      </w:r>
    </w:p>
    <w:p w14:paraId="11486CD2" w14:textId="77777777" w:rsidR="00B7472F" w:rsidRPr="00FD1145" w:rsidRDefault="00B7472F" w:rsidP="00313A33">
      <w:pPr>
        <w:spacing w:after="240"/>
        <w:rPr>
          <w:rFonts w:ascii="Arial Narrow" w:hAnsi="Arial Narrow"/>
          <w:snapToGrid w:val="0"/>
          <w:sz w:val="18"/>
          <w:szCs w:val="22"/>
        </w:rPr>
      </w:pPr>
      <w:r w:rsidRPr="00FD1145">
        <w:rPr>
          <w:rFonts w:ascii="Arial" w:hAnsi="Arial"/>
          <w:snapToGrid w:val="0"/>
          <w:sz w:val="18"/>
          <w:szCs w:val="22"/>
        </w:rPr>
        <w:t>ᶜ</w:t>
      </w:r>
      <w:r w:rsidRPr="00FD1145">
        <w:rPr>
          <w:rFonts w:ascii="Arial Narrow" w:hAnsi="Arial Narrow"/>
          <w:snapToGrid w:val="0"/>
          <w:sz w:val="18"/>
          <w:szCs w:val="22"/>
        </w:rPr>
        <w:t xml:space="preserve"> One-year CMA horizon used for T-DM1; for Q3W dosing this is 365.25 days </w:t>
      </w:r>
      <w:r w:rsidRPr="00FD1145">
        <w:rPr>
          <w:rFonts w:ascii="Arial Narrow" w:hAnsi="Arial Narrow" w:cs="Arial Narrow"/>
          <w:snapToGrid w:val="0"/>
          <w:sz w:val="18"/>
          <w:szCs w:val="22"/>
        </w:rPr>
        <w:t>/</w:t>
      </w:r>
      <w:r w:rsidRPr="00FD1145">
        <w:rPr>
          <w:rFonts w:ascii="Arial Narrow" w:hAnsi="Arial Narrow"/>
          <w:snapToGrid w:val="0"/>
          <w:sz w:val="18"/>
          <w:szCs w:val="22"/>
        </w:rPr>
        <w:t xml:space="preserve"> 21 days = 17.39 doses.</w:t>
      </w:r>
    </w:p>
    <w:p w14:paraId="3F0A15EA" w14:textId="6F24146D" w:rsidR="00313A33" w:rsidRPr="00FD1145" w:rsidRDefault="00BA085C" w:rsidP="00600044">
      <w:pPr>
        <w:pStyle w:val="3-BodyText"/>
      </w:pPr>
      <w:bookmarkStart w:id="77" w:name="_Toc22897647"/>
      <w:r w:rsidRPr="00FD1145">
        <w:t>T</w:t>
      </w:r>
      <w:r w:rsidR="00A9704A" w:rsidRPr="00FD1145">
        <w:t xml:space="preserve">he </w:t>
      </w:r>
      <w:r w:rsidR="00137C12">
        <w:t xml:space="preserve">economic </w:t>
      </w:r>
      <w:r w:rsidR="000D7EDB">
        <w:t>analyse</w:t>
      </w:r>
      <w:r w:rsidR="00137C12">
        <w:t xml:space="preserve">s (the </w:t>
      </w:r>
      <w:r w:rsidRPr="00FD1145">
        <w:t xml:space="preserve">CMA </w:t>
      </w:r>
      <w:r w:rsidR="00137C12">
        <w:t xml:space="preserve">and CUA) </w:t>
      </w:r>
      <w:r w:rsidRPr="00FD1145">
        <w:t xml:space="preserve">and </w:t>
      </w:r>
      <w:r w:rsidR="00137C12">
        <w:t xml:space="preserve">the </w:t>
      </w:r>
      <w:r w:rsidR="00A9704A" w:rsidRPr="00FD1145">
        <w:t>financial</w:t>
      </w:r>
      <w:r w:rsidRPr="00FD1145">
        <w:t xml:space="preserve"> estimates included different calculations of the </w:t>
      </w:r>
      <w:r w:rsidR="00600044" w:rsidRPr="00FD1145">
        <w:t xml:space="preserve">RDI / compliance for </w:t>
      </w:r>
      <w:r w:rsidR="00E0449C" w:rsidRPr="00FD1145">
        <w:t>tucatinib</w:t>
      </w:r>
      <w:r w:rsidR="00600044" w:rsidRPr="00FD1145">
        <w:t xml:space="preserve">: </w:t>
      </w:r>
      <w:r w:rsidR="004C63CA" w:rsidRPr="00FD1145">
        <w:t>88.5% RDI was assumed</w:t>
      </w:r>
      <w:r w:rsidR="00985966" w:rsidRPr="00FD1145">
        <w:t xml:space="preserve"> in the </w:t>
      </w:r>
      <w:r w:rsidR="000D7EDB">
        <w:t>economic analyses (CMA and CUA)</w:t>
      </w:r>
      <w:r w:rsidR="00985966" w:rsidRPr="00FD1145">
        <w:t xml:space="preserve">, while the financials used </w:t>
      </w:r>
      <w:r w:rsidR="00D95B8B" w:rsidRPr="00FD1145">
        <w:t>the distribution of doses from the trial</w:t>
      </w:r>
      <w:r w:rsidR="000950FE" w:rsidRPr="00FD1145">
        <w:t xml:space="preserve"> (which resulted in an </w:t>
      </w:r>
      <w:r w:rsidR="00827DA6" w:rsidRPr="00FD1145">
        <w:t>RDI of</w:t>
      </w:r>
      <w:r w:rsidR="000950FE" w:rsidRPr="00FD1145">
        <w:t xml:space="preserve"> around </w:t>
      </w:r>
      <w:r w:rsidR="00827DA6" w:rsidRPr="00FD1145">
        <w:t xml:space="preserve">95%, </w:t>
      </w:r>
      <w:r w:rsidR="00F3135A" w:rsidRPr="00FD1145">
        <w:t xml:space="preserve">however </w:t>
      </w:r>
      <w:r w:rsidR="00827DA6" w:rsidRPr="00FD1145">
        <w:t>this was based on patients</w:t>
      </w:r>
      <w:r w:rsidR="004F78D7" w:rsidRPr="00FD1145">
        <w:t xml:space="preserve"> who discontinued being assumed to </w:t>
      </w:r>
      <w:r w:rsidR="00A81B5D" w:rsidRPr="00FD1145">
        <w:t>have full compliance</w:t>
      </w:r>
      <w:r w:rsidR="00640C7C" w:rsidRPr="00FD1145">
        <w:t>, which did not seem reasonable</w:t>
      </w:r>
      <w:r w:rsidR="00A81B5D" w:rsidRPr="00FD1145">
        <w:t>)</w:t>
      </w:r>
      <w:r w:rsidR="00600044" w:rsidRPr="00FD1145">
        <w:t>.</w:t>
      </w:r>
    </w:p>
    <w:p w14:paraId="145BDCE5" w14:textId="64120E5C" w:rsidR="00F84089" w:rsidRPr="00FD1145" w:rsidRDefault="00F84089" w:rsidP="00230B9C">
      <w:pPr>
        <w:pStyle w:val="4-SubsectionHeading"/>
      </w:pPr>
      <w:bookmarkStart w:id="78" w:name="_Toc208931313"/>
      <w:r w:rsidRPr="00FD1145">
        <w:t>Estimated PBS usage &amp; financial implications</w:t>
      </w:r>
      <w:bookmarkEnd w:id="77"/>
      <w:bookmarkEnd w:id="78"/>
    </w:p>
    <w:p w14:paraId="2335F1B8" w14:textId="0461B955" w:rsidR="00F84089" w:rsidRPr="00FD1145" w:rsidRDefault="00F84089" w:rsidP="00F84089">
      <w:pPr>
        <w:pStyle w:val="3-BodyText"/>
        <w:rPr>
          <w:color w:val="0066FF"/>
        </w:rPr>
      </w:pPr>
      <w:r w:rsidRPr="00FD1145">
        <w:t>The resubmission used an epidemiological approach to estimate the utilisation and financial impact of listing tucatinib on the PBS/</w:t>
      </w:r>
      <w:r w:rsidR="002A480D" w:rsidRPr="00FD1145">
        <w:t>Repatriation Pharmaceutical Benefits Scheme (</w:t>
      </w:r>
      <w:r w:rsidRPr="00FD1145">
        <w:t>RPBS</w:t>
      </w:r>
      <w:r w:rsidR="002A480D" w:rsidRPr="00FD1145">
        <w:t>)</w:t>
      </w:r>
      <w:r w:rsidRPr="00FD1145">
        <w:t xml:space="preserve">. The key inputs used </w:t>
      </w:r>
      <w:r w:rsidR="00950D9D" w:rsidRPr="00FD1145">
        <w:t>are</w:t>
      </w:r>
      <w:r w:rsidRPr="00FD1145">
        <w:t xml:space="preserve"> presented in </w:t>
      </w:r>
      <w:r w:rsidR="007602A1" w:rsidRPr="00FD1145">
        <w:fldChar w:fldCharType="begin"/>
      </w:r>
      <w:r w:rsidR="007602A1" w:rsidRPr="00FD1145">
        <w:instrText xml:space="preserve"> REF _Ref207370369 \h </w:instrText>
      </w:r>
      <w:r w:rsidR="00C33092" w:rsidRPr="00FD1145">
        <w:instrText xml:space="preserve"> \* MERGEFORMAT </w:instrText>
      </w:r>
      <w:r w:rsidR="007602A1" w:rsidRPr="00FD1145">
        <w:fldChar w:fldCharType="separate"/>
      </w:r>
      <w:r w:rsidR="009B3037" w:rsidRPr="00FD1145">
        <w:t xml:space="preserve">Table </w:t>
      </w:r>
      <w:r w:rsidR="009B3037">
        <w:rPr>
          <w:noProof/>
        </w:rPr>
        <w:t>19</w:t>
      </w:r>
      <w:r w:rsidR="007602A1" w:rsidRPr="00FD1145">
        <w:fldChar w:fldCharType="end"/>
      </w:r>
      <w:r w:rsidRPr="00FD1145">
        <w:t>.</w:t>
      </w:r>
    </w:p>
    <w:p w14:paraId="3C4B8C9B" w14:textId="35A85CFC" w:rsidR="00F84089" w:rsidRPr="00FD1145" w:rsidRDefault="00F84089" w:rsidP="00101EF0">
      <w:pPr>
        <w:pStyle w:val="Caption"/>
        <w:spacing w:before="240"/>
      </w:pPr>
      <w:bookmarkStart w:id="79" w:name="_Ref207370369"/>
      <w:r w:rsidRPr="00FD1145">
        <w:t xml:space="preserve">Table </w:t>
      </w:r>
      <w:r w:rsidR="006B7CCD">
        <w:fldChar w:fldCharType="begin"/>
      </w:r>
      <w:r w:rsidR="006B7CCD">
        <w:instrText xml:space="preserve"> SEQ Table \* ARABIC </w:instrText>
      </w:r>
      <w:r w:rsidR="006B7CCD">
        <w:fldChar w:fldCharType="separate"/>
      </w:r>
      <w:r w:rsidR="009B3037">
        <w:rPr>
          <w:noProof/>
        </w:rPr>
        <w:t>19</w:t>
      </w:r>
      <w:r w:rsidR="006B7CCD">
        <w:rPr>
          <w:noProof/>
        </w:rPr>
        <w:fldChar w:fldCharType="end"/>
      </w:r>
      <w:bookmarkEnd w:id="79"/>
      <w:r w:rsidRPr="00FD1145">
        <w:t>: Data sources and parameter values applied in the utilisation and financial estimates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Data sources and parameter values applied in the utilisation and financial estimates"/>
      </w:tblPr>
      <w:tblGrid>
        <w:gridCol w:w="1672"/>
        <w:gridCol w:w="2262"/>
        <w:gridCol w:w="2015"/>
        <w:gridCol w:w="3231"/>
      </w:tblGrid>
      <w:tr w:rsidR="006F3EED" w:rsidRPr="00FD1145" w14:paraId="35FD255C" w14:textId="77777777" w:rsidTr="00704B85">
        <w:trPr>
          <w:tblHeader/>
        </w:trPr>
        <w:tc>
          <w:tcPr>
            <w:tcW w:w="1672" w:type="dxa"/>
            <w:vAlign w:val="center"/>
          </w:tcPr>
          <w:p w14:paraId="395DE9C8" w14:textId="77777777" w:rsidR="00F84089" w:rsidRPr="00FD1145" w:rsidRDefault="00F84089" w:rsidP="008B1086">
            <w:pPr>
              <w:keepNext/>
              <w:keepLines/>
              <w:jc w:val="center"/>
              <w:rPr>
                <w:rFonts w:ascii="Arial Narrow" w:eastAsiaTheme="majorEastAsia" w:hAnsi="Arial Narrow" w:cs="Times New Roman"/>
                <w:b/>
                <w:sz w:val="20"/>
              </w:rPr>
            </w:pPr>
            <w:r w:rsidRPr="00FD1145">
              <w:rPr>
                <w:rFonts w:ascii="Arial Narrow" w:eastAsiaTheme="majorEastAsia" w:hAnsi="Arial Narrow" w:cs="Times New Roman"/>
                <w:b/>
                <w:sz w:val="20"/>
              </w:rPr>
              <w:t>Data</w:t>
            </w:r>
          </w:p>
        </w:tc>
        <w:tc>
          <w:tcPr>
            <w:tcW w:w="2262" w:type="dxa"/>
            <w:vAlign w:val="center"/>
          </w:tcPr>
          <w:p w14:paraId="62DE5E78" w14:textId="77777777" w:rsidR="00F84089" w:rsidRPr="00FD1145" w:rsidRDefault="00F84089" w:rsidP="008B1086">
            <w:pPr>
              <w:keepNext/>
              <w:keepLines/>
              <w:jc w:val="center"/>
              <w:rPr>
                <w:rFonts w:ascii="Arial Narrow" w:eastAsiaTheme="majorEastAsia" w:hAnsi="Arial Narrow" w:cs="Times New Roman"/>
                <w:b/>
                <w:sz w:val="20"/>
              </w:rPr>
            </w:pPr>
            <w:r w:rsidRPr="00FD1145">
              <w:rPr>
                <w:rFonts w:ascii="Arial Narrow" w:eastAsiaTheme="majorEastAsia" w:hAnsi="Arial Narrow" w:cs="Times New Roman"/>
                <w:b/>
                <w:sz w:val="20"/>
              </w:rPr>
              <w:t>Value</w:t>
            </w:r>
          </w:p>
        </w:tc>
        <w:tc>
          <w:tcPr>
            <w:tcW w:w="2015" w:type="dxa"/>
            <w:vAlign w:val="center"/>
          </w:tcPr>
          <w:p w14:paraId="07DB0002" w14:textId="77777777" w:rsidR="00F84089" w:rsidRPr="00FD1145" w:rsidRDefault="00F84089" w:rsidP="008B1086">
            <w:pPr>
              <w:keepNext/>
              <w:keepLines/>
              <w:jc w:val="center"/>
              <w:rPr>
                <w:rFonts w:ascii="Arial Narrow" w:eastAsiaTheme="majorEastAsia" w:hAnsi="Arial Narrow" w:cs="Times New Roman"/>
                <w:b/>
                <w:sz w:val="20"/>
              </w:rPr>
            </w:pPr>
            <w:r w:rsidRPr="00FD1145">
              <w:rPr>
                <w:rFonts w:ascii="Arial Narrow" w:eastAsiaTheme="majorEastAsia" w:hAnsi="Arial Narrow" w:cs="Times New Roman"/>
                <w:b/>
                <w:sz w:val="20"/>
              </w:rPr>
              <w:t>Source</w:t>
            </w:r>
          </w:p>
        </w:tc>
        <w:tc>
          <w:tcPr>
            <w:tcW w:w="3231" w:type="dxa"/>
            <w:vAlign w:val="center"/>
          </w:tcPr>
          <w:p w14:paraId="779BFB1B" w14:textId="77777777" w:rsidR="00F84089" w:rsidRPr="00FD1145" w:rsidRDefault="00F84089" w:rsidP="008B1086">
            <w:pPr>
              <w:keepNext/>
              <w:keepLines/>
              <w:jc w:val="center"/>
              <w:rPr>
                <w:rFonts w:ascii="Arial Narrow" w:eastAsiaTheme="majorEastAsia" w:hAnsi="Arial Narrow" w:cs="Times New Roman"/>
                <w:b/>
                <w:sz w:val="20"/>
              </w:rPr>
            </w:pPr>
            <w:r w:rsidRPr="00FD1145">
              <w:rPr>
                <w:rFonts w:ascii="Arial Narrow" w:eastAsiaTheme="majorEastAsia" w:hAnsi="Arial Narrow" w:cs="Times New Roman"/>
                <w:b/>
                <w:sz w:val="20"/>
              </w:rPr>
              <w:t>Comment</w:t>
            </w:r>
          </w:p>
        </w:tc>
      </w:tr>
      <w:tr w:rsidR="00F84089" w:rsidRPr="00FD1145" w14:paraId="46FE4E92" w14:textId="77777777" w:rsidTr="008B1086">
        <w:tc>
          <w:tcPr>
            <w:tcW w:w="9180" w:type="dxa"/>
            <w:gridSpan w:val="4"/>
            <w:vAlign w:val="center"/>
          </w:tcPr>
          <w:p w14:paraId="4B8EF949" w14:textId="77777777" w:rsidR="00F84089" w:rsidRPr="00FD1145" w:rsidRDefault="00F84089" w:rsidP="008B1086">
            <w:pPr>
              <w:keepNext/>
              <w:keepLines/>
              <w:jc w:val="left"/>
              <w:rPr>
                <w:rFonts w:ascii="Arial Narrow" w:eastAsiaTheme="majorEastAsia" w:hAnsi="Arial Narrow" w:cs="Times New Roman"/>
                <w:b/>
                <w:sz w:val="20"/>
              </w:rPr>
            </w:pPr>
            <w:r w:rsidRPr="00FD1145">
              <w:rPr>
                <w:rFonts w:ascii="Arial Narrow" w:eastAsiaTheme="majorEastAsia" w:hAnsi="Arial Narrow" w:cs="Times New Roman"/>
                <w:b/>
                <w:sz w:val="20"/>
              </w:rPr>
              <w:t>Eligible population</w:t>
            </w:r>
          </w:p>
        </w:tc>
      </w:tr>
      <w:tr w:rsidR="006F3EED" w:rsidRPr="00FD1145" w14:paraId="22E33B30" w14:textId="77777777" w:rsidTr="00704B85">
        <w:tc>
          <w:tcPr>
            <w:tcW w:w="1672" w:type="dxa"/>
            <w:vAlign w:val="center"/>
          </w:tcPr>
          <w:p w14:paraId="251903D8"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T</w:t>
            </w:r>
            <w:r w:rsidRPr="00FD1145">
              <w:rPr>
                <w:rFonts w:ascii="Cambria Math" w:hAnsi="Cambria Math" w:cs="Cambria Math"/>
                <w:snapToGrid w:val="0"/>
                <w:sz w:val="20"/>
              </w:rPr>
              <w:t>‑</w:t>
            </w:r>
            <w:proofErr w:type="spellStart"/>
            <w:r w:rsidRPr="00FD1145">
              <w:rPr>
                <w:rFonts w:ascii="Arial Narrow" w:hAnsi="Arial Narrow" w:cs="Times New Roman"/>
                <w:snapToGrid w:val="0"/>
                <w:sz w:val="20"/>
              </w:rPr>
              <w:t>DXd</w:t>
            </w:r>
            <w:proofErr w:type="spellEnd"/>
            <w:r w:rsidRPr="00FD1145">
              <w:rPr>
                <w:rFonts w:ascii="Arial Narrow" w:hAnsi="Arial Narrow" w:cs="Times New Roman"/>
                <w:snapToGrid w:val="0"/>
                <w:sz w:val="20"/>
              </w:rPr>
              <w:t xml:space="preserve"> PBS initiations per year</w:t>
            </w:r>
          </w:p>
        </w:tc>
        <w:tc>
          <w:tcPr>
            <w:tcW w:w="2262" w:type="dxa"/>
            <w:vAlign w:val="center"/>
          </w:tcPr>
          <w:p w14:paraId="4BB52FEA"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Monthly PBS data on T-</w:t>
            </w:r>
            <w:proofErr w:type="spellStart"/>
            <w:r w:rsidRPr="00FD1145">
              <w:rPr>
                <w:rFonts w:ascii="Arial Narrow" w:hAnsi="Arial Narrow" w:cs="Times New Roman"/>
                <w:snapToGrid w:val="0"/>
                <w:sz w:val="20"/>
              </w:rPr>
              <w:t>DXd</w:t>
            </w:r>
            <w:proofErr w:type="spellEnd"/>
            <w:r w:rsidRPr="00FD1145">
              <w:rPr>
                <w:rFonts w:ascii="Arial Narrow" w:hAnsi="Arial Narrow" w:cs="Times New Roman"/>
                <w:snapToGrid w:val="0"/>
                <w:sz w:val="20"/>
              </w:rPr>
              <w:t xml:space="preserve"> (items 13713R, 13718B) utilisation with prevalent, initiation and script numbers from November 2023 till March 2025</w:t>
            </w:r>
          </w:p>
        </w:tc>
        <w:tc>
          <w:tcPr>
            <w:tcW w:w="2015" w:type="dxa"/>
            <w:vAlign w:val="center"/>
          </w:tcPr>
          <w:p w14:paraId="00FBF190"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Provided by DUSC to Sponsor</w:t>
            </w:r>
          </w:p>
        </w:tc>
        <w:tc>
          <w:tcPr>
            <w:tcW w:w="3231" w:type="dxa"/>
            <w:vAlign w:val="center"/>
          </w:tcPr>
          <w:p w14:paraId="5C6ED4B6" w14:textId="11667D8F"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 xml:space="preserve">This </w:t>
            </w:r>
            <w:r w:rsidR="66E3A505" w:rsidRPr="00FD1145">
              <w:rPr>
                <w:rFonts w:ascii="Arial Narrow" w:eastAsiaTheme="majorEastAsia" w:hAnsi="Arial Narrow" w:cstheme="majorBidi"/>
                <w:sz w:val="20"/>
                <w:szCs w:val="20"/>
              </w:rPr>
              <w:t>was</w:t>
            </w:r>
            <w:r w:rsidRPr="00FD1145">
              <w:rPr>
                <w:rFonts w:ascii="Arial Narrow" w:eastAsiaTheme="majorEastAsia" w:hAnsi="Arial Narrow" w:cstheme="majorBidi"/>
                <w:bCs/>
                <w:sz w:val="20"/>
              </w:rPr>
              <w:t xml:space="preserve"> appropriate.  </w:t>
            </w:r>
          </w:p>
        </w:tc>
      </w:tr>
      <w:tr w:rsidR="006F3EED" w:rsidRPr="00FD1145" w14:paraId="42FA5FA5" w14:textId="77777777" w:rsidTr="00704B85">
        <w:tc>
          <w:tcPr>
            <w:tcW w:w="1672" w:type="dxa"/>
            <w:vAlign w:val="center"/>
          </w:tcPr>
          <w:p w14:paraId="0262630E"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Annual growth applied to initiations</w:t>
            </w:r>
          </w:p>
        </w:tc>
        <w:tc>
          <w:tcPr>
            <w:tcW w:w="2262" w:type="dxa"/>
            <w:vAlign w:val="center"/>
          </w:tcPr>
          <w:p w14:paraId="137EAF8F"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2% per year</w:t>
            </w:r>
          </w:p>
        </w:tc>
        <w:tc>
          <w:tcPr>
            <w:tcW w:w="2015" w:type="dxa"/>
            <w:vAlign w:val="center"/>
          </w:tcPr>
          <w:p w14:paraId="7E21BF83"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AIHW long term cancer incidence projections.</w:t>
            </w:r>
          </w:p>
        </w:tc>
        <w:tc>
          <w:tcPr>
            <w:tcW w:w="3231" w:type="dxa"/>
            <w:vAlign w:val="center"/>
          </w:tcPr>
          <w:p w14:paraId="6FBD0F21" w14:textId="636FD86E"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Th</w:t>
            </w:r>
            <w:r w:rsidR="003B55F9">
              <w:rPr>
                <w:rFonts w:ascii="Arial Narrow" w:eastAsiaTheme="majorEastAsia" w:hAnsi="Arial Narrow" w:cstheme="majorBidi"/>
                <w:bCs/>
                <w:sz w:val="20"/>
              </w:rPr>
              <w:t>e evaluation considered that th</w:t>
            </w:r>
            <w:r w:rsidRPr="00FD1145">
              <w:rPr>
                <w:rFonts w:ascii="Arial Narrow" w:eastAsiaTheme="majorEastAsia" w:hAnsi="Arial Narrow" w:cstheme="majorBidi"/>
                <w:bCs/>
                <w:sz w:val="20"/>
              </w:rPr>
              <w:t>is appear</w:t>
            </w:r>
            <w:r w:rsidR="00637CE9" w:rsidRPr="00FD1145">
              <w:rPr>
                <w:rFonts w:ascii="Arial Narrow" w:eastAsiaTheme="majorEastAsia" w:hAnsi="Arial Narrow" w:cstheme="majorBidi"/>
                <w:bCs/>
                <w:sz w:val="20"/>
              </w:rPr>
              <w:t>ed</w:t>
            </w:r>
            <w:r w:rsidRPr="00FD1145">
              <w:rPr>
                <w:rFonts w:ascii="Arial Narrow" w:eastAsiaTheme="majorEastAsia" w:hAnsi="Arial Narrow" w:cstheme="majorBidi"/>
                <w:bCs/>
                <w:sz w:val="20"/>
              </w:rPr>
              <w:t xml:space="preserve"> reasonable</w:t>
            </w:r>
            <w:r w:rsidR="003B55F9">
              <w:rPr>
                <w:rFonts w:ascii="Arial Narrow" w:eastAsiaTheme="majorEastAsia" w:hAnsi="Arial Narrow" w:cstheme="majorBidi"/>
                <w:bCs/>
                <w:sz w:val="20"/>
              </w:rPr>
              <w:t>.</w:t>
            </w:r>
            <w:r w:rsidRPr="00FD1145">
              <w:rPr>
                <w:rFonts w:ascii="Arial Narrow" w:eastAsiaTheme="majorEastAsia" w:hAnsi="Arial Narrow" w:cstheme="majorBidi"/>
                <w:bCs/>
                <w:sz w:val="20"/>
              </w:rPr>
              <w:t xml:space="preserve"> </w:t>
            </w:r>
          </w:p>
        </w:tc>
      </w:tr>
      <w:tr w:rsidR="006F3EED" w:rsidRPr="00FD1145" w14:paraId="7B603152" w14:textId="77777777" w:rsidTr="00704B85">
        <w:tc>
          <w:tcPr>
            <w:tcW w:w="1672" w:type="dxa"/>
            <w:vAlign w:val="center"/>
          </w:tcPr>
          <w:p w14:paraId="1A34241F"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Rate of T-</w:t>
            </w:r>
            <w:proofErr w:type="spellStart"/>
            <w:r w:rsidRPr="00FD1145">
              <w:rPr>
                <w:rFonts w:ascii="Arial Narrow" w:hAnsi="Arial Narrow" w:cs="Times New Roman"/>
                <w:snapToGrid w:val="0"/>
                <w:sz w:val="20"/>
              </w:rPr>
              <w:t>DXd</w:t>
            </w:r>
            <w:proofErr w:type="spellEnd"/>
            <w:r w:rsidRPr="00FD1145">
              <w:rPr>
                <w:rFonts w:ascii="Arial Narrow" w:hAnsi="Arial Narrow" w:cs="Times New Roman"/>
                <w:snapToGrid w:val="0"/>
                <w:sz w:val="20"/>
              </w:rPr>
              <w:t xml:space="preserve"> discontinuations per year</w:t>
            </w:r>
          </w:p>
        </w:tc>
        <w:tc>
          <w:tcPr>
            <w:tcW w:w="2262" w:type="dxa"/>
            <w:vAlign w:val="center"/>
          </w:tcPr>
          <w:p w14:paraId="5D5A714E"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1/3 cessation per year</w:t>
            </w:r>
          </w:p>
        </w:tc>
        <w:tc>
          <w:tcPr>
            <w:tcW w:w="2015" w:type="dxa"/>
            <w:vAlign w:val="center"/>
          </w:tcPr>
          <w:p w14:paraId="7CE5B198" w14:textId="68021E3F"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Assumption</w:t>
            </w:r>
          </w:p>
        </w:tc>
        <w:tc>
          <w:tcPr>
            <w:tcW w:w="3231" w:type="dxa"/>
            <w:vAlign w:val="center"/>
          </w:tcPr>
          <w:p w14:paraId="12DB1FD0" w14:textId="3239F17C"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Adopted due to lack of a published TTD curve for T</w:t>
            </w:r>
            <w:r w:rsidRPr="00FD1145">
              <w:rPr>
                <w:rFonts w:ascii="Cambria Math" w:eastAsiaTheme="majorEastAsia" w:hAnsi="Cambria Math" w:cs="Cambria Math"/>
                <w:bCs/>
                <w:sz w:val="20"/>
              </w:rPr>
              <w:t>‑</w:t>
            </w:r>
            <w:proofErr w:type="spellStart"/>
            <w:r w:rsidRPr="00FD1145">
              <w:rPr>
                <w:rFonts w:ascii="Arial Narrow" w:eastAsiaTheme="majorEastAsia" w:hAnsi="Arial Narrow" w:cstheme="majorBidi"/>
                <w:bCs/>
                <w:sz w:val="20"/>
              </w:rPr>
              <w:t>DXd</w:t>
            </w:r>
            <w:proofErr w:type="spellEnd"/>
            <w:r w:rsidRPr="00FD1145">
              <w:rPr>
                <w:rFonts w:ascii="Arial Narrow" w:eastAsiaTheme="majorEastAsia" w:hAnsi="Arial Narrow" w:cstheme="majorBidi"/>
                <w:bCs/>
                <w:sz w:val="20"/>
              </w:rPr>
              <w:t xml:space="preserve">, anchored to an 18 month median duration of treatment; </w:t>
            </w:r>
            <w:r w:rsidR="00966DB3">
              <w:rPr>
                <w:rFonts w:ascii="Arial Narrow" w:eastAsiaTheme="majorEastAsia" w:hAnsi="Arial Narrow" w:cstheme="majorBidi"/>
                <w:bCs/>
                <w:sz w:val="20"/>
              </w:rPr>
              <w:t xml:space="preserve">the evaluation considered </w:t>
            </w:r>
            <w:r w:rsidRPr="00FD1145">
              <w:rPr>
                <w:rFonts w:ascii="Arial Narrow" w:eastAsiaTheme="majorEastAsia" w:hAnsi="Arial Narrow" w:cstheme="majorBidi"/>
                <w:bCs/>
                <w:sz w:val="20"/>
              </w:rPr>
              <w:t xml:space="preserve">this </w:t>
            </w:r>
            <w:r w:rsidR="00966DB3">
              <w:rPr>
                <w:rFonts w:ascii="Arial Narrow" w:eastAsiaTheme="majorEastAsia" w:hAnsi="Arial Narrow" w:cstheme="majorBidi"/>
                <w:bCs/>
                <w:sz w:val="20"/>
              </w:rPr>
              <w:t>wa</w:t>
            </w:r>
            <w:r w:rsidRPr="00FD1145">
              <w:rPr>
                <w:rFonts w:ascii="Arial Narrow" w:eastAsiaTheme="majorEastAsia" w:hAnsi="Arial Narrow" w:cstheme="majorBidi"/>
                <w:bCs/>
                <w:sz w:val="20"/>
              </w:rPr>
              <w:t xml:space="preserve">s reasonable but may distort the timing of patient flow into third line; the direction of effect on annual net costs </w:t>
            </w:r>
            <w:r w:rsidR="00966DB3">
              <w:rPr>
                <w:rFonts w:ascii="Arial Narrow" w:eastAsiaTheme="majorEastAsia" w:hAnsi="Arial Narrow" w:cstheme="majorBidi"/>
                <w:bCs/>
                <w:sz w:val="20"/>
              </w:rPr>
              <w:t>wa</w:t>
            </w:r>
            <w:r w:rsidRPr="00FD1145">
              <w:rPr>
                <w:rFonts w:ascii="Arial Narrow" w:eastAsiaTheme="majorEastAsia" w:hAnsi="Arial Narrow" w:cstheme="majorBidi"/>
                <w:bCs/>
                <w:sz w:val="20"/>
              </w:rPr>
              <w:t>s uncertain.</w:t>
            </w:r>
          </w:p>
        </w:tc>
      </w:tr>
      <w:tr w:rsidR="006F3EED" w:rsidRPr="00FD1145" w14:paraId="133CC196" w14:textId="77777777" w:rsidTr="00704B85">
        <w:tc>
          <w:tcPr>
            <w:tcW w:w="1672" w:type="dxa"/>
            <w:vAlign w:val="center"/>
          </w:tcPr>
          <w:p w14:paraId="345110EC"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 of post</w:t>
            </w:r>
            <w:r w:rsidRPr="00FD1145">
              <w:rPr>
                <w:rFonts w:ascii="Cambria Math" w:hAnsi="Cambria Math" w:cs="Cambria Math"/>
                <w:snapToGrid w:val="0"/>
                <w:sz w:val="20"/>
              </w:rPr>
              <w:t>‑</w:t>
            </w:r>
            <w:r w:rsidRPr="00FD1145">
              <w:rPr>
                <w:rFonts w:ascii="Arial Narrow" w:hAnsi="Arial Narrow" w:cs="Times New Roman"/>
                <w:snapToGrid w:val="0"/>
                <w:sz w:val="20"/>
              </w:rPr>
              <w:t>T</w:t>
            </w:r>
            <w:r w:rsidRPr="00FD1145">
              <w:rPr>
                <w:rFonts w:ascii="Cambria Math" w:hAnsi="Cambria Math" w:cs="Cambria Math"/>
                <w:snapToGrid w:val="0"/>
                <w:sz w:val="20"/>
              </w:rPr>
              <w:t>‑</w:t>
            </w:r>
            <w:proofErr w:type="spellStart"/>
            <w:r w:rsidRPr="00FD1145">
              <w:rPr>
                <w:rFonts w:ascii="Arial Narrow" w:hAnsi="Arial Narrow" w:cs="Times New Roman"/>
                <w:snapToGrid w:val="0"/>
                <w:sz w:val="20"/>
              </w:rPr>
              <w:t>DXd</w:t>
            </w:r>
            <w:proofErr w:type="spellEnd"/>
            <w:r w:rsidRPr="00FD1145">
              <w:rPr>
                <w:rFonts w:ascii="Arial Narrow" w:hAnsi="Arial Narrow" w:cs="Times New Roman"/>
                <w:snapToGrid w:val="0"/>
                <w:sz w:val="20"/>
              </w:rPr>
              <w:t xml:space="preserve"> patients who receive further systemic therapy</w:t>
            </w:r>
          </w:p>
        </w:tc>
        <w:tc>
          <w:tcPr>
            <w:tcW w:w="2262" w:type="dxa"/>
            <w:vAlign w:val="center"/>
          </w:tcPr>
          <w:p w14:paraId="25030A93"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71%</w:t>
            </w:r>
          </w:p>
        </w:tc>
        <w:tc>
          <w:tcPr>
            <w:tcW w:w="2015" w:type="dxa"/>
            <w:vAlign w:val="center"/>
          </w:tcPr>
          <w:p w14:paraId="00B95EE8"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DESTINY</w:t>
            </w:r>
            <w:r w:rsidRPr="00FD1145">
              <w:rPr>
                <w:rFonts w:ascii="Cambria Math" w:hAnsi="Cambria Math" w:cs="Cambria Math"/>
                <w:snapToGrid w:val="0"/>
                <w:sz w:val="20"/>
              </w:rPr>
              <w:t>‑</w:t>
            </w:r>
            <w:r w:rsidRPr="00FD1145">
              <w:rPr>
                <w:rFonts w:ascii="Arial Narrow" w:hAnsi="Arial Narrow" w:cs="Times New Roman"/>
                <w:snapToGrid w:val="0"/>
                <w:sz w:val="20"/>
              </w:rPr>
              <w:t>Breast</w:t>
            </w:r>
            <w:r w:rsidRPr="00FD1145">
              <w:rPr>
                <w:rFonts w:ascii="Arial" w:hAnsi="Arial"/>
                <w:snapToGrid w:val="0"/>
                <w:sz w:val="20"/>
              </w:rPr>
              <w:t> </w:t>
            </w:r>
            <w:r w:rsidRPr="00FD1145">
              <w:rPr>
                <w:rFonts w:ascii="Arial Narrow" w:hAnsi="Arial Narrow" w:cs="Times New Roman"/>
                <w:snapToGrid w:val="0"/>
                <w:sz w:val="20"/>
              </w:rPr>
              <w:t>03 (Hurvitz et al., 2023) based on % progressing to another line after T</w:t>
            </w:r>
            <w:r w:rsidRPr="00FD1145">
              <w:rPr>
                <w:rFonts w:ascii="Cambria Math" w:hAnsi="Cambria Math" w:cs="Cambria Math"/>
                <w:snapToGrid w:val="0"/>
                <w:sz w:val="20"/>
              </w:rPr>
              <w:t>‑</w:t>
            </w:r>
            <w:proofErr w:type="spellStart"/>
            <w:r w:rsidRPr="00FD1145">
              <w:rPr>
                <w:rFonts w:ascii="Arial Narrow" w:hAnsi="Arial Narrow" w:cs="Times New Roman"/>
                <w:snapToGrid w:val="0"/>
                <w:sz w:val="20"/>
              </w:rPr>
              <w:t>DXd</w:t>
            </w:r>
            <w:proofErr w:type="spellEnd"/>
            <w:r w:rsidRPr="00FD1145">
              <w:rPr>
                <w:rFonts w:ascii="Arial Narrow" w:hAnsi="Arial Narrow" w:cs="Times New Roman"/>
                <w:snapToGrid w:val="0"/>
                <w:sz w:val="20"/>
              </w:rPr>
              <w:t xml:space="preserve"> discontinuation</w:t>
            </w:r>
          </w:p>
        </w:tc>
        <w:tc>
          <w:tcPr>
            <w:tcW w:w="3231" w:type="dxa"/>
            <w:vAlign w:val="center"/>
          </w:tcPr>
          <w:p w14:paraId="627A91EB" w14:textId="70F5FEEC" w:rsidR="00F84089" w:rsidRPr="00FD1145" w:rsidRDefault="00F84089" w:rsidP="008B1086">
            <w:pPr>
              <w:keepNext/>
              <w:keepLines/>
              <w:jc w:val="left"/>
              <w:rPr>
                <w:rFonts w:ascii="Arial Narrow" w:eastAsiaTheme="majorEastAsia" w:hAnsi="Arial Narrow" w:cstheme="majorBidi"/>
                <w:sz w:val="20"/>
                <w:szCs w:val="20"/>
              </w:rPr>
            </w:pPr>
            <w:r w:rsidRPr="00FD1145">
              <w:rPr>
                <w:rFonts w:ascii="Arial Narrow" w:eastAsiaTheme="majorEastAsia" w:hAnsi="Arial Narrow" w:cstheme="majorBidi"/>
                <w:sz w:val="20"/>
                <w:szCs w:val="20"/>
              </w:rPr>
              <w:t xml:space="preserve">The resubmission used 71% to account for deaths and those not treated further; </w:t>
            </w:r>
            <w:r w:rsidR="00833ED8" w:rsidRPr="00FD1145">
              <w:rPr>
                <w:rFonts w:ascii="Arial Narrow" w:eastAsiaTheme="majorEastAsia" w:hAnsi="Arial Narrow" w:cstheme="majorBidi"/>
                <w:sz w:val="20"/>
                <w:szCs w:val="20"/>
              </w:rPr>
              <w:t>T</w:t>
            </w:r>
            <w:r w:rsidR="00AC1977" w:rsidRPr="00FD1145">
              <w:rPr>
                <w:rFonts w:ascii="Arial Narrow" w:eastAsiaTheme="majorEastAsia" w:hAnsi="Arial Narrow" w:cstheme="majorBidi"/>
                <w:sz w:val="20"/>
                <w:szCs w:val="20"/>
              </w:rPr>
              <w:t>his was an important driver of the financial estimates</w:t>
            </w:r>
            <w:r w:rsidRPr="00FD1145">
              <w:rPr>
                <w:rFonts w:ascii="Arial Narrow" w:eastAsiaTheme="majorEastAsia" w:hAnsi="Arial Narrow" w:cstheme="majorBidi"/>
                <w:sz w:val="20"/>
                <w:szCs w:val="20"/>
              </w:rPr>
              <w:t>.</w:t>
            </w:r>
            <w:r w:rsidR="00833ED8" w:rsidRPr="00FD1145">
              <w:rPr>
                <w:rFonts w:ascii="Arial Narrow" w:eastAsiaTheme="majorEastAsia" w:hAnsi="Arial Narrow" w:cstheme="majorBidi"/>
                <w:sz w:val="20"/>
                <w:szCs w:val="20"/>
              </w:rPr>
              <w:t xml:space="preserve"> The ESC</w:t>
            </w:r>
            <w:r w:rsidR="000E6D70">
              <w:rPr>
                <w:rFonts w:ascii="Arial Narrow" w:eastAsiaTheme="majorEastAsia" w:hAnsi="Arial Narrow" w:cstheme="majorBidi"/>
                <w:sz w:val="20"/>
                <w:szCs w:val="20"/>
              </w:rPr>
              <w:t xml:space="preserve"> and PBAC</w:t>
            </w:r>
            <w:r w:rsidR="00833ED8" w:rsidRPr="00FD1145">
              <w:rPr>
                <w:rFonts w:ascii="Arial Narrow" w:eastAsiaTheme="majorEastAsia" w:hAnsi="Arial Narrow" w:cstheme="majorBidi"/>
                <w:sz w:val="20"/>
                <w:szCs w:val="20"/>
              </w:rPr>
              <w:t xml:space="preserve"> considered this would likely be lower (e</w:t>
            </w:r>
            <w:r w:rsidR="00221C8B" w:rsidRPr="00FD1145">
              <w:rPr>
                <w:rFonts w:ascii="Arial Narrow" w:eastAsiaTheme="majorEastAsia" w:hAnsi="Arial Narrow" w:cstheme="majorBidi"/>
                <w:sz w:val="20"/>
                <w:szCs w:val="20"/>
              </w:rPr>
              <w:t>.</w:t>
            </w:r>
            <w:r w:rsidR="00833ED8" w:rsidRPr="00FD1145">
              <w:rPr>
                <w:rFonts w:ascii="Arial Narrow" w:eastAsiaTheme="majorEastAsia" w:hAnsi="Arial Narrow" w:cstheme="majorBidi"/>
                <w:sz w:val="20"/>
                <w:szCs w:val="20"/>
              </w:rPr>
              <w:t>g</w:t>
            </w:r>
            <w:r w:rsidR="00221C8B" w:rsidRPr="00FD1145">
              <w:rPr>
                <w:rFonts w:ascii="Arial Narrow" w:eastAsiaTheme="majorEastAsia" w:hAnsi="Arial Narrow" w:cstheme="majorBidi"/>
                <w:sz w:val="20"/>
                <w:szCs w:val="20"/>
              </w:rPr>
              <w:t>.</w:t>
            </w:r>
            <w:r w:rsidR="00833ED8" w:rsidRPr="00FD1145">
              <w:rPr>
                <w:rFonts w:ascii="Arial Narrow" w:eastAsiaTheme="majorEastAsia" w:hAnsi="Arial Narrow" w:cstheme="majorBidi"/>
                <w:sz w:val="20"/>
                <w:szCs w:val="20"/>
              </w:rPr>
              <w:t xml:space="preserve"> around 60%)</w:t>
            </w:r>
            <w:r w:rsidR="00564768" w:rsidRPr="00FD1145">
              <w:rPr>
                <w:rFonts w:ascii="Arial Narrow" w:eastAsiaTheme="majorEastAsia" w:hAnsi="Arial Narrow" w:cstheme="majorBidi"/>
                <w:sz w:val="20"/>
                <w:szCs w:val="20"/>
              </w:rPr>
              <w:t xml:space="preserve"> </w:t>
            </w:r>
            <w:r w:rsidR="00E71BA8" w:rsidRPr="00FD1145">
              <w:rPr>
                <w:rFonts w:ascii="Arial Narrow" w:eastAsiaTheme="majorEastAsia" w:hAnsi="Arial Narrow" w:cstheme="majorBidi"/>
                <w:sz w:val="20"/>
                <w:szCs w:val="20"/>
              </w:rPr>
              <w:t xml:space="preserve">outside a clinical trial </w:t>
            </w:r>
            <w:r w:rsidR="00564768" w:rsidRPr="00FD1145">
              <w:rPr>
                <w:rFonts w:ascii="Arial Narrow" w:eastAsiaTheme="majorEastAsia" w:hAnsi="Arial Narrow" w:cstheme="majorBidi"/>
                <w:sz w:val="20"/>
                <w:szCs w:val="20"/>
              </w:rPr>
              <w:t xml:space="preserve">as real world patients are </w:t>
            </w:r>
            <w:r w:rsidR="00E71BA8" w:rsidRPr="00FD1145">
              <w:rPr>
                <w:rFonts w:ascii="Arial Narrow" w:eastAsiaTheme="majorEastAsia" w:hAnsi="Arial Narrow" w:cstheme="majorBidi"/>
                <w:sz w:val="20"/>
                <w:szCs w:val="20"/>
              </w:rPr>
              <w:t>less</w:t>
            </w:r>
            <w:r w:rsidR="00564768" w:rsidRPr="00FD1145">
              <w:rPr>
                <w:rFonts w:ascii="Arial Narrow" w:eastAsiaTheme="majorEastAsia" w:hAnsi="Arial Narrow" w:cstheme="majorBidi"/>
                <w:sz w:val="20"/>
                <w:szCs w:val="20"/>
              </w:rPr>
              <w:t xml:space="preserve"> likely to receive </w:t>
            </w:r>
            <w:r w:rsidR="00E71BA8" w:rsidRPr="00FD1145">
              <w:rPr>
                <w:rFonts w:ascii="Arial Narrow" w:eastAsiaTheme="majorEastAsia" w:hAnsi="Arial Narrow" w:cstheme="majorBidi"/>
                <w:sz w:val="20"/>
                <w:szCs w:val="20"/>
              </w:rPr>
              <w:t xml:space="preserve">subsequent </w:t>
            </w:r>
            <w:r w:rsidR="00564768" w:rsidRPr="00FD1145">
              <w:rPr>
                <w:rFonts w:ascii="Arial Narrow" w:eastAsiaTheme="majorEastAsia" w:hAnsi="Arial Narrow" w:cstheme="majorBidi"/>
                <w:sz w:val="20"/>
                <w:szCs w:val="20"/>
              </w:rPr>
              <w:t>line</w:t>
            </w:r>
            <w:r w:rsidR="00E71BA8" w:rsidRPr="00FD1145">
              <w:rPr>
                <w:rFonts w:ascii="Arial Narrow" w:eastAsiaTheme="majorEastAsia" w:hAnsi="Arial Narrow" w:cstheme="majorBidi"/>
                <w:sz w:val="20"/>
                <w:szCs w:val="20"/>
              </w:rPr>
              <w:t>s</w:t>
            </w:r>
            <w:r w:rsidR="00564768" w:rsidRPr="00FD1145">
              <w:rPr>
                <w:rFonts w:ascii="Arial Narrow" w:eastAsiaTheme="majorEastAsia" w:hAnsi="Arial Narrow" w:cstheme="majorBidi"/>
                <w:sz w:val="20"/>
                <w:szCs w:val="20"/>
              </w:rPr>
              <w:t xml:space="preserve"> of treatment.</w:t>
            </w:r>
          </w:p>
        </w:tc>
      </w:tr>
      <w:tr w:rsidR="00F84089" w:rsidRPr="00FD1145" w14:paraId="25562C91" w14:textId="77777777" w:rsidTr="008B1086">
        <w:tc>
          <w:tcPr>
            <w:tcW w:w="9180" w:type="dxa"/>
            <w:gridSpan w:val="4"/>
            <w:vAlign w:val="center"/>
          </w:tcPr>
          <w:p w14:paraId="1CDB54F0" w14:textId="77777777" w:rsidR="00F84089" w:rsidRPr="00FD1145" w:rsidRDefault="00F84089" w:rsidP="008B1086">
            <w:pPr>
              <w:jc w:val="left"/>
              <w:rPr>
                <w:rFonts w:ascii="Arial Narrow" w:hAnsi="Arial Narrow" w:cs="Times New Roman"/>
                <w:b/>
                <w:bCs/>
                <w:snapToGrid w:val="0"/>
                <w:sz w:val="20"/>
              </w:rPr>
            </w:pPr>
            <w:r w:rsidRPr="00FD1145">
              <w:rPr>
                <w:rFonts w:ascii="Arial Narrow" w:hAnsi="Arial Narrow" w:cs="Times New Roman"/>
                <w:b/>
                <w:bCs/>
                <w:snapToGrid w:val="0"/>
                <w:sz w:val="20"/>
              </w:rPr>
              <w:lastRenderedPageBreak/>
              <w:t>Treatment utilisation for tucatinib</w:t>
            </w:r>
          </w:p>
        </w:tc>
      </w:tr>
      <w:tr w:rsidR="004F2717" w:rsidRPr="00FD1145" w14:paraId="69511E9B" w14:textId="77777777" w:rsidTr="00704B85">
        <w:tc>
          <w:tcPr>
            <w:tcW w:w="1672" w:type="dxa"/>
            <w:vAlign w:val="center"/>
          </w:tcPr>
          <w:p w14:paraId="2EC71A73" w14:textId="73CDF5D1" w:rsidR="004F2717" w:rsidRPr="00FD1145" w:rsidRDefault="008E4C34" w:rsidP="008B1086">
            <w:pPr>
              <w:jc w:val="left"/>
              <w:rPr>
                <w:rFonts w:ascii="Arial Narrow" w:hAnsi="Arial Narrow" w:cs="Times New Roman"/>
                <w:snapToGrid w:val="0"/>
                <w:sz w:val="20"/>
              </w:rPr>
            </w:pPr>
            <w:r>
              <w:rPr>
                <w:rFonts w:ascii="Arial Narrow" w:hAnsi="Arial Narrow" w:cs="Times New Roman"/>
                <w:snapToGrid w:val="0"/>
                <w:sz w:val="20"/>
              </w:rPr>
              <w:t>P</w:t>
            </w:r>
            <w:r w:rsidR="00344E46">
              <w:rPr>
                <w:rFonts w:ascii="Arial Narrow" w:hAnsi="Arial Narrow" w:cs="Times New Roman"/>
                <w:snapToGrid w:val="0"/>
                <w:sz w:val="20"/>
              </w:rPr>
              <w:t xml:space="preserve">roportion of patients who currently use </w:t>
            </w:r>
            <w:r w:rsidR="008A77CA">
              <w:rPr>
                <w:rFonts w:ascii="Arial Narrow" w:hAnsi="Arial Narrow" w:cs="Times New Roman"/>
                <w:snapToGrid w:val="0"/>
                <w:sz w:val="20"/>
              </w:rPr>
              <w:t xml:space="preserve">T-DM1 vs </w:t>
            </w:r>
            <w:r w:rsidR="008A77CA" w:rsidRPr="00D06F18">
              <w:rPr>
                <w:rFonts w:ascii="Arial Narrow" w:eastAsiaTheme="majorEastAsia" w:hAnsi="Arial Narrow" w:cstheme="majorBidi"/>
                <w:bCs/>
                <w:sz w:val="20"/>
              </w:rPr>
              <w:t xml:space="preserve">receive trastuzumab </w:t>
            </w:r>
            <w:r w:rsidR="008A77CA">
              <w:rPr>
                <w:rFonts w:ascii="Arial Narrow" w:eastAsiaTheme="majorEastAsia" w:hAnsi="Arial Narrow" w:cstheme="majorBidi"/>
                <w:bCs/>
                <w:sz w:val="20"/>
              </w:rPr>
              <w:t xml:space="preserve">+ </w:t>
            </w:r>
            <w:r w:rsidR="008A77CA" w:rsidRPr="00D06F18">
              <w:rPr>
                <w:rFonts w:ascii="Arial Narrow" w:eastAsiaTheme="majorEastAsia" w:hAnsi="Arial Narrow" w:cstheme="majorBidi"/>
                <w:bCs/>
                <w:sz w:val="20"/>
              </w:rPr>
              <w:t>capecitabine</w:t>
            </w:r>
          </w:p>
        </w:tc>
        <w:tc>
          <w:tcPr>
            <w:tcW w:w="2262" w:type="dxa"/>
            <w:vAlign w:val="center"/>
          </w:tcPr>
          <w:p w14:paraId="274E7AA8" w14:textId="3438FA90" w:rsidR="004F2717" w:rsidRPr="00FD1145" w:rsidRDefault="00B03395" w:rsidP="008B1086">
            <w:pPr>
              <w:jc w:val="left"/>
              <w:rPr>
                <w:rFonts w:ascii="Arial Narrow" w:hAnsi="Arial Narrow" w:cs="Times New Roman"/>
                <w:snapToGrid w:val="0"/>
                <w:sz w:val="20"/>
              </w:rPr>
            </w:pPr>
            <w:r>
              <w:rPr>
                <w:rFonts w:ascii="Arial Narrow" w:hAnsi="Arial Narrow" w:cs="Times New Roman"/>
                <w:snapToGrid w:val="0"/>
                <w:sz w:val="20"/>
              </w:rPr>
              <w:t>This step/a</w:t>
            </w:r>
            <w:r w:rsidR="008A77CA">
              <w:rPr>
                <w:rFonts w:ascii="Arial Narrow" w:hAnsi="Arial Narrow" w:cs="Times New Roman"/>
                <w:snapToGrid w:val="0"/>
                <w:sz w:val="20"/>
              </w:rPr>
              <w:t xml:space="preserve">ssumption </w:t>
            </w:r>
            <w:r>
              <w:rPr>
                <w:rFonts w:ascii="Arial Narrow" w:hAnsi="Arial Narrow" w:cs="Times New Roman"/>
                <w:snapToGrid w:val="0"/>
                <w:sz w:val="20"/>
              </w:rPr>
              <w:t xml:space="preserve">was </w:t>
            </w:r>
            <w:r w:rsidR="008A77CA">
              <w:rPr>
                <w:rFonts w:ascii="Arial Narrow" w:hAnsi="Arial Narrow" w:cs="Times New Roman"/>
                <w:snapToGrid w:val="0"/>
                <w:sz w:val="20"/>
              </w:rPr>
              <w:t xml:space="preserve">not included in the </w:t>
            </w:r>
            <w:r w:rsidR="00A91DA3">
              <w:rPr>
                <w:rFonts w:ascii="Arial Narrow" w:hAnsi="Arial Narrow" w:cs="Times New Roman"/>
                <w:snapToGrid w:val="0"/>
                <w:sz w:val="20"/>
              </w:rPr>
              <w:t>re</w:t>
            </w:r>
            <w:r w:rsidR="008A77CA">
              <w:rPr>
                <w:rFonts w:ascii="Arial Narrow" w:hAnsi="Arial Narrow" w:cs="Times New Roman"/>
                <w:snapToGrid w:val="0"/>
                <w:sz w:val="20"/>
              </w:rPr>
              <w:t xml:space="preserve">submission, however the PBAC considered </w:t>
            </w:r>
            <w:r w:rsidR="00756548">
              <w:rPr>
                <w:rFonts w:ascii="Arial Narrow" w:hAnsi="Arial Narrow" w:cs="Times New Roman"/>
                <w:snapToGrid w:val="0"/>
                <w:sz w:val="20"/>
              </w:rPr>
              <w:t xml:space="preserve">that </w:t>
            </w:r>
            <w:r w:rsidR="008A77CA">
              <w:rPr>
                <w:rFonts w:ascii="Arial Narrow" w:hAnsi="Arial Narrow" w:cs="Times New Roman"/>
                <w:snapToGrid w:val="0"/>
                <w:sz w:val="20"/>
              </w:rPr>
              <w:t xml:space="preserve">50% </w:t>
            </w:r>
            <w:r w:rsidR="00756548">
              <w:rPr>
                <w:rFonts w:ascii="Arial Narrow" w:hAnsi="Arial Narrow" w:cs="Times New Roman"/>
                <w:snapToGrid w:val="0"/>
                <w:sz w:val="20"/>
              </w:rPr>
              <w:t xml:space="preserve">of patients </w:t>
            </w:r>
            <w:r w:rsidR="0039076F">
              <w:rPr>
                <w:rFonts w:ascii="Arial Narrow" w:hAnsi="Arial Narrow" w:cs="Times New Roman"/>
                <w:snapToGrid w:val="0"/>
                <w:sz w:val="20"/>
              </w:rPr>
              <w:t xml:space="preserve">in this setting </w:t>
            </w:r>
            <w:r w:rsidR="00756548">
              <w:rPr>
                <w:rFonts w:ascii="Arial Narrow" w:hAnsi="Arial Narrow" w:cs="Times New Roman"/>
                <w:snapToGrid w:val="0"/>
                <w:sz w:val="20"/>
              </w:rPr>
              <w:t xml:space="preserve">currently use </w:t>
            </w:r>
            <w:r w:rsidR="008A77CA">
              <w:rPr>
                <w:rFonts w:ascii="Arial Narrow" w:hAnsi="Arial Narrow" w:cs="Times New Roman"/>
                <w:snapToGrid w:val="0"/>
                <w:sz w:val="20"/>
              </w:rPr>
              <w:t>T-DM1</w:t>
            </w:r>
            <w:r w:rsidR="006223F2">
              <w:rPr>
                <w:rFonts w:ascii="Arial Narrow" w:hAnsi="Arial Narrow" w:cs="Times New Roman"/>
                <w:snapToGrid w:val="0"/>
                <w:sz w:val="20"/>
              </w:rPr>
              <w:t xml:space="preserve"> and</w:t>
            </w:r>
            <w:r w:rsidR="008A77CA">
              <w:rPr>
                <w:rFonts w:ascii="Arial Narrow" w:hAnsi="Arial Narrow" w:cs="Times New Roman"/>
                <w:snapToGrid w:val="0"/>
                <w:sz w:val="20"/>
              </w:rPr>
              <w:t xml:space="preserve"> 50%</w:t>
            </w:r>
            <w:r w:rsidR="006223F2">
              <w:rPr>
                <w:rFonts w:ascii="Arial Narrow" w:hAnsi="Arial Narrow" w:cs="Times New Roman"/>
                <w:snapToGrid w:val="0"/>
                <w:sz w:val="20"/>
              </w:rPr>
              <w:t xml:space="preserve"> </w:t>
            </w:r>
            <w:r w:rsidR="00756548">
              <w:rPr>
                <w:rFonts w:ascii="Arial Narrow" w:hAnsi="Arial Narrow" w:cs="Times New Roman"/>
                <w:snapToGrid w:val="0"/>
                <w:sz w:val="20"/>
              </w:rPr>
              <w:t xml:space="preserve">currently use </w:t>
            </w:r>
            <w:r w:rsidR="006223F2" w:rsidRPr="00D06F18">
              <w:rPr>
                <w:rFonts w:ascii="Arial Narrow" w:eastAsiaTheme="majorEastAsia" w:hAnsi="Arial Narrow" w:cstheme="majorBidi"/>
                <w:bCs/>
                <w:sz w:val="20"/>
              </w:rPr>
              <w:t xml:space="preserve">trastuzumab </w:t>
            </w:r>
            <w:r w:rsidR="006223F2">
              <w:rPr>
                <w:rFonts w:ascii="Arial Narrow" w:eastAsiaTheme="majorEastAsia" w:hAnsi="Arial Narrow" w:cstheme="majorBidi"/>
                <w:bCs/>
                <w:sz w:val="20"/>
              </w:rPr>
              <w:t xml:space="preserve">+ </w:t>
            </w:r>
            <w:r w:rsidR="006223F2" w:rsidRPr="00D06F18">
              <w:rPr>
                <w:rFonts w:ascii="Arial Narrow" w:eastAsiaTheme="majorEastAsia" w:hAnsi="Arial Narrow" w:cstheme="majorBidi"/>
                <w:bCs/>
                <w:sz w:val="20"/>
              </w:rPr>
              <w:t>capecitabine</w:t>
            </w:r>
          </w:p>
        </w:tc>
        <w:tc>
          <w:tcPr>
            <w:tcW w:w="2015" w:type="dxa"/>
            <w:vAlign w:val="center"/>
          </w:tcPr>
          <w:p w14:paraId="08C44073" w14:textId="546033AE" w:rsidR="004F2717" w:rsidRPr="00FD1145" w:rsidRDefault="006223F2" w:rsidP="008B1086">
            <w:pPr>
              <w:jc w:val="left"/>
              <w:rPr>
                <w:rFonts w:ascii="Arial Narrow" w:hAnsi="Arial Narrow" w:cs="Times New Roman"/>
                <w:snapToGrid w:val="0"/>
                <w:sz w:val="20"/>
              </w:rPr>
            </w:pPr>
            <w:r>
              <w:rPr>
                <w:rFonts w:ascii="Arial Narrow" w:hAnsi="Arial Narrow" w:cs="Times New Roman"/>
                <w:snapToGrid w:val="0"/>
                <w:sz w:val="20"/>
              </w:rPr>
              <w:t>Assumption.</w:t>
            </w:r>
            <w:r w:rsidR="001B3BDF">
              <w:rPr>
                <w:rFonts w:ascii="Arial Narrow" w:hAnsi="Arial Narrow" w:cs="Times New Roman"/>
                <w:snapToGrid w:val="0"/>
                <w:sz w:val="20"/>
              </w:rPr>
              <w:t xml:space="preserve"> </w:t>
            </w:r>
            <w:proofErr w:type="gramStart"/>
            <w:r w:rsidR="001B3BDF">
              <w:rPr>
                <w:rFonts w:ascii="Arial Narrow" w:hAnsi="Arial Narrow" w:cs="Times New Roman"/>
                <w:snapToGrid w:val="0"/>
                <w:sz w:val="20"/>
              </w:rPr>
              <w:t>Generally</w:t>
            </w:r>
            <w:proofErr w:type="gramEnd"/>
            <w:r w:rsidR="001B3BDF">
              <w:rPr>
                <w:rFonts w:ascii="Arial Narrow" w:hAnsi="Arial Narrow" w:cs="Times New Roman"/>
                <w:snapToGrid w:val="0"/>
                <w:sz w:val="20"/>
              </w:rPr>
              <w:t xml:space="preserve"> aligns with the </w:t>
            </w:r>
            <w:r w:rsidR="00692395">
              <w:rPr>
                <w:rFonts w:ascii="Arial Narrow" w:hAnsi="Arial Narrow" w:cs="Times New Roman"/>
                <w:snapToGrid w:val="0"/>
                <w:sz w:val="20"/>
              </w:rPr>
              <w:t xml:space="preserve">DUSC analysis and clinician survey (refer to </w:t>
            </w:r>
            <w:r w:rsidR="00692395">
              <w:rPr>
                <w:rFonts w:ascii="Arial Narrow" w:hAnsi="Arial Narrow" w:cs="Times New Roman"/>
                <w:snapToGrid w:val="0"/>
                <w:sz w:val="20"/>
              </w:rPr>
              <w:fldChar w:fldCharType="begin"/>
            </w:r>
            <w:r w:rsidR="00692395">
              <w:rPr>
                <w:rFonts w:ascii="Arial Narrow" w:hAnsi="Arial Narrow" w:cs="Times New Roman"/>
                <w:snapToGrid w:val="0"/>
                <w:sz w:val="20"/>
              </w:rPr>
              <w:instrText xml:space="preserve"> REF _Ref206171826 \h  \* MERGEFORMAT </w:instrText>
            </w:r>
            <w:r w:rsidR="00692395">
              <w:rPr>
                <w:rFonts w:ascii="Arial Narrow" w:hAnsi="Arial Narrow" w:cs="Times New Roman"/>
                <w:snapToGrid w:val="0"/>
                <w:sz w:val="20"/>
              </w:rPr>
            </w:r>
            <w:r w:rsidR="00692395">
              <w:rPr>
                <w:rFonts w:ascii="Arial Narrow" w:hAnsi="Arial Narrow" w:cs="Times New Roman"/>
                <w:snapToGrid w:val="0"/>
                <w:sz w:val="20"/>
              </w:rPr>
              <w:fldChar w:fldCharType="separate"/>
            </w:r>
            <w:r w:rsidR="009B3037" w:rsidRPr="009B3037">
              <w:rPr>
                <w:rFonts w:ascii="Arial Narrow" w:hAnsi="Arial Narrow" w:cs="Times New Roman"/>
                <w:snapToGrid w:val="0"/>
                <w:sz w:val="20"/>
              </w:rPr>
              <w:t>Table 4</w:t>
            </w:r>
            <w:r w:rsidR="00692395">
              <w:rPr>
                <w:rFonts w:ascii="Arial Narrow" w:hAnsi="Arial Narrow" w:cs="Times New Roman"/>
                <w:snapToGrid w:val="0"/>
                <w:sz w:val="20"/>
              </w:rPr>
              <w:fldChar w:fldCharType="end"/>
            </w:r>
            <w:r w:rsidR="00692395">
              <w:rPr>
                <w:rFonts w:ascii="Arial Narrow" w:hAnsi="Arial Narrow" w:cs="Times New Roman"/>
                <w:snapToGrid w:val="0"/>
                <w:sz w:val="20"/>
              </w:rPr>
              <w:t>)</w:t>
            </w:r>
            <w:r w:rsidR="00AA4B99">
              <w:rPr>
                <w:rFonts w:ascii="Arial Narrow" w:hAnsi="Arial Narrow" w:cs="Times New Roman"/>
                <w:snapToGrid w:val="0"/>
                <w:sz w:val="20"/>
              </w:rPr>
              <w:t>.</w:t>
            </w:r>
          </w:p>
        </w:tc>
        <w:tc>
          <w:tcPr>
            <w:tcW w:w="3231" w:type="dxa"/>
            <w:vAlign w:val="center"/>
          </w:tcPr>
          <w:p w14:paraId="6BE91ED7" w14:textId="26EA2DE2" w:rsidR="004F2717" w:rsidRPr="00FD1145" w:rsidRDefault="00D06F18" w:rsidP="008B1086">
            <w:pPr>
              <w:keepNext/>
              <w:keepLines/>
              <w:jc w:val="left"/>
              <w:rPr>
                <w:rFonts w:ascii="Arial Narrow" w:eastAsiaTheme="majorEastAsia" w:hAnsi="Arial Narrow" w:cstheme="majorBidi"/>
                <w:bCs/>
                <w:sz w:val="20"/>
              </w:rPr>
            </w:pPr>
            <w:r>
              <w:rPr>
                <w:rFonts w:ascii="Arial Narrow" w:eastAsiaTheme="majorEastAsia" w:hAnsi="Arial Narrow" w:cstheme="majorBidi"/>
                <w:bCs/>
                <w:sz w:val="20"/>
              </w:rPr>
              <w:t xml:space="preserve">The PBAC considered that </w:t>
            </w:r>
            <w:r w:rsidRPr="00D06F18">
              <w:rPr>
                <w:rFonts w:ascii="Arial Narrow" w:eastAsiaTheme="majorEastAsia" w:hAnsi="Arial Narrow" w:cstheme="majorBidi"/>
                <w:bCs/>
                <w:sz w:val="20"/>
              </w:rPr>
              <w:t xml:space="preserve">tucatinib </w:t>
            </w:r>
            <w:r>
              <w:rPr>
                <w:rFonts w:ascii="Arial Narrow" w:eastAsiaTheme="majorEastAsia" w:hAnsi="Arial Narrow" w:cstheme="majorBidi"/>
                <w:bCs/>
                <w:sz w:val="20"/>
              </w:rPr>
              <w:t>was likely to o</w:t>
            </w:r>
            <w:r w:rsidRPr="00D06F18">
              <w:rPr>
                <w:rFonts w:ascii="Arial Narrow" w:eastAsiaTheme="majorEastAsia" w:hAnsi="Arial Narrow" w:cstheme="majorBidi"/>
                <w:bCs/>
                <w:sz w:val="20"/>
              </w:rPr>
              <w:t xml:space="preserve">nly be used in patients who would otherwise receive </w:t>
            </w:r>
            <w:r w:rsidR="00313619" w:rsidRPr="00D06F18">
              <w:rPr>
                <w:rFonts w:ascii="Arial Narrow" w:eastAsiaTheme="majorEastAsia" w:hAnsi="Arial Narrow" w:cstheme="majorBidi"/>
                <w:bCs/>
                <w:sz w:val="20"/>
              </w:rPr>
              <w:t xml:space="preserve">trastuzumab </w:t>
            </w:r>
            <w:r w:rsidR="00313619">
              <w:rPr>
                <w:rFonts w:ascii="Arial Narrow" w:eastAsiaTheme="majorEastAsia" w:hAnsi="Arial Narrow" w:cstheme="majorBidi"/>
                <w:bCs/>
                <w:sz w:val="20"/>
              </w:rPr>
              <w:t xml:space="preserve">+ </w:t>
            </w:r>
            <w:r w:rsidRPr="00D06F18">
              <w:rPr>
                <w:rFonts w:ascii="Arial Narrow" w:eastAsiaTheme="majorEastAsia" w:hAnsi="Arial Narrow" w:cstheme="majorBidi"/>
                <w:bCs/>
                <w:sz w:val="20"/>
              </w:rPr>
              <w:t>capecitabine</w:t>
            </w:r>
            <w:r w:rsidR="00D23A46">
              <w:rPr>
                <w:rFonts w:ascii="Arial Narrow" w:eastAsiaTheme="majorEastAsia" w:hAnsi="Arial Narrow" w:cstheme="majorBidi"/>
                <w:bCs/>
                <w:sz w:val="20"/>
              </w:rPr>
              <w:t>, and that this would likely represent around half the</w:t>
            </w:r>
            <w:r w:rsidR="00FF6F35">
              <w:rPr>
                <w:rFonts w:ascii="Arial Narrow" w:eastAsiaTheme="majorEastAsia" w:hAnsi="Arial Narrow" w:cstheme="majorBidi"/>
                <w:bCs/>
                <w:sz w:val="20"/>
              </w:rPr>
              <w:t xml:space="preserve"> eligible population. </w:t>
            </w:r>
            <w:r w:rsidR="005A73C5">
              <w:rPr>
                <w:rFonts w:ascii="Arial Narrow" w:eastAsiaTheme="majorEastAsia" w:hAnsi="Arial Narrow" w:cstheme="majorBidi"/>
                <w:bCs/>
                <w:sz w:val="20"/>
              </w:rPr>
              <w:t xml:space="preserve">The PBAC considered </w:t>
            </w:r>
            <w:r w:rsidR="002B3E61">
              <w:rPr>
                <w:rFonts w:ascii="Arial Narrow" w:eastAsiaTheme="majorEastAsia" w:hAnsi="Arial Narrow" w:cstheme="majorBidi"/>
                <w:bCs/>
                <w:sz w:val="20"/>
              </w:rPr>
              <w:t xml:space="preserve">tucatinib was unlikely to be used in patients who would otherwise receive T-DM1 (i.e. </w:t>
            </w:r>
            <w:r w:rsidR="00161C14">
              <w:rPr>
                <w:rFonts w:ascii="Arial Narrow" w:eastAsiaTheme="majorEastAsia" w:hAnsi="Arial Narrow" w:cstheme="majorBidi"/>
                <w:bCs/>
                <w:sz w:val="20"/>
              </w:rPr>
              <w:t>negligible</w:t>
            </w:r>
            <w:r w:rsidR="002B3E61">
              <w:rPr>
                <w:rFonts w:ascii="Arial Narrow" w:eastAsiaTheme="majorEastAsia" w:hAnsi="Arial Narrow" w:cstheme="majorBidi"/>
                <w:bCs/>
                <w:sz w:val="20"/>
              </w:rPr>
              <w:t xml:space="preserve"> impact on T-DM1 usage). </w:t>
            </w:r>
            <w:r>
              <w:rPr>
                <w:rFonts w:ascii="Arial Narrow" w:eastAsiaTheme="majorEastAsia" w:hAnsi="Arial Narrow" w:cstheme="majorBidi"/>
                <w:bCs/>
                <w:sz w:val="20"/>
              </w:rPr>
              <w:t xml:space="preserve"> </w:t>
            </w:r>
          </w:p>
        </w:tc>
      </w:tr>
      <w:tr w:rsidR="006F3EED" w:rsidRPr="00FD1145" w14:paraId="1D0D18E6" w14:textId="77777777" w:rsidTr="00704B85">
        <w:tc>
          <w:tcPr>
            <w:tcW w:w="1672" w:type="dxa"/>
            <w:vAlign w:val="center"/>
          </w:tcPr>
          <w:p w14:paraId="75F8850C"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Uptake % of tucatinib in eligible patients</w:t>
            </w:r>
          </w:p>
        </w:tc>
        <w:tc>
          <w:tcPr>
            <w:tcW w:w="2262" w:type="dxa"/>
            <w:vAlign w:val="center"/>
          </w:tcPr>
          <w:p w14:paraId="5A151D69" w14:textId="1BB4EB0C"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Yr</w:t>
            </w:r>
            <w:r w:rsidRPr="00FD1145">
              <w:rPr>
                <w:rFonts w:ascii="Arial" w:hAnsi="Arial"/>
                <w:snapToGrid w:val="0"/>
                <w:sz w:val="20"/>
              </w:rPr>
              <w:t> </w:t>
            </w:r>
            <w:r w:rsidRPr="00FD1145">
              <w:rPr>
                <w:rFonts w:ascii="Arial Narrow" w:hAnsi="Arial Narrow" w:cs="Times New Roman"/>
                <w:snapToGrid w:val="0"/>
                <w:sz w:val="20"/>
              </w:rPr>
              <w:t>1:</w:t>
            </w:r>
            <w:r w:rsidRPr="00FD1145">
              <w:rPr>
                <w:rFonts w:ascii="Arial" w:hAnsi="Arial"/>
                <w:snapToGrid w:val="0"/>
                <w:sz w:val="20"/>
              </w:rPr>
              <w:t> </w:t>
            </w:r>
            <w:r w:rsidR="009B6432" w:rsidRPr="009B6432">
              <w:rPr>
                <w:rFonts w:ascii="Arial Narrow" w:hAnsi="Arial Narrow" w:cs="Times New Roman"/>
                <w:snapToGrid w:val="0"/>
                <w:sz w:val="20"/>
                <w:highlight w:val="black"/>
              </w:rPr>
              <w:t>&amp;&amp;&amp;&amp;</w:t>
            </w:r>
            <w:r w:rsidRPr="00FD1145">
              <w:rPr>
                <w:rFonts w:ascii="Arial" w:hAnsi="Arial"/>
                <w:snapToGrid w:val="0"/>
                <w:sz w:val="20"/>
              </w:rPr>
              <w:t>%</w:t>
            </w:r>
            <w:r w:rsidRPr="00FD1145">
              <w:rPr>
                <w:rFonts w:ascii="Arial Narrow" w:hAnsi="Arial Narrow" w:cs="Times New Roman"/>
                <w:snapToGrid w:val="0"/>
                <w:sz w:val="20"/>
              </w:rPr>
              <w:t>; Yrs</w:t>
            </w:r>
            <w:r w:rsidRPr="00FD1145">
              <w:rPr>
                <w:rFonts w:ascii="Arial" w:hAnsi="Arial"/>
                <w:snapToGrid w:val="0"/>
                <w:sz w:val="20"/>
              </w:rPr>
              <w:t> </w:t>
            </w:r>
            <w:r w:rsidRPr="00FD1145">
              <w:rPr>
                <w:rFonts w:ascii="Arial Narrow" w:hAnsi="Arial Narrow" w:cs="Times New Roman"/>
                <w:snapToGrid w:val="0"/>
                <w:sz w:val="20"/>
              </w:rPr>
              <w:t>2</w:t>
            </w:r>
            <w:r w:rsidRPr="00FD1145">
              <w:rPr>
                <w:rFonts w:ascii="Arial Narrow" w:hAnsi="Arial Narrow" w:cs="Arial Narrow"/>
                <w:snapToGrid w:val="0"/>
                <w:sz w:val="20"/>
              </w:rPr>
              <w:t>-</w:t>
            </w:r>
            <w:r w:rsidRPr="00FD1145">
              <w:rPr>
                <w:rFonts w:ascii="Arial Narrow" w:hAnsi="Arial Narrow" w:cs="Times New Roman"/>
                <w:snapToGrid w:val="0"/>
                <w:sz w:val="20"/>
              </w:rPr>
              <w:t>6:</w:t>
            </w:r>
            <w:r w:rsidRPr="00FD1145">
              <w:rPr>
                <w:rFonts w:ascii="Arial" w:hAnsi="Arial"/>
                <w:snapToGrid w:val="0"/>
                <w:sz w:val="20"/>
              </w:rPr>
              <w:t> </w:t>
            </w:r>
            <w:r w:rsidR="009B6432" w:rsidRPr="009B6432">
              <w:rPr>
                <w:rFonts w:ascii="Arial Narrow" w:hAnsi="Arial Narrow" w:cs="Times New Roman"/>
                <w:snapToGrid w:val="0"/>
                <w:sz w:val="20"/>
                <w:highlight w:val="black"/>
              </w:rPr>
              <w:t>&amp;&amp;&amp;&amp;</w:t>
            </w:r>
            <w:r w:rsidRPr="00FD1145">
              <w:rPr>
                <w:rFonts w:ascii="Arial Narrow" w:hAnsi="Arial Narrow" w:cs="Times New Roman"/>
                <w:snapToGrid w:val="0"/>
                <w:sz w:val="20"/>
              </w:rPr>
              <w:t>%</w:t>
            </w:r>
          </w:p>
        </w:tc>
        <w:tc>
          <w:tcPr>
            <w:tcW w:w="2015" w:type="dxa"/>
            <w:vAlign w:val="center"/>
          </w:tcPr>
          <w:p w14:paraId="77162F51"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Assumption</w:t>
            </w:r>
          </w:p>
        </w:tc>
        <w:tc>
          <w:tcPr>
            <w:tcW w:w="3231" w:type="dxa"/>
            <w:vAlign w:val="center"/>
          </w:tcPr>
          <w:p w14:paraId="29221F07" w14:textId="456A0B7F"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 xml:space="preserve">This </w:t>
            </w:r>
            <w:r w:rsidR="00FE0D05">
              <w:rPr>
                <w:rFonts w:ascii="Arial Narrow" w:eastAsiaTheme="majorEastAsia" w:hAnsi="Arial Narrow" w:cstheme="majorBidi"/>
                <w:bCs/>
                <w:sz w:val="20"/>
              </w:rPr>
              <w:t>was</w:t>
            </w:r>
            <w:r w:rsidRPr="00FD1145">
              <w:rPr>
                <w:rFonts w:ascii="Arial Narrow" w:eastAsiaTheme="majorEastAsia" w:hAnsi="Arial Narrow" w:cstheme="majorBidi"/>
                <w:bCs/>
                <w:sz w:val="20"/>
              </w:rPr>
              <w:t xml:space="preserve"> revised from the previous submission which applied a rate of 55% in Year 1 increasing to 80% in Year 6 which was considered likely underestimated (</w:t>
            </w:r>
            <w:r w:rsidR="00C22038" w:rsidRPr="00FD1145">
              <w:rPr>
                <w:rFonts w:ascii="Arial Narrow" w:eastAsiaTheme="majorEastAsia" w:hAnsi="Arial Narrow" w:cstheme="majorBidi"/>
                <w:bCs/>
                <w:sz w:val="20"/>
              </w:rPr>
              <w:t>paragraph</w:t>
            </w:r>
            <w:r w:rsidRPr="00FD1145">
              <w:rPr>
                <w:rFonts w:ascii="Arial Narrow" w:eastAsiaTheme="majorEastAsia" w:hAnsi="Arial Narrow" w:cstheme="majorBidi"/>
                <w:bCs/>
                <w:sz w:val="20"/>
              </w:rPr>
              <w:t xml:space="preserve"> 6.72, tucatinib PSD, March 2021 PBAC meeting). </w:t>
            </w:r>
            <w:r w:rsidR="003B1273" w:rsidRPr="00FD1145">
              <w:rPr>
                <w:rFonts w:ascii="Arial Narrow" w:eastAsiaTheme="majorEastAsia" w:hAnsi="Arial Narrow" w:cstheme="majorBidi"/>
                <w:bCs/>
                <w:sz w:val="20"/>
              </w:rPr>
              <w:t xml:space="preserve">The ESC considered that the </w:t>
            </w:r>
            <w:r w:rsidR="003542C8" w:rsidRPr="00FD1145">
              <w:rPr>
                <w:rFonts w:ascii="Arial Narrow" w:eastAsiaTheme="majorEastAsia" w:hAnsi="Arial Narrow" w:cstheme="majorBidi"/>
                <w:bCs/>
                <w:sz w:val="20"/>
              </w:rPr>
              <w:t xml:space="preserve">uptake rates applied in the </w:t>
            </w:r>
            <w:r w:rsidR="00E26DBB" w:rsidRPr="00FD1145">
              <w:rPr>
                <w:rFonts w:ascii="Arial Narrow" w:eastAsiaTheme="majorEastAsia" w:hAnsi="Arial Narrow" w:cstheme="majorBidi"/>
                <w:bCs/>
                <w:sz w:val="20"/>
              </w:rPr>
              <w:t>re</w:t>
            </w:r>
            <w:r w:rsidR="003542C8" w:rsidRPr="00FD1145">
              <w:rPr>
                <w:rFonts w:ascii="Arial Narrow" w:eastAsiaTheme="majorEastAsia" w:hAnsi="Arial Narrow" w:cstheme="majorBidi"/>
                <w:bCs/>
                <w:sz w:val="20"/>
              </w:rPr>
              <w:t xml:space="preserve">submission were </w:t>
            </w:r>
            <w:bookmarkStart w:id="80" w:name="_Hlk211007030"/>
            <w:r w:rsidR="003542C8" w:rsidRPr="00FD1145">
              <w:rPr>
                <w:rFonts w:ascii="Arial Narrow" w:eastAsiaTheme="majorEastAsia" w:hAnsi="Arial Narrow" w:cstheme="majorBidi"/>
                <w:bCs/>
                <w:sz w:val="20"/>
              </w:rPr>
              <w:t>likely overestimated as there is now an alternative treatment in the 3L setting (i.e. T-DM1)</w:t>
            </w:r>
            <w:r w:rsidR="00E26DBB" w:rsidRPr="00FD1145">
              <w:rPr>
                <w:rFonts w:ascii="Arial Narrow" w:eastAsiaTheme="majorEastAsia" w:hAnsi="Arial Narrow" w:cstheme="majorBidi"/>
                <w:bCs/>
                <w:sz w:val="20"/>
              </w:rPr>
              <w:t>.</w:t>
            </w:r>
            <w:bookmarkEnd w:id="80"/>
            <w:r w:rsidR="000E5DB5">
              <w:rPr>
                <w:rFonts w:ascii="Arial Narrow" w:eastAsiaTheme="majorEastAsia" w:hAnsi="Arial Narrow" w:cstheme="majorBidi"/>
                <w:bCs/>
                <w:sz w:val="20"/>
              </w:rPr>
              <w:t xml:space="preserve"> However, the PBAC </w:t>
            </w:r>
            <w:r w:rsidR="00AB3D0B">
              <w:rPr>
                <w:rFonts w:ascii="Arial Narrow" w:eastAsiaTheme="majorEastAsia" w:hAnsi="Arial Narrow" w:cstheme="majorBidi"/>
                <w:bCs/>
                <w:sz w:val="20"/>
              </w:rPr>
              <w:t xml:space="preserve">noted these uptake rates were applied across the entire eligible population i.e. </w:t>
            </w:r>
            <w:r w:rsidR="001F714D">
              <w:rPr>
                <w:rFonts w:ascii="Arial Narrow" w:eastAsiaTheme="majorEastAsia" w:hAnsi="Arial Narrow" w:cstheme="majorBidi"/>
                <w:bCs/>
                <w:sz w:val="20"/>
              </w:rPr>
              <w:t>regardless of whether the</w:t>
            </w:r>
            <w:r w:rsidR="00E839C5">
              <w:rPr>
                <w:rFonts w:ascii="Arial Narrow" w:eastAsiaTheme="majorEastAsia" w:hAnsi="Arial Narrow" w:cstheme="majorBidi"/>
                <w:bCs/>
                <w:sz w:val="20"/>
              </w:rPr>
              <w:t xml:space="preserve"> patient would</w:t>
            </w:r>
            <w:r w:rsidR="001F714D">
              <w:rPr>
                <w:rFonts w:ascii="Arial Narrow" w:eastAsiaTheme="majorEastAsia" w:hAnsi="Arial Narrow" w:cstheme="majorBidi"/>
                <w:bCs/>
                <w:sz w:val="20"/>
              </w:rPr>
              <w:t xml:space="preserve"> </w:t>
            </w:r>
            <w:r w:rsidR="00717DA6" w:rsidRPr="00717DA6">
              <w:rPr>
                <w:rFonts w:ascii="Arial Narrow" w:eastAsiaTheme="majorEastAsia" w:hAnsi="Arial Narrow" w:cstheme="majorBidi"/>
                <w:bCs/>
                <w:sz w:val="20"/>
              </w:rPr>
              <w:t xml:space="preserve">currently </w:t>
            </w:r>
            <w:r w:rsidR="001F714D">
              <w:rPr>
                <w:rFonts w:ascii="Arial Narrow" w:eastAsiaTheme="majorEastAsia" w:hAnsi="Arial Narrow" w:cstheme="majorBidi"/>
                <w:bCs/>
                <w:sz w:val="20"/>
              </w:rPr>
              <w:t>receive</w:t>
            </w:r>
            <w:r w:rsidR="00717DA6" w:rsidRPr="00717DA6">
              <w:rPr>
                <w:rFonts w:ascii="Arial Narrow" w:eastAsiaTheme="majorEastAsia" w:hAnsi="Arial Narrow" w:cstheme="majorBidi"/>
                <w:bCs/>
                <w:sz w:val="20"/>
              </w:rPr>
              <w:t xml:space="preserve"> T-DM1 </w:t>
            </w:r>
            <w:r w:rsidR="00717DA6">
              <w:rPr>
                <w:rFonts w:ascii="Arial Narrow" w:eastAsiaTheme="majorEastAsia" w:hAnsi="Arial Narrow" w:cstheme="majorBidi"/>
                <w:bCs/>
                <w:sz w:val="20"/>
              </w:rPr>
              <w:t>or</w:t>
            </w:r>
            <w:r w:rsidR="00717DA6" w:rsidRPr="00717DA6">
              <w:rPr>
                <w:rFonts w:ascii="Arial Narrow" w:eastAsiaTheme="majorEastAsia" w:hAnsi="Arial Narrow" w:cstheme="majorBidi"/>
                <w:bCs/>
                <w:sz w:val="20"/>
              </w:rPr>
              <w:t xml:space="preserve"> trastuzumab + capecitabine</w:t>
            </w:r>
            <w:r w:rsidR="00AB3D0B">
              <w:rPr>
                <w:rFonts w:ascii="Arial Narrow" w:eastAsiaTheme="majorEastAsia" w:hAnsi="Arial Narrow" w:cstheme="majorBidi"/>
                <w:bCs/>
                <w:sz w:val="20"/>
              </w:rPr>
              <w:t xml:space="preserve">. The PBAC </w:t>
            </w:r>
            <w:r w:rsidR="000E5DB5">
              <w:rPr>
                <w:rFonts w:ascii="Arial Narrow" w:eastAsiaTheme="majorEastAsia" w:hAnsi="Arial Narrow" w:cstheme="majorBidi"/>
                <w:bCs/>
                <w:sz w:val="20"/>
              </w:rPr>
              <w:t xml:space="preserve">considered that </w:t>
            </w:r>
            <w:r w:rsidR="00AB3D0B" w:rsidRPr="00AB3D0B">
              <w:rPr>
                <w:rFonts w:ascii="Arial Narrow" w:eastAsiaTheme="majorEastAsia" w:hAnsi="Arial Narrow" w:cstheme="majorBidi"/>
                <w:bCs/>
                <w:sz w:val="20"/>
              </w:rPr>
              <w:t xml:space="preserve">tucatinib </w:t>
            </w:r>
            <w:r w:rsidR="001666D3">
              <w:rPr>
                <w:rFonts w:ascii="Arial Narrow" w:eastAsiaTheme="majorEastAsia" w:hAnsi="Arial Narrow" w:cstheme="majorBidi"/>
                <w:bCs/>
                <w:sz w:val="20"/>
              </w:rPr>
              <w:t>would likely</w:t>
            </w:r>
            <w:r w:rsidR="00AB3D0B" w:rsidRPr="00AB3D0B">
              <w:rPr>
                <w:rFonts w:ascii="Arial Narrow" w:eastAsiaTheme="majorEastAsia" w:hAnsi="Arial Narrow" w:cstheme="majorBidi"/>
                <w:bCs/>
                <w:sz w:val="20"/>
              </w:rPr>
              <w:t xml:space="preserve"> only be used in </w:t>
            </w:r>
            <w:r w:rsidR="00A91DA3">
              <w:rPr>
                <w:rFonts w:ascii="Arial Narrow" w:eastAsiaTheme="majorEastAsia" w:hAnsi="Arial Narrow" w:cstheme="majorBidi"/>
                <w:bCs/>
                <w:sz w:val="20"/>
              </w:rPr>
              <w:t xml:space="preserve">those </w:t>
            </w:r>
            <w:r w:rsidR="00AB3D0B" w:rsidRPr="00AB3D0B">
              <w:rPr>
                <w:rFonts w:ascii="Arial Narrow" w:eastAsiaTheme="majorEastAsia" w:hAnsi="Arial Narrow" w:cstheme="majorBidi"/>
                <w:bCs/>
                <w:sz w:val="20"/>
              </w:rPr>
              <w:t>patients who would otherwise receive trastuzumab + capecitabine</w:t>
            </w:r>
            <w:r w:rsidR="00AB3D0B">
              <w:rPr>
                <w:rFonts w:ascii="Arial Narrow" w:eastAsiaTheme="majorEastAsia" w:hAnsi="Arial Narrow" w:cstheme="majorBidi"/>
                <w:bCs/>
                <w:sz w:val="20"/>
              </w:rPr>
              <w:t xml:space="preserve">, and that uptake in this more specific population would likely be high, up to </w:t>
            </w:r>
            <w:r w:rsidR="009B6432" w:rsidRPr="009B6432">
              <w:rPr>
                <w:rFonts w:ascii="Arial Narrow" w:eastAsiaTheme="majorEastAsia" w:hAnsi="Arial Narrow" w:cstheme="majorBidi"/>
                <w:bCs/>
                <w:sz w:val="20"/>
                <w:highlight w:val="black"/>
              </w:rPr>
              <w:t>&amp;&amp;&amp;&amp;</w:t>
            </w:r>
            <w:r w:rsidR="00AB3D0B">
              <w:rPr>
                <w:rFonts w:ascii="Arial Narrow" w:eastAsiaTheme="majorEastAsia" w:hAnsi="Arial Narrow" w:cstheme="majorBidi"/>
                <w:bCs/>
                <w:sz w:val="20"/>
              </w:rPr>
              <w:t xml:space="preserve">% in Year 1 increasing to </w:t>
            </w:r>
            <w:r w:rsidR="009B6432" w:rsidRPr="009B6432">
              <w:rPr>
                <w:rFonts w:ascii="Arial Narrow" w:eastAsiaTheme="majorEastAsia" w:hAnsi="Arial Narrow" w:cstheme="majorBidi"/>
                <w:bCs/>
                <w:sz w:val="20"/>
                <w:highlight w:val="black"/>
              </w:rPr>
              <w:t>&amp;&amp;&amp;&amp;</w:t>
            </w:r>
            <w:r w:rsidR="00AB3D0B">
              <w:rPr>
                <w:rFonts w:ascii="Arial Narrow" w:eastAsiaTheme="majorEastAsia" w:hAnsi="Arial Narrow" w:cstheme="majorBidi"/>
                <w:bCs/>
                <w:sz w:val="20"/>
              </w:rPr>
              <w:t xml:space="preserve">% in Years 2 to 6. </w:t>
            </w:r>
          </w:p>
        </w:tc>
      </w:tr>
      <w:tr w:rsidR="006F3EED" w:rsidRPr="00FD1145" w14:paraId="37A9BD51" w14:textId="77777777" w:rsidTr="00704B85">
        <w:tc>
          <w:tcPr>
            <w:tcW w:w="1672" w:type="dxa"/>
            <w:vAlign w:val="center"/>
          </w:tcPr>
          <w:p w14:paraId="1A8102BA"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 Continuation after initial treatment</w:t>
            </w:r>
          </w:p>
        </w:tc>
        <w:tc>
          <w:tcPr>
            <w:tcW w:w="2262" w:type="dxa"/>
            <w:vAlign w:val="center"/>
          </w:tcPr>
          <w:p w14:paraId="625264DF"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84.6%</w:t>
            </w:r>
          </w:p>
        </w:tc>
        <w:tc>
          <w:tcPr>
            <w:tcW w:w="2015" w:type="dxa"/>
            <w:vAlign w:val="center"/>
          </w:tcPr>
          <w:p w14:paraId="0DF4ADE9"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84.6% based on the proportion remaining progression free at Week 12 in the HER2CLIMB trial</w:t>
            </w:r>
          </w:p>
        </w:tc>
        <w:tc>
          <w:tcPr>
            <w:tcW w:w="3231" w:type="dxa"/>
            <w:vAlign w:val="center"/>
          </w:tcPr>
          <w:p w14:paraId="5E3355A9" w14:textId="77777777"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The resubmission used PFS at 12 weeks as a proxy for continuing beyond initial supply. This appear</w:t>
            </w:r>
            <w:r w:rsidR="00E64307" w:rsidRPr="00FD1145">
              <w:rPr>
                <w:rFonts w:ascii="Arial Narrow" w:eastAsiaTheme="majorEastAsia" w:hAnsi="Arial Narrow" w:cstheme="majorBidi"/>
                <w:bCs/>
                <w:sz w:val="20"/>
              </w:rPr>
              <w:t>ed</w:t>
            </w:r>
            <w:r w:rsidRPr="00FD1145">
              <w:rPr>
                <w:rFonts w:ascii="Arial Narrow" w:eastAsiaTheme="majorEastAsia" w:hAnsi="Arial Narrow" w:cstheme="majorBidi"/>
                <w:bCs/>
                <w:sz w:val="20"/>
              </w:rPr>
              <w:t xml:space="preserve"> appropriate. </w:t>
            </w:r>
          </w:p>
          <w:p w14:paraId="7EC07086" w14:textId="4E24D36D" w:rsidR="00413EC0" w:rsidRPr="00FD1145" w:rsidRDefault="00216862"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No</w:t>
            </w:r>
            <w:r w:rsidR="00413EC0" w:rsidRPr="00FD1145">
              <w:rPr>
                <w:rFonts w:ascii="Arial Narrow" w:eastAsiaTheme="majorEastAsia" w:hAnsi="Arial Narrow" w:cstheme="majorBidi"/>
                <w:bCs/>
                <w:sz w:val="20"/>
              </w:rPr>
              <w:t xml:space="preserve"> corresponding </w:t>
            </w:r>
            <w:r w:rsidRPr="00FD1145">
              <w:rPr>
                <w:rFonts w:ascii="Arial Narrow" w:eastAsiaTheme="majorEastAsia" w:hAnsi="Arial Narrow" w:cstheme="majorBidi"/>
                <w:bCs/>
                <w:sz w:val="20"/>
              </w:rPr>
              <w:t xml:space="preserve">continuation assumptions were applied to T-DM1. </w:t>
            </w:r>
          </w:p>
        </w:tc>
      </w:tr>
      <w:tr w:rsidR="006F3EED" w:rsidRPr="00FD1145" w14:paraId="42A27B6B" w14:textId="77777777" w:rsidTr="00704B85">
        <w:tc>
          <w:tcPr>
            <w:tcW w:w="1672" w:type="dxa"/>
            <w:vAlign w:val="center"/>
          </w:tcPr>
          <w:p w14:paraId="05D090FD"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Mean treatment duration on tucatinib</w:t>
            </w:r>
          </w:p>
        </w:tc>
        <w:tc>
          <w:tcPr>
            <w:tcW w:w="2262" w:type="dxa"/>
            <w:vAlign w:val="center"/>
          </w:tcPr>
          <w:p w14:paraId="2D56F51B"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11.43</w:t>
            </w:r>
            <w:r w:rsidRPr="00FD1145">
              <w:rPr>
                <w:rFonts w:ascii="Arial" w:hAnsi="Arial"/>
                <w:snapToGrid w:val="0"/>
                <w:sz w:val="20"/>
              </w:rPr>
              <w:t> </w:t>
            </w:r>
            <w:r w:rsidRPr="00FD1145">
              <w:rPr>
                <w:rFonts w:ascii="Arial Narrow" w:hAnsi="Arial Narrow" w:cs="Times New Roman"/>
                <w:snapToGrid w:val="0"/>
                <w:sz w:val="20"/>
              </w:rPr>
              <w:t>months (~ 49.7</w:t>
            </w:r>
            <w:r w:rsidRPr="00FD1145">
              <w:rPr>
                <w:rFonts w:ascii="Arial" w:hAnsi="Arial"/>
                <w:snapToGrid w:val="0"/>
                <w:sz w:val="20"/>
              </w:rPr>
              <w:t> </w:t>
            </w:r>
            <w:r w:rsidRPr="00FD1145">
              <w:rPr>
                <w:rFonts w:ascii="Arial Narrow" w:hAnsi="Arial Narrow" w:cs="Times New Roman"/>
                <w:snapToGrid w:val="0"/>
                <w:sz w:val="20"/>
              </w:rPr>
              <w:t>weeks)</w:t>
            </w:r>
          </w:p>
        </w:tc>
        <w:tc>
          <w:tcPr>
            <w:tcW w:w="2015" w:type="dxa"/>
            <w:vAlign w:val="center"/>
          </w:tcPr>
          <w:p w14:paraId="7C05D350"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lang w:eastAsia="en-US"/>
              </w:rPr>
              <w:t>Derived from the extrapolated TTD curve from the economic model.</w:t>
            </w:r>
          </w:p>
        </w:tc>
        <w:tc>
          <w:tcPr>
            <w:tcW w:w="3231" w:type="dxa"/>
            <w:vAlign w:val="center"/>
          </w:tcPr>
          <w:p w14:paraId="0688A159" w14:textId="6E5BCB05"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The</w:t>
            </w:r>
            <w:r w:rsidR="0030122D">
              <w:rPr>
                <w:rFonts w:ascii="Arial Narrow" w:eastAsiaTheme="majorEastAsia" w:hAnsi="Arial Narrow" w:cstheme="majorBidi"/>
                <w:bCs/>
                <w:sz w:val="20"/>
              </w:rPr>
              <w:t xml:space="preserve"> evaluation considered the</w:t>
            </w:r>
            <w:r w:rsidRPr="00FD1145">
              <w:rPr>
                <w:rFonts w:ascii="Arial Narrow" w:eastAsiaTheme="majorEastAsia" w:hAnsi="Arial Narrow" w:cstheme="majorBidi"/>
                <w:bCs/>
                <w:sz w:val="20"/>
              </w:rPr>
              <w:t xml:space="preserve">re </w:t>
            </w:r>
            <w:r w:rsidR="0030122D">
              <w:rPr>
                <w:rFonts w:ascii="Arial Narrow" w:eastAsiaTheme="majorEastAsia" w:hAnsi="Arial Narrow" w:cstheme="majorBidi"/>
                <w:bCs/>
                <w:sz w:val="20"/>
              </w:rPr>
              <w:t>wa</w:t>
            </w:r>
            <w:r w:rsidRPr="00FD1145">
              <w:rPr>
                <w:rFonts w:ascii="Arial Narrow" w:eastAsiaTheme="majorEastAsia" w:hAnsi="Arial Narrow" w:cstheme="majorBidi"/>
                <w:bCs/>
                <w:sz w:val="20"/>
              </w:rPr>
              <w:t>s uncertainty around this estimate due to reliance on TTD extrapolation model, which is a sensitive modelling input</w:t>
            </w:r>
            <w:r w:rsidR="00F145B0" w:rsidRPr="00FD1145">
              <w:rPr>
                <w:rFonts w:ascii="Arial Narrow" w:eastAsiaTheme="majorEastAsia" w:hAnsi="Arial Narrow" w:cstheme="majorBidi"/>
                <w:sz w:val="20"/>
                <w:szCs w:val="20"/>
              </w:rPr>
              <w:t>.</w:t>
            </w:r>
            <w:r w:rsidR="0030122D">
              <w:rPr>
                <w:rFonts w:ascii="Arial Narrow" w:eastAsiaTheme="majorEastAsia" w:hAnsi="Arial Narrow" w:cstheme="majorBidi"/>
                <w:sz w:val="20"/>
                <w:szCs w:val="20"/>
              </w:rPr>
              <w:t xml:space="preserve"> However, the PBAC considered the modelling of tucatinib TTD in the economic model was reasonable.</w:t>
            </w:r>
          </w:p>
        </w:tc>
      </w:tr>
      <w:tr w:rsidR="006F3EED" w:rsidRPr="00FD1145" w14:paraId="0A1376C2" w14:textId="77777777" w:rsidTr="00704B85">
        <w:tc>
          <w:tcPr>
            <w:tcW w:w="1672" w:type="dxa"/>
            <w:vAlign w:val="center"/>
          </w:tcPr>
          <w:p w14:paraId="6E659887" w14:textId="569B4DF7" w:rsidR="00F84089" w:rsidRPr="00FD1145" w:rsidRDefault="00C14150" w:rsidP="008B1086">
            <w:pPr>
              <w:jc w:val="left"/>
              <w:rPr>
                <w:rFonts w:ascii="Arial Narrow" w:hAnsi="Arial Narrow" w:cs="Times New Roman"/>
                <w:snapToGrid w:val="0"/>
                <w:sz w:val="20"/>
              </w:rPr>
            </w:pPr>
            <w:r w:rsidRPr="00FD1145">
              <w:rPr>
                <w:rFonts w:ascii="Arial Narrow" w:hAnsi="Arial Narrow" w:cs="Times New Roman"/>
                <w:snapToGrid w:val="0"/>
                <w:sz w:val="20"/>
              </w:rPr>
              <w:lastRenderedPageBreak/>
              <w:t xml:space="preserve">Average daily dose </w:t>
            </w:r>
          </w:p>
        </w:tc>
        <w:tc>
          <w:tcPr>
            <w:tcW w:w="2262" w:type="dxa"/>
            <w:vAlign w:val="center"/>
          </w:tcPr>
          <w:p w14:paraId="4A995905" w14:textId="47AE9EC9" w:rsidR="00F84089" w:rsidRPr="00FD1145" w:rsidRDefault="004F48CA" w:rsidP="008B1086">
            <w:pPr>
              <w:jc w:val="left"/>
              <w:rPr>
                <w:rFonts w:ascii="Arial Narrow" w:hAnsi="Arial Narrow" w:cs="Times New Roman"/>
                <w:snapToGrid w:val="0"/>
                <w:sz w:val="20"/>
              </w:rPr>
            </w:pPr>
            <w:r w:rsidRPr="00FD1145">
              <w:rPr>
                <w:rFonts w:ascii="Arial Narrow" w:hAnsi="Arial Narrow" w:cs="Times New Roman"/>
                <w:snapToGrid w:val="0"/>
                <w:sz w:val="20"/>
              </w:rPr>
              <w:t>285.6 mg twice daily i.e. 95% of 300 mg twice daily</w:t>
            </w:r>
            <w:r w:rsidR="00A60EF4" w:rsidRPr="00FD1145">
              <w:rPr>
                <w:rFonts w:ascii="Arial Narrow" w:hAnsi="Arial Narrow" w:cs="Times New Roman"/>
                <w:snapToGrid w:val="0"/>
                <w:sz w:val="20"/>
              </w:rPr>
              <w:t xml:space="preserve"> with no missed doses</w:t>
            </w:r>
          </w:p>
        </w:tc>
        <w:tc>
          <w:tcPr>
            <w:tcW w:w="2015" w:type="dxa"/>
            <w:vAlign w:val="center"/>
          </w:tcPr>
          <w:p w14:paraId="77F8F6E5" w14:textId="1F0CF9FC" w:rsidR="00F84089" w:rsidRPr="00FD1145" w:rsidRDefault="00A60EF4" w:rsidP="008B1086">
            <w:pPr>
              <w:jc w:val="left"/>
              <w:rPr>
                <w:rFonts w:ascii="Arial Narrow" w:hAnsi="Arial Narrow" w:cs="Times New Roman"/>
                <w:snapToGrid w:val="0"/>
                <w:sz w:val="20"/>
                <w:lang w:eastAsia="en-US"/>
              </w:rPr>
            </w:pPr>
            <w:r w:rsidRPr="00FD1145">
              <w:rPr>
                <w:rFonts w:ascii="Arial Narrow" w:hAnsi="Arial Narrow" w:cs="Times New Roman"/>
                <w:snapToGrid w:val="0"/>
                <w:sz w:val="20"/>
              </w:rPr>
              <w:t>Based on the distribution of doses reported in the tr</w:t>
            </w:r>
            <w:r w:rsidR="00C14150" w:rsidRPr="00FD1145">
              <w:rPr>
                <w:rFonts w:ascii="Arial Narrow" w:hAnsi="Arial Narrow" w:cs="Times New Roman"/>
                <w:snapToGrid w:val="0"/>
                <w:sz w:val="20"/>
              </w:rPr>
              <w:t>ial</w:t>
            </w:r>
            <w:r w:rsidR="00B87134" w:rsidRPr="00FD1145">
              <w:rPr>
                <w:rFonts w:ascii="Arial Narrow" w:hAnsi="Arial Narrow" w:cs="Times New Roman"/>
                <w:snapToGrid w:val="0"/>
                <w:sz w:val="20"/>
              </w:rPr>
              <w:t xml:space="preserve"> (however patients who discontinued in the trial were assumed to receive 300 mg bd doses, which did not appear plausible).</w:t>
            </w:r>
            <w:r w:rsidR="00B87134" w:rsidRPr="00FD1145" w:rsidDel="00C14150">
              <w:rPr>
                <w:rFonts w:ascii="Arial Narrow" w:hAnsi="Arial Narrow" w:cs="Times New Roman"/>
                <w:snapToGrid w:val="0"/>
                <w:sz w:val="20"/>
              </w:rPr>
              <w:t xml:space="preserve"> </w:t>
            </w:r>
          </w:p>
        </w:tc>
        <w:tc>
          <w:tcPr>
            <w:tcW w:w="3231" w:type="dxa"/>
            <w:vAlign w:val="center"/>
          </w:tcPr>
          <w:p w14:paraId="2524A67B" w14:textId="45342ADC" w:rsidR="00F84089" w:rsidRPr="00FD1145" w:rsidRDefault="00F84089" w:rsidP="007F5BCA">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Cs/>
                <w:sz w:val="20"/>
              </w:rPr>
              <w:t xml:space="preserve">The resubmission </w:t>
            </w:r>
            <w:r w:rsidR="0022112A" w:rsidRPr="00FD1145">
              <w:rPr>
                <w:rFonts w:ascii="Arial Narrow" w:eastAsiaTheme="majorEastAsia" w:hAnsi="Arial Narrow" w:cstheme="majorBidi"/>
                <w:bCs/>
                <w:sz w:val="20"/>
              </w:rPr>
              <w:t>assumed</w:t>
            </w:r>
            <w:r w:rsidRPr="00FD1145">
              <w:rPr>
                <w:rFonts w:ascii="Arial Narrow" w:eastAsiaTheme="majorEastAsia" w:hAnsi="Arial Narrow" w:cstheme="majorBidi"/>
                <w:bCs/>
                <w:sz w:val="20"/>
              </w:rPr>
              <w:t xml:space="preserve"> that dose reductions were accounted for in the estimation of script distribution</w:t>
            </w:r>
            <w:r w:rsidR="000F561B" w:rsidRPr="00FD1145">
              <w:rPr>
                <w:rFonts w:ascii="Arial Narrow" w:eastAsiaTheme="majorEastAsia" w:hAnsi="Arial Narrow" w:cstheme="majorBidi"/>
                <w:bCs/>
                <w:sz w:val="20"/>
              </w:rPr>
              <w:t xml:space="preserve"> </w:t>
            </w:r>
            <w:r w:rsidR="00133CD2" w:rsidRPr="00FD1145">
              <w:rPr>
                <w:rFonts w:ascii="Arial Narrow" w:eastAsiaTheme="majorEastAsia" w:hAnsi="Arial Narrow" w:cstheme="majorBidi"/>
                <w:bCs/>
                <w:sz w:val="20"/>
              </w:rPr>
              <w:t xml:space="preserve">(i.e. </w:t>
            </w:r>
            <w:r w:rsidR="00031D18" w:rsidRPr="00FD1145">
              <w:rPr>
                <w:rFonts w:ascii="Arial Narrow" w:eastAsiaTheme="majorEastAsia" w:hAnsi="Arial Narrow" w:cstheme="majorBidi"/>
                <w:bCs/>
                <w:sz w:val="20"/>
              </w:rPr>
              <w:t xml:space="preserve">patients were assumed to receive a dose each day, </w:t>
            </w:r>
            <w:r w:rsidR="00133CD2" w:rsidRPr="00FD1145">
              <w:rPr>
                <w:rFonts w:ascii="Arial Narrow" w:eastAsiaTheme="majorEastAsia" w:hAnsi="Arial Narrow" w:cstheme="majorBidi"/>
                <w:bCs/>
                <w:sz w:val="20"/>
              </w:rPr>
              <w:t>with dose reductions</w:t>
            </w:r>
            <w:r w:rsidR="00C44451" w:rsidRPr="00FD1145">
              <w:rPr>
                <w:rFonts w:ascii="Arial Narrow" w:eastAsiaTheme="majorEastAsia" w:hAnsi="Arial Narrow" w:cstheme="majorBidi"/>
                <w:bCs/>
                <w:sz w:val="20"/>
              </w:rPr>
              <w:t xml:space="preserve"> </w:t>
            </w:r>
            <w:r w:rsidR="00133CD2" w:rsidRPr="00FD1145">
              <w:rPr>
                <w:rFonts w:ascii="Arial Narrow" w:eastAsiaTheme="majorEastAsia" w:hAnsi="Arial Narrow" w:cstheme="majorBidi"/>
                <w:bCs/>
                <w:sz w:val="20"/>
              </w:rPr>
              <w:t>reflected via dispensing lower strength scripts</w:t>
            </w:r>
            <w:r w:rsidR="00237809" w:rsidRPr="00FD1145">
              <w:rPr>
                <w:rFonts w:eastAsiaTheme="majorEastAsia"/>
                <w:bCs/>
              </w:rPr>
              <w:t>;</w:t>
            </w:r>
            <w:r w:rsidR="00B8134A" w:rsidRPr="00FD1145">
              <w:rPr>
                <w:rFonts w:ascii="Arial Narrow" w:eastAsiaTheme="majorEastAsia" w:hAnsi="Arial Narrow" w:cstheme="majorBidi"/>
                <w:bCs/>
                <w:sz w:val="20"/>
              </w:rPr>
              <w:t xml:space="preserve"> skipped</w:t>
            </w:r>
            <w:r w:rsidR="00B8134A" w:rsidRPr="00FD1145">
              <w:rPr>
                <w:rFonts w:ascii="Cambria Math" w:eastAsiaTheme="majorEastAsia" w:hAnsi="Cambria Math" w:cs="Cambria Math"/>
                <w:bCs/>
                <w:sz w:val="20"/>
              </w:rPr>
              <w:t>‑</w:t>
            </w:r>
            <w:r w:rsidR="00B8134A" w:rsidRPr="00FD1145">
              <w:rPr>
                <w:rFonts w:ascii="Arial Narrow" w:eastAsiaTheme="majorEastAsia" w:hAnsi="Arial Narrow" w:cstheme="majorBidi"/>
                <w:bCs/>
                <w:sz w:val="20"/>
              </w:rPr>
              <w:t>dose non</w:t>
            </w:r>
            <w:r w:rsidR="00B8134A" w:rsidRPr="00FD1145">
              <w:rPr>
                <w:rFonts w:ascii="Cambria Math" w:eastAsiaTheme="majorEastAsia" w:hAnsi="Cambria Math" w:cs="Cambria Math"/>
                <w:bCs/>
                <w:sz w:val="20"/>
              </w:rPr>
              <w:t>‑</w:t>
            </w:r>
            <w:r w:rsidR="00B8134A" w:rsidRPr="00FD1145">
              <w:rPr>
                <w:rFonts w:ascii="Arial Narrow" w:eastAsiaTheme="majorEastAsia" w:hAnsi="Arial Narrow" w:cstheme="majorBidi"/>
                <w:bCs/>
                <w:sz w:val="20"/>
              </w:rPr>
              <w:t xml:space="preserve">adherence </w:t>
            </w:r>
            <w:r w:rsidR="009C2904" w:rsidRPr="00FD1145">
              <w:rPr>
                <w:rFonts w:ascii="Arial Narrow" w:eastAsiaTheme="majorEastAsia" w:hAnsi="Arial Narrow" w:cstheme="majorBidi"/>
                <w:bCs/>
                <w:sz w:val="20"/>
              </w:rPr>
              <w:t>was</w:t>
            </w:r>
            <w:r w:rsidR="00B8134A" w:rsidRPr="00FD1145">
              <w:rPr>
                <w:rFonts w:ascii="Arial Narrow" w:eastAsiaTheme="majorEastAsia" w:hAnsi="Arial Narrow" w:cstheme="majorBidi"/>
                <w:bCs/>
                <w:sz w:val="20"/>
              </w:rPr>
              <w:t xml:space="preserve"> not modelled separately</w:t>
            </w:r>
            <w:r w:rsidRPr="00FD1145">
              <w:rPr>
                <w:rFonts w:ascii="Arial Narrow" w:eastAsiaTheme="majorEastAsia" w:hAnsi="Arial Narrow" w:cstheme="majorBidi"/>
                <w:bCs/>
                <w:sz w:val="20"/>
              </w:rPr>
              <w:t xml:space="preserve">. </w:t>
            </w:r>
            <w:r w:rsidR="00894FA5" w:rsidRPr="00FD1145">
              <w:rPr>
                <w:rFonts w:ascii="Arial Narrow" w:eastAsiaTheme="majorEastAsia" w:hAnsi="Arial Narrow" w:cstheme="majorBidi"/>
                <w:bCs/>
                <w:sz w:val="20"/>
              </w:rPr>
              <w:t xml:space="preserve">This </w:t>
            </w:r>
            <w:r w:rsidR="000B0B5C" w:rsidRPr="00FD1145">
              <w:rPr>
                <w:rFonts w:ascii="Arial Narrow" w:eastAsiaTheme="majorEastAsia" w:hAnsi="Arial Narrow" w:cstheme="majorBidi"/>
                <w:bCs/>
                <w:sz w:val="20"/>
              </w:rPr>
              <w:t xml:space="preserve">resulted in an average dose of </w:t>
            </w:r>
            <w:r w:rsidR="007557FB" w:rsidRPr="00FD1145">
              <w:rPr>
                <w:rFonts w:ascii="Arial Narrow" w:eastAsiaTheme="majorEastAsia" w:hAnsi="Arial Narrow" w:cstheme="majorBidi"/>
                <w:bCs/>
                <w:sz w:val="20"/>
              </w:rPr>
              <w:t>285.6 mg</w:t>
            </w:r>
            <w:r w:rsidR="00E550D2" w:rsidRPr="00FD1145">
              <w:rPr>
                <w:rFonts w:ascii="Arial Narrow" w:eastAsiaTheme="majorEastAsia" w:hAnsi="Arial Narrow" w:cstheme="majorBidi"/>
                <w:bCs/>
                <w:sz w:val="20"/>
              </w:rPr>
              <w:t xml:space="preserve"> (bd)</w:t>
            </w:r>
            <w:r w:rsidR="007557FB" w:rsidRPr="00FD1145">
              <w:rPr>
                <w:rFonts w:ascii="Arial Narrow" w:eastAsiaTheme="majorEastAsia" w:hAnsi="Arial Narrow" w:cstheme="majorBidi"/>
                <w:bCs/>
                <w:sz w:val="20"/>
              </w:rPr>
              <w:t xml:space="preserve"> i.e. 95% of 300 mg</w:t>
            </w:r>
            <w:r w:rsidR="00E550D2" w:rsidRPr="00FD1145">
              <w:rPr>
                <w:rFonts w:ascii="Arial Narrow" w:eastAsiaTheme="majorEastAsia" w:hAnsi="Arial Narrow" w:cstheme="majorBidi"/>
                <w:bCs/>
                <w:sz w:val="20"/>
              </w:rPr>
              <w:t xml:space="preserve"> bd</w:t>
            </w:r>
            <w:r w:rsidR="00AC58B8" w:rsidRPr="00FD1145">
              <w:rPr>
                <w:rFonts w:ascii="Arial Narrow" w:eastAsiaTheme="majorEastAsia" w:hAnsi="Arial Narrow" w:cstheme="majorBidi"/>
                <w:bCs/>
                <w:sz w:val="20"/>
              </w:rPr>
              <w:t xml:space="preserve">, which was </w:t>
            </w:r>
            <w:r w:rsidR="00396FA5" w:rsidRPr="00FD1145">
              <w:rPr>
                <w:rFonts w:ascii="Arial Narrow" w:eastAsiaTheme="majorEastAsia" w:hAnsi="Arial Narrow" w:cstheme="majorBidi"/>
                <w:bCs/>
                <w:sz w:val="20"/>
              </w:rPr>
              <w:t xml:space="preserve">inconsistent with the approach taken in the </w:t>
            </w:r>
            <w:r w:rsidR="00D76735">
              <w:rPr>
                <w:rFonts w:ascii="Arial Narrow" w:eastAsiaTheme="majorEastAsia" w:hAnsi="Arial Narrow" w:cstheme="majorBidi"/>
                <w:bCs/>
                <w:sz w:val="20"/>
              </w:rPr>
              <w:t xml:space="preserve">CUA and CMA </w:t>
            </w:r>
            <w:r w:rsidR="00A85923" w:rsidRPr="00FD1145">
              <w:rPr>
                <w:rFonts w:ascii="Arial Narrow" w:eastAsiaTheme="majorEastAsia" w:hAnsi="Arial Narrow" w:cstheme="majorBidi"/>
                <w:bCs/>
                <w:sz w:val="20"/>
              </w:rPr>
              <w:t xml:space="preserve">where </w:t>
            </w:r>
            <w:r w:rsidR="00AB4A12" w:rsidRPr="00FD1145">
              <w:rPr>
                <w:rFonts w:ascii="Arial Narrow" w:eastAsiaTheme="majorEastAsia" w:hAnsi="Arial Narrow" w:cstheme="majorBidi"/>
                <w:bCs/>
                <w:sz w:val="20"/>
              </w:rPr>
              <w:t>88.5% RDI was assumed</w:t>
            </w:r>
            <w:r w:rsidR="006C7765" w:rsidRPr="00FD1145">
              <w:rPr>
                <w:rFonts w:ascii="Arial Narrow" w:eastAsiaTheme="majorEastAsia" w:hAnsi="Arial Narrow" w:cstheme="majorBidi"/>
                <w:bCs/>
                <w:sz w:val="20"/>
              </w:rPr>
              <w:t>.</w:t>
            </w:r>
            <w:r w:rsidR="00E3653E" w:rsidRPr="00FD1145">
              <w:rPr>
                <w:rFonts w:ascii="Arial Narrow" w:eastAsiaTheme="majorEastAsia" w:hAnsi="Arial Narrow" w:cstheme="majorBidi"/>
                <w:bCs/>
                <w:sz w:val="20"/>
              </w:rPr>
              <w:t xml:space="preserve"> Further, patients who discontinue</w:t>
            </w:r>
            <w:r w:rsidR="00884281" w:rsidRPr="00FD1145">
              <w:rPr>
                <w:rFonts w:ascii="Arial Narrow" w:eastAsiaTheme="majorEastAsia" w:hAnsi="Arial Narrow" w:cstheme="majorBidi"/>
                <w:bCs/>
                <w:sz w:val="20"/>
              </w:rPr>
              <w:t>d in the trial (i.e. 5.7% of patients)</w:t>
            </w:r>
            <w:r w:rsidR="00E3653E" w:rsidRPr="00FD1145">
              <w:rPr>
                <w:rFonts w:ascii="Arial Narrow" w:eastAsiaTheme="majorEastAsia" w:hAnsi="Arial Narrow" w:cstheme="majorBidi"/>
                <w:bCs/>
                <w:sz w:val="20"/>
              </w:rPr>
              <w:t xml:space="preserve"> were assumed to receive </w:t>
            </w:r>
            <w:r w:rsidR="00884281" w:rsidRPr="00FD1145">
              <w:rPr>
                <w:rFonts w:ascii="Arial Narrow" w:eastAsiaTheme="majorEastAsia" w:hAnsi="Arial Narrow" w:cstheme="majorBidi"/>
                <w:bCs/>
                <w:sz w:val="20"/>
              </w:rPr>
              <w:t xml:space="preserve">300 mg </w:t>
            </w:r>
            <w:r w:rsidR="00E550D2" w:rsidRPr="00FD1145">
              <w:rPr>
                <w:rFonts w:ascii="Arial Narrow" w:eastAsiaTheme="majorEastAsia" w:hAnsi="Arial Narrow" w:cstheme="majorBidi"/>
                <w:bCs/>
                <w:sz w:val="20"/>
              </w:rPr>
              <w:t xml:space="preserve">bd </w:t>
            </w:r>
            <w:r w:rsidR="00884281" w:rsidRPr="00FD1145">
              <w:rPr>
                <w:rFonts w:ascii="Arial Narrow" w:eastAsiaTheme="majorEastAsia" w:hAnsi="Arial Narrow" w:cstheme="majorBidi"/>
                <w:bCs/>
                <w:sz w:val="20"/>
              </w:rPr>
              <w:t>doses</w:t>
            </w:r>
            <w:r w:rsidR="00607235" w:rsidRPr="00FD1145">
              <w:rPr>
                <w:rFonts w:ascii="Arial Narrow" w:eastAsiaTheme="majorEastAsia" w:hAnsi="Arial Narrow" w:cstheme="majorBidi"/>
                <w:bCs/>
                <w:sz w:val="20"/>
              </w:rPr>
              <w:t>, which did not appear to be appropriate</w:t>
            </w:r>
            <w:r w:rsidR="00884281" w:rsidRPr="00FD1145">
              <w:rPr>
                <w:rFonts w:ascii="Arial Narrow" w:eastAsiaTheme="majorEastAsia" w:hAnsi="Arial Narrow" w:cstheme="majorBidi"/>
                <w:bCs/>
                <w:sz w:val="20"/>
              </w:rPr>
              <w:t>.</w:t>
            </w:r>
            <w:r w:rsidR="008E2E3B" w:rsidRPr="00FD1145">
              <w:rPr>
                <w:rFonts w:ascii="Arial Narrow" w:eastAsiaTheme="majorEastAsia" w:hAnsi="Arial Narrow" w:cstheme="majorBidi"/>
                <w:bCs/>
                <w:sz w:val="20"/>
              </w:rPr>
              <w:t xml:space="preserve"> When </w:t>
            </w:r>
            <w:r w:rsidR="00442F55" w:rsidRPr="00FD1145">
              <w:rPr>
                <w:rFonts w:ascii="Arial Narrow" w:eastAsiaTheme="majorEastAsia" w:hAnsi="Arial Narrow" w:cstheme="majorBidi"/>
                <w:bCs/>
                <w:sz w:val="20"/>
              </w:rPr>
              <w:t xml:space="preserve">patients who discontinued were removed from the calculations, </w:t>
            </w:r>
            <w:r w:rsidR="00A14F5F" w:rsidRPr="00FD1145">
              <w:rPr>
                <w:rFonts w:ascii="Arial Narrow" w:eastAsiaTheme="majorEastAsia" w:hAnsi="Arial Narrow" w:cstheme="majorBidi"/>
                <w:bCs/>
                <w:sz w:val="20"/>
              </w:rPr>
              <w:t>the average dose would be 253 mg (bd) i.e. 84% of 300 mg bd</w:t>
            </w:r>
            <w:r w:rsidR="00953F50" w:rsidRPr="00FD1145">
              <w:rPr>
                <w:rFonts w:ascii="Arial Narrow" w:eastAsiaTheme="majorEastAsia" w:hAnsi="Arial Narrow" w:cstheme="majorBidi"/>
                <w:bCs/>
                <w:sz w:val="20"/>
              </w:rPr>
              <w:t xml:space="preserve">; if </w:t>
            </w:r>
            <w:r w:rsidR="00BB5645" w:rsidRPr="00FD1145">
              <w:rPr>
                <w:rFonts w:ascii="Arial Narrow" w:eastAsiaTheme="majorEastAsia" w:hAnsi="Arial Narrow" w:cstheme="majorBidi"/>
                <w:bCs/>
                <w:sz w:val="20"/>
              </w:rPr>
              <w:t xml:space="preserve">hypothetical </w:t>
            </w:r>
            <w:r w:rsidR="00953F50" w:rsidRPr="00FD1145">
              <w:rPr>
                <w:rFonts w:ascii="Arial Narrow" w:eastAsiaTheme="majorEastAsia" w:hAnsi="Arial Narrow" w:cstheme="majorBidi"/>
                <w:bCs/>
                <w:sz w:val="20"/>
              </w:rPr>
              <w:t>wastage assumptions were included</w:t>
            </w:r>
            <w:r w:rsidR="00FA018D" w:rsidRPr="00FD1145">
              <w:rPr>
                <w:rFonts w:ascii="Arial Narrow" w:eastAsiaTheme="majorEastAsia" w:hAnsi="Arial Narrow" w:cstheme="majorBidi"/>
                <w:bCs/>
                <w:sz w:val="20"/>
              </w:rPr>
              <w:t xml:space="preserve"> (e.g. wastage of the 50 mg tablets as patients re-escalate their dose), then</w:t>
            </w:r>
            <w:r w:rsidR="00953F50" w:rsidRPr="00FD1145">
              <w:rPr>
                <w:rFonts w:ascii="Arial Narrow" w:eastAsiaTheme="majorEastAsia" w:hAnsi="Arial Narrow" w:cstheme="majorBidi"/>
                <w:bCs/>
                <w:sz w:val="20"/>
              </w:rPr>
              <w:t xml:space="preserve"> the RDI would likely be closer to the 88.5% assumed in the </w:t>
            </w:r>
            <w:r w:rsidR="00CA3D74">
              <w:rPr>
                <w:rFonts w:ascii="Arial Narrow" w:eastAsiaTheme="majorEastAsia" w:hAnsi="Arial Narrow" w:cstheme="majorBidi"/>
                <w:bCs/>
                <w:sz w:val="20"/>
              </w:rPr>
              <w:t xml:space="preserve">CUA and </w:t>
            </w:r>
            <w:r w:rsidR="00953F50" w:rsidRPr="00FD1145">
              <w:rPr>
                <w:rFonts w:ascii="Arial Narrow" w:eastAsiaTheme="majorEastAsia" w:hAnsi="Arial Narrow" w:cstheme="majorBidi"/>
                <w:bCs/>
                <w:sz w:val="20"/>
              </w:rPr>
              <w:t>CMA</w:t>
            </w:r>
            <w:r w:rsidR="00A14F5F" w:rsidRPr="00FD1145">
              <w:rPr>
                <w:rFonts w:ascii="Arial Narrow" w:eastAsiaTheme="majorEastAsia" w:hAnsi="Arial Narrow" w:cstheme="majorBidi"/>
                <w:bCs/>
                <w:sz w:val="20"/>
              </w:rPr>
              <w:t xml:space="preserve">. </w:t>
            </w:r>
            <w:r w:rsidR="00CA3D74">
              <w:rPr>
                <w:rFonts w:ascii="Arial Narrow" w:eastAsiaTheme="majorEastAsia" w:hAnsi="Arial Narrow" w:cstheme="majorBidi"/>
                <w:bCs/>
                <w:sz w:val="20"/>
              </w:rPr>
              <w:t xml:space="preserve">The PBAC considered that the dosing assumptions in the </w:t>
            </w:r>
            <w:r w:rsidR="0032429D">
              <w:rPr>
                <w:rFonts w:ascii="Arial Narrow" w:eastAsiaTheme="majorEastAsia" w:hAnsi="Arial Narrow" w:cstheme="majorBidi"/>
                <w:bCs/>
                <w:sz w:val="20"/>
              </w:rPr>
              <w:t>financial estimates should be updated to be consistent with those</w:t>
            </w:r>
            <w:r w:rsidR="00CA3D74">
              <w:rPr>
                <w:rFonts w:ascii="Arial Narrow" w:eastAsiaTheme="majorEastAsia" w:hAnsi="Arial Narrow" w:cstheme="majorBidi"/>
                <w:bCs/>
                <w:sz w:val="20"/>
              </w:rPr>
              <w:t xml:space="preserve"> applied in the CUA</w:t>
            </w:r>
            <w:r w:rsidR="0032429D">
              <w:rPr>
                <w:rFonts w:ascii="Arial Narrow" w:eastAsiaTheme="majorEastAsia" w:hAnsi="Arial Narrow" w:cstheme="majorBidi"/>
                <w:bCs/>
                <w:sz w:val="20"/>
              </w:rPr>
              <w:t>.</w:t>
            </w:r>
          </w:p>
        </w:tc>
      </w:tr>
      <w:tr w:rsidR="00F84089" w:rsidRPr="00FD1145" w14:paraId="7CB14871" w14:textId="77777777" w:rsidTr="008B1086">
        <w:tc>
          <w:tcPr>
            <w:tcW w:w="9180" w:type="dxa"/>
            <w:gridSpan w:val="4"/>
            <w:vAlign w:val="center"/>
          </w:tcPr>
          <w:p w14:paraId="27BF9B30" w14:textId="77777777" w:rsidR="00F84089" w:rsidRPr="00FD1145" w:rsidRDefault="00F8408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b/>
                <w:sz w:val="20"/>
              </w:rPr>
              <w:t>Affected regimens and utilisation assumptions used for offsets</w:t>
            </w:r>
          </w:p>
        </w:tc>
      </w:tr>
      <w:tr w:rsidR="006F3EED" w:rsidRPr="00FD1145" w14:paraId="20087914" w14:textId="77777777" w:rsidTr="00704B85">
        <w:tc>
          <w:tcPr>
            <w:tcW w:w="1672" w:type="dxa"/>
            <w:vAlign w:val="center"/>
          </w:tcPr>
          <w:p w14:paraId="3835063F" w14:textId="77777777"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Displacement mix for comparators</w:t>
            </w:r>
          </w:p>
        </w:tc>
        <w:tc>
          <w:tcPr>
            <w:tcW w:w="2262" w:type="dxa"/>
            <w:vAlign w:val="center"/>
          </w:tcPr>
          <w:p w14:paraId="653D67A4" w14:textId="2D3A36A8" w:rsidR="00F84089" w:rsidRPr="00FD1145" w:rsidRDefault="00F84089" w:rsidP="008B1086">
            <w:pPr>
              <w:jc w:val="left"/>
              <w:rPr>
                <w:rFonts w:ascii="Arial Narrow" w:hAnsi="Arial Narrow" w:cs="Times New Roman"/>
                <w:snapToGrid w:val="0"/>
                <w:sz w:val="20"/>
              </w:rPr>
            </w:pPr>
            <w:r w:rsidRPr="00FD1145">
              <w:rPr>
                <w:rFonts w:ascii="Arial Narrow" w:hAnsi="Arial Narrow" w:cs="Times New Roman"/>
                <w:snapToGrid w:val="0"/>
                <w:sz w:val="20"/>
              </w:rPr>
              <w:t>50% trastuzumab</w:t>
            </w:r>
            <w:r w:rsidRPr="00FD1145">
              <w:rPr>
                <w:rFonts w:ascii="Arial" w:hAnsi="Arial"/>
                <w:snapToGrid w:val="0"/>
                <w:sz w:val="20"/>
              </w:rPr>
              <w:t> </w:t>
            </w:r>
            <w:r w:rsidRPr="00FD1145">
              <w:rPr>
                <w:rFonts w:ascii="Arial Narrow" w:hAnsi="Arial Narrow" w:cs="Times New Roman"/>
                <w:snapToGrid w:val="0"/>
                <w:sz w:val="20"/>
              </w:rPr>
              <w:t>+</w:t>
            </w:r>
            <w:r w:rsidRPr="00FD1145">
              <w:rPr>
                <w:rFonts w:ascii="Arial" w:hAnsi="Arial"/>
                <w:snapToGrid w:val="0"/>
                <w:sz w:val="20"/>
              </w:rPr>
              <w:t> </w:t>
            </w:r>
            <w:r w:rsidRPr="00FD1145">
              <w:rPr>
                <w:rFonts w:ascii="Arial Narrow" w:hAnsi="Arial Narrow" w:cs="Times New Roman"/>
                <w:snapToGrid w:val="0"/>
                <w:sz w:val="20"/>
              </w:rPr>
              <w:t>capecitabine</w:t>
            </w:r>
            <w:r w:rsidR="00DB07B5" w:rsidRPr="00FD1145">
              <w:rPr>
                <w:rFonts w:ascii="Arial Narrow" w:hAnsi="Arial Narrow" w:cs="Times New Roman"/>
                <w:snapToGrid w:val="0"/>
                <w:sz w:val="20"/>
              </w:rPr>
              <w:t>; 50% T</w:t>
            </w:r>
            <w:r w:rsidR="00DB07B5" w:rsidRPr="00FD1145">
              <w:rPr>
                <w:rFonts w:ascii="Cambria Math" w:hAnsi="Cambria Math" w:cs="Cambria Math"/>
                <w:snapToGrid w:val="0"/>
                <w:sz w:val="20"/>
              </w:rPr>
              <w:t>‑</w:t>
            </w:r>
            <w:r w:rsidR="00DB07B5" w:rsidRPr="00FD1145">
              <w:rPr>
                <w:rFonts w:ascii="Arial Narrow" w:hAnsi="Arial Narrow" w:cs="Times New Roman"/>
                <w:snapToGrid w:val="0"/>
                <w:sz w:val="20"/>
              </w:rPr>
              <w:t>DM1</w:t>
            </w:r>
            <w:r w:rsidR="00283F51">
              <w:rPr>
                <w:rFonts w:ascii="Arial Narrow" w:hAnsi="Arial Narrow" w:cs="Times New Roman"/>
                <w:snapToGrid w:val="0"/>
                <w:sz w:val="20"/>
              </w:rPr>
              <w:t>.</w:t>
            </w:r>
          </w:p>
        </w:tc>
        <w:tc>
          <w:tcPr>
            <w:tcW w:w="2015" w:type="dxa"/>
            <w:vAlign w:val="center"/>
          </w:tcPr>
          <w:p w14:paraId="7FBDE6BA" w14:textId="7D5D0A8B" w:rsidR="00F84089" w:rsidRPr="00FD1145" w:rsidRDefault="145F80C9" w:rsidP="008B1086">
            <w:pPr>
              <w:jc w:val="left"/>
              <w:rPr>
                <w:rFonts w:ascii="Arial Narrow" w:hAnsi="Arial Narrow" w:cs="Times New Roman"/>
                <w:snapToGrid w:val="0"/>
                <w:sz w:val="20"/>
              </w:rPr>
            </w:pPr>
            <w:r w:rsidRPr="00FD1145">
              <w:rPr>
                <w:rFonts w:ascii="Arial Narrow" w:hAnsi="Arial Narrow" w:cs="Times New Roman"/>
                <w:sz w:val="20"/>
                <w:szCs w:val="20"/>
              </w:rPr>
              <w:t>Based on the distribution of subsequent therapies in the third line setting from the DUSC analysis of T-</w:t>
            </w:r>
            <w:proofErr w:type="spellStart"/>
            <w:r w:rsidRPr="00FD1145">
              <w:rPr>
                <w:rFonts w:ascii="Arial Narrow" w:hAnsi="Arial Narrow" w:cs="Times New Roman"/>
                <w:sz w:val="20"/>
                <w:szCs w:val="20"/>
              </w:rPr>
              <w:t>DXd</w:t>
            </w:r>
            <w:proofErr w:type="spellEnd"/>
            <w:r w:rsidRPr="00FD1145">
              <w:rPr>
                <w:rFonts w:ascii="Arial Narrow" w:hAnsi="Arial Narrow" w:cs="Times New Roman"/>
                <w:sz w:val="20"/>
                <w:szCs w:val="20"/>
              </w:rPr>
              <w:t xml:space="preserve"> initiations, a similar analysis using the PBS 10% dataset and a clinician survey</w:t>
            </w:r>
          </w:p>
        </w:tc>
        <w:tc>
          <w:tcPr>
            <w:tcW w:w="3231" w:type="dxa"/>
            <w:vAlign w:val="center"/>
          </w:tcPr>
          <w:p w14:paraId="334959D8" w14:textId="06D017A9" w:rsidR="00F84089" w:rsidRPr="00FD1145" w:rsidRDefault="145F80C9" w:rsidP="008B1086">
            <w:pPr>
              <w:keepNext/>
              <w:keepLines/>
              <w:jc w:val="left"/>
              <w:rPr>
                <w:rFonts w:ascii="Arial Narrow" w:eastAsiaTheme="majorEastAsia" w:hAnsi="Arial Narrow" w:cstheme="majorBidi"/>
                <w:bCs/>
                <w:sz w:val="20"/>
              </w:rPr>
            </w:pPr>
            <w:r w:rsidRPr="00FD1145">
              <w:rPr>
                <w:rFonts w:ascii="Arial Narrow" w:eastAsiaTheme="majorEastAsia" w:hAnsi="Arial Narrow" w:cstheme="majorBidi"/>
                <w:sz w:val="20"/>
                <w:szCs w:val="20"/>
              </w:rPr>
              <w:t>The</w:t>
            </w:r>
            <w:r w:rsidR="00F84089" w:rsidRPr="00FD1145">
              <w:rPr>
                <w:rFonts w:ascii="Arial Narrow" w:eastAsiaTheme="majorEastAsia" w:hAnsi="Arial Narrow" w:cstheme="majorBidi"/>
                <w:bCs/>
                <w:sz w:val="20"/>
              </w:rPr>
              <w:t xml:space="preserve"> </w:t>
            </w:r>
            <w:r w:rsidR="00AC3620">
              <w:rPr>
                <w:rFonts w:ascii="Arial Narrow" w:eastAsiaTheme="majorEastAsia" w:hAnsi="Arial Narrow" w:cstheme="majorBidi"/>
                <w:bCs/>
                <w:sz w:val="20"/>
              </w:rPr>
              <w:t xml:space="preserve">evaluation considered that the </w:t>
            </w:r>
            <w:r w:rsidRPr="00FD1145">
              <w:rPr>
                <w:rFonts w:ascii="Arial Narrow" w:eastAsiaTheme="majorEastAsia" w:hAnsi="Arial Narrow" w:cstheme="majorBidi"/>
                <w:sz w:val="20"/>
                <w:szCs w:val="20"/>
              </w:rPr>
              <w:t>proportions</w:t>
            </w:r>
            <w:r w:rsidR="00F84089" w:rsidRPr="00FD1145">
              <w:rPr>
                <w:rFonts w:ascii="Arial Narrow" w:eastAsiaTheme="majorEastAsia" w:hAnsi="Arial Narrow" w:cstheme="majorBidi"/>
                <w:bCs/>
                <w:sz w:val="20"/>
              </w:rPr>
              <w:t xml:space="preserve"> identified in the </w:t>
            </w:r>
            <w:r w:rsidRPr="00FD1145">
              <w:rPr>
                <w:rFonts w:ascii="Arial Narrow" w:eastAsiaTheme="majorEastAsia" w:hAnsi="Arial Narrow" w:cstheme="majorBidi"/>
                <w:sz w:val="20"/>
                <w:szCs w:val="20"/>
              </w:rPr>
              <w:t>DUSC analysis (</w:t>
            </w:r>
            <w:r w:rsidR="0023557E" w:rsidRPr="00FD1145">
              <w:rPr>
                <w:rFonts w:ascii="Arial Narrow" w:eastAsiaTheme="majorEastAsia" w:hAnsi="Arial Narrow" w:cstheme="majorBidi"/>
                <w:sz w:val="20"/>
                <w:szCs w:val="20"/>
              </w:rPr>
              <w:t>66%</w:t>
            </w:r>
            <w:r w:rsidR="00121EA6" w:rsidRPr="00FD1145">
              <w:rPr>
                <w:rFonts w:ascii="Arial Narrow" w:eastAsiaTheme="majorEastAsia" w:hAnsi="Arial Narrow" w:cstheme="majorBidi"/>
                <w:sz w:val="20"/>
                <w:szCs w:val="20"/>
              </w:rPr>
              <w:t xml:space="preserve"> </w:t>
            </w:r>
            <w:r w:rsidR="00121EA6" w:rsidRPr="00FD1145">
              <w:rPr>
                <w:rFonts w:ascii="Arial Narrow" w:hAnsi="Arial Narrow" w:cs="Times New Roman"/>
                <w:snapToGrid w:val="0"/>
                <w:sz w:val="20"/>
              </w:rPr>
              <w:t>trastuzumab</w:t>
            </w:r>
            <w:r w:rsidR="00FE437A" w:rsidRPr="00FD1145">
              <w:rPr>
                <w:rFonts w:ascii="Arial Narrow" w:hAnsi="Arial Narrow"/>
                <w:snapToGrid w:val="0"/>
                <w:sz w:val="20"/>
              </w:rPr>
              <w:t>-involved therapies:</w:t>
            </w:r>
            <w:r w:rsidR="00FE437A" w:rsidRPr="00FD1145">
              <w:rPr>
                <w:rFonts w:ascii="Arial Narrow" w:eastAsiaTheme="majorEastAsia" w:hAnsi="Arial Narrow" w:cstheme="majorBidi"/>
                <w:sz w:val="20"/>
                <w:szCs w:val="20"/>
              </w:rPr>
              <w:t xml:space="preserve"> 34%T-DM1</w:t>
            </w:r>
            <w:r w:rsidRPr="00FD1145">
              <w:rPr>
                <w:rFonts w:ascii="Arial Narrow" w:eastAsiaTheme="majorEastAsia" w:hAnsi="Arial Narrow" w:cstheme="majorBidi"/>
                <w:sz w:val="20"/>
                <w:szCs w:val="20"/>
              </w:rPr>
              <w:t xml:space="preserve">) appear more appropriate than those identified in the clinician </w:t>
            </w:r>
            <w:r w:rsidR="00F84089" w:rsidRPr="00FD1145">
              <w:rPr>
                <w:rFonts w:ascii="Arial Narrow" w:eastAsiaTheme="majorEastAsia" w:hAnsi="Arial Narrow" w:cstheme="majorBidi"/>
                <w:bCs/>
                <w:sz w:val="20"/>
              </w:rPr>
              <w:t xml:space="preserve">survey </w:t>
            </w:r>
            <w:r w:rsidRPr="00FD1145">
              <w:rPr>
                <w:rFonts w:ascii="Arial Narrow" w:eastAsiaTheme="majorEastAsia" w:hAnsi="Arial Narrow" w:cstheme="majorBidi"/>
                <w:sz w:val="20"/>
                <w:szCs w:val="20"/>
              </w:rPr>
              <w:t>(</w:t>
            </w:r>
            <w:r w:rsidR="004F69FC" w:rsidRPr="00FD1145">
              <w:rPr>
                <w:rFonts w:ascii="Arial Narrow" w:eastAsiaTheme="majorEastAsia" w:hAnsi="Arial Narrow" w:cstheme="majorBidi"/>
                <w:sz w:val="20"/>
                <w:szCs w:val="20"/>
              </w:rPr>
              <w:t>23</w:t>
            </w:r>
            <w:r w:rsidRPr="00FD1145">
              <w:rPr>
                <w:rFonts w:ascii="Arial Narrow" w:eastAsiaTheme="majorEastAsia" w:hAnsi="Arial Narrow" w:cstheme="majorBidi"/>
                <w:sz w:val="20"/>
                <w:szCs w:val="20"/>
              </w:rPr>
              <w:t xml:space="preserve">%: </w:t>
            </w:r>
            <w:r w:rsidR="004F69FC" w:rsidRPr="00FD1145">
              <w:rPr>
                <w:rFonts w:ascii="Arial Narrow" w:eastAsiaTheme="majorEastAsia" w:hAnsi="Arial Narrow" w:cstheme="majorBidi"/>
                <w:sz w:val="20"/>
                <w:szCs w:val="20"/>
              </w:rPr>
              <w:t>77</w:t>
            </w:r>
            <w:r w:rsidRPr="00FD1145">
              <w:rPr>
                <w:rFonts w:ascii="Arial Narrow" w:eastAsiaTheme="majorEastAsia" w:hAnsi="Arial Narrow" w:cstheme="majorBidi"/>
                <w:sz w:val="20"/>
                <w:szCs w:val="20"/>
              </w:rPr>
              <w:t xml:space="preserve">%). Subsequently the </w:t>
            </w:r>
            <w:r w:rsidR="00AC3620">
              <w:rPr>
                <w:rFonts w:ascii="Arial Narrow" w:eastAsiaTheme="majorEastAsia" w:hAnsi="Arial Narrow" w:cstheme="majorBidi"/>
                <w:sz w:val="20"/>
                <w:szCs w:val="20"/>
              </w:rPr>
              <w:t xml:space="preserve">evaluation considered that the </w:t>
            </w:r>
            <w:r w:rsidRPr="00FD1145">
              <w:rPr>
                <w:rFonts w:ascii="Arial Narrow" w:eastAsiaTheme="majorEastAsia" w:hAnsi="Arial Narrow" w:cstheme="majorBidi"/>
                <w:sz w:val="20"/>
                <w:szCs w:val="20"/>
              </w:rPr>
              <w:t xml:space="preserve">proposed 50:50 split used in the resubmission </w:t>
            </w:r>
            <w:r w:rsidR="00F84089" w:rsidRPr="00FD1145">
              <w:rPr>
                <w:rFonts w:ascii="Arial Narrow" w:eastAsiaTheme="majorEastAsia" w:hAnsi="Arial Narrow" w:cstheme="majorBidi"/>
                <w:bCs/>
                <w:sz w:val="20"/>
              </w:rPr>
              <w:t xml:space="preserve">may </w:t>
            </w:r>
            <w:r w:rsidRPr="00FD1145">
              <w:rPr>
                <w:rFonts w:ascii="Arial Narrow" w:eastAsiaTheme="majorEastAsia" w:hAnsi="Arial Narrow" w:cstheme="majorBidi"/>
                <w:sz w:val="20"/>
                <w:szCs w:val="20"/>
              </w:rPr>
              <w:t>not be reasonable</w:t>
            </w:r>
            <w:r w:rsidR="008F032A">
              <w:rPr>
                <w:rFonts w:ascii="Arial Narrow" w:eastAsiaTheme="majorEastAsia" w:hAnsi="Arial Narrow" w:cstheme="majorBidi"/>
                <w:sz w:val="20"/>
                <w:szCs w:val="20"/>
              </w:rPr>
              <w:t xml:space="preserve">. </w:t>
            </w:r>
            <w:r w:rsidR="00FE5781">
              <w:rPr>
                <w:rFonts w:ascii="Arial Narrow" w:eastAsiaTheme="majorEastAsia" w:hAnsi="Arial Narrow" w:cstheme="majorBidi"/>
                <w:sz w:val="20"/>
                <w:szCs w:val="20"/>
              </w:rPr>
              <w:t xml:space="preserve">However, the PBAC considered that tucatinib would not displace T-DM1 </w:t>
            </w:r>
            <w:r w:rsidR="009A43A0">
              <w:rPr>
                <w:rFonts w:ascii="Arial Narrow" w:eastAsiaTheme="majorEastAsia" w:hAnsi="Arial Narrow" w:cstheme="majorBidi"/>
                <w:sz w:val="20"/>
                <w:szCs w:val="20"/>
              </w:rPr>
              <w:t xml:space="preserve">i.e. tucatinib </w:t>
            </w:r>
            <w:r w:rsidR="00FE5781">
              <w:rPr>
                <w:rFonts w:ascii="Arial Narrow" w:eastAsiaTheme="majorEastAsia" w:hAnsi="Arial Narrow" w:cstheme="majorBidi"/>
                <w:sz w:val="20"/>
                <w:szCs w:val="20"/>
              </w:rPr>
              <w:t>would</w:t>
            </w:r>
            <w:r w:rsidR="009A43A0">
              <w:rPr>
                <w:rFonts w:ascii="Arial Narrow" w:eastAsiaTheme="majorEastAsia" w:hAnsi="Arial Narrow" w:cstheme="majorBidi"/>
                <w:sz w:val="20"/>
                <w:szCs w:val="20"/>
              </w:rPr>
              <w:t xml:space="preserve"> only</w:t>
            </w:r>
            <w:r w:rsidR="00FE5781">
              <w:rPr>
                <w:rFonts w:ascii="Arial Narrow" w:eastAsiaTheme="majorEastAsia" w:hAnsi="Arial Narrow" w:cstheme="majorBidi"/>
                <w:sz w:val="20"/>
                <w:szCs w:val="20"/>
              </w:rPr>
              <w:t xml:space="preserve"> be added onto </w:t>
            </w:r>
            <w:r w:rsidR="00DF4A3B">
              <w:rPr>
                <w:rFonts w:ascii="Arial Narrow" w:eastAsiaTheme="majorEastAsia" w:hAnsi="Arial Narrow" w:cstheme="majorBidi"/>
                <w:sz w:val="20"/>
                <w:szCs w:val="20"/>
              </w:rPr>
              <w:t xml:space="preserve">existing use of </w:t>
            </w:r>
            <w:r w:rsidR="00FE5781" w:rsidRPr="00FD1145">
              <w:rPr>
                <w:rFonts w:ascii="Arial Narrow" w:hAnsi="Arial Narrow" w:cs="Times New Roman"/>
                <w:snapToGrid w:val="0"/>
                <w:sz w:val="20"/>
              </w:rPr>
              <w:t>trastuzumab</w:t>
            </w:r>
            <w:r w:rsidR="00FE5781" w:rsidRPr="00FD1145">
              <w:rPr>
                <w:rFonts w:ascii="Arial" w:hAnsi="Arial"/>
                <w:snapToGrid w:val="0"/>
                <w:sz w:val="20"/>
              </w:rPr>
              <w:t> </w:t>
            </w:r>
            <w:r w:rsidR="00FE5781" w:rsidRPr="00FD1145">
              <w:rPr>
                <w:rFonts w:ascii="Arial Narrow" w:hAnsi="Arial Narrow" w:cs="Times New Roman"/>
                <w:snapToGrid w:val="0"/>
                <w:sz w:val="20"/>
              </w:rPr>
              <w:t>+</w:t>
            </w:r>
            <w:r w:rsidR="00FE5781" w:rsidRPr="00FD1145">
              <w:rPr>
                <w:rFonts w:ascii="Arial" w:hAnsi="Arial"/>
                <w:snapToGrid w:val="0"/>
                <w:sz w:val="20"/>
              </w:rPr>
              <w:t> </w:t>
            </w:r>
            <w:r w:rsidR="00FE5781" w:rsidRPr="00FD1145">
              <w:rPr>
                <w:rFonts w:ascii="Arial Narrow" w:hAnsi="Arial Narrow" w:cs="Times New Roman"/>
                <w:snapToGrid w:val="0"/>
                <w:sz w:val="20"/>
              </w:rPr>
              <w:t>capecitabine</w:t>
            </w:r>
            <w:r w:rsidR="00DF4A3B">
              <w:rPr>
                <w:rFonts w:ascii="Arial Narrow" w:hAnsi="Arial Narrow" w:cs="Times New Roman"/>
                <w:snapToGrid w:val="0"/>
                <w:sz w:val="20"/>
              </w:rPr>
              <w:t xml:space="preserve"> (thus there would be no additional costs for </w:t>
            </w:r>
            <w:r w:rsidR="00AE7BDE">
              <w:rPr>
                <w:rFonts w:ascii="Arial Narrow" w:hAnsi="Arial Narrow" w:cs="Times New Roman"/>
                <w:snapToGrid w:val="0"/>
                <w:sz w:val="20"/>
              </w:rPr>
              <w:t xml:space="preserve">increased use of </w:t>
            </w:r>
            <w:r w:rsidR="00DF4A3B" w:rsidRPr="00FD1145">
              <w:rPr>
                <w:rFonts w:ascii="Arial Narrow" w:hAnsi="Arial Narrow" w:cs="Times New Roman"/>
                <w:snapToGrid w:val="0"/>
                <w:sz w:val="20"/>
              </w:rPr>
              <w:t>trastuzumab</w:t>
            </w:r>
            <w:r w:rsidR="00DF4A3B" w:rsidRPr="00FD1145">
              <w:rPr>
                <w:rFonts w:ascii="Arial" w:hAnsi="Arial"/>
                <w:snapToGrid w:val="0"/>
                <w:sz w:val="20"/>
              </w:rPr>
              <w:t> </w:t>
            </w:r>
            <w:r w:rsidR="00DF4A3B" w:rsidRPr="00FD1145">
              <w:rPr>
                <w:rFonts w:ascii="Arial Narrow" w:hAnsi="Arial Narrow" w:cs="Times New Roman"/>
                <w:snapToGrid w:val="0"/>
                <w:sz w:val="20"/>
              </w:rPr>
              <w:t>+</w:t>
            </w:r>
            <w:r w:rsidR="00DF4A3B" w:rsidRPr="00FD1145">
              <w:rPr>
                <w:rFonts w:ascii="Arial" w:hAnsi="Arial"/>
                <w:snapToGrid w:val="0"/>
                <w:sz w:val="20"/>
              </w:rPr>
              <w:t> </w:t>
            </w:r>
            <w:r w:rsidR="00DF4A3B" w:rsidRPr="00FD1145">
              <w:rPr>
                <w:rFonts w:ascii="Arial Narrow" w:hAnsi="Arial Narrow" w:cs="Times New Roman"/>
                <w:snapToGrid w:val="0"/>
                <w:sz w:val="20"/>
              </w:rPr>
              <w:t>capecitabine</w:t>
            </w:r>
            <w:r w:rsidR="00FE5781">
              <w:rPr>
                <w:rFonts w:ascii="Arial Narrow" w:hAnsi="Arial Narrow" w:cs="Times New Roman"/>
                <w:snapToGrid w:val="0"/>
                <w:sz w:val="20"/>
              </w:rPr>
              <w:t xml:space="preserve">). </w:t>
            </w:r>
          </w:p>
        </w:tc>
      </w:tr>
    </w:tbl>
    <w:p w14:paraId="5C3D5324" w14:textId="05DFDEE9" w:rsidR="00F84089" w:rsidRPr="00FD1145" w:rsidRDefault="00F84089" w:rsidP="00F84089">
      <w:pPr>
        <w:pStyle w:val="TableFigureFooter"/>
        <w:rPr>
          <w:lang w:val="en-US"/>
        </w:rPr>
      </w:pPr>
      <w:r w:rsidRPr="00FD1145">
        <w:rPr>
          <w:lang w:val="en-US"/>
        </w:rPr>
        <w:t>Source: Section</w:t>
      </w:r>
      <w:r w:rsidRPr="00FD1145">
        <w:rPr>
          <w:rFonts w:ascii="Arial" w:hAnsi="Arial"/>
          <w:lang w:val="en-US"/>
        </w:rPr>
        <w:t> </w:t>
      </w:r>
      <w:r w:rsidRPr="00FD1145">
        <w:rPr>
          <w:lang w:val="en-US"/>
        </w:rPr>
        <w:t xml:space="preserve">4 of the resubmission, the attached UCM workbook </w:t>
      </w:r>
      <w:r w:rsidR="00342F6D">
        <w:rPr>
          <w:rFonts w:cs="Arial Narrow"/>
          <w:lang w:val="en-US"/>
        </w:rPr>
        <w:t>‘</w:t>
      </w:r>
      <w:r w:rsidRPr="00FD1145">
        <w:rPr>
          <w:lang w:val="en-US"/>
        </w:rPr>
        <w:t>Tucatinib_HER2+mBC_UCM_July</w:t>
      </w:r>
      <w:r w:rsidRPr="00FD1145">
        <w:rPr>
          <w:rFonts w:ascii="Arial" w:hAnsi="Arial"/>
          <w:lang w:val="en-US"/>
        </w:rPr>
        <w:t> </w:t>
      </w:r>
      <w:r w:rsidRPr="00FD1145">
        <w:rPr>
          <w:lang w:val="en-US"/>
        </w:rPr>
        <w:t>2025.xlsx</w:t>
      </w:r>
      <w:r w:rsidR="00342F6D">
        <w:rPr>
          <w:rFonts w:cs="Arial Narrow"/>
          <w:lang w:val="en-US"/>
        </w:rPr>
        <w:t>’</w:t>
      </w:r>
      <w:r w:rsidRPr="00FD1145">
        <w:rPr>
          <w:lang w:val="en-US"/>
        </w:rPr>
        <w:t xml:space="preserve">, DUSC PBS, clinical trial parameters, Product Information, PBS Schedule AEMPs and MBS fee schedule as specified in the </w:t>
      </w:r>
      <w:r w:rsidR="00342F6D">
        <w:rPr>
          <w:rFonts w:cs="Arial Narrow"/>
          <w:lang w:val="en-US"/>
        </w:rPr>
        <w:t>‘</w:t>
      </w:r>
      <w:r w:rsidRPr="00FD1145">
        <w:rPr>
          <w:lang w:val="en-US"/>
        </w:rPr>
        <w:t>Source</w:t>
      </w:r>
      <w:r w:rsidR="00342F6D">
        <w:rPr>
          <w:rFonts w:cs="Arial Narrow"/>
          <w:lang w:val="en-US"/>
        </w:rPr>
        <w:t>’</w:t>
      </w:r>
      <w:r w:rsidRPr="00FD1145">
        <w:rPr>
          <w:lang w:val="en-US"/>
        </w:rPr>
        <w:t xml:space="preserve"> column. </w:t>
      </w:r>
    </w:p>
    <w:p w14:paraId="37AB78F3" w14:textId="77777777" w:rsidR="00F84089" w:rsidRPr="00FD1145" w:rsidRDefault="00F84089" w:rsidP="00F84089">
      <w:pPr>
        <w:pStyle w:val="TableFigureFooter"/>
        <w:rPr>
          <w:lang w:val="en-US"/>
        </w:rPr>
      </w:pPr>
      <w:r w:rsidRPr="00FD1145">
        <w:lastRenderedPageBreak/>
        <w:t>Abbreviations: 3-L, third-line; AE, adverse event(s); AEMP, Approved Ex-Manufacturer Price; AEMPs, Approved Ex-Manufacturer Prices; AIHW, Australian Institute of Health and Welfare; BID, twice daily; CMA, cost minimisation analysis; DPMQ, Dispensed Price for Maximum Quantity; DPMQs, Dispensed Prices for Maximum Quantity; DUSC, Drug Utilisation Sub Committee; DoT, duration of treatment; IV, intravenous; KM, Kaplan–Meier; MBS, Medicare Benefits Schedule; PBAC, Pharmaceutical Benefits Advisory Committee; PBS, Pharmaceutical Benefits Scheme; PFS, progression-free survival; PI, Product Information; Q4, fourth quarter; RDI, relative dose intensity; RDIs, relative dose intensities; RPBS, Repatriation Pharmaceutical Benefits Scheme; SC, subcutaneous; SPA, special pricing arrangement; TTD, time to treatment discontinuation; T-DM1, trastuzumab emtansine; T-</w:t>
      </w:r>
      <w:proofErr w:type="spellStart"/>
      <w:r w:rsidRPr="00FD1145">
        <w:t>DXd</w:t>
      </w:r>
      <w:proofErr w:type="spellEnd"/>
      <w:r w:rsidRPr="00FD1145">
        <w:t>, trastuzumab deruxtecan; UCM, Utilisation and Cost Model; Yr, year.</w:t>
      </w:r>
    </w:p>
    <w:p w14:paraId="1E8E64B2" w14:textId="46F131E6" w:rsidR="00F84089" w:rsidRPr="00FD1145" w:rsidRDefault="00A55BE5" w:rsidP="00F84089">
      <w:pPr>
        <w:pStyle w:val="3-BodyText"/>
      </w:pPr>
      <w:r w:rsidRPr="00FD1145">
        <w:fldChar w:fldCharType="begin"/>
      </w:r>
      <w:r w:rsidRPr="00FD1145">
        <w:instrText xml:space="preserve"> REF _Ref206419693 \h </w:instrText>
      </w:r>
      <w:r w:rsidR="00C33092" w:rsidRPr="00FD1145">
        <w:instrText xml:space="preserve"> \* MERGEFORMAT </w:instrText>
      </w:r>
      <w:r w:rsidRPr="00FD1145">
        <w:fldChar w:fldCharType="separate"/>
      </w:r>
      <w:r w:rsidR="009B3037" w:rsidRPr="00FD1145">
        <w:t xml:space="preserve">Table </w:t>
      </w:r>
      <w:r w:rsidR="009B3037">
        <w:rPr>
          <w:noProof/>
        </w:rPr>
        <w:t>20</w:t>
      </w:r>
      <w:r w:rsidRPr="00FD1145">
        <w:fldChar w:fldCharType="end"/>
      </w:r>
      <w:r w:rsidR="004D76DC" w:rsidRPr="00FD1145">
        <w:t xml:space="preserve"> presents the net financial implications presented </w:t>
      </w:r>
      <w:r w:rsidR="001A1BAA" w:rsidRPr="00FD1145">
        <w:t xml:space="preserve">in the resubmission. </w:t>
      </w:r>
    </w:p>
    <w:p w14:paraId="57B9C047" w14:textId="33B8264F" w:rsidR="00F84089" w:rsidRPr="00FD1145" w:rsidRDefault="00F84089" w:rsidP="00F84089">
      <w:pPr>
        <w:pStyle w:val="Caption"/>
      </w:pPr>
      <w:bookmarkStart w:id="81" w:name="_Ref206419693"/>
      <w:r w:rsidRPr="00FD1145">
        <w:t xml:space="preserve">Table </w:t>
      </w:r>
      <w:r w:rsidR="006B7CCD">
        <w:fldChar w:fldCharType="begin"/>
      </w:r>
      <w:r w:rsidR="006B7CCD">
        <w:instrText xml:space="preserve"> SEQ Table \* ARABIC </w:instrText>
      </w:r>
      <w:r w:rsidR="006B7CCD">
        <w:fldChar w:fldCharType="separate"/>
      </w:r>
      <w:r w:rsidR="009B3037">
        <w:rPr>
          <w:noProof/>
        </w:rPr>
        <w:t>20</w:t>
      </w:r>
      <w:r w:rsidR="006B7CCD">
        <w:rPr>
          <w:noProof/>
        </w:rPr>
        <w:fldChar w:fldCharType="end"/>
      </w:r>
      <w:bookmarkEnd w:id="81"/>
      <w:r w:rsidRPr="00FD1145">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Estimated use and financial implications"/>
      </w:tblPr>
      <w:tblGrid>
        <w:gridCol w:w="2404"/>
        <w:gridCol w:w="1102"/>
        <w:gridCol w:w="1102"/>
        <w:gridCol w:w="1102"/>
        <w:gridCol w:w="1102"/>
        <w:gridCol w:w="1102"/>
        <w:gridCol w:w="1102"/>
      </w:tblGrid>
      <w:tr w:rsidR="00F84089" w:rsidRPr="00FD1145" w14:paraId="3120DA50" w14:textId="77777777" w:rsidTr="008B1086">
        <w:trPr>
          <w:tblHeader/>
        </w:trPr>
        <w:tc>
          <w:tcPr>
            <w:tcW w:w="1334" w:type="pct"/>
            <w:vAlign w:val="center"/>
          </w:tcPr>
          <w:p w14:paraId="0C1245CD" w14:textId="77777777" w:rsidR="00F84089" w:rsidRPr="00FD1145" w:rsidRDefault="00F84089" w:rsidP="00CA6BDE">
            <w:pPr>
              <w:pStyle w:val="In-tableHeading"/>
            </w:pPr>
          </w:p>
        </w:tc>
        <w:tc>
          <w:tcPr>
            <w:tcW w:w="611" w:type="pct"/>
            <w:vAlign w:val="center"/>
          </w:tcPr>
          <w:p w14:paraId="340C936E" w14:textId="77777777" w:rsidR="00F84089" w:rsidRPr="00FD1145" w:rsidRDefault="00F84089" w:rsidP="00CA6BDE">
            <w:pPr>
              <w:pStyle w:val="In-tableHeading"/>
            </w:pPr>
            <w:r w:rsidRPr="00FD1145">
              <w:t>Year 1</w:t>
            </w:r>
          </w:p>
        </w:tc>
        <w:tc>
          <w:tcPr>
            <w:tcW w:w="611" w:type="pct"/>
            <w:vAlign w:val="center"/>
          </w:tcPr>
          <w:p w14:paraId="6180A126" w14:textId="77777777" w:rsidR="00F84089" w:rsidRPr="00FD1145" w:rsidRDefault="00F84089" w:rsidP="00CA6BDE">
            <w:pPr>
              <w:pStyle w:val="In-tableHeading"/>
            </w:pPr>
            <w:r w:rsidRPr="00FD1145">
              <w:t>Year 2</w:t>
            </w:r>
          </w:p>
        </w:tc>
        <w:tc>
          <w:tcPr>
            <w:tcW w:w="611" w:type="pct"/>
            <w:vAlign w:val="center"/>
          </w:tcPr>
          <w:p w14:paraId="1EB325DE" w14:textId="77777777" w:rsidR="00F84089" w:rsidRPr="00FD1145" w:rsidRDefault="00F84089" w:rsidP="00CA6BDE">
            <w:pPr>
              <w:pStyle w:val="In-tableHeading"/>
            </w:pPr>
            <w:r w:rsidRPr="00FD1145">
              <w:t>Year 3</w:t>
            </w:r>
          </w:p>
        </w:tc>
        <w:tc>
          <w:tcPr>
            <w:tcW w:w="611" w:type="pct"/>
            <w:vAlign w:val="center"/>
          </w:tcPr>
          <w:p w14:paraId="59C0812D" w14:textId="77777777" w:rsidR="00F84089" w:rsidRPr="00FD1145" w:rsidRDefault="00F84089" w:rsidP="00CA6BDE">
            <w:pPr>
              <w:pStyle w:val="In-tableHeading"/>
            </w:pPr>
            <w:r w:rsidRPr="00FD1145">
              <w:t>Year 4</w:t>
            </w:r>
          </w:p>
        </w:tc>
        <w:tc>
          <w:tcPr>
            <w:tcW w:w="611" w:type="pct"/>
            <w:vAlign w:val="center"/>
          </w:tcPr>
          <w:p w14:paraId="492878C8" w14:textId="77777777" w:rsidR="00F84089" w:rsidRPr="00FD1145" w:rsidRDefault="00F84089" w:rsidP="00CA6BDE">
            <w:pPr>
              <w:pStyle w:val="In-tableHeading"/>
            </w:pPr>
            <w:r w:rsidRPr="00FD1145">
              <w:t>Year 5</w:t>
            </w:r>
          </w:p>
        </w:tc>
        <w:tc>
          <w:tcPr>
            <w:tcW w:w="611" w:type="pct"/>
          </w:tcPr>
          <w:p w14:paraId="30AE7DE7" w14:textId="77777777" w:rsidR="00F84089" w:rsidRPr="00FD1145" w:rsidRDefault="00F84089" w:rsidP="00CA6BDE">
            <w:pPr>
              <w:pStyle w:val="In-tableHeading"/>
            </w:pPr>
            <w:r w:rsidRPr="00FD1145">
              <w:t>Year 6</w:t>
            </w:r>
          </w:p>
        </w:tc>
      </w:tr>
      <w:tr w:rsidR="00F84089" w:rsidRPr="00FD1145" w14:paraId="1DAAAC99" w14:textId="77777777" w:rsidTr="008B1086">
        <w:tc>
          <w:tcPr>
            <w:tcW w:w="5000" w:type="pct"/>
            <w:gridSpan w:val="7"/>
            <w:vAlign w:val="center"/>
          </w:tcPr>
          <w:p w14:paraId="54640F45" w14:textId="77777777" w:rsidR="00F84089" w:rsidRPr="00FD1145" w:rsidRDefault="00F84089" w:rsidP="00CA6BDE">
            <w:pPr>
              <w:pStyle w:val="In-tableHeading"/>
            </w:pPr>
            <w:r w:rsidRPr="00FD1145">
              <w:t>Estimated extent of use</w:t>
            </w:r>
          </w:p>
        </w:tc>
      </w:tr>
      <w:tr w:rsidR="00F84089" w:rsidRPr="00FD1145" w14:paraId="2E67B9E1" w14:textId="77777777" w:rsidTr="008B1086">
        <w:tc>
          <w:tcPr>
            <w:tcW w:w="1334" w:type="pct"/>
            <w:vAlign w:val="center"/>
          </w:tcPr>
          <w:p w14:paraId="37AC3DF4" w14:textId="77777777" w:rsidR="00F84089" w:rsidRPr="00FD1145" w:rsidRDefault="00F84089" w:rsidP="008B1086">
            <w:pPr>
              <w:pStyle w:val="TableText0"/>
              <w:rPr>
                <w:rFonts w:ascii="Times" w:hAnsi="Times"/>
              </w:rPr>
            </w:pPr>
            <w:r w:rsidRPr="00FD1145">
              <w:t>Number of patients treated</w:t>
            </w:r>
          </w:p>
        </w:tc>
        <w:tc>
          <w:tcPr>
            <w:tcW w:w="611" w:type="pct"/>
          </w:tcPr>
          <w:p w14:paraId="65D18158" w14:textId="2E0505B9" w:rsidR="00F84089" w:rsidRPr="00D26F33" w:rsidRDefault="009B6432" w:rsidP="008B1086">
            <w:pPr>
              <w:pStyle w:val="TableText0"/>
              <w:jc w:val="center"/>
              <w:rPr>
                <w:color w:val="000000"/>
                <w:highlight w:val="darkGray"/>
                <w:vertAlign w:val="superscript"/>
              </w:rPr>
            </w:pPr>
            <w:r w:rsidRPr="009B6432">
              <w:rPr>
                <w:highlight w:val="black"/>
              </w:rPr>
              <w:t>&amp;&amp;&amp;&amp;</w:t>
            </w:r>
            <w:r w:rsidR="00D26F33" w:rsidRPr="00D26F33">
              <w:rPr>
                <w:vertAlign w:val="superscript"/>
              </w:rPr>
              <w:t>1</w:t>
            </w:r>
          </w:p>
        </w:tc>
        <w:tc>
          <w:tcPr>
            <w:tcW w:w="611" w:type="pct"/>
          </w:tcPr>
          <w:p w14:paraId="315C06A7" w14:textId="0C0722A9" w:rsidR="00F84089" w:rsidRPr="00D26F33" w:rsidRDefault="009B6432" w:rsidP="008B1086">
            <w:pPr>
              <w:pStyle w:val="TableText0"/>
              <w:jc w:val="center"/>
              <w:rPr>
                <w:color w:val="000000"/>
                <w:highlight w:val="darkGray"/>
              </w:rPr>
            </w:pPr>
            <w:r w:rsidRPr="009B6432">
              <w:rPr>
                <w:highlight w:val="black"/>
              </w:rPr>
              <w:t>&amp;&amp;&amp;&amp;</w:t>
            </w:r>
            <w:r w:rsidR="00D26F33" w:rsidRPr="00D26F33">
              <w:rPr>
                <w:vertAlign w:val="superscript"/>
              </w:rPr>
              <w:t>1</w:t>
            </w:r>
          </w:p>
        </w:tc>
        <w:tc>
          <w:tcPr>
            <w:tcW w:w="611" w:type="pct"/>
          </w:tcPr>
          <w:p w14:paraId="32780DE9" w14:textId="32C3C398" w:rsidR="00F84089" w:rsidRPr="00D26F33" w:rsidRDefault="009B6432" w:rsidP="008B1086">
            <w:pPr>
              <w:pStyle w:val="TableText0"/>
              <w:jc w:val="center"/>
              <w:rPr>
                <w:color w:val="000000"/>
                <w:highlight w:val="darkGray"/>
              </w:rPr>
            </w:pPr>
            <w:r w:rsidRPr="009B6432">
              <w:rPr>
                <w:highlight w:val="black"/>
              </w:rPr>
              <w:t>&amp;&amp;&amp;&amp;</w:t>
            </w:r>
            <w:r w:rsidR="00D26F33" w:rsidRPr="00D26F33">
              <w:rPr>
                <w:vertAlign w:val="superscript"/>
              </w:rPr>
              <w:t>1</w:t>
            </w:r>
          </w:p>
        </w:tc>
        <w:tc>
          <w:tcPr>
            <w:tcW w:w="611" w:type="pct"/>
          </w:tcPr>
          <w:p w14:paraId="42BA63EF" w14:textId="216C1F4B" w:rsidR="00F84089" w:rsidRPr="00D26F33" w:rsidRDefault="009B6432" w:rsidP="008B1086">
            <w:pPr>
              <w:pStyle w:val="TableText0"/>
              <w:jc w:val="center"/>
              <w:rPr>
                <w:color w:val="000000"/>
                <w:highlight w:val="darkGray"/>
              </w:rPr>
            </w:pPr>
            <w:r w:rsidRPr="009B6432">
              <w:rPr>
                <w:highlight w:val="black"/>
              </w:rPr>
              <w:t>&amp;&amp;&amp;&amp;</w:t>
            </w:r>
            <w:r w:rsidR="00D26F33" w:rsidRPr="00D26F33">
              <w:rPr>
                <w:vertAlign w:val="superscript"/>
              </w:rPr>
              <w:t>1</w:t>
            </w:r>
          </w:p>
        </w:tc>
        <w:tc>
          <w:tcPr>
            <w:tcW w:w="611" w:type="pct"/>
          </w:tcPr>
          <w:p w14:paraId="03989BD3" w14:textId="36FF1B4E" w:rsidR="00F84089" w:rsidRPr="00D26F33" w:rsidRDefault="009B6432" w:rsidP="008B1086">
            <w:pPr>
              <w:pStyle w:val="TableText0"/>
              <w:jc w:val="center"/>
              <w:rPr>
                <w:color w:val="000000"/>
                <w:highlight w:val="darkGray"/>
              </w:rPr>
            </w:pPr>
            <w:r w:rsidRPr="009B6432">
              <w:rPr>
                <w:highlight w:val="black"/>
              </w:rPr>
              <w:t>&amp;&amp;&amp;&amp;</w:t>
            </w:r>
            <w:r w:rsidR="00D26F33" w:rsidRPr="00D26F33">
              <w:rPr>
                <w:vertAlign w:val="superscript"/>
              </w:rPr>
              <w:t>1</w:t>
            </w:r>
          </w:p>
        </w:tc>
        <w:tc>
          <w:tcPr>
            <w:tcW w:w="611" w:type="pct"/>
          </w:tcPr>
          <w:p w14:paraId="109E9285" w14:textId="3FBAFBC8" w:rsidR="00F84089" w:rsidRPr="00D26F33" w:rsidRDefault="009B6432" w:rsidP="008B1086">
            <w:pPr>
              <w:pStyle w:val="TableText0"/>
              <w:jc w:val="center"/>
              <w:rPr>
                <w:color w:val="000000"/>
                <w:highlight w:val="darkGray"/>
              </w:rPr>
            </w:pPr>
            <w:r w:rsidRPr="009B6432">
              <w:rPr>
                <w:highlight w:val="black"/>
              </w:rPr>
              <w:t>&amp;&amp;&amp;&amp;</w:t>
            </w:r>
            <w:r w:rsidR="00D26F33" w:rsidRPr="00D26F33">
              <w:rPr>
                <w:vertAlign w:val="superscript"/>
              </w:rPr>
              <w:t>1</w:t>
            </w:r>
          </w:p>
        </w:tc>
      </w:tr>
      <w:tr w:rsidR="00F84089" w:rsidRPr="00FD1145" w14:paraId="258C8CBD" w14:textId="77777777" w:rsidTr="008B1086">
        <w:tc>
          <w:tcPr>
            <w:tcW w:w="1334" w:type="pct"/>
            <w:vAlign w:val="center"/>
          </w:tcPr>
          <w:p w14:paraId="5C52C41A" w14:textId="77777777" w:rsidR="00F84089" w:rsidRPr="00FD1145" w:rsidRDefault="00F84089" w:rsidP="008B1086">
            <w:pPr>
              <w:pStyle w:val="TableText0"/>
              <w:rPr>
                <w:rFonts w:ascii="Times" w:hAnsi="Times"/>
              </w:rPr>
            </w:pPr>
            <w:r w:rsidRPr="00FD1145">
              <w:t xml:space="preserve">Number of scripts </w:t>
            </w:r>
            <w:proofErr w:type="spellStart"/>
            <w:r w:rsidRPr="00FD1145">
              <w:t>dispensed</w:t>
            </w:r>
            <w:r w:rsidRPr="00FD1145">
              <w:rPr>
                <w:vertAlign w:val="superscript"/>
              </w:rPr>
              <w:t>a</w:t>
            </w:r>
            <w:proofErr w:type="spellEnd"/>
          </w:p>
        </w:tc>
        <w:tc>
          <w:tcPr>
            <w:tcW w:w="611" w:type="pct"/>
          </w:tcPr>
          <w:p w14:paraId="6E3A11B4" w14:textId="2E62BD89"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c>
          <w:tcPr>
            <w:tcW w:w="611" w:type="pct"/>
          </w:tcPr>
          <w:p w14:paraId="44C614AF" w14:textId="3C47308A"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c>
          <w:tcPr>
            <w:tcW w:w="611" w:type="pct"/>
          </w:tcPr>
          <w:p w14:paraId="7E1465CC" w14:textId="1F550472"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c>
          <w:tcPr>
            <w:tcW w:w="611" w:type="pct"/>
          </w:tcPr>
          <w:p w14:paraId="6F923659" w14:textId="3E195DD3"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c>
          <w:tcPr>
            <w:tcW w:w="611" w:type="pct"/>
          </w:tcPr>
          <w:p w14:paraId="573BDC42" w14:textId="7003EEF7"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c>
          <w:tcPr>
            <w:tcW w:w="611" w:type="pct"/>
          </w:tcPr>
          <w:p w14:paraId="2E7DA76B" w14:textId="50D3C306" w:rsidR="00F84089" w:rsidRPr="00D26F33" w:rsidRDefault="009B6432" w:rsidP="008B1086">
            <w:pPr>
              <w:pStyle w:val="TableText0"/>
              <w:jc w:val="center"/>
              <w:rPr>
                <w:color w:val="000000"/>
                <w:highlight w:val="darkGray"/>
              </w:rPr>
            </w:pPr>
            <w:r w:rsidRPr="009B6432">
              <w:rPr>
                <w:highlight w:val="black"/>
              </w:rPr>
              <w:t>&amp;&amp;&amp;&amp;</w:t>
            </w:r>
            <w:r w:rsidR="00D26F33">
              <w:rPr>
                <w:vertAlign w:val="superscript"/>
              </w:rPr>
              <w:t>2</w:t>
            </w:r>
          </w:p>
        </w:tc>
      </w:tr>
      <w:tr w:rsidR="00F84089" w:rsidRPr="00FD1145" w14:paraId="4505CE32" w14:textId="77777777" w:rsidTr="008B1086">
        <w:tc>
          <w:tcPr>
            <w:tcW w:w="5000" w:type="pct"/>
            <w:gridSpan w:val="7"/>
            <w:vAlign w:val="center"/>
          </w:tcPr>
          <w:p w14:paraId="1BFFF279" w14:textId="77777777" w:rsidR="00F84089" w:rsidRPr="00FD1145" w:rsidRDefault="00F84089" w:rsidP="00CA6BDE">
            <w:pPr>
              <w:pStyle w:val="In-tableHeading"/>
            </w:pPr>
            <w:r w:rsidRPr="00FD1145">
              <w:t>Estimated financial implications of tucatinib</w:t>
            </w:r>
          </w:p>
        </w:tc>
      </w:tr>
      <w:tr w:rsidR="00F84089" w:rsidRPr="00FD1145" w14:paraId="5C8AF12A" w14:textId="77777777" w:rsidTr="008B1086">
        <w:tc>
          <w:tcPr>
            <w:tcW w:w="1334" w:type="pct"/>
            <w:vAlign w:val="center"/>
          </w:tcPr>
          <w:p w14:paraId="0AC41D86" w14:textId="77777777" w:rsidR="00F84089" w:rsidRPr="00FD1145" w:rsidRDefault="00F84089" w:rsidP="008B1086">
            <w:pPr>
              <w:pStyle w:val="TableText0"/>
              <w:rPr>
                <w:sz w:val="19"/>
                <w:szCs w:val="19"/>
              </w:rPr>
            </w:pPr>
            <w:r w:rsidRPr="00FD1145">
              <w:rPr>
                <w:sz w:val="19"/>
                <w:szCs w:val="19"/>
              </w:rPr>
              <w:t>Cost to PBS/RPBS less copayments</w:t>
            </w:r>
          </w:p>
        </w:tc>
        <w:tc>
          <w:tcPr>
            <w:tcW w:w="611" w:type="pct"/>
          </w:tcPr>
          <w:p w14:paraId="20AD4A7D" w14:textId="454B7B07"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3</w:t>
            </w:r>
          </w:p>
        </w:tc>
        <w:tc>
          <w:tcPr>
            <w:tcW w:w="611" w:type="pct"/>
          </w:tcPr>
          <w:p w14:paraId="330F68B7" w14:textId="692A6212"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3</w:t>
            </w:r>
          </w:p>
        </w:tc>
        <w:tc>
          <w:tcPr>
            <w:tcW w:w="611" w:type="pct"/>
          </w:tcPr>
          <w:p w14:paraId="7130FD02" w14:textId="3A8E98E0"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3</w:t>
            </w:r>
          </w:p>
        </w:tc>
        <w:tc>
          <w:tcPr>
            <w:tcW w:w="611" w:type="pct"/>
          </w:tcPr>
          <w:p w14:paraId="7F672F55" w14:textId="05189CA4" w:rsidR="00F84089" w:rsidRPr="00FD1145" w:rsidRDefault="00F84089" w:rsidP="00D26F33">
            <w:pPr>
              <w:pStyle w:val="TableText0"/>
              <w:jc w:val="center"/>
            </w:pPr>
            <w:r w:rsidRPr="00FD1145">
              <w:t>$</w:t>
            </w:r>
            <w:r w:rsidR="009B6432" w:rsidRPr="009B6432">
              <w:rPr>
                <w:highlight w:val="black"/>
              </w:rPr>
              <w:t>&amp;&amp;&amp;&amp;</w:t>
            </w:r>
            <w:r w:rsidR="00D26F33">
              <w:rPr>
                <w:vertAlign w:val="superscript"/>
              </w:rPr>
              <w:t>3</w:t>
            </w:r>
          </w:p>
        </w:tc>
        <w:tc>
          <w:tcPr>
            <w:tcW w:w="611" w:type="pct"/>
          </w:tcPr>
          <w:p w14:paraId="348FC897" w14:textId="11122135"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3</w:t>
            </w:r>
          </w:p>
        </w:tc>
        <w:tc>
          <w:tcPr>
            <w:tcW w:w="611" w:type="pct"/>
          </w:tcPr>
          <w:p w14:paraId="0B0F1450" w14:textId="6BF804D3"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3</w:t>
            </w:r>
          </w:p>
        </w:tc>
      </w:tr>
      <w:tr w:rsidR="00F84089" w:rsidRPr="00FD1145" w14:paraId="580DD225" w14:textId="77777777" w:rsidTr="008B1086">
        <w:tc>
          <w:tcPr>
            <w:tcW w:w="5000" w:type="pct"/>
            <w:gridSpan w:val="7"/>
            <w:vAlign w:val="center"/>
          </w:tcPr>
          <w:p w14:paraId="5952C9A0" w14:textId="77777777" w:rsidR="00F84089" w:rsidRPr="00FD1145" w:rsidRDefault="00F84089" w:rsidP="008B1086">
            <w:pPr>
              <w:pStyle w:val="TableText0"/>
              <w:rPr>
                <w:b/>
              </w:rPr>
            </w:pPr>
            <w:r w:rsidRPr="00FD1145">
              <w:rPr>
                <w:b/>
              </w:rPr>
              <w:t>Estimated financial implications for other medicines</w:t>
            </w:r>
          </w:p>
        </w:tc>
      </w:tr>
      <w:tr w:rsidR="00F84089" w:rsidRPr="00FD1145" w14:paraId="19F067B1" w14:textId="77777777" w:rsidTr="008B1086">
        <w:tc>
          <w:tcPr>
            <w:tcW w:w="1334" w:type="pct"/>
            <w:vAlign w:val="center"/>
          </w:tcPr>
          <w:p w14:paraId="2543B92C" w14:textId="77777777" w:rsidR="00F84089" w:rsidRPr="00FD1145" w:rsidRDefault="00F84089" w:rsidP="008B1086">
            <w:pPr>
              <w:pStyle w:val="TableText0"/>
              <w:rPr>
                <w:sz w:val="19"/>
                <w:szCs w:val="19"/>
              </w:rPr>
            </w:pPr>
            <w:r w:rsidRPr="00FD1145">
              <w:rPr>
                <w:sz w:val="19"/>
                <w:szCs w:val="19"/>
              </w:rPr>
              <w:t>Cost to PBS/RPBS less copayments</w:t>
            </w:r>
          </w:p>
        </w:tc>
        <w:tc>
          <w:tcPr>
            <w:tcW w:w="611" w:type="pct"/>
          </w:tcPr>
          <w:p w14:paraId="32239DC2" w14:textId="75D9B510" w:rsidR="00F84089" w:rsidRPr="00D26F33" w:rsidRDefault="00F84089" w:rsidP="008B1086">
            <w:pPr>
              <w:pStyle w:val="TableText0"/>
              <w:jc w:val="center"/>
              <w:rPr>
                <w:vertAlign w:val="superscript"/>
              </w:rPr>
            </w:pPr>
            <w:r w:rsidRPr="00FD1145">
              <w:t>-$</w:t>
            </w:r>
            <w:r w:rsidR="009B6432" w:rsidRPr="009B6432">
              <w:rPr>
                <w:highlight w:val="black"/>
              </w:rPr>
              <w:t>&amp;&amp;&amp;&amp;</w:t>
            </w:r>
            <w:r w:rsidR="00D26F33">
              <w:rPr>
                <w:vertAlign w:val="superscript"/>
              </w:rPr>
              <w:t>4</w:t>
            </w:r>
          </w:p>
        </w:tc>
        <w:tc>
          <w:tcPr>
            <w:tcW w:w="611" w:type="pct"/>
          </w:tcPr>
          <w:p w14:paraId="1B67EDFA" w14:textId="04234FC2" w:rsidR="00F84089" w:rsidRPr="00FD1145" w:rsidRDefault="00F84089" w:rsidP="008B1086">
            <w:pPr>
              <w:pStyle w:val="TableText0"/>
              <w:jc w:val="center"/>
            </w:pPr>
            <w:r w:rsidRPr="00FD1145">
              <w:t>-$</w:t>
            </w:r>
            <w:r w:rsidR="009B6432" w:rsidRPr="009B6432">
              <w:rPr>
                <w:highlight w:val="black"/>
              </w:rPr>
              <w:t>&amp;&amp;&amp;&amp;</w:t>
            </w:r>
            <w:r w:rsidR="00D26F33">
              <w:rPr>
                <w:vertAlign w:val="superscript"/>
              </w:rPr>
              <w:t>4</w:t>
            </w:r>
          </w:p>
        </w:tc>
        <w:tc>
          <w:tcPr>
            <w:tcW w:w="611" w:type="pct"/>
          </w:tcPr>
          <w:p w14:paraId="7D2142C5" w14:textId="6BDC3A83" w:rsidR="00F84089" w:rsidRPr="00FD1145" w:rsidRDefault="00F84089" w:rsidP="008B1086">
            <w:pPr>
              <w:pStyle w:val="TableText0"/>
              <w:jc w:val="center"/>
            </w:pPr>
            <w:r w:rsidRPr="00FD1145">
              <w:t>-$</w:t>
            </w:r>
            <w:r w:rsidR="009B6432" w:rsidRPr="009B6432">
              <w:rPr>
                <w:highlight w:val="black"/>
              </w:rPr>
              <w:t>&amp;&amp;&amp;&amp;</w:t>
            </w:r>
            <w:r w:rsidR="00725FFD">
              <w:rPr>
                <w:vertAlign w:val="superscript"/>
              </w:rPr>
              <w:t>4</w:t>
            </w:r>
          </w:p>
        </w:tc>
        <w:tc>
          <w:tcPr>
            <w:tcW w:w="611" w:type="pct"/>
          </w:tcPr>
          <w:p w14:paraId="000B6D31" w14:textId="592335E0" w:rsidR="00F84089" w:rsidRPr="00FD1145" w:rsidRDefault="00F84089" w:rsidP="008B1086">
            <w:pPr>
              <w:pStyle w:val="TableText0"/>
              <w:jc w:val="center"/>
            </w:pPr>
            <w:r w:rsidRPr="00FD1145">
              <w:t>-$</w:t>
            </w:r>
            <w:r w:rsidR="009B6432" w:rsidRPr="009B6432">
              <w:rPr>
                <w:highlight w:val="black"/>
              </w:rPr>
              <w:t>&amp;&amp;&amp;&amp;</w:t>
            </w:r>
            <w:r w:rsidR="00725FFD">
              <w:rPr>
                <w:vertAlign w:val="superscript"/>
              </w:rPr>
              <w:t>3</w:t>
            </w:r>
          </w:p>
        </w:tc>
        <w:tc>
          <w:tcPr>
            <w:tcW w:w="611" w:type="pct"/>
          </w:tcPr>
          <w:p w14:paraId="51689A63" w14:textId="676DEB0F" w:rsidR="00F84089" w:rsidRPr="00FD1145" w:rsidRDefault="00F84089" w:rsidP="008B1086">
            <w:pPr>
              <w:pStyle w:val="TableText0"/>
              <w:jc w:val="center"/>
            </w:pPr>
            <w:r w:rsidRPr="00FD1145">
              <w:t>-$</w:t>
            </w:r>
            <w:r w:rsidR="009B6432" w:rsidRPr="009B6432">
              <w:rPr>
                <w:highlight w:val="black"/>
              </w:rPr>
              <w:t>&amp;&amp;&amp;&amp;</w:t>
            </w:r>
            <w:r w:rsidR="00725FFD">
              <w:rPr>
                <w:vertAlign w:val="superscript"/>
              </w:rPr>
              <w:t>3</w:t>
            </w:r>
          </w:p>
        </w:tc>
        <w:tc>
          <w:tcPr>
            <w:tcW w:w="611" w:type="pct"/>
          </w:tcPr>
          <w:p w14:paraId="34F79A8A" w14:textId="635D83C5" w:rsidR="00F84089" w:rsidRPr="00FD1145" w:rsidRDefault="00F84089" w:rsidP="008B1086">
            <w:pPr>
              <w:pStyle w:val="TableText0"/>
              <w:jc w:val="center"/>
            </w:pPr>
            <w:r w:rsidRPr="00FD1145">
              <w:t>-$</w:t>
            </w:r>
            <w:r w:rsidR="009B6432" w:rsidRPr="009B6432">
              <w:rPr>
                <w:highlight w:val="black"/>
              </w:rPr>
              <w:t>&amp;&amp;&amp;&amp;</w:t>
            </w:r>
            <w:r w:rsidR="00725FFD">
              <w:rPr>
                <w:vertAlign w:val="superscript"/>
              </w:rPr>
              <w:t>3</w:t>
            </w:r>
          </w:p>
        </w:tc>
      </w:tr>
      <w:tr w:rsidR="00F84089" w:rsidRPr="00FD1145" w14:paraId="005B390F" w14:textId="77777777" w:rsidTr="008B1086">
        <w:tc>
          <w:tcPr>
            <w:tcW w:w="5000" w:type="pct"/>
            <w:gridSpan w:val="7"/>
            <w:vAlign w:val="center"/>
          </w:tcPr>
          <w:p w14:paraId="36C6B6AF" w14:textId="77777777" w:rsidR="00F84089" w:rsidRPr="00FD1145" w:rsidRDefault="00F84089" w:rsidP="00CA6BDE">
            <w:pPr>
              <w:pStyle w:val="In-tableHeading"/>
            </w:pPr>
            <w:r w:rsidRPr="00FD1145">
              <w:t>Net financial implications</w:t>
            </w:r>
          </w:p>
        </w:tc>
      </w:tr>
      <w:tr w:rsidR="00F84089" w:rsidRPr="00FD1145" w14:paraId="1EA605A8" w14:textId="77777777" w:rsidTr="008B1086">
        <w:tc>
          <w:tcPr>
            <w:tcW w:w="1334" w:type="pct"/>
            <w:vAlign w:val="center"/>
          </w:tcPr>
          <w:p w14:paraId="46A8B3FD" w14:textId="77777777" w:rsidR="00F84089" w:rsidRPr="00FD1145" w:rsidRDefault="00F84089" w:rsidP="008B1086">
            <w:pPr>
              <w:pStyle w:val="TableText0"/>
              <w:rPr>
                <w:sz w:val="19"/>
                <w:szCs w:val="19"/>
              </w:rPr>
            </w:pPr>
            <w:r w:rsidRPr="00FD1145">
              <w:rPr>
                <w:sz w:val="19"/>
                <w:szCs w:val="19"/>
              </w:rPr>
              <w:t>Net cost to PBS/RPBS</w:t>
            </w:r>
          </w:p>
        </w:tc>
        <w:tc>
          <w:tcPr>
            <w:tcW w:w="611" w:type="pct"/>
          </w:tcPr>
          <w:p w14:paraId="510DCBF3" w14:textId="119DA459"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195605BE" w14:textId="669F7F8A"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1427030C" w14:textId="062B5B57"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37AC9F9A" w14:textId="02DF6841"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7473B248" w14:textId="126CDF2B"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158B5E1C" w14:textId="023971E7"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r>
      <w:tr w:rsidR="00F84089" w:rsidRPr="00FD1145" w14:paraId="166B5482" w14:textId="77777777" w:rsidTr="008B1086">
        <w:tc>
          <w:tcPr>
            <w:tcW w:w="1334" w:type="pct"/>
            <w:vAlign w:val="center"/>
          </w:tcPr>
          <w:p w14:paraId="6233BB52" w14:textId="77777777" w:rsidR="00F84089" w:rsidRPr="00FD1145" w:rsidRDefault="00F84089" w:rsidP="008B1086">
            <w:pPr>
              <w:pStyle w:val="TableText0"/>
              <w:rPr>
                <w:rFonts w:ascii="Times" w:hAnsi="Times"/>
              </w:rPr>
            </w:pPr>
            <w:r w:rsidRPr="00FD1145">
              <w:rPr>
                <w:sz w:val="19"/>
                <w:szCs w:val="19"/>
              </w:rPr>
              <w:t>Net cost to MBS</w:t>
            </w:r>
          </w:p>
        </w:tc>
        <w:tc>
          <w:tcPr>
            <w:tcW w:w="611" w:type="pct"/>
          </w:tcPr>
          <w:p w14:paraId="75A628F4" w14:textId="798E06B4"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027E15A0" w14:textId="2E10F2A3"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3A104DB4" w14:textId="3AD126A2"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1E81BD2C" w14:textId="67E0198E"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7243161A" w14:textId="30E898BA"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12B3CA7A" w14:textId="08B9D767"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r>
      <w:tr w:rsidR="00F84089" w:rsidRPr="00FD1145" w14:paraId="24F3A2BD" w14:textId="77777777" w:rsidTr="008B1086">
        <w:tc>
          <w:tcPr>
            <w:tcW w:w="1334" w:type="pct"/>
            <w:vAlign w:val="center"/>
          </w:tcPr>
          <w:p w14:paraId="2E95BCD2" w14:textId="12008227" w:rsidR="00F84089" w:rsidRPr="00FD1145" w:rsidRDefault="00F84089" w:rsidP="008B1086">
            <w:pPr>
              <w:pStyle w:val="TableText0"/>
              <w:rPr>
                <w:sz w:val="19"/>
                <w:szCs w:val="19"/>
              </w:rPr>
            </w:pPr>
            <w:r w:rsidRPr="00FD1145">
              <w:rPr>
                <w:sz w:val="19"/>
                <w:szCs w:val="19"/>
              </w:rPr>
              <w:t xml:space="preserve">Net cost to </w:t>
            </w:r>
            <w:r w:rsidR="001B2DEE" w:rsidRPr="00FD1145">
              <w:rPr>
                <w:sz w:val="19"/>
                <w:szCs w:val="19"/>
              </w:rPr>
              <w:t>PBS/RPBS/MBS</w:t>
            </w:r>
          </w:p>
        </w:tc>
        <w:tc>
          <w:tcPr>
            <w:tcW w:w="611" w:type="pct"/>
          </w:tcPr>
          <w:p w14:paraId="4179839B" w14:textId="1688BDD8"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6DBA9770" w14:textId="5285CCE3"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2A50A47E" w14:textId="38FE1A04"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72C3328A" w14:textId="294BE7C1"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4576BDE3" w14:textId="766CCF9C"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c>
          <w:tcPr>
            <w:tcW w:w="611" w:type="pct"/>
          </w:tcPr>
          <w:p w14:paraId="775F7AB6" w14:textId="1E5CD055" w:rsidR="00F84089" w:rsidRPr="00FD1145" w:rsidRDefault="00F84089" w:rsidP="008B1086">
            <w:pPr>
              <w:pStyle w:val="TableText0"/>
              <w:jc w:val="center"/>
            </w:pPr>
            <w:r w:rsidRPr="00FD1145">
              <w:t>$</w:t>
            </w:r>
            <w:r w:rsidR="009B6432" w:rsidRPr="009B6432">
              <w:rPr>
                <w:highlight w:val="black"/>
              </w:rPr>
              <w:t>&amp;&amp;&amp;&amp;</w:t>
            </w:r>
            <w:r w:rsidR="00F93419">
              <w:rPr>
                <w:vertAlign w:val="superscript"/>
              </w:rPr>
              <w:t>4</w:t>
            </w:r>
          </w:p>
        </w:tc>
      </w:tr>
      <w:tr w:rsidR="00F84089" w:rsidRPr="00FD1145" w14:paraId="4FFAEDCD" w14:textId="77777777" w:rsidTr="008B1086">
        <w:tc>
          <w:tcPr>
            <w:tcW w:w="5000" w:type="pct"/>
            <w:gridSpan w:val="7"/>
            <w:shd w:val="clear" w:color="auto" w:fill="B8CCE4" w:themeFill="accent1" w:themeFillTint="66"/>
            <w:vAlign w:val="center"/>
          </w:tcPr>
          <w:p w14:paraId="31B6E1A3" w14:textId="5DE7EDDA" w:rsidR="00F84089" w:rsidRPr="00FD1145" w:rsidRDefault="00F84089" w:rsidP="00CA6BDE">
            <w:pPr>
              <w:pStyle w:val="In-tableHeading"/>
            </w:pPr>
            <w:r w:rsidRPr="00FD1145">
              <w:t xml:space="preserve">Previous submission </w:t>
            </w:r>
            <w:r w:rsidR="00463BC0" w:rsidRPr="00FD1145">
              <w:t>(</w:t>
            </w:r>
            <w:proofErr w:type="gramStart"/>
            <w:r w:rsidR="00EC1265" w:rsidRPr="00FD1145">
              <w:t>March</w:t>
            </w:r>
            <w:r w:rsidRPr="00FD1145">
              <w:t>,</w:t>
            </w:r>
            <w:proofErr w:type="gramEnd"/>
            <w:r w:rsidRPr="00FD1145">
              <w:t xml:space="preserve"> </w:t>
            </w:r>
            <w:r w:rsidR="00EC1265" w:rsidRPr="00FD1145">
              <w:t>2021</w:t>
            </w:r>
            <w:r w:rsidR="00463BC0" w:rsidRPr="00FD1145">
              <w:t>)</w:t>
            </w:r>
          </w:p>
        </w:tc>
      </w:tr>
      <w:tr w:rsidR="00F84089" w:rsidRPr="00FD1145" w14:paraId="5D6B8746" w14:textId="77777777" w:rsidTr="008B1086">
        <w:tc>
          <w:tcPr>
            <w:tcW w:w="1334" w:type="pct"/>
            <w:shd w:val="clear" w:color="auto" w:fill="B8CCE4" w:themeFill="accent1" w:themeFillTint="66"/>
            <w:vAlign w:val="center"/>
          </w:tcPr>
          <w:p w14:paraId="6881A52A" w14:textId="77777777" w:rsidR="00F84089" w:rsidRPr="00FD1145" w:rsidRDefault="00F84089" w:rsidP="008B1086">
            <w:pPr>
              <w:pStyle w:val="TableText0"/>
              <w:rPr>
                <w:sz w:val="19"/>
                <w:szCs w:val="19"/>
              </w:rPr>
            </w:pPr>
            <w:r w:rsidRPr="00FD1145">
              <w:rPr>
                <w:sz w:val="19"/>
                <w:szCs w:val="19"/>
              </w:rPr>
              <w:t>Net cost to PBS/RPBS</w:t>
            </w:r>
          </w:p>
        </w:tc>
        <w:tc>
          <w:tcPr>
            <w:tcW w:w="611" w:type="pct"/>
            <w:shd w:val="clear" w:color="auto" w:fill="B8CCE4" w:themeFill="accent1" w:themeFillTint="66"/>
          </w:tcPr>
          <w:p w14:paraId="50AA3857" w14:textId="48477F22" w:rsidR="00F84089" w:rsidRPr="00FD1145" w:rsidRDefault="00F84089" w:rsidP="008B1086">
            <w:pPr>
              <w:pStyle w:val="TableText0"/>
              <w:jc w:val="center"/>
            </w:pPr>
            <w:r w:rsidRPr="00FD1145">
              <w:t>$</w:t>
            </w:r>
            <w:r w:rsidR="009B6432" w:rsidRPr="009B6432">
              <w:rPr>
                <w:highlight w:val="black"/>
              </w:rPr>
              <w:t>&amp;&amp;&amp;&amp;</w:t>
            </w:r>
          </w:p>
        </w:tc>
        <w:tc>
          <w:tcPr>
            <w:tcW w:w="611" w:type="pct"/>
            <w:shd w:val="clear" w:color="auto" w:fill="B8CCE4" w:themeFill="accent1" w:themeFillTint="66"/>
          </w:tcPr>
          <w:p w14:paraId="2D4033A7" w14:textId="64B2A73D" w:rsidR="00F84089" w:rsidRPr="00FD1145" w:rsidRDefault="00F84089" w:rsidP="008B1086">
            <w:pPr>
              <w:pStyle w:val="TableText0"/>
              <w:jc w:val="center"/>
            </w:pPr>
            <w:r w:rsidRPr="00FD1145">
              <w:t>$</w:t>
            </w:r>
            <w:r w:rsidR="009B6432" w:rsidRPr="009B6432">
              <w:rPr>
                <w:highlight w:val="black"/>
              </w:rPr>
              <w:t>&amp;&amp;&amp;&amp;</w:t>
            </w:r>
            <w:r w:rsidR="009D6D33">
              <w:rPr>
                <w:vertAlign w:val="superscript"/>
              </w:rPr>
              <w:t>5</w:t>
            </w:r>
          </w:p>
        </w:tc>
        <w:tc>
          <w:tcPr>
            <w:tcW w:w="611" w:type="pct"/>
            <w:shd w:val="clear" w:color="auto" w:fill="B8CCE4" w:themeFill="accent1" w:themeFillTint="66"/>
          </w:tcPr>
          <w:p w14:paraId="130A638A" w14:textId="460EA27F" w:rsidR="00F84089" w:rsidRPr="00FD1145" w:rsidRDefault="00F84089" w:rsidP="008B1086">
            <w:pPr>
              <w:pStyle w:val="TableText0"/>
              <w:jc w:val="center"/>
            </w:pPr>
            <w:r w:rsidRPr="00FD1145">
              <w:t>$</w:t>
            </w:r>
            <w:r w:rsidR="009B6432" w:rsidRPr="009B6432">
              <w:rPr>
                <w:highlight w:val="black"/>
              </w:rPr>
              <w:t>&amp;&amp;&amp;&amp;</w:t>
            </w:r>
            <w:r w:rsidR="009D6D33">
              <w:rPr>
                <w:vertAlign w:val="superscript"/>
              </w:rPr>
              <w:t>5</w:t>
            </w:r>
          </w:p>
        </w:tc>
        <w:tc>
          <w:tcPr>
            <w:tcW w:w="611" w:type="pct"/>
            <w:shd w:val="clear" w:color="auto" w:fill="B8CCE4" w:themeFill="accent1" w:themeFillTint="66"/>
          </w:tcPr>
          <w:p w14:paraId="10995EC2" w14:textId="5F97683B" w:rsidR="00F84089" w:rsidRPr="00FD1145" w:rsidRDefault="00F84089" w:rsidP="008B1086">
            <w:pPr>
              <w:pStyle w:val="TableText0"/>
              <w:jc w:val="center"/>
            </w:pPr>
            <w:r w:rsidRPr="00FD1145">
              <w:t>$</w:t>
            </w:r>
            <w:r w:rsidR="009B6432" w:rsidRPr="009B6432">
              <w:rPr>
                <w:highlight w:val="black"/>
              </w:rPr>
              <w:t>&amp;&amp;&amp;&amp;</w:t>
            </w:r>
            <w:r w:rsidR="009D6D33">
              <w:rPr>
                <w:vertAlign w:val="superscript"/>
              </w:rPr>
              <w:t>5</w:t>
            </w:r>
          </w:p>
        </w:tc>
        <w:tc>
          <w:tcPr>
            <w:tcW w:w="611" w:type="pct"/>
            <w:shd w:val="clear" w:color="auto" w:fill="B8CCE4" w:themeFill="accent1" w:themeFillTint="66"/>
          </w:tcPr>
          <w:p w14:paraId="66D4DFBD" w14:textId="19B32F69" w:rsidR="00F84089" w:rsidRPr="00FD1145" w:rsidRDefault="00F84089" w:rsidP="008B1086">
            <w:pPr>
              <w:pStyle w:val="TableText0"/>
              <w:jc w:val="center"/>
            </w:pPr>
            <w:r w:rsidRPr="00FD1145">
              <w:t>$</w:t>
            </w:r>
            <w:r w:rsidR="009B6432" w:rsidRPr="009B6432">
              <w:rPr>
                <w:highlight w:val="black"/>
              </w:rPr>
              <w:t>&amp;&amp;&amp;&amp;</w:t>
            </w:r>
            <w:r w:rsidR="009D6D33">
              <w:rPr>
                <w:vertAlign w:val="superscript"/>
              </w:rPr>
              <w:t>5</w:t>
            </w:r>
          </w:p>
        </w:tc>
        <w:tc>
          <w:tcPr>
            <w:tcW w:w="611" w:type="pct"/>
            <w:shd w:val="clear" w:color="auto" w:fill="B8CCE4" w:themeFill="accent1" w:themeFillTint="66"/>
          </w:tcPr>
          <w:p w14:paraId="0F983665" w14:textId="39F06A69" w:rsidR="00F84089" w:rsidRPr="00FD1145" w:rsidRDefault="00F84089" w:rsidP="008B1086">
            <w:pPr>
              <w:pStyle w:val="TableText0"/>
              <w:jc w:val="center"/>
            </w:pPr>
            <w:r w:rsidRPr="00FD1145">
              <w:t>$</w:t>
            </w:r>
            <w:r w:rsidR="009B6432" w:rsidRPr="009B6432">
              <w:rPr>
                <w:highlight w:val="black"/>
              </w:rPr>
              <w:t>&amp;&amp;&amp;&amp;</w:t>
            </w:r>
            <w:r w:rsidR="009D6D33">
              <w:rPr>
                <w:vertAlign w:val="superscript"/>
              </w:rPr>
              <w:t>6</w:t>
            </w:r>
          </w:p>
        </w:tc>
      </w:tr>
    </w:tbl>
    <w:p w14:paraId="01316652" w14:textId="1D320057" w:rsidR="00F84089" w:rsidRPr="00FD1145" w:rsidRDefault="00F84089" w:rsidP="00F84089">
      <w:pPr>
        <w:pStyle w:val="FooterTableFigure"/>
        <w:rPr>
          <w:rStyle w:val="CommentReference"/>
        </w:rPr>
      </w:pPr>
      <w:r w:rsidRPr="00FD1145">
        <w:t>Source: Table 4.2.2; 4.2.3; 4.2.6; 4.2.8; 4.3.3; 4.4.1; 4.5.2; 4.5.3 of the resubmission</w:t>
      </w:r>
      <w:r w:rsidR="00E40DEC" w:rsidRPr="00FD1145">
        <w:t>;</w:t>
      </w:r>
      <w:r w:rsidRPr="00FD1145">
        <w:t xml:space="preserve"> Table 4.8 of the March 2021 submission.</w:t>
      </w:r>
    </w:p>
    <w:p w14:paraId="5F2EFBC1" w14:textId="77777777" w:rsidR="00F84089" w:rsidRPr="00FD1145" w:rsidRDefault="00F84089" w:rsidP="00F84089">
      <w:pPr>
        <w:pStyle w:val="FooterTableFigure"/>
      </w:pPr>
      <w:r w:rsidRPr="00FD1145">
        <w:t>Abbreviations: MBS, Medicare Benefits Schedule; PBS, Pharmaceutical Benefits Scheme; RPBS, Repatriation Pharmaceutical Benefits Scheme.</w:t>
      </w:r>
    </w:p>
    <w:p w14:paraId="287CFC26" w14:textId="77777777" w:rsidR="00F84089" w:rsidRDefault="00F84089" w:rsidP="00F84089">
      <w:pPr>
        <w:pStyle w:val="FooterTableFigure"/>
      </w:pPr>
      <w:r w:rsidRPr="00FD1145">
        <w:rPr>
          <w:vertAlign w:val="superscript"/>
        </w:rPr>
        <w:t xml:space="preserve">a </w:t>
      </w:r>
      <w:r w:rsidRPr="00FD1145">
        <w:t>Assuming approximately 7.8 scripts per patient per year (Year 1 approximately 7.5) as estimated by the resubmission.</w:t>
      </w:r>
    </w:p>
    <w:p w14:paraId="311C67ED" w14:textId="795D7B7F" w:rsidR="00D26F33" w:rsidRPr="00D26F33" w:rsidRDefault="00D26F33" w:rsidP="00D26F33">
      <w:pPr>
        <w:pStyle w:val="FooterTableFigure"/>
        <w:jc w:val="left"/>
        <w:rPr>
          <w:i/>
          <w:iCs/>
        </w:rPr>
      </w:pPr>
      <w:r>
        <w:rPr>
          <w:i/>
          <w:iCs/>
        </w:rPr>
        <w:t>The redacted values correspond to the following ranges:</w:t>
      </w:r>
      <w:r>
        <w:rPr>
          <w:i/>
          <w:iCs/>
        </w:rPr>
        <w:br/>
      </w:r>
      <w:r w:rsidRPr="00D26F33">
        <w:rPr>
          <w:i/>
          <w:iCs/>
          <w:vertAlign w:val="superscript"/>
        </w:rPr>
        <w:t>1</w:t>
      </w:r>
      <w:r>
        <w:rPr>
          <w:i/>
          <w:iCs/>
          <w:vertAlign w:val="superscript"/>
        </w:rPr>
        <w:t xml:space="preserve"> </w:t>
      </w:r>
      <w:r>
        <w:rPr>
          <w:i/>
          <w:iCs/>
        </w:rPr>
        <w:t xml:space="preserve"> &lt; 500</w:t>
      </w:r>
      <w:r>
        <w:rPr>
          <w:i/>
          <w:iCs/>
        </w:rPr>
        <w:br/>
      </w:r>
      <w:r>
        <w:rPr>
          <w:i/>
          <w:iCs/>
          <w:vertAlign w:val="superscript"/>
        </w:rPr>
        <w:t xml:space="preserve">2 </w:t>
      </w:r>
      <w:r>
        <w:rPr>
          <w:i/>
          <w:iCs/>
        </w:rPr>
        <w:t>500 to &lt; 5,000</w:t>
      </w:r>
      <w:r>
        <w:rPr>
          <w:i/>
          <w:iCs/>
        </w:rPr>
        <w:br/>
      </w:r>
      <w:r>
        <w:rPr>
          <w:i/>
          <w:iCs/>
          <w:vertAlign w:val="superscript"/>
        </w:rPr>
        <w:t xml:space="preserve">3 </w:t>
      </w:r>
      <w:r>
        <w:rPr>
          <w:i/>
          <w:iCs/>
        </w:rPr>
        <w:t xml:space="preserve"> $10 million to &lt; $20 million</w:t>
      </w:r>
      <w:r>
        <w:rPr>
          <w:i/>
          <w:iCs/>
        </w:rPr>
        <w:br/>
      </w:r>
      <w:r w:rsidRPr="00D26F33">
        <w:rPr>
          <w:vertAlign w:val="superscript"/>
        </w:rPr>
        <w:t>4</w:t>
      </w:r>
      <w:r>
        <w:rPr>
          <w:i/>
          <w:iCs/>
        </w:rPr>
        <w:t xml:space="preserve"> $</w:t>
      </w:r>
      <w:r w:rsidR="00725FFD">
        <w:rPr>
          <w:i/>
          <w:iCs/>
        </w:rPr>
        <w:t>0 to &lt; $10 million</w:t>
      </w:r>
      <w:r w:rsidR="00725FFD">
        <w:rPr>
          <w:i/>
          <w:iCs/>
        </w:rPr>
        <w:br/>
      </w:r>
      <w:r w:rsidR="00725FFD" w:rsidRPr="00725FFD">
        <w:rPr>
          <w:i/>
          <w:iCs/>
          <w:vertAlign w:val="superscript"/>
        </w:rPr>
        <w:t>5</w:t>
      </w:r>
      <w:r w:rsidR="00725FFD">
        <w:rPr>
          <w:i/>
          <w:iCs/>
        </w:rPr>
        <w:t xml:space="preserve"> $</w:t>
      </w:r>
      <w:r w:rsidR="009D6D33">
        <w:rPr>
          <w:i/>
          <w:iCs/>
        </w:rPr>
        <w:t>20 million to &lt; $30 million</w:t>
      </w:r>
      <w:r w:rsidR="009D6D33">
        <w:rPr>
          <w:i/>
          <w:iCs/>
        </w:rPr>
        <w:br/>
      </w:r>
      <w:r w:rsidR="009D6D33" w:rsidRPr="00725FFD">
        <w:rPr>
          <w:i/>
          <w:iCs/>
          <w:vertAlign w:val="superscript"/>
        </w:rPr>
        <w:t>5</w:t>
      </w:r>
      <w:r w:rsidR="009D6D33">
        <w:rPr>
          <w:i/>
          <w:iCs/>
        </w:rPr>
        <w:t xml:space="preserve"> $30 million to &lt; $40 million</w:t>
      </w:r>
      <w:r w:rsidR="009D6D33">
        <w:rPr>
          <w:i/>
          <w:iCs/>
        </w:rPr>
        <w:br/>
      </w:r>
    </w:p>
    <w:p w14:paraId="5DE2055C" w14:textId="2CE6AD3B" w:rsidR="00F84089" w:rsidRPr="00FD1145" w:rsidRDefault="00F84089" w:rsidP="00F84089">
      <w:pPr>
        <w:pStyle w:val="3-BodyText"/>
      </w:pPr>
      <w:r w:rsidRPr="00FD1145">
        <w:t>The resubmission estimated a net PBS/RPBS impact of $</w:t>
      </w:r>
      <w:r w:rsidR="00730542">
        <w:t>0 to &lt; $10 million</w:t>
      </w:r>
      <w:r w:rsidRPr="00FD1145">
        <w:t xml:space="preserve"> in Year 1, rising to $</w:t>
      </w:r>
      <w:r w:rsidR="00730542">
        <w:t>0 to &lt; $10 million</w:t>
      </w:r>
      <w:r w:rsidRPr="00FD1145">
        <w:t xml:space="preserve"> in Year 6, totalling $</w:t>
      </w:r>
      <w:r w:rsidR="00730542">
        <w:t>20 million to &lt; $30 million</w:t>
      </w:r>
      <w:r w:rsidRPr="00FD1145">
        <w:t xml:space="preserve"> over six years.</w:t>
      </w:r>
    </w:p>
    <w:p w14:paraId="7B01E757" w14:textId="3181AE02" w:rsidR="00801C4D" w:rsidRPr="00FD1145" w:rsidRDefault="00F84089" w:rsidP="00C01FE9">
      <w:pPr>
        <w:pStyle w:val="3-BodyText"/>
      </w:pPr>
      <w:r w:rsidRPr="00FD1145">
        <w:t xml:space="preserve">The </w:t>
      </w:r>
      <w:r w:rsidR="00E13888">
        <w:t xml:space="preserve">resubmission’s </w:t>
      </w:r>
      <w:r w:rsidR="005160BA" w:rsidRPr="00FD1145">
        <w:t>financial estimates applied the weighted price and</w:t>
      </w:r>
      <w:r w:rsidRPr="00FD1145">
        <w:t xml:space="preserve"> </w:t>
      </w:r>
      <w:r w:rsidR="00C075D1" w:rsidRPr="00FD1145">
        <w:t>assume</w:t>
      </w:r>
      <w:r w:rsidRPr="00FD1145">
        <w:t xml:space="preserve">d a 50:50 </w:t>
      </w:r>
      <w:r w:rsidR="00366D0E" w:rsidRPr="00FD1145">
        <w:t>split of comparators</w:t>
      </w:r>
      <w:r w:rsidRPr="00FD1145">
        <w:t xml:space="preserve"> between </w:t>
      </w:r>
      <w:r w:rsidR="000B1CB5" w:rsidRPr="00FD1145">
        <w:t xml:space="preserve">(i) </w:t>
      </w:r>
      <w:r w:rsidRPr="00FD1145">
        <w:t>T</w:t>
      </w:r>
      <w:r w:rsidRPr="00FD1145">
        <w:rPr>
          <w:rFonts w:ascii="Cambria Math" w:hAnsi="Cambria Math" w:cs="Cambria Math"/>
        </w:rPr>
        <w:t>‑</w:t>
      </w:r>
      <w:r w:rsidRPr="00FD1145">
        <w:t xml:space="preserve">DM1 </w:t>
      </w:r>
      <w:r w:rsidR="005160BA" w:rsidRPr="00FD1145">
        <w:t xml:space="preserve">(with offsets for reduced use of T-DM1 and </w:t>
      </w:r>
      <w:r w:rsidR="00F24A85" w:rsidRPr="00FD1145">
        <w:t xml:space="preserve">costs for </w:t>
      </w:r>
      <w:r w:rsidR="005160BA" w:rsidRPr="00FD1145">
        <w:t xml:space="preserve">increased use of trastuzumab plus capecitabine) </w:t>
      </w:r>
      <w:r w:rsidRPr="00FD1145">
        <w:t xml:space="preserve">and </w:t>
      </w:r>
      <w:r w:rsidR="000B1CB5" w:rsidRPr="00FD1145">
        <w:t xml:space="preserve">(ii) </w:t>
      </w:r>
      <w:r w:rsidRPr="00FD1145">
        <w:t xml:space="preserve">trastuzumab plus capecitabine </w:t>
      </w:r>
      <w:r w:rsidR="000B1CB5" w:rsidRPr="00FD1145">
        <w:t>alone</w:t>
      </w:r>
      <w:r w:rsidR="0005530D" w:rsidRPr="00FD1145">
        <w:t xml:space="preserve">. </w:t>
      </w:r>
      <w:r w:rsidR="00595564">
        <w:t>The evaluation noted that:</w:t>
      </w:r>
    </w:p>
    <w:p w14:paraId="62532859" w14:textId="446773D7" w:rsidR="00F84089" w:rsidRPr="00FD1145" w:rsidRDefault="00045DDC" w:rsidP="00073829">
      <w:pPr>
        <w:pStyle w:val="ListParagraph"/>
        <w:ind w:left="1134"/>
      </w:pPr>
      <w:r w:rsidRPr="00FD1145">
        <w:t>When 100% CMA was assumed</w:t>
      </w:r>
      <w:r w:rsidR="00691D59" w:rsidRPr="00FD1145">
        <w:t xml:space="preserve"> (</w:t>
      </w:r>
      <w:r w:rsidR="00B53CD8" w:rsidRPr="00FD1145">
        <w:t>including use of the</w:t>
      </w:r>
      <w:r w:rsidR="00691D59" w:rsidRPr="00FD1145">
        <w:t xml:space="preserve"> </w:t>
      </w:r>
      <w:r w:rsidR="00B53CD8" w:rsidRPr="00FD1145">
        <w:t>indication-specific tucatinib price from the CMA and offsets for T-MD1)</w:t>
      </w:r>
      <w:r w:rsidRPr="00FD1145">
        <w:t xml:space="preserve">, </w:t>
      </w:r>
      <w:r w:rsidR="006D6439" w:rsidRPr="00FD1145">
        <w:t xml:space="preserve">the listing was </w:t>
      </w:r>
      <w:r w:rsidR="007D421C">
        <w:t>approximately</w:t>
      </w:r>
      <w:r w:rsidR="007D421C" w:rsidRPr="00FD1145">
        <w:t xml:space="preserve"> </w:t>
      </w:r>
      <w:r w:rsidR="006D6439" w:rsidRPr="00FD1145">
        <w:t xml:space="preserve">cost-neutral </w:t>
      </w:r>
      <w:r w:rsidR="006C0833" w:rsidRPr="00FD1145">
        <w:t xml:space="preserve">(cost of </w:t>
      </w:r>
      <w:r w:rsidR="00FE5743" w:rsidRPr="00FD1145">
        <w:t xml:space="preserve">around </w:t>
      </w:r>
      <w:r w:rsidR="006C0833" w:rsidRPr="00FD1145">
        <w:t>$</w:t>
      </w:r>
      <w:r w:rsidR="009B6432" w:rsidRPr="009B6432">
        <w:rPr>
          <w:highlight w:val="black"/>
        </w:rPr>
        <w:t>&amp;&amp;&amp;&amp;</w:t>
      </w:r>
      <w:r w:rsidR="006C0833" w:rsidRPr="00FD1145">
        <w:t xml:space="preserve"> per patient) </w:t>
      </w:r>
      <w:r w:rsidR="0040360F" w:rsidRPr="00FD1145">
        <w:t xml:space="preserve">for </w:t>
      </w:r>
      <w:r w:rsidR="006A525D" w:rsidRPr="00FD1145">
        <w:t>those</w:t>
      </w:r>
      <w:r w:rsidR="0040360F" w:rsidRPr="00FD1145">
        <w:t xml:space="preserve"> patients</w:t>
      </w:r>
      <w:r w:rsidR="006A525D" w:rsidRPr="00FD1145">
        <w:t xml:space="preserve"> who continue</w:t>
      </w:r>
      <w:r w:rsidR="00227998" w:rsidRPr="00FD1145">
        <w:t>. However</w:t>
      </w:r>
      <w:r w:rsidR="006C0833" w:rsidRPr="00FD1145">
        <w:t>, the financial estimates assumed that</w:t>
      </w:r>
      <w:r w:rsidR="0040360F" w:rsidRPr="00FD1145">
        <w:t xml:space="preserve"> </w:t>
      </w:r>
      <w:r w:rsidR="00FE7F2F" w:rsidRPr="00FD1145">
        <w:t xml:space="preserve">15.4% of patients </w:t>
      </w:r>
      <w:r w:rsidR="006C0833" w:rsidRPr="00FD1145">
        <w:t>would</w:t>
      </w:r>
      <w:r w:rsidR="00FE7F2F" w:rsidRPr="00FD1145">
        <w:t xml:space="preserve"> discontinue tucatinib after 12 weeks, while no discontinuation assumptions were applied for T-DM1. </w:t>
      </w:r>
      <w:r w:rsidR="00227998" w:rsidRPr="00FD1145">
        <w:t xml:space="preserve">For those patients that </w:t>
      </w:r>
      <w:r w:rsidR="000613F2" w:rsidRPr="00FD1145">
        <w:t xml:space="preserve">discontinue, </w:t>
      </w:r>
      <w:r w:rsidR="0040360F" w:rsidRPr="00FD1145">
        <w:t xml:space="preserve">the financials </w:t>
      </w:r>
      <w:r w:rsidR="000613F2" w:rsidRPr="00FD1145">
        <w:t xml:space="preserve">estimated a </w:t>
      </w:r>
      <w:r w:rsidRPr="00FD1145">
        <w:lastRenderedPageBreak/>
        <w:t xml:space="preserve">net saving of </w:t>
      </w:r>
      <w:r w:rsidR="00FE5743" w:rsidRPr="00730542">
        <w:t xml:space="preserve">around </w:t>
      </w:r>
      <w:r w:rsidR="004D2828" w:rsidRPr="00730542">
        <w:t>$</w:t>
      </w:r>
      <w:r w:rsidR="00730542">
        <w:t>0 to &lt; $10 million</w:t>
      </w:r>
      <w:r w:rsidR="00F1196D">
        <w:t xml:space="preserve"> </w:t>
      </w:r>
      <w:r w:rsidR="000A177F" w:rsidRPr="00730542">
        <w:t>per</w:t>
      </w:r>
      <w:r w:rsidR="000A177F" w:rsidRPr="00FD1145">
        <w:t xml:space="preserve"> patient. </w:t>
      </w:r>
      <w:r w:rsidR="00595564">
        <w:t xml:space="preserve">However, the PBAC considered that the CMA was not </w:t>
      </w:r>
      <w:r w:rsidR="005B17E9">
        <w:t>relevant.</w:t>
      </w:r>
      <w:r w:rsidR="00F84089" w:rsidRPr="00FD1145">
        <w:t xml:space="preserve"> </w:t>
      </w:r>
    </w:p>
    <w:p w14:paraId="45549AD7" w14:textId="7C0ECD99" w:rsidR="00FE5743" w:rsidRPr="00FD1145" w:rsidRDefault="00691D59" w:rsidP="00073829">
      <w:pPr>
        <w:pStyle w:val="ListParagraph"/>
        <w:ind w:left="1134"/>
      </w:pPr>
      <w:r w:rsidRPr="00FD1145">
        <w:t xml:space="preserve">With </w:t>
      </w:r>
      <w:r w:rsidR="00F94073" w:rsidRPr="00FD1145">
        <w:t xml:space="preserve">only </w:t>
      </w:r>
      <w:r w:rsidRPr="00FD1145">
        <w:t>the CUA assumptions applied</w:t>
      </w:r>
      <w:r w:rsidR="00D43A79" w:rsidRPr="00FD1145">
        <w:t xml:space="preserve"> (including use of the</w:t>
      </w:r>
      <w:r w:rsidR="00EE6641">
        <w:t xml:space="preserve"> resubmission’s proposed</w:t>
      </w:r>
      <w:r w:rsidR="00D43A79" w:rsidRPr="00FD1145">
        <w:t xml:space="preserve"> indication-specific tucatinib price from the CUA)</w:t>
      </w:r>
      <w:r w:rsidR="001006AE" w:rsidRPr="00FD1145">
        <w:t>,</w:t>
      </w:r>
      <w:r w:rsidRPr="00FD1145">
        <w:t xml:space="preserve"> </w:t>
      </w:r>
      <w:r w:rsidR="00D43A79" w:rsidRPr="00FD1145">
        <w:t>t</w:t>
      </w:r>
      <w:r w:rsidR="00956E36" w:rsidRPr="00FD1145">
        <w:t>he</w:t>
      </w:r>
      <w:r w:rsidR="00050094" w:rsidRPr="00FD1145">
        <w:t xml:space="preserve"> net</w:t>
      </w:r>
      <w:r w:rsidR="00956E36" w:rsidRPr="00FD1145">
        <w:t xml:space="preserve"> cost </w:t>
      </w:r>
      <w:r w:rsidR="00050094" w:rsidRPr="00FD1145">
        <w:t xml:space="preserve">to the PBS/RPBS </w:t>
      </w:r>
      <w:r w:rsidR="00956E36" w:rsidRPr="00FD1145">
        <w:t xml:space="preserve">per patient </w:t>
      </w:r>
      <w:r w:rsidR="00D43A79" w:rsidRPr="00FD1145">
        <w:t xml:space="preserve">was around </w:t>
      </w:r>
      <w:r w:rsidR="00730542">
        <w:t>$0 to &lt; $10 million</w:t>
      </w:r>
      <w:r w:rsidR="00D43A79" w:rsidRPr="00FD1145">
        <w:t xml:space="preserve">. </w:t>
      </w:r>
    </w:p>
    <w:p w14:paraId="74D51EAA" w14:textId="1EE7001C" w:rsidR="008377CC" w:rsidRPr="00FD1145" w:rsidRDefault="008377CC" w:rsidP="008377CC">
      <w:pPr>
        <w:pStyle w:val="3-BodyText"/>
      </w:pPr>
      <w:bookmarkStart w:id="82" w:name="_Ref206424308"/>
      <w:r w:rsidRPr="00F76E9F">
        <w:t>The</w:t>
      </w:r>
      <w:r>
        <w:rPr>
          <w:rFonts w:eastAsia="Calibri"/>
        </w:rPr>
        <w:t xml:space="preserve"> PBAC considered </w:t>
      </w:r>
      <w:r w:rsidRPr="00BD2ED7">
        <w:rPr>
          <w:rFonts w:eastAsia="Calibri"/>
        </w:rPr>
        <w:t xml:space="preserve">that tucatinib was likely to only </w:t>
      </w:r>
      <w:r w:rsidR="00A871A4">
        <w:rPr>
          <w:rFonts w:eastAsia="Calibri"/>
        </w:rPr>
        <w:t>replace</w:t>
      </w:r>
      <w:r w:rsidRPr="00BD2ED7">
        <w:rPr>
          <w:rFonts w:eastAsia="Calibri"/>
        </w:rPr>
        <w:t xml:space="preserve"> trastuzumab </w:t>
      </w:r>
      <w:r w:rsidR="006C0159">
        <w:rPr>
          <w:rFonts w:eastAsia="Calibri"/>
        </w:rPr>
        <w:t>plus</w:t>
      </w:r>
      <w:r w:rsidRPr="00BD2ED7">
        <w:rPr>
          <w:rFonts w:eastAsia="Calibri"/>
        </w:rPr>
        <w:t xml:space="preserve"> capecitabine, and that this would likely represent around half the </w:t>
      </w:r>
      <w:r w:rsidR="007F12D4">
        <w:rPr>
          <w:rFonts w:eastAsia="Calibri"/>
        </w:rPr>
        <w:t>estimated third-line</w:t>
      </w:r>
      <w:r w:rsidRPr="00BD2ED7">
        <w:rPr>
          <w:rFonts w:eastAsia="Calibri"/>
        </w:rPr>
        <w:t xml:space="preserve"> population</w:t>
      </w:r>
      <w:r w:rsidR="00331D08">
        <w:rPr>
          <w:rFonts w:eastAsia="Calibri"/>
        </w:rPr>
        <w:t xml:space="preserve">. That is, </w:t>
      </w:r>
      <w:r>
        <w:rPr>
          <w:rFonts w:eastAsia="Calibri"/>
        </w:rPr>
        <w:t xml:space="preserve">of the </w:t>
      </w:r>
      <w:r w:rsidRPr="00BD2ED7">
        <w:rPr>
          <w:rFonts w:eastAsia="Calibri"/>
        </w:rPr>
        <w:t>patients who progress on T-</w:t>
      </w:r>
      <w:proofErr w:type="spellStart"/>
      <w:r w:rsidRPr="00BD2ED7">
        <w:rPr>
          <w:rFonts w:eastAsia="Calibri"/>
        </w:rPr>
        <w:t>DXd</w:t>
      </w:r>
      <w:proofErr w:type="spellEnd"/>
      <w:r w:rsidRPr="00BD2ED7">
        <w:rPr>
          <w:rFonts w:eastAsia="Calibri"/>
        </w:rPr>
        <w:t xml:space="preserve"> </w:t>
      </w:r>
      <w:r>
        <w:rPr>
          <w:rFonts w:eastAsia="Calibri"/>
        </w:rPr>
        <w:t>and</w:t>
      </w:r>
      <w:r w:rsidRPr="00BD2ED7">
        <w:rPr>
          <w:rFonts w:eastAsia="Calibri"/>
        </w:rPr>
        <w:t xml:space="preserve"> receive further treatment</w:t>
      </w:r>
      <w:r>
        <w:rPr>
          <w:rFonts w:eastAsia="Calibri"/>
        </w:rPr>
        <w:t>, the PBAC considered that half would currently use T-DM1 and half would use</w:t>
      </w:r>
      <w:r w:rsidRPr="00EC65AB">
        <w:t xml:space="preserve"> </w:t>
      </w:r>
      <w:r w:rsidRPr="00EC65AB">
        <w:rPr>
          <w:rFonts w:eastAsia="Calibri"/>
        </w:rPr>
        <w:t>trastuzumab + capecitabine</w:t>
      </w:r>
      <w:r w:rsidRPr="00BD2ED7">
        <w:rPr>
          <w:rFonts w:eastAsia="Calibri"/>
        </w:rPr>
        <w:t xml:space="preserve">. The PBAC considered tucatinib was unlikely to be used in patients who would otherwise receive T-DM1 (i.e. </w:t>
      </w:r>
      <w:r w:rsidR="00120ADB">
        <w:rPr>
          <w:rFonts w:eastAsia="Calibri"/>
        </w:rPr>
        <w:t>negligible</w:t>
      </w:r>
      <w:r w:rsidRPr="00BD2ED7">
        <w:rPr>
          <w:rFonts w:eastAsia="Calibri"/>
        </w:rPr>
        <w:t xml:space="preserve"> impact on T-DM1 usage).  </w:t>
      </w:r>
    </w:p>
    <w:p w14:paraId="1E186E19" w14:textId="023CD90B" w:rsidR="008F2D22" w:rsidRPr="00FD1145" w:rsidRDefault="008F2D22" w:rsidP="00073829">
      <w:pPr>
        <w:pStyle w:val="3-BodyText"/>
        <w:rPr>
          <w:color w:val="0066FF"/>
        </w:rPr>
      </w:pPr>
      <w:r w:rsidRPr="00FD1145">
        <w:t xml:space="preserve">The </w:t>
      </w:r>
      <w:r w:rsidR="008373E0" w:rsidRPr="00FD1145">
        <w:t xml:space="preserve">evaluation and the ESC considered that the </w:t>
      </w:r>
      <w:r w:rsidRPr="00FD1145">
        <w:t xml:space="preserve">accuracy of the utilisation and financial estimates </w:t>
      </w:r>
      <w:r w:rsidR="008373E0" w:rsidRPr="00FD1145">
        <w:t>wa</w:t>
      </w:r>
      <w:r w:rsidRPr="00FD1145">
        <w:t>s limited by several key uncertainties:</w:t>
      </w:r>
      <w:bookmarkEnd w:id="82"/>
    </w:p>
    <w:p w14:paraId="37A67744" w14:textId="4C47A48F" w:rsidR="00F4228E" w:rsidRDefault="00F84089" w:rsidP="00551CEE">
      <w:pPr>
        <w:pStyle w:val="ListParagraph"/>
        <w:ind w:left="1134"/>
      </w:pPr>
      <w:r w:rsidRPr="00FD1145">
        <w:t xml:space="preserve">Time on treatment </w:t>
      </w:r>
      <w:r w:rsidR="00935B38" w:rsidRPr="00FD1145">
        <w:t>was based on the extrapolated TTD curve from the economic model which was uncertain (refer to paragraph</w:t>
      </w:r>
      <w:r w:rsidR="00D3508A">
        <w:t xml:space="preserve"> </w:t>
      </w:r>
      <w:r w:rsidR="00D3508A">
        <w:fldChar w:fldCharType="begin"/>
      </w:r>
      <w:r w:rsidR="00D3508A">
        <w:instrText xml:space="preserve"> REF _Ref214283275 \r \h </w:instrText>
      </w:r>
      <w:r w:rsidR="00D3508A">
        <w:fldChar w:fldCharType="separate"/>
      </w:r>
      <w:r w:rsidR="009B3037">
        <w:t>6.53</w:t>
      </w:r>
      <w:r w:rsidR="00D3508A">
        <w:fldChar w:fldCharType="end"/>
      </w:r>
      <w:r w:rsidR="00694833" w:rsidRPr="00FD1145">
        <w:t>)</w:t>
      </w:r>
      <w:r w:rsidRPr="00FD1145">
        <w:t xml:space="preserve">. The modelled tucatinib mean </w:t>
      </w:r>
      <w:r w:rsidR="00FD45D5" w:rsidRPr="00FD1145">
        <w:t xml:space="preserve">duration of treatment </w:t>
      </w:r>
      <w:r w:rsidRPr="00FD1145">
        <w:t xml:space="preserve">was 11.43 months (about 49.7 weeks) </w:t>
      </w:r>
      <w:r w:rsidR="00A5224B" w:rsidRPr="00FD1145">
        <w:t xml:space="preserve">extrapolated from </w:t>
      </w:r>
      <w:r w:rsidR="00FD45D5" w:rsidRPr="00FD1145">
        <w:t xml:space="preserve">the </w:t>
      </w:r>
      <w:r w:rsidRPr="00FD1145">
        <w:t>HER2CLIMB</w:t>
      </w:r>
      <w:r w:rsidR="00FD45D5" w:rsidRPr="00FD1145">
        <w:t xml:space="preserve"> trial</w:t>
      </w:r>
      <w:r w:rsidR="00F4228E">
        <w:t xml:space="preserve">. </w:t>
      </w:r>
      <w:r w:rsidR="00F4228E" w:rsidRPr="009A400F">
        <w:t>However, the PBAC considered the modelling of tucatinib TTD in the economic model was reasonable.</w:t>
      </w:r>
    </w:p>
    <w:p w14:paraId="79D7D565" w14:textId="3641B621" w:rsidR="00F033F5" w:rsidRPr="00FD1145" w:rsidRDefault="007D3B86" w:rsidP="00D136AE">
      <w:pPr>
        <w:pStyle w:val="ListParagraph"/>
        <w:ind w:left="1134"/>
      </w:pPr>
      <w:r>
        <w:t>T</w:t>
      </w:r>
      <w:r w:rsidR="00F84089" w:rsidRPr="00FD1145">
        <w:t xml:space="preserve">he </w:t>
      </w:r>
      <w:r w:rsidR="00A478D1" w:rsidRPr="00FD1145">
        <w:t xml:space="preserve">financial estimates assumed a </w:t>
      </w:r>
      <w:r w:rsidR="00F84089" w:rsidRPr="00FD1145">
        <w:t>12</w:t>
      </w:r>
      <w:r w:rsidR="00F84089" w:rsidRPr="00FD1145">
        <w:rPr>
          <w:rFonts w:ascii="Cambria Math" w:hAnsi="Cambria Math" w:cs="Cambria Math"/>
        </w:rPr>
        <w:t>‑</w:t>
      </w:r>
      <w:r w:rsidR="00F84089" w:rsidRPr="00FD1145">
        <w:t xml:space="preserve">week continuation </w:t>
      </w:r>
      <w:r w:rsidR="00A478D1" w:rsidRPr="00FD1145">
        <w:t>rate of</w:t>
      </w:r>
      <w:r w:rsidR="00F84089" w:rsidRPr="00FD1145">
        <w:t xml:space="preserve"> 84.6%</w:t>
      </w:r>
      <w:r w:rsidR="00A478D1" w:rsidRPr="00FD1145">
        <w:t xml:space="preserve"> (based on the PFS at 12 weeks)</w:t>
      </w:r>
      <w:r w:rsidR="00F84089" w:rsidRPr="00FD1145">
        <w:t xml:space="preserve">. </w:t>
      </w:r>
      <w:r w:rsidR="00980BE1" w:rsidRPr="00FD1145">
        <w:t>No corresponding continuation assumptions were applied to T-DM1</w:t>
      </w:r>
      <w:r w:rsidR="00CB2121" w:rsidRPr="00FD1145">
        <w:t>, and the PSCR acknowledged that it may be appropriate to apply a discontinuation rate for T-DM1 consistent with the discontinuation rate applied to tucatinib in the utilisation estimates</w:t>
      </w:r>
      <w:r w:rsidR="00980BE1" w:rsidRPr="007D3B86">
        <w:t xml:space="preserve">. </w:t>
      </w:r>
      <w:r w:rsidRPr="007D3B86">
        <w:t>The PBAC</w:t>
      </w:r>
      <w:r>
        <w:t xml:space="preserve"> considered that the T-DM1 </w:t>
      </w:r>
      <w:r w:rsidR="00415E59">
        <w:t xml:space="preserve">discontinuation rates were not relevant as </w:t>
      </w:r>
      <w:r w:rsidR="00415E59" w:rsidRPr="00415E59">
        <w:t xml:space="preserve">tucatinib </w:t>
      </w:r>
      <w:r w:rsidR="00415E59">
        <w:t>was unlikely to</w:t>
      </w:r>
      <w:r w:rsidR="00415E59" w:rsidRPr="00415E59">
        <w:t xml:space="preserve"> displace T-DM1. </w:t>
      </w:r>
      <w:r>
        <w:rPr>
          <w:rFonts w:ascii="Arial Narrow" w:eastAsiaTheme="majorEastAsia" w:hAnsi="Arial Narrow" w:cstheme="majorBidi"/>
          <w:bCs/>
          <w:sz w:val="20"/>
        </w:rPr>
        <w:t xml:space="preserve"> </w:t>
      </w:r>
    </w:p>
    <w:p w14:paraId="780D6FA2" w14:textId="7CB06616" w:rsidR="00845F66" w:rsidRPr="00FD1145" w:rsidRDefault="00845F66" w:rsidP="00D136AE">
      <w:pPr>
        <w:pStyle w:val="ListParagraph"/>
        <w:ind w:left="1134"/>
      </w:pPr>
      <w:r w:rsidRPr="00FD1145">
        <w:t xml:space="preserve">The resubmission assumed that </w:t>
      </w:r>
      <w:r w:rsidR="00F96855" w:rsidRPr="00FD1145">
        <w:t>one-third of patients would discontinue T-</w:t>
      </w:r>
      <w:proofErr w:type="spellStart"/>
      <w:r w:rsidR="00F96855" w:rsidRPr="00FD1145">
        <w:t>DXd</w:t>
      </w:r>
      <w:proofErr w:type="spellEnd"/>
      <w:r w:rsidR="00F96855" w:rsidRPr="00FD1145">
        <w:t xml:space="preserve"> each year and that </w:t>
      </w:r>
      <w:r w:rsidRPr="00FD1145">
        <w:t>71% of</w:t>
      </w:r>
      <w:r w:rsidR="00F96855" w:rsidRPr="00FD1145">
        <w:t xml:space="preserve"> these</w:t>
      </w:r>
      <w:r w:rsidRPr="00FD1145">
        <w:t xml:space="preserve"> patients would receive further systemic treatment</w:t>
      </w:r>
      <w:r w:rsidR="00763430" w:rsidRPr="00FD1145">
        <w:t xml:space="preserve"> (to account for deaths and patient </w:t>
      </w:r>
      <w:r w:rsidR="001858B8" w:rsidRPr="00FD1145">
        <w:t xml:space="preserve">who do </w:t>
      </w:r>
      <w:r w:rsidR="00763430" w:rsidRPr="00FD1145">
        <w:t xml:space="preserve">not </w:t>
      </w:r>
      <w:r w:rsidR="001858B8" w:rsidRPr="00FD1145">
        <w:t xml:space="preserve">receive further </w:t>
      </w:r>
      <w:r w:rsidR="00763430" w:rsidRPr="00FD1145">
        <w:t>treat</w:t>
      </w:r>
      <w:r w:rsidR="001858B8" w:rsidRPr="00FD1145">
        <w:t>ment</w:t>
      </w:r>
      <w:r w:rsidR="00763430" w:rsidRPr="00FD1145">
        <w:t>)</w:t>
      </w:r>
      <w:r w:rsidR="00F96855" w:rsidRPr="00FD1145">
        <w:t xml:space="preserve">. The latter </w:t>
      </w:r>
      <w:r w:rsidR="005B05C5" w:rsidRPr="00FD1145">
        <w:t xml:space="preserve">(71%) </w:t>
      </w:r>
      <w:r w:rsidR="00F96855" w:rsidRPr="00FD1145">
        <w:t>was</w:t>
      </w:r>
      <w:r w:rsidRPr="00FD1145">
        <w:t xml:space="preserve"> based on the DESTINY</w:t>
      </w:r>
      <w:r w:rsidRPr="00FD1145">
        <w:rPr>
          <w:rFonts w:ascii="Cambria Math" w:hAnsi="Cambria Math" w:cs="Cambria Math"/>
        </w:rPr>
        <w:t>‑</w:t>
      </w:r>
      <w:r w:rsidRPr="00FD1145">
        <w:t>Breast</w:t>
      </w:r>
      <w:r w:rsidRPr="00FD1145">
        <w:rPr>
          <w:rFonts w:ascii="Calibri" w:hAnsi="Calibri" w:cs="Calibri"/>
        </w:rPr>
        <w:t> </w:t>
      </w:r>
      <w:r w:rsidRPr="00FD1145">
        <w:t>03 trial of T-</w:t>
      </w:r>
      <w:proofErr w:type="spellStart"/>
      <w:r w:rsidRPr="00FD1145">
        <w:t>DXd</w:t>
      </w:r>
      <w:proofErr w:type="spellEnd"/>
      <w:r w:rsidRPr="00FD1145">
        <w:t xml:space="preserve"> (</w:t>
      </w:r>
      <w:r w:rsidR="00763430" w:rsidRPr="00FD1145">
        <w:t>i.e.</w:t>
      </w:r>
      <w:r w:rsidRPr="00FD1145">
        <w:t xml:space="preserve"> the proportion of patients who progressed to another line after T</w:t>
      </w:r>
      <w:r w:rsidRPr="00FD1145">
        <w:rPr>
          <w:rFonts w:ascii="Cambria Math" w:hAnsi="Cambria Math" w:cs="Cambria Math"/>
        </w:rPr>
        <w:t>‑</w:t>
      </w:r>
      <w:proofErr w:type="spellStart"/>
      <w:r w:rsidRPr="00FD1145">
        <w:t>DXd</w:t>
      </w:r>
      <w:proofErr w:type="spellEnd"/>
      <w:r w:rsidRPr="00FD1145">
        <w:t xml:space="preserve"> discontinuation). </w:t>
      </w:r>
      <w:r w:rsidR="00763430" w:rsidRPr="00FD1145">
        <w:t xml:space="preserve">The ESC </w:t>
      </w:r>
      <w:r w:rsidR="005F31B2">
        <w:t xml:space="preserve">and the PBAC </w:t>
      </w:r>
      <w:r w:rsidR="00763430" w:rsidRPr="00FD1145">
        <w:t xml:space="preserve">considered this proportion would likely be lower (e.g. around 60%) as real world patients </w:t>
      </w:r>
      <w:r w:rsidR="00664E72" w:rsidRPr="00FD1145">
        <w:t>are generally</w:t>
      </w:r>
      <w:r w:rsidR="00763430" w:rsidRPr="00FD1145">
        <w:t xml:space="preserve"> less fit than patients enrolled in a clinical trial and thus, in clinical practice, fewer patients are likely to receive the next line of treatment.</w:t>
      </w:r>
    </w:p>
    <w:p w14:paraId="7A335BAA" w14:textId="7D734B94" w:rsidR="00F76E9F" w:rsidRPr="00FD1145" w:rsidRDefault="004E3373" w:rsidP="00551CEE">
      <w:pPr>
        <w:pStyle w:val="ListParagraph"/>
        <w:ind w:left="1134"/>
      </w:pPr>
      <w:r w:rsidRPr="00FD1145">
        <w:t xml:space="preserve">The resubmission assumed uptake rates of </w:t>
      </w:r>
      <w:r w:rsidR="009B6432" w:rsidRPr="009B6432">
        <w:rPr>
          <w:highlight w:val="black"/>
        </w:rPr>
        <w:t>&amp;&amp;&amp;&amp;</w:t>
      </w:r>
      <w:r w:rsidRPr="00FD1145">
        <w:t xml:space="preserve">% in Year 1 increasing to </w:t>
      </w:r>
      <w:r w:rsidR="009B6432" w:rsidRPr="009B6432">
        <w:rPr>
          <w:highlight w:val="black"/>
        </w:rPr>
        <w:t>&amp;&amp;&amp;&amp;</w:t>
      </w:r>
      <w:r w:rsidRPr="00FD1145">
        <w:t xml:space="preserve">% in Year 2, which </w:t>
      </w:r>
      <w:r w:rsidR="00763430" w:rsidRPr="00FD1145">
        <w:t xml:space="preserve">the evaluation and the ESC considered </w:t>
      </w:r>
      <w:r w:rsidRPr="00FD1145">
        <w:t>may be overestimated.</w:t>
      </w:r>
      <w:r w:rsidR="00C70EAB" w:rsidRPr="00FD1145">
        <w:t xml:space="preserve"> </w:t>
      </w:r>
      <w:r w:rsidR="008D3531" w:rsidRPr="00FD1145">
        <w:t>While the PBAC had previously considered that the uptake rates applied in the March 2021 submission (</w:t>
      </w:r>
      <w:r w:rsidR="009B6432" w:rsidRPr="009B6432">
        <w:rPr>
          <w:highlight w:val="black"/>
        </w:rPr>
        <w:t>&amp;&amp;&amp;&amp;</w:t>
      </w:r>
      <w:r w:rsidR="008D3531" w:rsidRPr="00FD1145">
        <w:t xml:space="preserve">% in Year 1 increasing to </w:t>
      </w:r>
      <w:r w:rsidR="009B6432" w:rsidRPr="009B6432">
        <w:rPr>
          <w:highlight w:val="black"/>
        </w:rPr>
        <w:t>&amp;&amp;&amp;&amp;</w:t>
      </w:r>
      <w:r w:rsidR="008D3531" w:rsidRPr="00FD1145">
        <w:t>% in Year 6) were likely underestimated</w:t>
      </w:r>
      <w:r w:rsidR="001D7BF5" w:rsidRPr="00FD1145">
        <w:t>; the ESC considered that the higher rates applied in the resubmission had now likely overestimated uptake given there is now an alternative treatment in the 3L setting (i.e. T-DM1).</w:t>
      </w:r>
      <w:r w:rsidR="005F31B2">
        <w:t xml:space="preserve"> </w:t>
      </w:r>
      <w:r w:rsidR="005F31B2" w:rsidRPr="005F31B2">
        <w:t xml:space="preserve">However, the PBAC </w:t>
      </w:r>
      <w:r w:rsidR="005F31B2" w:rsidRPr="005F31B2">
        <w:lastRenderedPageBreak/>
        <w:t xml:space="preserve">noted these uptake rates were applied across the entire eligible population i.e. regardless of whether </w:t>
      </w:r>
      <w:r w:rsidR="00135DD1">
        <w:t>the patient would</w:t>
      </w:r>
      <w:r w:rsidR="005F31B2" w:rsidRPr="005F31B2">
        <w:t xml:space="preserve"> currently receive T-DM1 or trastuzumab + capecitabine. The PBAC considered that tucatinib would likely only be used in patients who would otherwise receive trastuzumab </w:t>
      </w:r>
      <w:r w:rsidR="00E02D2F">
        <w:t>plus</w:t>
      </w:r>
      <w:r w:rsidR="005F31B2" w:rsidRPr="005F31B2">
        <w:t xml:space="preserve"> capecitabine, and that uptake in this more specific population would likely be high, up to </w:t>
      </w:r>
      <w:r w:rsidR="009B6432" w:rsidRPr="009B6432">
        <w:rPr>
          <w:highlight w:val="black"/>
        </w:rPr>
        <w:t>&amp;&amp;&amp;&amp;</w:t>
      </w:r>
      <w:r w:rsidR="005F31B2" w:rsidRPr="005F31B2">
        <w:t xml:space="preserve">% in Year 1 increasing to </w:t>
      </w:r>
      <w:r w:rsidR="009B6432" w:rsidRPr="009B6432">
        <w:rPr>
          <w:highlight w:val="black"/>
        </w:rPr>
        <w:t>&amp;&amp;&amp;&amp;</w:t>
      </w:r>
      <w:r w:rsidR="005F31B2" w:rsidRPr="005F31B2">
        <w:t>% in Years 2 to 6.</w:t>
      </w:r>
    </w:p>
    <w:p w14:paraId="634A0AC9" w14:textId="77777777" w:rsidR="00F84089" w:rsidRPr="00FD1145" w:rsidRDefault="00F84089" w:rsidP="00230B9C">
      <w:pPr>
        <w:pStyle w:val="4-SubsectionHeading"/>
      </w:pPr>
      <w:bookmarkStart w:id="83" w:name="_Toc22897648"/>
      <w:bookmarkStart w:id="84" w:name="_Toc208931314"/>
      <w:r w:rsidRPr="00FD1145">
        <w:t>Quality Use of Medicines</w:t>
      </w:r>
      <w:bookmarkEnd w:id="83"/>
      <w:bookmarkEnd w:id="84"/>
    </w:p>
    <w:p w14:paraId="2A8CA68D" w14:textId="1E950E28" w:rsidR="00F84089" w:rsidRPr="00FD1145" w:rsidRDefault="00F84089" w:rsidP="00F84089">
      <w:pPr>
        <w:pStyle w:val="3-BodyText"/>
        <w:rPr>
          <w:color w:val="0066FF"/>
        </w:rPr>
      </w:pPr>
      <w:r w:rsidRPr="00FD1145">
        <w:t xml:space="preserve">The resubmission stated that the Sponsor would support </w:t>
      </w:r>
      <w:r w:rsidR="00E321C3" w:rsidRPr="00FD1145">
        <w:t>quality use of medicines</w:t>
      </w:r>
      <w:r w:rsidRPr="00FD1145">
        <w:t xml:space="preserve"> by providing educational materials for health professionals (PI, safety and efficacy information, Patient Management Guide and Therapeutic Guide), patient-facing Consumer Medicine Information and a patient information booklet, engaging with Breast Cancer Network Australia, and updating the PSUR in line with TGA requirements.</w:t>
      </w:r>
    </w:p>
    <w:p w14:paraId="79BD019A" w14:textId="77777777" w:rsidR="00F84089" w:rsidRPr="00FD1145" w:rsidRDefault="00F84089" w:rsidP="00230B9C">
      <w:pPr>
        <w:pStyle w:val="4-SubsectionHeading"/>
      </w:pPr>
      <w:bookmarkStart w:id="85" w:name="_Toc22897649"/>
      <w:bookmarkStart w:id="86" w:name="_Toc208931315"/>
      <w:r w:rsidRPr="00FD1145">
        <w:t>Financial Management – Risk Sharing Arrangements</w:t>
      </w:r>
      <w:bookmarkEnd w:id="85"/>
      <w:bookmarkEnd w:id="86"/>
    </w:p>
    <w:p w14:paraId="77F2EB68" w14:textId="59730A0A" w:rsidR="000F336B" w:rsidRPr="00FD1145" w:rsidRDefault="000F336B" w:rsidP="00EB0EFE">
      <w:pPr>
        <w:pStyle w:val="3-BodyText"/>
      </w:pPr>
      <w:r w:rsidRPr="00FD1145">
        <w:t xml:space="preserve">The resubmission did not propose any risk sharing </w:t>
      </w:r>
      <w:r w:rsidR="000A17EE" w:rsidRPr="00FD1145">
        <w:t>arrangements</w:t>
      </w:r>
      <w:r w:rsidRPr="00FD1145">
        <w:t xml:space="preserve">. </w:t>
      </w:r>
      <w:r w:rsidR="008D5EA9">
        <w:t xml:space="preserve">However, the PBAC considered that an RSA </w:t>
      </w:r>
      <w:r w:rsidR="00A16296">
        <w:t xml:space="preserve">may </w:t>
      </w:r>
      <w:r w:rsidR="008D5EA9">
        <w:t>be required.</w:t>
      </w:r>
    </w:p>
    <w:p w14:paraId="47D73D47" w14:textId="77777777" w:rsidR="003B4FCC" w:rsidRPr="00FD1145" w:rsidRDefault="003B4FCC" w:rsidP="00F84089">
      <w:pPr>
        <w:pStyle w:val="3-BodyText"/>
        <w:numPr>
          <w:ilvl w:val="0"/>
          <w:numId w:val="0"/>
        </w:numPr>
        <w:ind w:left="720" w:hanging="11"/>
      </w:pPr>
    </w:p>
    <w:p w14:paraId="7BD4D91B" w14:textId="77777777" w:rsidR="00FA647E" w:rsidRPr="00FA647E" w:rsidRDefault="00FA647E" w:rsidP="00FA647E">
      <w:pPr>
        <w:pStyle w:val="3-BodyText"/>
        <w:numPr>
          <w:ilvl w:val="0"/>
          <w:numId w:val="0"/>
        </w:numPr>
        <w:ind w:left="720"/>
        <w:rPr>
          <w:i/>
          <w:iCs/>
        </w:rPr>
      </w:pPr>
      <w:bookmarkStart w:id="87" w:name="_Hlk103937430"/>
      <w:r w:rsidRPr="00FA647E">
        <w:rPr>
          <w:i/>
          <w:iCs/>
        </w:rPr>
        <w:t>For more detail on PBAC’s view, see section 7 PBAC outcome.</w:t>
      </w:r>
    </w:p>
    <w:p w14:paraId="11B77C6B" w14:textId="77777777" w:rsidR="00DB2CED" w:rsidRPr="00FD1145" w:rsidRDefault="00DB2CED" w:rsidP="00DB2CED">
      <w:pPr>
        <w:ind w:left="709"/>
        <w:contextualSpacing/>
        <w:rPr>
          <w:rFonts w:ascii="Arial" w:hAnsi="Arial"/>
          <w:bCs/>
          <w:sz w:val="22"/>
          <w:szCs w:val="22"/>
        </w:rPr>
      </w:pPr>
    </w:p>
    <w:p w14:paraId="43B1D686" w14:textId="77777777" w:rsidR="009F65CE" w:rsidRPr="009F65CE" w:rsidRDefault="009F65CE" w:rsidP="009F65CE">
      <w:pPr>
        <w:keepNext/>
        <w:numPr>
          <w:ilvl w:val="0"/>
          <w:numId w:val="4"/>
        </w:numPr>
        <w:spacing w:before="240" w:after="120"/>
        <w:jc w:val="left"/>
        <w:outlineLvl w:val="0"/>
        <w:rPr>
          <w:rFonts w:asciiTheme="minorHAnsi" w:hAnsiTheme="minorHAnsi"/>
          <w:b/>
          <w:snapToGrid w:val="0"/>
          <w:sz w:val="32"/>
          <w:szCs w:val="32"/>
        </w:rPr>
      </w:pPr>
      <w:bookmarkStart w:id="88" w:name="_Hlk76381249"/>
      <w:bookmarkStart w:id="89" w:name="_Toc208931319"/>
      <w:bookmarkEnd w:id="87"/>
      <w:r w:rsidRPr="009F65CE">
        <w:rPr>
          <w:rFonts w:asciiTheme="minorHAnsi" w:hAnsiTheme="minorHAnsi"/>
          <w:b/>
          <w:snapToGrid w:val="0"/>
          <w:sz w:val="32"/>
          <w:szCs w:val="32"/>
        </w:rPr>
        <w:t>PBAC Outcome</w:t>
      </w:r>
    </w:p>
    <w:p w14:paraId="212AFC02" w14:textId="15254DD7" w:rsidR="009E33C1" w:rsidRPr="00D508DA" w:rsidRDefault="009E33C1" w:rsidP="00551CEE">
      <w:pPr>
        <w:pStyle w:val="3-BodyText"/>
        <w:rPr>
          <w:snapToGrid w:val="0"/>
          <w:lang w:val="en-GB" w:eastAsia="en-US"/>
        </w:rPr>
      </w:pPr>
      <w:r w:rsidRPr="00D508DA">
        <w:rPr>
          <w:snapToGrid w:val="0"/>
          <w:lang w:eastAsia="en-US"/>
        </w:rPr>
        <w:t>The PBAC recommended tucatinib</w:t>
      </w:r>
      <w:r w:rsidR="00DB359B" w:rsidRPr="00D508DA">
        <w:rPr>
          <w:snapToGrid w:val="0"/>
          <w:lang w:eastAsia="en-US"/>
        </w:rPr>
        <w:t xml:space="preserve"> </w:t>
      </w:r>
      <w:r w:rsidRPr="00D508DA">
        <w:rPr>
          <w:snapToGrid w:val="0"/>
          <w:lang w:eastAsia="en-US"/>
        </w:rPr>
        <w:t xml:space="preserve">for use in combination with trastuzumab plus capecitabine for the treatment of metastatic (Stage IV) human epidermal growth factor receptor 2 positive (HER2+) breast cancer in patients who have received </w:t>
      </w:r>
      <w:r w:rsidR="000D76EE">
        <w:rPr>
          <w:snapToGrid w:val="0"/>
          <w:lang w:eastAsia="en-US"/>
        </w:rPr>
        <w:t xml:space="preserve">at least </w:t>
      </w:r>
      <w:r w:rsidRPr="00D508DA">
        <w:rPr>
          <w:snapToGrid w:val="0"/>
          <w:lang w:eastAsia="en-US"/>
        </w:rPr>
        <w:t>two prior lines of HER2-directed therapy or who have progressed on trastuzumab deruxtecan</w:t>
      </w:r>
      <w:r w:rsidR="00DB359B" w:rsidRPr="00D508DA">
        <w:rPr>
          <w:snapToGrid w:val="0"/>
          <w:lang w:eastAsia="en-US"/>
        </w:rPr>
        <w:t xml:space="preserve"> (T-</w:t>
      </w:r>
      <w:proofErr w:type="spellStart"/>
      <w:r w:rsidR="00DB359B" w:rsidRPr="00D508DA">
        <w:rPr>
          <w:snapToGrid w:val="0"/>
          <w:lang w:eastAsia="en-US"/>
        </w:rPr>
        <w:t>DXd</w:t>
      </w:r>
      <w:proofErr w:type="spellEnd"/>
      <w:r w:rsidR="00DB359B" w:rsidRPr="00D508DA">
        <w:rPr>
          <w:snapToGrid w:val="0"/>
          <w:lang w:eastAsia="en-US"/>
        </w:rPr>
        <w:t>)</w:t>
      </w:r>
      <w:r w:rsidRPr="00D508DA">
        <w:rPr>
          <w:snapToGrid w:val="0"/>
          <w:lang w:eastAsia="en-US"/>
        </w:rPr>
        <w:t>. The PBAC recognised the clinical need for additional treatment options in this late</w:t>
      </w:r>
      <w:r w:rsidR="008C3360">
        <w:rPr>
          <w:snapToGrid w:val="0"/>
          <w:lang w:eastAsia="en-US"/>
        </w:rPr>
        <w:t>r</w:t>
      </w:r>
      <w:r w:rsidR="00646EC1">
        <w:rPr>
          <w:snapToGrid w:val="0"/>
          <w:lang w:eastAsia="en-US"/>
        </w:rPr>
        <w:t>-</w:t>
      </w:r>
      <w:r w:rsidRPr="00D508DA">
        <w:rPr>
          <w:snapToGrid w:val="0"/>
          <w:lang w:eastAsia="en-US"/>
        </w:rPr>
        <w:t xml:space="preserve">line </w:t>
      </w:r>
      <w:r w:rsidRPr="005353ED">
        <w:rPr>
          <w:snapToGrid w:val="0"/>
          <w:lang w:eastAsia="en-US"/>
        </w:rPr>
        <w:t xml:space="preserve">setting particularly for patients with brain metastases, and </w:t>
      </w:r>
      <w:r w:rsidR="005E1CED">
        <w:rPr>
          <w:snapToGrid w:val="0"/>
          <w:lang w:eastAsia="en-US"/>
        </w:rPr>
        <w:t>noted</w:t>
      </w:r>
      <w:r w:rsidR="005E1CED" w:rsidRPr="005353ED">
        <w:rPr>
          <w:snapToGrid w:val="0"/>
          <w:lang w:eastAsia="en-US"/>
        </w:rPr>
        <w:t xml:space="preserve"> </w:t>
      </w:r>
      <w:r w:rsidRPr="005353ED">
        <w:rPr>
          <w:snapToGrid w:val="0"/>
          <w:lang w:eastAsia="en-US"/>
        </w:rPr>
        <w:t xml:space="preserve">that tucatinib improves overall survival compared with trastuzumab plus capecitabine alone. </w:t>
      </w:r>
      <w:r w:rsidR="008B4DAF" w:rsidRPr="005353ED">
        <w:t>The PBAC considered tucatinib would be acceptably cost-effective</w:t>
      </w:r>
      <w:r w:rsidR="008B4DAF" w:rsidRPr="005353ED">
        <w:rPr>
          <w:snapToGrid w:val="0"/>
          <w:lang w:eastAsia="en-US"/>
        </w:rPr>
        <w:t xml:space="preserve"> at the </w:t>
      </w:r>
      <w:r w:rsidR="001D7DB8" w:rsidRPr="005353ED">
        <w:rPr>
          <w:snapToGrid w:val="0"/>
          <w:lang w:eastAsia="en-US"/>
        </w:rPr>
        <w:t xml:space="preserve">cost-utility analysis (CUA) </w:t>
      </w:r>
      <w:r w:rsidR="008B4DAF" w:rsidRPr="005353ED">
        <w:rPr>
          <w:snapToGrid w:val="0"/>
          <w:lang w:eastAsia="en-US"/>
        </w:rPr>
        <w:t>component price proposed, based on the resubmission’s base case CUA versus trastuzumab plus capecitabine.</w:t>
      </w:r>
      <w:r w:rsidR="007A760B" w:rsidRPr="005353ED">
        <w:rPr>
          <w:snapToGrid w:val="0"/>
          <w:lang w:eastAsia="en-US"/>
        </w:rPr>
        <w:t xml:space="preserve"> </w:t>
      </w:r>
      <w:r w:rsidRPr="005353ED">
        <w:rPr>
          <w:snapToGrid w:val="0"/>
          <w:lang w:eastAsia="en-US"/>
        </w:rPr>
        <w:t xml:space="preserve">However, the PBAC did not </w:t>
      </w:r>
      <w:r w:rsidR="00820CC7" w:rsidRPr="005353ED">
        <w:rPr>
          <w:snapToGrid w:val="0"/>
          <w:lang w:eastAsia="en-US"/>
        </w:rPr>
        <w:t>accept</w:t>
      </w:r>
      <w:r w:rsidRPr="005353ED">
        <w:rPr>
          <w:snapToGrid w:val="0"/>
          <w:lang w:eastAsia="en-US"/>
        </w:rPr>
        <w:t xml:space="preserve"> the </w:t>
      </w:r>
      <w:r w:rsidR="000D76EE">
        <w:rPr>
          <w:snapToGrid w:val="0"/>
          <w:lang w:eastAsia="en-US"/>
        </w:rPr>
        <w:t>re</w:t>
      </w:r>
      <w:r w:rsidRPr="005353ED">
        <w:rPr>
          <w:snapToGrid w:val="0"/>
          <w:lang w:eastAsia="en-US"/>
        </w:rPr>
        <w:t xml:space="preserve">submission’s claim that tucatinib would also replace trastuzumab emtansine </w:t>
      </w:r>
      <w:r w:rsidR="001D6634" w:rsidRPr="005353ED">
        <w:rPr>
          <w:snapToGrid w:val="0"/>
          <w:lang w:eastAsia="en-US"/>
        </w:rPr>
        <w:t xml:space="preserve">(T-DM1) </w:t>
      </w:r>
      <w:r w:rsidRPr="005353ED">
        <w:rPr>
          <w:snapToGrid w:val="0"/>
          <w:lang w:eastAsia="en-US"/>
        </w:rPr>
        <w:t>and thus considered the cost-minimisation component of the proposed weighted price</w:t>
      </w:r>
      <w:r w:rsidRPr="00D508DA">
        <w:rPr>
          <w:snapToGrid w:val="0"/>
          <w:lang w:eastAsia="en-US"/>
        </w:rPr>
        <w:t xml:space="preserve"> was not relevant. </w:t>
      </w:r>
      <w:r w:rsidR="00C7577E">
        <w:rPr>
          <w:snapToGrid w:val="0"/>
          <w:lang w:eastAsia="en-US"/>
        </w:rPr>
        <w:t>T</w:t>
      </w:r>
      <w:r w:rsidRPr="00D508DA">
        <w:rPr>
          <w:snapToGrid w:val="0"/>
          <w:lang w:eastAsia="en-US"/>
        </w:rPr>
        <w:t>he PBAC considered that the financial estimates including the cost per patient should be based on tucatinib replacing trastuzumab plus capecitabine only</w:t>
      </w:r>
      <w:r w:rsidR="001D6634" w:rsidRPr="00D508DA">
        <w:rPr>
          <w:snapToGrid w:val="0"/>
          <w:lang w:eastAsia="en-US"/>
        </w:rPr>
        <w:t>.</w:t>
      </w:r>
      <w:r w:rsidRPr="00D508DA">
        <w:rPr>
          <w:snapToGrid w:val="0"/>
          <w:lang w:eastAsia="en-US"/>
        </w:rPr>
        <w:t xml:space="preserve"> </w:t>
      </w:r>
    </w:p>
    <w:p w14:paraId="309715B4" w14:textId="1968274E" w:rsidR="009F65CE" w:rsidRDefault="009F65CE" w:rsidP="00A62BFC">
      <w:pPr>
        <w:widowControl w:val="0"/>
        <w:numPr>
          <w:ilvl w:val="1"/>
          <w:numId w:val="4"/>
        </w:numPr>
        <w:spacing w:after="120"/>
        <w:rPr>
          <w:rFonts w:asciiTheme="minorHAnsi" w:hAnsiTheme="minorHAnsi"/>
          <w:snapToGrid w:val="0"/>
          <w:lang w:val="en-GB" w:eastAsia="en-US"/>
        </w:rPr>
      </w:pPr>
      <w:r w:rsidRPr="009F65CE">
        <w:rPr>
          <w:rFonts w:asciiTheme="minorHAnsi" w:hAnsiTheme="minorHAnsi"/>
          <w:snapToGrid w:val="0"/>
          <w:lang w:val="en-GB" w:eastAsia="en-US"/>
        </w:rPr>
        <w:t xml:space="preserve">The PBAC </w:t>
      </w:r>
      <w:r w:rsidR="00B512C5">
        <w:rPr>
          <w:rFonts w:asciiTheme="minorHAnsi" w:hAnsiTheme="minorHAnsi"/>
          <w:snapToGrid w:val="0"/>
          <w:lang w:val="en-GB" w:eastAsia="en-US"/>
        </w:rPr>
        <w:t>wa</w:t>
      </w:r>
      <w:r w:rsidRPr="009F65CE">
        <w:rPr>
          <w:rFonts w:asciiTheme="minorHAnsi" w:hAnsiTheme="minorHAnsi"/>
          <w:snapToGrid w:val="0"/>
          <w:lang w:val="en-GB" w:eastAsia="en-US"/>
        </w:rPr>
        <w:t xml:space="preserve">s satisfied that </w:t>
      </w:r>
      <w:r w:rsidR="001D6634">
        <w:rPr>
          <w:rFonts w:asciiTheme="minorHAnsi" w:hAnsiTheme="minorHAnsi"/>
          <w:snapToGrid w:val="0"/>
          <w:lang w:val="en-GB" w:eastAsia="en-US"/>
        </w:rPr>
        <w:t>tucatinib</w:t>
      </w:r>
      <w:r w:rsidRPr="009F65CE">
        <w:rPr>
          <w:rFonts w:asciiTheme="minorHAnsi" w:hAnsiTheme="minorHAnsi"/>
          <w:snapToGrid w:val="0"/>
          <w:lang w:val="en-GB" w:eastAsia="en-US"/>
        </w:rPr>
        <w:t xml:space="preserve"> </w:t>
      </w:r>
      <w:r w:rsidR="001D6634" w:rsidRPr="009E33C1">
        <w:rPr>
          <w:rFonts w:asciiTheme="minorHAnsi" w:hAnsiTheme="minorHAnsi"/>
          <w:snapToGrid w:val="0"/>
          <w:lang w:eastAsia="en-US"/>
        </w:rPr>
        <w:t xml:space="preserve">in combination with trastuzumab plus capecitabine </w:t>
      </w:r>
      <w:r w:rsidRPr="009F65CE">
        <w:rPr>
          <w:rFonts w:asciiTheme="minorHAnsi" w:hAnsiTheme="minorHAnsi"/>
          <w:snapToGrid w:val="0"/>
          <w:lang w:val="en-GB" w:eastAsia="en-US"/>
        </w:rPr>
        <w:t xml:space="preserve">provides, for some patients, a significant improvement in efficacy over </w:t>
      </w:r>
      <w:r w:rsidR="001D6634" w:rsidRPr="009E33C1">
        <w:rPr>
          <w:rFonts w:asciiTheme="minorHAnsi" w:hAnsiTheme="minorHAnsi"/>
          <w:snapToGrid w:val="0"/>
          <w:lang w:eastAsia="en-US"/>
        </w:rPr>
        <w:t>trastuzumab plus capecitabine</w:t>
      </w:r>
      <w:r w:rsidR="001D6634">
        <w:rPr>
          <w:rFonts w:asciiTheme="minorHAnsi" w:hAnsiTheme="minorHAnsi"/>
          <w:snapToGrid w:val="0"/>
          <w:lang w:eastAsia="en-US"/>
        </w:rPr>
        <w:t xml:space="preserve"> alone</w:t>
      </w:r>
      <w:r w:rsidRPr="009F65CE">
        <w:rPr>
          <w:rFonts w:asciiTheme="minorHAnsi" w:hAnsiTheme="minorHAnsi"/>
          <w:snapToGrid w:val="0"/>
          <w:lang w:val="en-GB" w:eastAsia="en-US"/>
        </w:rPr>
        <w:t xml:space="preserve">. </w:t>
      </w:r>
    </w:p>
    <w:p w14:paraId="4802EABE" w14:textId="31575A7C" w:rsidR="007668CA" w:rsidRPr="008C0D53" w:rsidRDefault="008C0D53" w:rsidP="00551CEE">
      <w:pPr>
        <w:pStyle w:val="3-BodyText"/>
        <w:rPr>
          <w:snapToGrid w:val="0"/>
          <w:lang w:eastAsia="en-US"/>
        </w:rPr>
      </w:pPr>
      <w:r w:rsidRPr="008C0D53">
        <w:rPr>
          <w:rFonts w:eastAsia="Times New Roman" w:cs="Arial"/>
          <w:snapToGrid w:val="0"/>
          <w:szCs w:val="24"/>
          <w:lang w:eastAsia="en-US"/>
        </w:rPr>
        <w:lastRenderedPageBreak/>
        <w:t>The PBAC welcomed the consumer input received from individuals, organisations and a health professional which described</w:t>
      </w:r>
      <w:r w:rsidR="002C63E9">
        <w:rPr>
          <w:rFonts w:eastAsia="Times New Roman" w:cs="Arial"/>
          <w:snapToGrid w:val="0"/>
          <w:szCs w:val="24"/>
          <w:lang w:eastAsia="en-US"/>
        </w:rPr>
        <w:t xml:space="preserve"> the </w:t>
      </w:r>
      <w:r w:rsidR="005C520C" w:rsidRPr="005C520C">
        <w:rPr>
          <w:rFonts w:eastAsia="Times New Roman" w:cs="Arial"/>
          <w:snapToGrid w:val="0"/>
          <w:szCs w:val="24"/>
          <w:lang w:eastAsia="en-US"/>
        </w:rPr>
        <w:t>significant challenges faced by people living with metastatic HER2-positive breast cancer (third</w:t>
      </w:r>
      <w:r w:rsidR="005C520C">
        <w:rPr>
          <w:rFonts w:eastAsia="Times New Roman" w:cs="Arial"/>
          <w:snapToGrid w:val="0"/>
          <w:szCs w:val="24"/>
          <w:lang w:eastAsia="en-US"/>
        </w:rPr>
        <w:t>-</w:t>
      </w:r>
      <w:r w:rsidR="00C05E0E">
        <w:rPr>
          <w:rFonts w:eastAsia="Times New Roman" w:cs="Arial"/>
          <w:snapToGrid w:val="0"/>
          <w:szCs w:val="24"/>
          <w:lang w:eastAsia="en-US"/>
        </w:rPr>
        <w:t xml:space="preserve"> or later-</w:t>
      </w:r>
      <w:r w:rsidR="005C520C" w:rsidRPr="005C520C">
        <w:rPr>
          <w:rFonts w:eastAsia="Times New Roman" w:cs="Arial"/>
          <w:snapToGrid w:val="0"/>
          <w:szCs w:val="24"/>
          <w:lang w:eastAsia="en-US"/>
        </w:rPr>
        <w:t>line and beyond) including pain, anxiety, fatigue and neurological symptoms, with a substantial impact on quality of life and ability to work.</w:t>
      </w:r>
      <w:r w:rsidR="005C520C">
        <w:rPr>
          <w:rFonts w:eastAsia="Times New Roman" w:cs="Arial"/>
          <w:snapToGrid w:val="0"/>
          <w:szCs w:val="24"/>
          <w:lang w:eastAsia="en-US"/>
        </w:rPr>
        <w:t xml:space="preserve"> </w:t>
      </w:r>
      <w:r w:rsidR="0030477C" w:rsidRPr="0030477C">
        <w:rPr>
          <w:rFonts w:eastAsia="Times New Roman" w:cs="Arial"/>
          <w:snapToGrid w:val="0"/>
          <w:szCs w:val="24"/>
          <w:lang w:eastAsia="en-US"/>
        </w:rPr>
        <w:t xml:space="preserve">Consumers identified improved survival (extending life) as the most important unmet clinical need at this stage of the </w:t>
      </w:r>
      <w:r w:rsidR="00166F3B">
        <w:rPr>
          <w:rFonts w:eastAsia="Times New Roman" w:cs="Arial"/>
          <w:snapToGrid w:val="0"/>
          <w:szCs w:val="24"/>
          <w:lang w:eastAsia="en-US"/>
        </w:rPr>
        <w:t>condition</w:t>
      </w:r>
      <w:r w:rsidR="0030477C" w:rsidRPr="0030477C">
        <w:rPr>
          <w:rFonts w:eastAsia="Times New Roman" w:cs="Arial"/>
          <w:snapToGrid w:val="0"/>
          <w:szCs w:val="24"/>
          <w:lang w:eastAsia="en-US"/>
        </w:rPr>
        <w:t>.</w:t>
      </w:r>
      <w:r w:rsidR="0030477C">
        <w:rPr>
          <w:rFonts w:eastAsia="Times New Roman" w:cs="Arial"/>
          <w:snapToGrid w:val="0"/>
          <w:szCs w:val="24"/>
          <w:lang w:eastAsia="en-US"/>
        </w:rPr>
        <w:t xml:space="preserve"> </w:t>
      </w:r>
      <w:r w:rsidR="007668CA" w:rsidRPr="008C0D53">
        <w:rPr>
          <w:snapToGrid w:val="0"/>
          <w:lang w:eastAsia="en-US"/>
        </w:rPr>
        <w:t xml:space="preserve">The PBAC </w:t>
      </w:r>
      <w:r w:rsidR="00881FBF" w:rsidRPr="008C0D53">
        <w:rPr>
          <w:snapToGrid w:val="0"/>
          <w:lang w:eastAsia="en-US"/>
        </w:rPr>
        <w:t xml:space="preserve">considered that, while multiple lines of treatment </w:t>
      </w:r>
      <w:r w:rsidR="008858C6" w:rsidRPr="008C0D53">
        <w:rPr>
          <w:snapToGrid w:val="0"/>
          <w:lang w:eastAsia="en-US"/>
        </w:rPr>
        <w:t xml:space="preserve">are available on the PBS, there is a high </w:t>
      </w:r>
      <w:r w:rsidR="007668CA" w:rsidRPr="008C0D53">
        <w:rPr>
          <w:snapToGrid w:val="0"/>
          <w:lang w:eastAsia="en-US"/>
        </w:rPr>
        <w:t xml:space="preserve">clinical need </w:t>
      </w:r>
      <w:r w:rsidR="00F742AD" w:rsidRPr="008C0D53">
        <w:rPr>
          <w:snapToGrid w:val="0"/>
          <w:lang w:eastAsia="en-US"/>
        </w:rPr>
        <w:t xml:space="preserve">for effective treatments </w:t>
      </w:r>
      <w:r w:rsidR="007D2D2D" w:rsidRPr="008C0D53">
        <w:rPr>
          <w:snapToGrid w:val="0"/>
          <w:lang w:eastAsia="en-US"/>
        </w:rPr>
        <w:t xml:space="preserve">in later-lines </w:t>
      </w:r>
      <w:r w:rsidR="008734E5" w:rsidRPr="008C0D53">
        <w:rPr>
          <w:snapToGrid w:val="0"/>
          <w:lang w:eastAsia="en-US"/>
        </w:rPr>
        <w:t>for</w:t>
      </w:r>
      <w:r w:rsidR="007668CA" w:rsidRPr="008C0D53">
        <w:rPr>
          <w:snapToGrid w:val="0"/>
          <w:lang w:eastAsia="en-US"/>
        </w:rPr>
        <w:t xml:space="preserve"> patients with brain metastases, where current options have limited efficacy. </w:t>
      </w:r>
    </w:p>
    <w:p w14:paraId="2AE674A0" w14:textId="670B1435" w:rsidR="00ED5500" w:rsidRPr="0065631E" w:rsidRDefault="00ED5500" w:rsidP="00551CEE">
      <w:pPr>
        <w:widowControl w:val="0"/>
        <w:numPr>
          <w:ilvl w:val="1"/>
          <w:numId w:val="4"/>
        </w:numPr>
        <w:spacing w:after="120"/>
        <w:rPr>
          <w:rFonts w:asciiTheme="minorHAnsi" w:hAnsiTheme="minorHAnsi"/>
          <w:snapToGrid w:val="0"/>
          <w:lang w:eastAsia="en-US"/>
        </w:rPr>
      </w:pPr>
      <w:r w:rsidRPr="0065631E">
        <w:rPr>
          <w:rFonts w:asciiTheme="minorHAnsi" w:hAnsiTheme="minorHAnsi"/>
          <w:snapToGrid w:val="0"/>
          <w:lang w:eastAsia="en-US"/>
        </w:rPr>
        <w:t>The resubmission positioned tucatinib as a third-</w:t>
      </w:r>
      <w:r w:rsidR="00FD054B">
        <w:rPr>
          <w:rFonts w:asciiTheme="minorHAnsi" w:hAnsiTheme="minorHAnsi"/>
          <w:snapToGrid w:val="0"/>
          <w:lang w:eastAsia="en-US"/>
        </w:rPr>
        <w:t xml:space="preserve"> or later-</w:t>
      </w:r>
      <w:r w:rsidRPr="0065631E">
        <w:rPr>
          <w:rFonts w:asciiTheme="minorHAnsi" w:hAnsiTheme="minorHAnsi"/>
          <w:snapToGrid w:val="0"/>
          <w:lang w:eastAsia="en-US"/>
        </w:rPr>
        <w:t>line treatment in the metastatic setting and/or for patients who have progressed on T-</w:t>
      </w:r>
      <w:proofErr w:type="spellStart"/>
      <w:r w:rsidRPr="0065631E">
        <w:rPr>
          <w:rFonts w:asciiTheme="minorHAnsi" w:hAnsiTheme="minorHAnsi"/>
          <w:snapToGrid w:val="0"/>
          <w:lang w:eastAsia="en-US"/>
        </w:rPr>
        <w:t>DXd</w:t>
      </w:r>
      <w:proofErr w:type="spellEnd"/>
      <w:r w:rsidRPr="0065631E">
        <w:rPr>
          <w:rFonts w:asciiTheme="minorHAnsi" w:hAnsiTheme="minorHAnsi"/>
          <w:snapToGrid w:val="0"/>
          <w:lang w:eastAsia="en-US"/>
        </w:rPr>
        <w:t>.</w:t>
      </w:r>
      <w:r w:rsidR="00667E00" w:rsidRPr="0065631E">
        <w:rPr>
          <w:rFonts w:asciiTheme="minorHAnsi" w:hAnsiTheme="minorHAnsi"/>
          <w:snapToGrid w:val="0"/>
          <w:lang w:eastAsia="en-US"/>
        </w:rPr>
        <w:t xml:space="preserve"> The PBAC considered this was reasonable</w:t>
      </w:r>
      <w:r w:rsidR="0063385F">
        <w:rPr>
          <w:rFonts w:asciiTheme="minorHAnsi" w:hAnsiTheme="minorHAnsi"/>
          <w:snapToGrid w:val="0"/>
          <w:lang w:eastAsia="en-US"/>
        </w:rPr>
        <w:t xml:space="preserve">, and </w:t>
      </w:r>
      <w:r w:rsidR="007D2D2D" w:rsidRPr="0065631E">
        <w:rPr>
          <w:rFonts w:asciiTheme="minorHAnsi" w:hAnsiTheme="minorHAnsi"/>
          <w:snapToGrid w:val="0"/>
          <w:lang w:eastAsia="en-US"/>
        </w:rPr>
        <w:t>not</w:t>
      </w:r>
      <w:r w:rsidR="0063385F">
        <w:rPr>
          <w:rFonts w:asciiTheme="minorHAnsi" w:hAnsiTheme="minorHAnsi"/>
          <w:snapToGrid w:val="0"/>
          <w:lang w:eastAsia="en-US"/>
        </w:rPr>
        <w:t>ed</w:t>
      </w:r>
      <w:r w:rsidR="007D2D2D" w:rsidRPr="0065631E">
        <w:rPr>
          <w:rFonts w:asciiTheme="minorHAnsi" w:hAnsiTheme="minorHAnsi"/>
          <w:snapToGrid w:val="0"/>
          <w:lang w:eastAsia="en-US"/>
        </w:rPr>
        <w:t xml:space="preserve"> that t</w:t>
      </w:r>
      <w:r w:rsidR="007D2D2D" w:rsidRPr="007668CA">
        <w:rPr>
          <w:rFonts w:asciiTheme="minorHAnsi" w:hAnsiTheme="minorHAnsi"/>
          <w:snapToGrid w:val="0"/>
          <w:lang w:eastAsia="en-US"/>
        </w:rPr>
        <w:t>he addition of T-</w:t>
      </w:r>
      <w:proofErr w:type="spellStart"/>
      <w:r w:rsidR="007D2D2D" w:rsidRPr="007668CA">
        <w:rPr>
          <w:rFonts w:asciiTheme="minorHAnsi" w:hAnsiTheme="minorHAnsi"/>
          <w:snapToGrid w:val="0"/>
          <w:lang w:eastAsia="en-US"/>
        </w:rPr>
        <w:t>DXd</w:t>
      </w:r>
      <w:proofErr w:type="spellEnd"/>
      <w:r w:rsidR="007D2D2D" w:rsidRPr="007668CA">
        <w:rPr>
          <w:rFonts w:asciiTheme="minorHAnsi" w:hAnsiTheme="minorHAnsi"/>
          <w:snapToGrid w:val="0"/>
          <w:lang w:eastAsia="en-US"/>
        </w:rPr>
        <w:t xml:space="preserve"> to the PBS since the </w:t>
      </w:r>
      <w:r w:rsidR="00E861CB">
        <w:rPr>
          <w:rFonts w:asciiTheme="minorHAnsi" w:hAnsiTheme="minorHAnsi"/>
          <w:snapToGrid w:val="0"/>
          <w:lang w:eastAsia="en-US"/>
        </w:rPr>
        <w:t>previous</w:t>
      </w:r>
      <w:r w:rsidR="007D2D2D" w:rsidRPr="007668CA">
        <w:rPr>
          <w:rFonts w:asciiTheme="minorHAnsi" w:hAnsiTheme="minorHAnsi"/>
          <w:snapToGrid w:val="0"/>
          <w:lang w:eastAsia="en-US"/>
        </w:rPr>
        <w:t xml:space="preserve"> submission has shifted the treatment landscape, </w:t>
      </w:r>
      <w:r w:rsidR="0065631E" w:rsidRPr="0065631E">
        <w:rPr>
          <w:rFonts w:asciiTheme="minorHAnsi" w:hAnsiTheme="minorHAnsi"/>
          <w:snapToGrid w:val="0"/>
          <w:lang w:eastAsia="en-US"/>
        </w:rPr>
        <w:t>i.e.</w:t>
      </w:r>
      <w:r w:rsidR="009C50C6" w:rsidRPr="0065631E">
        <w:rPr>
          <w:rFonts w:asciiTheme="minorHAnsi" w:hAnsiTheme="minorHAnsi"/>
          <w:snapToGrid w:val="0"/>
          <w:lang w:eastAsia="en-US"/>
        </w:rPr>
        <w:t xml:space="preserve"> T-</w:t>
      </w:r>
      <w:proofErr w:type="spellStart"/>
      <w:r w:rsidR="009C50C6" w:rsidRPr="0065631E">
        <w:rPr>
          <w:rFonts w:asciiTheme="minorHAnsi" w:hAnsiTheme="minorHAnsi"/>
          <w:snapToGrid w:val="0"/>
          <w:lang w:eastAsia="en-US"/>
        </w:rPr>
        <w:t>DXd</w:t>
      </w:r>
      <w:proofErr w:type="spellEnd"/>
      <w:r w:rsidR="00D53D59" w:rsidRPr="0065631E">
        <w:rPr>
          <w:rFonts w:asciiTheme="minorHAnsi" w:hAnsiTheme="minorHAnsi"/>
          <w:snapToGrid w:val="0"/>
          <w:lang w:eastAsia="en-US"/>
        </w:rPr>
        <w:t xml:space="preserve"> </w:t>
      </w:r>
      <w:r w:rsidR="0065631E" w:rsidRPr="0065631E">
        <w:rPr>
          <w:rFonts w:asciiTheme="minorHAnsi" w:hAnsiTheme="minorHAnsi"/>
          <w:snapToGrid w:val="0"/>
          <w:lang w:eastAsia="en-US"/>
        </w:rPr>
        <w:t xml:space="preserve">is </w:t>
      </w:r>
      <w:r w:rsidR="00D53D59" w:rsidRPr="0065631E">
        <w:rPr>
          <w:rFonts w:asciiTheme="minorHAnsi" w:hAnsiTheme="minorHAnsi"/>
          <w:snapToGrid w:val="0"/>
          <w:lang w:eastAsia="en-US"/>
        </w:rPr>
        <w:t xml:space="preserve">now listed in </w:t>
      </w:r>
      <w:r w:rsidR="002104E7">
        <w:rPr>
          <w:rFonts w:asciiTheme="minorHAnsi" w:hAnsiTheme="minorHAnsi"/>
          <w:snapToGrid w:val="0"/>
          <w:lang w:eastAsia="en-US"/>
        </w:rPr>
        <w:t>the</w:t>
      </w:r>
      <w:r w:rsidR="00D53D59" w:rsidRPr="0065631E">
        <w:rPr>
          <w:rFonts w:asciiTheme="minorHAnsi" w:hAnsiTheme="minorHAnsi"/>
          <w:snapToGrid w:val="0"/>
          <w:lang w:eastAsia="en-US"/>
        </w:rPr>
        <w:t xml:space="preserve"> second- or later-line metastatic setting (or </w:t>
      </w:r>
      <w:r w:rsidR="002104E7">
        <w:rPr>
          <w:rFonts w:asciiTheme="minorHAnsi" w:hAnsiTheme="minorHAnsi"/>
          <w:snapToGrid w:val="0"/>
          <w:lang w:eastAsia="en-US"/>
        </w:rPr>
        <w:t xml:space="preserve">in the </w:t>
      </w:r>
      <w:r w:rsidR="00D53D59" w:rsidRPr="0065631E">
        <w:rPr>
          <w:rFonts w:asciiTheme="minorHAnsi" w:hAnsiTheme="minorHAnsi"/>
          <w:snapToGrid w:val="0"/>
          <w:lang w:eastAsia="en-US"/>
        </w:rPr>
        <w:t>first-line metastatic setting for patients who have relapsed during or within 6 months of adjuvant HER-2 directed treatment).</w:t>
      </w:r>
      <w:r w:rsidR="0065631E" w:rsidRPr="0065631E">
        <w:rPr>
          <w:rFonts w:asciiTheme="minorHAnsi" w:hAnsiTheme="minorHAnsi"/>
          <w:snapToGrid w:val="0"/>
          <w:lang w:eastAsia="en-US"/>
        </w:rPr>
        <w:t xml:space="preserve"> This has </w:t>
      </w:r>
      <w:r w:rsidR="007D2D2D" w:rsidRPr="007668CA">
        <w:rPr>
          <w:rFonts w:asciiTheme="minorHAnsi" w:hAnsiTheme="minorHAnsi"/>
          <w:snapToGrid w:val="0"/>
          <w:lang w:eastAsia="en-US"/>
        </w:rPr>
        <w:t>displac</w:t>
      </w:r>
      <w:r w:rsidR="0065631E">
        <w:rPr>
          <w:rFonts w:asciiTheme="minorHAnsi" w:hAnsiTheme="minorHAnsi"/>
          <w:snapToGrid w:val="0"/>
          <w:lang w:eastAsia="en-US"/>
        </w:rPr>
        <w:t>ed</w:t>
      </w:r>
      <w:r w:rsidR="007D2D2D" w:rsidRPr="007668CA">
        <w:rPr>
          <w:rFonts w:asciiTheme="minorHAnsi" w:hAnsiTheme="minorHAnsi"/>
          <w:snapToGrid w:val="0"/>
          <w:lang w:eastAsia="en-US"/>
        </w:rPr>
        <w:t xml:space="preserve"> </w:t>
      </w:r>
      <w:r w:rsidR="000B7EC1" w:rsidRPr="007F369D">
        <w:rPr>
          <w:rFonts w:asciiTheme="minorHAnsi" w:hAnsiTheme="minorHAnsi"/>
          <w:snapToGrid w:val="0"/>
          <w:lang w:eastAsia="en-US"/>
        </w:rPr>
        <w:t xml:space="preserve">trastuzumab emtansine </w:t>
      </w:r>
      <w:r w:rsidR="000B7EC1">
        <w:rPr>
          <w:rFonts w:asciiTheme="minorHAnsi" w:hAnsiTheme="minorHAnsi"/>
          <w:snapToGrid w:val="0"/>
          <w:lang w:eastAsia="en-US"/>
        </w:rPr>
        <w:t>(</w:t>
      </w:r>
      <w:r w:rsidR="007D2D2D" w:rsidRPr="007668CA">
        <w:rPr>
          <w:rFonts w:asciiTheme="minorHAnsi" w:hAnsiTheme="minorHAnsi"/>
          <w:snapToGrid w:val="0"/>
          <w:lang w:eastAsia="en-US"/>
        </w:rPr>
        <w:t>T-DM1</w:t>
      </w:r>
      <w:r w:rsidR="000B7EC1">
        <w:rPr>
          <w:rFonts w:asciiTheme="minorHAnsi" w:hAnsiTheme="minorHAnsi"/>
          <w:snapToGrid w:val="0"/>
          <w:lang w:eastAsia="en-US"/>
        </w:rPr>
        <w:t>)</w:t>
      </w:r>
      <w:r w:rsidR="007D2D2D" w:rsidRPr="007668CA">
        <w:rPr>
          <w:rFonts w:asciiTheme="minorHAnsi" w:hAnsiTheme="minorHAnsi"/>
          <w:snapToGrid w:val="0"/>
          <w:lang w:eastAsia="en-US"/>
        </w:rPr>
        <w:t xml:space="preserve"> </w:t>
      </w:r>
      <w:r w:rsidR="00F931F8">
        <w:rPr>
          <w:rFonts w:asciiTheme="minorHAnsi" w:hAnsiTheme="minorHAnsi"/>
          <w:snapToGrid w:val="0"/>
          <w:lang w:eastAsia="en-US"/>
        </w:rPr>
        <w:t xml:space="preserve">from </w:t>
      </w:r>
      <w:r w:rsidR="00D90A67">
        <w:rPr>
          <w:rFonts w:asciiTheme="minorHAnsi" w:hAnsiTheme="minorHAnsi"/>
          <w:snapToGrid w:val="0"/>
          <w:lang w:eastAsia="en-US"/>
        </w:rPr>
        <w:t xml:space="preserve">second-line </w:t>
      </w:r>
      <w:r w:rsidR="007D2D2D" w:rsidRPr="007668CA">
        <w:rPr>
          <w:rFonts w:asciiTheme="minorHAnsi" w:hAnsiTheme="minorHAnsi"/>
          <w:snapToGrid w:val="0"/>
          <w:lang w:eastAsia="en-US"/>
        </w:rPr>
        <w:t xml:space="preserve">to third-line. </w:t>
      </w:r>
    </w:p>
    <w:p w14:paraId="32F45996" w14:textId="04107E31" w:rsidR="007668CA" w:rsidRPr="007668CA" w:rsidRDefault="007668CA" w:rsidP="00567891">
      <w:pPr>
        <w:widowControl w:val="0"/>
        <w:numPr>
          <w:ilvl w:val="1"/>
          <w:numId w:val="4"/>
        </w:numPr>
        <w:spacing w:after="120"/>
        <w:rPr>
          <w:rFonts w:asciiTheme="minorHAnsi" w:hAnsiTheme="minorHAnsi"/>
          <w:snapToGrid w:val="0"/>
          <w:lang w:eastAsia="en-US"/>
        </w:rPr>
      </w:pPr>
      <w:r w:rsidRPr="007668CA">
        <w:rPr>
          <w:rFonts w:asciiTheme="minorHAnsi" w:hAnsiTheme="minorHAnsi"/>
          <w:snapToGrid w:val="0"/>
          <w:lang w:eastAsia="en-US"/>
        </w:rPr>
        <w:t xml:space="preserve">The </w:t>
      </w:r>
      <w:r w:rsidR="008C7E47">
        <w:rPr>
          <w:rFonts w:asciiTheme="minorHAnsi" w:hAnsiTheme="minorHAnsi"/>
          <w:snapToGrid w:val="0"/>
          <w:lang w:eastAsia="en-US"/>
        </w:rPr>
        <w:t xml:space="preserve">PBAC noted that the </w:t>
      </w:r>
      <w:r w:rsidR="0022662A">
        <w:rPr>
          <w:rFonts w:asciiTheme="minorHAnsi" w:hAnsiTheme="minorHAnsi"/>
          <w:snapToGrid w:val="0"/>
          <w:lang w:eastAsia="en-US"/>
        </w:rPr>
        <w:t>re</w:t>
      </w:r>
      <w:r w:rsidR="008C7E47">
        <w:rPr>
          <w:rFonts w:asciiTheme="minorHAnsi" w:hAnsiTheme="minorHAnsi"/>
          <w:snapToGrid w:val="0"/>
          <w:lang w:eastAsia="en-US"/>
        </w:rPr>
        <w:t xml:space="preserve">submission </w:t>
      </w:r>
      <w:r w:rsidR="007F369D" w:rsidRPr="007F369D">
        <w:rPr>
          <w:rFonts w:asciiTheme="minorHAnsi" w:hAnsiTheme="minorHAnsi"/>
          <w:snapToGrid w:val="0"/>
          <w:lang w:eastAsia="en-US"/>
        </w:rPr>
        <w:t xml:space="preserve">proposed </w:t>
      </w:r>
      <w:r w:rsidR="007F369D">
        <w:rPr>
          <w:rFonts w:asciiTheme="minorHAnsi" w:hAnsiTheme="minorHAnsi"/>
          <w:snapToGrid w:val="0"/>
          <w:lang w:eastAsia="en-US"/>
        </w:rPr>
        <w:t xml:space="preserve">a </w:t>
      </w:r>
      <w:r w:rsidR="007F369D" w:rsidRPr="007F369D">
        <w:rPr>
          <w:rFonts w:asciiTheme="minorHAnsi" w:hAnsiTheme="minorHAnsi"/>
          <w:snapToGrid w:val="0"/>
          <w:lang w:eastAsia="en-US"/>
        </w:rPr>
        <w:t>50:50 proportion split between two comparators</w:t>
      </w:r>
      <w:r w:rsidR="00482F1B">
        <w:rPr>
          <w:rFonts w:asciiTheme="minorHAnsi" w:hAnsiTheme="minorHAnsi"/>
          <w:snapToGrid w:val="0"/>
          <w:lang w:eastAsia="en-US"/>
        </w:rPr>
        <w:t>:</w:t>
      </w:r>
      <w:r w:rsidR="007F369D" w:rsidRPr="007F369D">
        <w:rPr>
          <w:rFonts w:asciiTheme="minorHAnsi" w:hAnsiTheme="minorHAnsi"/>
          <w:snapToGrid w:val="0"/>
          <w:lang w:eastAsia="en-US"/>
        </w:rPr>
        <w:t xml:space="preserve"> (i) trastuzumab plus capecitabine; and (ii) T-DM1.</w:t>
      </w:r>
      <w:r w:rsidR="00482119">
        <w:rPr>
          <w:rFonts w:asciiTheme="minorHAnsi" w:hAnsiTheme="minorHAnsi"/>
          <w:snapToGrid w:val="0"/>
          <w:lang w:eastAsia="en-US"/>
        </w:rPr>
        <w:t xml:space="preserve"> </w:t>
      </w:r>
      <w:r w:rsidR="000F5B50">
        <w:rPr>
          <w:rFonts w:asciiTheme="minorHAnsi" w:hAnsiTheme="minorHAnsi"/>
          <w:snapToGrid w:val="0"/>
          <w:lang w:eastAsia="en-US"/>
        </w:rPr>
        <w:t>However, the PBAC considered that tucatinib</w:t>
      </w:r>
      <w:r w:rsidR="000F5B50" w:rsidRPr="007668CA">
        <w:rPr>
          <w:rFonts w:asciiTheme="minorHAnsi" w:hAnsiTheme="minorHAnsi"/>
          <w:snapToGrid w:val="0"/>
          <w:lang w:eastAsia="en-US"/>
        </w:rPr>
        <w:t xml:space="preserve"> will almost exclusively </w:t>
      </w:r>
      <w:r w:rsidR="000F5B50">
        <w:rPr>
          <w:rFonts w:asciiTheme="minorHAnsi" w:hAnsiTheme="minorHAnsi"/>
          <w:snapToGrid w:val="0"/>
          <w:lang w:eastAsia="en-US"/>
        </w:rPr>
        <w:t>be added to</w:t>
      </w:r>
      <w:r w:rsidR="000F5B50" w:rsidRPr="007668CA">
        <w:rPr>
          <w:rFonts w:asciiTheme="minorHAnsi" w:hAnsiTheme="minorHAnsi"/>
          <w:snapToGrid w:val="0"/>
          <w:lang w:eastAsia="en-US"/>
        </w:rPr>
        <w:t xml:space="preserve"> </w:t>
      </w:r>
      <w:r w:rsidR="00D767BC" w:rsidRPr="007668CA">
        <w:rPr>
          <w:rFonts w:asciiTheme="minorHAnsi" w:hAnsiTheme="minorHAnsi"/>
          <w:snapToGrid w:val="0"/>
          <w:lang w:eastAsia="en-US"/>
        </w:rPr>
        <w:t xml:space="preserve">trastuzumab </w:t>
      </w:r>
      <w:r w:rsidR="00D767BC">
        <w:rPr>
          <w:rFonts w:asciiTheme="minorHAnsi" w:hAnsiTheme="minorHAnsi"/>
          <w:snapToGrid w:val="0"/>
          <w:lang w:eastAsia="en-US"/>
        </w:rPr>
        <w:t xml:space="preserve">plus </w:t>
      </w:r>
      <w:r w:rsidR="000F5B50" w:rsidRPr="007668CA">
        <w:rPr>
          <w:rFonts w:asciiTheme="minorHAnsi" w:hAnsiTheme="minorHAnsi"/>
          <w:snapToGrid w:val="0"/>
          <w:lang w:eastAsia="en-US"/>
        </w:rPr>
        <w:t xml:space="preserve">capecitabine, with </w:t>
      </w:r>
      <w:r w:rsidR="00AF1D0B">
        <w:rPr>
          <w:rFonts w:asciiTheme="minorHAnsi" w:hAnsiTheme="minorHAnsi"/>
          <w:snapToGrid w:val="0"/>
          <w:lang w:eastAsia="en-US"/>
        </w:rPr>
        <w:t>negligible</w:t>
      </w:r>
      <w:r w:rsidR="00AF1D0B" w:rsidRPr="007668CA">
        <w:rPr>
          <w:rFonts w:asciiTheme="minorHAnsi" w:hAnsiTheme="minorHAnsi"/>
          <w:snapToGrid w:val="0"/>
          <w:lang w:eastAsia="en-US"/>
        </w:rPr>
        <w:t xml:space="preserve"> </w:t>
      </w:r>
      <w:r w:rsidR="000F5B50" w:rsidRPr="007668CA">
        <w:rPr>
          <w:rFonts w:asciiTheme="minorHAnsi" w:hAnsiTheme="minorHAnsi"/>
          <w:snapToGrid w:val="0"/>
          <w:lang w:eastAsia="en-US"/>
        </w:rPr>
        <w:t xml:space="preserve">impact on T-DM1 usage. </w:t>
      </w:r>
      <w:r w:rsidR="00D52971">
        <w:rPr>
          <w:rFonts w:asciiTheme="minorHAnsi" w:hAnsiTheme="minorHAnsi"/>
          <w:snapToGrid w:val="0"/>
          <w:lang w:eastAsia="en-US"/>
        </w:rPr>
        <w:t>In particular, the Committee</w:t>
      </w:r>
      <w:r w:rsidR="00AA23AE">
        <w:rPr>
          <w:rFonts w:asciiTheme="minorHAnsi" w:hAnsiTheme="minorHAnsi"/>
          <w:snapToGrid w:val="0"/>
          <w:lang w:eastAsia="en-US"/>
        </w:rPr>
        <w:t xml:space="preserve"> considered that most patients with brain metastases would currently use </w:t>
      </w:r>
      <w:r w:rsidR="00AA23AE" w:rsidRPr="007F369D">
        <w:rPr>
          <w:rFonts w:asciiTheme="minorHAnsi" w:hAnsiTheme="minorHAnsi"/>
          <w:snapToGrid w:val="0"/>
          <w:lang w:eastAsia="en-US"/>
        </w:rPr>
        <w:t>trastuzumab plus capecitabine</w:t>
      </w:r>
      <w:r w:rsidR="000559DB">
        <w:rPr>
          <w:rFonts w:asciiTheme="minorHAnsi" w:hAnsiTheme="minorHAnsi"/>
          <w:snapToGrid w:val="0"/>
          <w:lang w:eastAsia="en-US"/>
        </w:rPr>
        <w:t xml:space="preserve">, and clinicians would likely add tucatinib onto this combination. </w:t>
      </w:r>
      <w:r w:rsidR="00D52971">
        <w:rPr>
          <w:rFonts w:asciiTheme="minorHAnsi" w:hAnsiTheme="minorHAnsi"/>
          <w:snapToGrid w:val="0"/>
          <w:lang w:eastAsia="en-US"/>
        </w:rPr>
        <w:t>T</w:t>
      </w:r>
      <w:r w:rsidR="00567891">
        <w:rPr>
          <w:rFonts w:asciiTheme="minorHAnsi" w:hAnsiTheme="minorHAnsi"/>
          <w:snapToGrid w:val="0"/>
          <w:lang w:eastAsia="en-US"/>
        </w:rPr>
        <w:t>he</w:t>
      </w:r>
      <w:r w:rsidR="00482119">
        <w:rPr>
          <w:rFonts w:asciiTheme="minorHAnsi" w:hAnsiTheme="minorHAnsi"/>
          <w:snapToGrid w:val="0"/>
          <w:lang w:eastAsia="en-US"/>
        </w:rPr>
        <w:t xml:space="preserve"> PBAC </w:t>
      </w:r>
      <w:r w:rsidR="00482119" w:rsidRPr="00ED4285">
        <w:rPr>
          <w:rFonts w:asciiTheme="minorHAnsi" w:hAnsiTheme="minorHAnsi"/>
          <w:snapToGrid w:val="0"/>
          <w:lang w:eastAsia="en-US"/>
        </w:rPr>
        <w:t xml:space="preserve">considered that there was </w:t>
      </w:r>
      <w:r w:rsidRPr="007668CA">
        <w:rPr>
          <w:rFonts w:asciiTheme="minorHAnsi" w:hAnsiTheme="minorHAnsi"/>
          <w:snapToGrid w:val="0"/>
          <w:lang w:eastAsia="en-US"/>
        </w:rPr>
        <w:t xml:space="preserve">no clinical rationale for replacing T-DM1 with tucatinib </w:t>
      </w:r>
      <w:r w:rsidR="00380B4C" w:rsidRPr="00ED4285">
        <w:rPr>
          <w:rFonts w:asciiTheme="minorHAnsi" w:hAnsiTheme="minorHAnsi"/>
          <w:snapToGrid w:val="0"/>
          <w:lang w:eastAsia="en-US"/>
        </w:rPr>
        <w:t>(</w:t>
      </w:r>
      <w:r w:rsidRPr="007668CA">
        <w:rPr>
          <w:rFonts w:asciiTheme="minorHAnsi" w:hAnsiTheme="minorHAnsi"/>
          <w:snapToGrid w:val="0"/>
          <w:lang w:eastAsia="en-US"/>
        </w:rPr>
        <w:t>plus capecitabine</w:t>
      </w:r>
      <w:r w:rsidR="004555CA" w:rsidRPr="00ED4285">
        <w:rPr>
          <w:rFonts w:asciiTheme="minorHAnsi" w:hAnsiTheme="minorHAnsi"/>
          <w:snapToGrid w:val="0"/>
          <w:lang w:eastAsia="en-US"/>
        </w:rPr>
        <w:t xml:space="preserve"> </w:t>
      </w:r>
      <w:r w:rsidR="00380B4C" w:rsidRPr="00ED4285">
        <w:rPr>
          <w:rFonts w:asciiTheme="minorHAnsi" w:hAnsiTheme="minorHAnsi"/>
          <w:snapToGrid w:val="0"/>
          <w:lang w:eastAsia="en-US"/>
        </w:rPr>
        <w:t>and</w:t>
      </w:r>
      <w:r w:rsidR="004555CA" w:rsidRPr="00ED4285">
        <w:rPr>
          <w:rFonts w:asciiTheme="minorHAnsi" w:hAnsiTheme="minorHAnsi"/>
          <w:snapToGrid w:val="0"/>
          <w:lang w:eastAsia="en-US"/>
        </w:rPr>
        <w:t xml:space="preserve"> </w:t>
      </w:r>
      <w:r w:rsidRPr="007668CA">
        <w:rPr>
          <w:rFonts w:asciiTheme="minorHAnsi" w:hAnsiTheme="minorHAnsi"/>
          <w:snapToGrid w:val="0"/>
          <w:lang w:eastAsia="en-US"/>
        </w:rPr>
        <w:t>trastuzumab</w:t>
      </w:r>
      <w:r w:rsidR="00380B4C" w:rsidRPr="00ED4285">
        <w:rPr>
          <w:rFonts w:asciiTheme="minorHAnsi" w:hAnsiTheme="minorHAnsi"/>
          <w:snapToGrid w:val="0"/>
          <w:lang w:eastAsia="en-US"/>
        </w:rPr>
        <w:t>)</w:t>
      </w:r>
      <w:r w:rsidR="00A8794D">
        <w:rPr>
          <w:rFonts w:asciiTheme="minorHAnsi" w:hAnsiTheme="minorHAnsi"/>
          <w:snapToGrid w:val="0"/>
          <w:lang w:eastAsia="en-US"/>
        </w:rPr>
        <w:t xml:space="preserve"> as tucatinib</w:t>
      </w:r>
      <w:r w:rsidR="00BE604A">
        <w:rPr>
          <w:rFonts w:asciiTheme="minorHAnsi" w:hAnsiTheme="minorHAnsi"/>
          <w:snapToGrid w:val="0"/>
          <w:lang w:eastAsia="en-US"/>
        </w:rPr>
        <w:t xml:space="preserve"> (plus </w:t>
      </w:r>
      <w:r w:rsidR="00A8794D">
        <w:rPr>
          <w:rFonts w:asciiTheme="minorHAnsi" w:hAnsiTheme="minorHAnsi"/>
          <w:snapToGrid w:val="0"/>
          <w:lang w:eastAsia="en-US"/>
        </w:rPr>
        <w:t>capecitabine</w:t>
      </w:r>
      <w:r w:rsidR="00BE604A">
        <w:rPr>
          <w:rFonts w:asciiTheme="minorHAnsi" w:hAnsiTheme="minorHAnsi"/>
          <w:snapToGrid w:val="0"/>
          <w:lang w:eastAsia="en-US"/>
        </w:rPr>
        <w:t xml:space="preserve"> and </w:t>
      </w:r>
      <w:r w:rsidR="00A8794D">
        <w:rPr>
          <w:rFonts w:asciiTheme="minorHAnsi" w:hAnsiTheme="minorHAnsi"/>
          <w:snapToGrid w:val="0"/>
          <w:lang w:eastAsia="en-US"/>
        </w:rPr>
        <w:t>trastuzumab</w:t>
      </w:r>
      <w:r w:rsidR="00BE604A">
        <w:rPr>
          <w:rFonts w:asciiTheme="minorHAnsi" w:hAnsiTheme="minorHAnsi"/>
          <w:snapToGrid w:val="0"/>
          <w:lang w:eastAsia="en-US"/>
        </w:rPr>
        <w:t>)</w:t>
      </w:r>
      <w:r w:rsidR="00A8794D">
        <w:rPr>
          <w:rFonts w:asciiTheme="minorHAnsi" w:hAnsiTheme="minorHAnsi"/>
          <w:snapToGrid w:val="0"/>
          <w:lang w:eastAsia="en-US"/>
        </w:rPr>
        <w:t xml:space="preserve"> does not provide an efficacy or </w:t>
      </w:r>
      <w:r w:rsidR="009F67D2">
        <w:rPr>
          <w:rFonts w:asciiTheme="minorHAnsi" w:hAnsiTheme="minorHAnsi"/>
          <w:snapToGrid w:val="0"/>
          <w:lang w:eastAsia="en-US"/>
        </w:rPr>
        <w:t>safe</w:t>
      </w:r>
      <w:r w:rsidR="00A8794D">
        <w:rPr>
          <w:rFonts w:asciiTheme="minorHAnsi" w:hAnsiTheme="minorHAnsi"/>
          <w:snapToGrid w:val="0"/>
          <w:lang w:eastAsia="en-US"/>
        </w:rPr>
        <w:t>ty advantage over T-DM1</w:t>
      </w:r>
      <w:r w:rsidRPr="007668CA">
        <w:rPr>
          <w:rFonts w:asciiTheme="minorHAnsi" w:hAnsiTheme="minorHAnsi"/>
          <w:snapToGrid w:val="0"/>
          <w:lang w:eastAsia="en-US"/>
        </w:rPr>
        <w:t xml:space="preserve">. </w:t>
      </w:r>
      <w:r w:rsidR="00B02A44" w:rsidRPr="00ED4285">
        <w:rPr>
          <w:rFonts w:asciiTheme="minorHAnsi" w:hAnsiTheme="minorHAnsi"/>
          <w:snapToGrid w:val="0"/>
          <w:lang w:eastAsia="en-US"/>
        </w:rPr>
        <w:t xml:space="preserve">As such, the PBAC considered that a single comparator of trastuzumab plus capecitabine </w:t>
      </w:r>
      <w:r w:rsidR="00E20430" w:rsidRPr="00ED4285">
        <w:rPr>
          <w:rFonts w:asciiTheme="minorHAnsi" w:hAnsiTheme="minorHAnsi"/>
          <w:snapToGrid w:val="0"/>
          <w:lang w:eastAsia="en-US"/>
        </w:rPr>
        <w:t>was</w:t>
      </w:r>
      <w:r w:rsidR="00B02A44" w:rsidRPr="00ED4285">
        <w:rPr>
          <w:rFonts w:asciiTheme="minorHAnsi" w:hAnsiTheme="minorHAnsi"/>
          <w:snapToGrid w:val="0"/>
          <w:lang w:eastAsia="en-US"/>
        </w:rPr>
        <w:t xml:space="preserve"> appropriate.</w:t>
      </w:r>
    </w:p>
    <w:p w14:paraId="5ECBC86E" w14:textId="2FE9C379" w:rsidR="00466FCA" w:rsidRPr="00ED4285" w:rsidRDefault="007668CA" w:rsidP="007668CA">
      <w:pPr>
        <w:widowControl w:val="0"/>
        <w:numPr>
          <w:ilvl w:val="1"/>
          <w:numId w:val="4"/>
        </w:numPr>
        <w:spacing w:after="120"/>
        <w:rPr>
          <w:rFonts w:asciiTheme="minorHAnsi" w:hAnsiTheme="minorHAnsi"/>
          <w:snapToGrid w:val="0"/>
          <w:lang w:eastAsia="en-US"/>
        </w:rPr>
      </w:pPr>
      <w:r w:rsidRPr="007668CA">
        <w:rPr>
          <w:rFonts w:asciiTheme="minorHAnsi" w:hAnsiTheme="minorHAnsi"/>
          <w:snapToGrid w:val="0"/>
          <w:lang w:eastAsia="en-US"/>
        </w:rPr>
        <w:t xml:space="preserve">The PBAC accepted the claim </w:t>
      </w:r>
      <w:r w:rsidR="00264ADE" w:rsidRPr="00ED4285">
        <w:rPr>
          <w:rFonts w:asciiTheme="minorHAnsi" w:hAnsiTheme="minorHAnsi"/>
          <w:snapToGrid w:val="0"/>
          <w:lang w:eastAsia="en-US"/>
        </w:rPr>
        <w:t xml:space="preserve">that </w:t>
      </w:r>
      <w:r w:rsidR="00264ADE" w:rsidRPr="007668CA">
        <w:rPr>
          <w:rFonts w:asciiTheme="minorHAnsi" w:hAnsiTheme="minorHAnsi"/>
          <w:snapToGrid w:val="0"/>
          <w:lang w:eastAsia="en-US"/>
        </w:rPr>
        <w:t xml:space="preserve">tucatinib </w:t>
      </w:r>
      <w:r w:rsidR="00D249DD" w:rsidRPr="00ED4285">
        <w:rPr>
          <w:rFonts w:asciiTheme="minorHAnsi" w:hAnsiTheme="minorHAnsi"/>
          <w:snapToGrid w:val="0"/>
          <w:lang w:eastAsia="en-US"/>
        </w:rPr>
        <w:t>(</w:t>
      </w:r>
      <w:r w:rsidR="00264ADE" w:rsidRPr="007668CA">
        <w:rPr>
          <w:rFonts w:asciiTheme="minorHAnsi" w:hAnsiTheme="minorHAnsi"/>
          <w:snapToGrid w:val="0"/>
          <w:lang w:eastAsia="en-US"/>
        </w:rPr>
        <w:t>plus capecitabine</w:t>
      </w:r>
      <w:r w:rsidR="0049204A" w:rsidRPr="00ED4285">
        <w:rPr>
          <w:rFonts w:asciiTheme="minorHAnsi" w:hAnsiTheme="minorHAnsi"/>
          <w:snapToGrid w:val="0"/>
          <w:lang w:eastAsia="en-US"/>
        </w:rPr>
        <w:t xml:space="preserve"> </w:t>
      </w:r>
      <w:r w:rsidR="00D249DD" w:rsidRPr="00ED4285">
        <w:rPr>
          <w:rFonts w:asciiTheme="minorHAnsi" w:hAnsiTheme="minorHAnsi"/>
          <w:snapToGrid w:val="0"/>
          <w:lang w:eastAsia="en-US"/>
        </w:rPr>
        <w:t>and</w:t>
      </w:r>
      <w:r w:rsidR="0049204A" w:rsidRPr="00ED4285">
        <w:rPr>
          <w:rFonts w:asciiTheme="minorHAnsi" w:hAnsiTheme="minorHAnsi"/>
          <w:snapToGrid w:val="0"/>
          <w:lang w:eastAsia="en-US"/>
        </w:rPr>
        <w:t xml:space="preserve"> </w:t>
      </w:r>
      <w:r w:rsidR="00264ADE" w:rsidRPr="007668CA">
        <w:rPr>
          <w:rFonts w:asciiTheme="minorHAnsi" w:hAnsiTheme="minorHAnsi"/>
          <w:snapToGrid w:val="0"/>
          <w:lang w:eastAsia="en-US"/>
        </w:rPr>
        <w:t>trastuzumab</w:t>
      </w:r>
      <w:r w:rsidR="00D249DD" w:rsidRPr="00ED4285">
        <w:rPr>
          <w:rFonts w:asciiTheme="minorHAnsi" w:hAnsiTheme="minorHAnsi"/>
          <w:snapToGrid w:val="0"/>
          <w:lang w:eastAsia="en-US"/>
        </w:rPr>
        <w:t>)</w:t>
      </w:r>
      <w:r w:rsidR="00264ADE" w:rsidRPr="007668CA">
        <w:rPr>
          <w:rFonts w:asciiTheme="minorHAnsi" w:hAnsiTheme="minorHAnsi"/>
          <w:snapToGrid w:val="0"/>
          <w:lang w:eastAsia="en-US"/>
        </w:rPr>
        <w:t xml:space="preserve"> </w:t>
      </w:r>
      <w:r w:rsidR="00264ADE" w:rsidRPr="00ED4285">
        <w:rPr>
          <w:rFonts w:asciiTheme="minorHAnsi" w:hAnsiTheme="minorHAnsi"/>
          <w:snapToGrid w:val="0"/>
          <w:lang w:eastAsia="en-US"/>
        </w:rPr>
        <w:t xml:space="preserve">has </w:t>
      </w:r>
      <w:r w:rsidRPr="007668CA">
        <w:rPr>
          <w:rFonts w:asciiTheme="minorHAnsi" w:hAnsiTheme="minorHAnsi"/>
          <w:snapToGrid w:val="0"/>
          <w:lang w:eastAsia="en-US"/>
        </w:rPr>
        <w:t>superior comparative effectiveness versus capecitabine</w:t>
      </w:r>
      <w:r w:rsidR="0049204A" w:rsidRPr="00ED4285">
        <w:rPr>
          <w:rFonts w:asciiTheme="minorHAnsi" w:hAnsiTheme="minorHAnsi"/>
          <w:snapToGrid w:val="0"/>
          <w:lang w:eastAsia="en-US"/>
        </w:rPr>
        <w:t xml:space="preserve"> plus </w:t>
      </w:r>
      <w:r w:rsidRPr="007668CA">
        <w:rPr>
          <w:rFonts w:asciiTheme="minorHAnsi" w:hAnsiTheme="minorHAnsi"/>
          <w:snapToGrid w:val="0"/>
          <w:lang w:eastAsia="en-US"/>
        </w:rPr>
        <w:t xml:space="preserve">trastuzumab alone, </w:t>
      </w:r>
      <w:r w:rsidR="006A524D" w:rsidRPr="00ED4285">
        <w:rPr>
          <w:rFonts w:asciiTheme="minorHAnsi" w:hAnsiTheme="minorHAnsi"/>
          <w:snapToGrid w:val="0"/>
          <w:lang w:eastAsia="en-US"/>
        </w:rPr>
        <w:t xml:space="preserve">based on </w:t>
      </w:r>
      <w:r w:rsidR="00157653" w:rsidRPr="00ED4285">
        <w:rPr>
          <w:rFonts w:asciiTheme="minorHAnsi" w:hAnsiTheme="minorHAnsi"/>
          <w:snapToGrid w:val="0"/>
          <w:lang w:eastAsia="en-US"/>
        </w:rPr>
        <w:t>the HER2CLIMB trial.</w:t>
      </w:r>
      <w:r w:rsidR="00E75AEB" w:rsidRPr="00ED4285">
        <w:t xml:space="preserve"> </w:t>
      </w:r>
      <w:r w:rsidR="000D027A" w:rsidRPr="00ED4285">
        <w:t xml:space="preserve">The PBAC noted that </w:t>
      </w:r>
      <w:r w:rsidR="00993637" w:rsidRPr="00ED4285">
        <w:t xml:space="preserve">the final analysis of </w:t>
      </w:r>
      <w:r w:rsidR="000D027A" w:rsidRPr="00ED4285">
        <w:t xml:space="preserve">HER2CLIMB reported a </w:t>
      </w:r>
      <w:r w:rsidR="00ED6A9C" w:rsidRPr="00ED4285">
        <w:t xml:space="preserve">PFS </w:t>
      </w:r>
      <w:r w:rsidR="0083654C">
        <w:t xml:space="preserve">HR </w:t>
      </w:r>
      <w:r w:rsidR="00136990" w:rsidRPr="00ED4285">
        <w:t>of 0.57 (</w:t>
      </w:r>
      <w:r w:rsidR="00C94921" w:rsidRPr="00ED4285">
        <w:t xml:space="preserve">95% CI: </w:t>
      </w:r>
      <w:r w:rsidR="00136990" w:rsidRPr="00ED4285">
        <w:t>0.47</w:t>
      </w:r>
      <w:r w:rsidR="00AD7FFA" w:rsidRPr="00ED4285">
        <w:t>,</w:t>
      </w:r>
      <w:r w:rsidR="00ED6A9C" w:rsidRPr="00ED4285">
        <w:t xml:space="preserve"> </w:t>
      </w:r>
      <w:r w:rsidR="00136990" w:rsidRPr="00ED4285">
        <w:t xml:space="preserve">0.70), and </w:t>
      </w:r>
      <w:r w:rsidR="007F7695" w:rsidRPr="00ED4285">
        <w:t>a</w:t>
      </w:r>
      <w:r w:rsidR="0083654C">
        <w:t>n</w:t>
      </w:r>
      <w:r w:rsidR="007F7695" w:rsidRPr="00ED4285">
        <w:t xml:space="preserve"> OS</w:t>
      </w:r>
      <w:r w:rsidR="00136990" w:rsidRPr="00ED4285">
        <w:t xml:space="preserve"> </w:t>
      </w:r>
      <w:r w:rsidR="0083654C">
        <w:t xml:space="preserve">HR </w:t>
      </w:r>
      <w:r w:rsidR="00136990" w:rsidRPr="00ED4285">
        <w:t>of 0.73</w:t>
      </w:r>
      <w:r w:rsidR="004167EA">
        <w:t> </w:t>
      </w:r>
      <w:r w:rsidR="00136990" w:rsidRPr="00ED4285">
        <w:t>(</w:t>
      </w:r>
      <w:r w:rsidR="00C94921" w:rsidRPr="00ED4285">
        <w:t>95%</w:t>
      </w:r>
      <w:r w:rsidR="004167EA">
        <w:t> </w:t>
      </w:r>
      <w:r w:rsidR="00C94921" w:rsidRPr="00ED4285">
        <w:t>CI:</w:t>
      </w:r>
      <w:r w:rsidR="004167EA">
        <w:t> </w:t>
      </w:r>
      <w:r w:rsidR="00136990" w:rsidRPr="00ED4285">
        <w:t>0.59</w:t>
      </w:r>
      <w:r w:rsidR="00AD7FFA" w:rsidRPr="00ED4285">
        <w:t>,</w:t>
      </w:r>
      <w:r w:rsidR="004167EA">
        <w:t> </w:t>
      </w:r>
      <w:r w:rsidR="00136990" w:rsidRPr="00ED4285">
        <w:t>0.90)</w:t>
      </w:r>
      <w:r w:rsidR="003F1650" w:rsidRPr="00ED4285">
        <w:t xml:space="preserve"> in the ITT population</w:t>
      </w:r>
      <w:r w:rsidR="00F213E3" w:rsidRPr="00ED4285">
        <w:t xml:space="preserve">, which was consistent with the results previously seen by the PBAC </w:t>
      </w:r>
      <w:r w:rsidR="007F7695" w:rsidRPr="00ED4285">
        <w:t>for</w:t>
      </w:r>
      <w:r w:rsidR="00F213E3" w:rsidRPr="00ED4285">
        <w:t xml:space="preserve"> the primary analysis</w:t>
      </w:r>
      <w:r w:rsidR="003F1650" w:rsidRPr="00ED4285">
        <w:t>.</w:t>
      </w:r>
      <w:r w:rsidR="0025028F" w:rsidRPr="00ED4285">
        <w:t xml:space="preserve"> </w:t>
      </w:r>
      <w:r w:rsidR="003F1650" w:rsidRPr="00ED4285">
        <w:t xml:space="preserve">For the subgroup of patients with brain metastases, the resubmission presented updated data from an exploratory analysis of central nervous system PFS </w:t>
      </w:r>
      <w:r w:rsidR="004C4B86" w:rsidRPr="00ED4285">
        <w:t>(HR</w:t>
      </w:r>
      <w:r w:rsidR="00010EF2" w:rsidRPr="00ED4285">
        <w:t>:</w:t>
      </w:r>
      <w:r w:rsidR="004C4B86" w:rsidRPr="00ED4285">
        <w:t xml:space="preserve"> </w:t>
      </w:r>
      <w:r w:rsidR="003F1650" w:rsidRPr="00ED4285">
        <w:t>0.39</w:t>
      </w:r>
      <w:r w:rsidR="00210A94" w:rsidRPr="00ED4285">
        <w:t xml:space="preserve">; </w:t>
      </w:r>
      <w:r w:rsidR="003F1650" w:rsidRPr="00ED4285">
        <w:t>95% CI</w:t>
      </w:r>
      <w:r w:rsidR="001911C3" w:rsidRPr="00ED4285">
        <w:t>:</w:t>
      </w:r>
      <w:r w:rsidR="003F1650" w:rsidRPr="00ED4285">
        <w:t xml:space="preserve"> 0.27, 0.56)</w:t>
      </w:r>
      <w:r w:rsidR="002F555E" w:rsidRPr="00ED4285">
        <w:t xml:space="preserve"> and</w:t>
      </w:r>
      <w:r w:rsidR="003F1650" w:rsidRPr="00ED4285">
        <w:t xml:space="preserve"> OS</w:t>
      </w:r>
      <w:r w:rsidR="004167EA">
        <w:t> </w:t>
      </w:r>
      <w:r w:rsidR="00010EF2" w:rsidRPr="00ED4285">
        <w:t>(</w:t>
      </w:r>
      <w:r w:rsidR="004C4B86" w:rsidRPr="00ED4285">
        <w:t>HR</w:t>
      </w:r>
      <w:r w:rsidR="00010EF2" w:rsidRPr="00ED4285">
        <w:t>:</w:t>
      </w:r>
      <w:r w:rsidR="004167EA">
        <w:t> </w:t>
      </w:r>
      <w:r w:rsidR="003F1650" w:rsidRPr="00ED4285">
        <w:t>0.60</w:t>
      </w:r>
      <w:r w:rsidR="00210A94" w:rsidRPr="00ED4285">
        <w:t>;</w:t>
      </w:r>
      <w:r w:rsidR="004167EA">
        <w:t> </w:t>
      </w:r>
      <w:r w:rsidR="002F555E" w:rsidRPr="00ED4285">
        <w:t>9</w:t>
      </w:r>
      <w:r w:rsidR="003F1650" w:rsidRPr="00ED4285">
        <w:t>5% CI</w:t>
      </w:r>
      <w:r w:rsidR="001911C3" w:rsidRPr="00ED4285">
        <w:t>:</w:t>
      </w:r>
      <w:r w:rsidR="003F1650" w:rsidRPr="00ED4285">
        <w:t xml:space="preserve"> 0.14, 0.81)</w:t>
      </w:r>
      <w:r w:rsidR="00C85570" w:rsidRPr="00ED4285">
        <w:rPr>
          <w:rFonts w:asciiTheme="minorHAnsi" w:hAnsiTheme="minorHAnsi"/>
          <w:snapToGrid w:val="0"/>
          <w:lang w:eastAsia="en-US"/>
        </w:rPr>
        <w:t xml:space="preserve">. </w:t>
      </w:r>
      <w:r w:rsidR="004C4B86" w:rsidRPr="00ED4285">
        <w:rPr>
          <w:rFonts w:asciiTheme="minorHAnsi" w:hAnsiTheme="minorHAnsi"/>
          <w:snapToGrid w:val="0"/>
          <w:lang w:eastAsia="en-US"/>
        </w:rPr>
        <w:t xml:space="preserve"> </w:t>
      </w:r>
    </w:p>
    <w:p w14:paraId="341C55EE" w14:textId="1CB2B456" w:rsidR="00577A09" w:rsidRDefault="00466FCA" w:rsidP="007668CA">
      <w:pPr>
        <w:widowControl w:val="0"/>
        <w:numPr>
          <w:ilvl w:val="1"/>
          <w:numId w:val="4"/>
        </w:numPr>
        <w:spacing w:after="120"/>
        <w:rPr>
          <w:rFonts w:asciiTheme="minorHAnsi" w:hAnsiTheme="minorHAnsi"/>
          <w:snapToGrid w:val="0"/>
          <w:lang w:eastAsia="en-US"/>
        </w:rPr>
      </w:pPr>
      <w:r>
        <w:t>T</w:t>
      </w:r>
      <w:r w:rsidR="00E75AEB" w:rsidRPr="00E75AEB">
        <w:rPr>
          <w:rFonts w:asciiTheme="minorHAnsi" w:hAnsiTheme="minorHAnsi"/>
          <w:snapToGrid w:val="0"/>
          <w:lang w:eastAsia="en-US"/>
        </w:rPr>
        <w:t xml:space="preserve">he </w:t>
      </w:r>
      <w:r w:rsidR="00E75AEB">
        <w:rPr>
          <w:rFonts w:asciiTheme="minorHAnsi" w:hAnsiTheme="minorHAnsi"/>
          <w:snapToGrid w:val="0"/>
          <w:lang w:eastAsia="en-US"/>
        </w:rPr>
        <w:t>PBAC</w:t>
      </w:r>
      <w:r w:rsidR="00E75AEB" w:rsidRPr="00E75AEB">
        <w:rPr>
          <w:rFonts w:asciiTheme="minorHAnsi" w:hAnsiTheme="minorHAnsi"/>
          <w:snapToGrid w:val="0"/>
          <w:lang w:eastAsia="en-US"/>
        </w:rPr>
        <w:t xml:space="preserve"> considered</w:t>
      </w:r>
      <w:r>
        <w:rPr>
          <w:rFonts w:asciiTheme="minorHAnsi" w:hAnsiTheme="minorHAnsi"/>
          <w:snapToGrid w:val="0"/>
          <w:lang w:eastAsia="en-US"/>
        </w:rPr>
        <w:t xml:space="preserve"> that the recent addition of T-</w:t>
      </w:r>
      <w:proofErr w:type="spellStart"/>
      <w:r>
        <w:rPr>
          <w:rFonts w:asciiTheme="minorHAnsi" w:hAnsiTheme="minorHAnsi"/>
          <w:snapToGrid w:val="0"/>
          <w:lang w:eastAsia="en-US"/>
        </w:rPr>
        <w:t>DXd</w:t>
      </w:r>
      <w:proofErr w:type="spellEnd"/>
      <w:r>
        <w:rPr>
          <w:rFonts w:asciiTheme="minorHAnsi" w:hAnsiTheme="minorHAnsi"/>
          <w:snapToGrid w:val="0"/>
          <w:lang w:eastAsia="en-US"/>
        </w:rPr>
        <w:t xml:space="preserve"> to the treatment algorithm introduced</w:t>
      </w:r>
      <w:r w:rsidR="00E75AEB" w:rsidRPr="00E75AEB">
        <w:rPr>
          <w:rFonts w:asciiTheme="minorHAnsi" w:hAnsiTheme="minorHAnsi"/>
          <w:snapToGrid w:val="0"/>
          <w:lang w:eastAsia="en-US"/>
        </w:rPr>
        <w:t xml:space="preserve"> applicability issues </w:t>
      </w:r>
      <w:r w:rsidR="00791B76">
        <w:rPr>
          <w:rFonts w:asciiTheme="minorHAnsi" w:hAnsiTheme="minorHAnsi"/>
          <w:snapToGrid w:val="0"/>
          <w:lang w:eastAsia="en-US"/>
        </w:rPr>
        <w:t xml:space="preserve">as </w:t>
      </w:r>
      <w:r w:rsidR="00E75AEB" w:rsidRPr="00E75AEB">
        <w:rPr>
          <w:rFonts w:asciiTheme="minorHAnsi" w:hAnsiTheme="minorHAnsi"/>
          <w:snapToGrid w:val="0"/>
          <w:lang w:eastAsia="en-US"/>
        </w:rPr>
        <w:t xml:space="preserve">patients in </w:t>
      </w:r>
      <w:r w:rsidR="005C77DD" w:rsidRPr="00E75AEB">
        <w:rPr>
          <w:rFonts w:asciiTheme="minorHAnsi" w:hAnsiTheme="minorHAnsi"/>
          <w:snapToGrid w:val="0"/>
          <w:lang w:eastAsia="en-US"/>
        </w:rPr>
        <w:t>HER2CLIMB</w:t>
      </w:r>
      <w:r>
        <w:rPr>
          <w:rFonts w:asciiTheme="minorHAnsi" w:hAnsiTheme="minorHAnsi"/>
          <w:snapToGrid w:val="0"/>
          <w:lang w:eastAsia="en-US"/>
        </w:rPr>
        <w:t>:</w:t>
      </w:r>
      <w:r w:rsidR="00E75AEB" w:rsidRPr="00E75AEB">
        <w:rPr>
          <w:rFonts w:asciiTheme="minorHAnsi" w:hAnsiTheme="minorHAnsi"/>
          <w:snapToGrid w:val="0"/>
          <w:lang w:eastAsia="en-US"/>
        </w:rPr>
        <w:t xml:space="preserve"> were required to have received prior T-DM1 (though this was no longer required in the resubmission’s proposed restriction); and did not receive prior T-</w:t>
      </w:r>
      <w:proofErr w:type="spellStart"/>
      <w:r w:rsidR="00E75AEB" w:rsidRPr="00E75AEB">
        <w:rPr>
          <w:rFonts w:asciiTheme="minorHAnsi" w:hAnsiTheme="minorHAnsi"/>
          <w:snapToGrid w:val="0"/>
          <w:lang w:eastAsia="en-US"/>
        </w:rPr>
        <w:t>DXd</w:t>
      </w:r>
      <w:proofErr w:type="spellEnd"/>
      <w:r w:rsidR="00D8731A">
        <w:rPr>
          <w:rFonts w:asciiTheme="minorHAnsi" w:hAnsiTheme="minorHAnsi"/>
          <w:snapToGrid w:val="0"/>
          <w:lang w:eastAsia="en-US"/>
        </w:rPr>
        <w:t xml:space="preserve"> (though </w:t>
      </w:r>
      <w:r w:rsidR="004046C6">
        <w:rPr>
          <w:rFonts w:asciiTheme="minorHAnsi" w:hAnsiTheme="minorHAnsi"/>
          <w:snapToGrid w:val="0"/>
          <w:lang w:eastAsia="en-US"/>
        </w:rPr>
        <w:t>patients</w:t>
      </w:r>
      <w:r w:rsidR="00D8731A">
        <w:rPr>
          <w:rFonts w:asciiTheme="minorHAnsi" w:hAnsiTheme="minorHAnsi"/>
          <w:snapToGrid w:val="0"/>
          <w:lang w:eastAsia="en-US"/>
        </w:rPr>
        <w:t xml:space="preserve"> in clinical practice </w:t>
      </w:r>
      <w:r w:rsidR="00E21A08">
        <w:rPr>
          <w:rFonts w:asciiTheme="minorHAnsi" w:hAnsiTheme="minorHAnsi"/>
          <w:snapToGrid w:val="0"/>
          <w:lang w:eastAsia="en-US"/>
        </w:rPr>
        <w:t xml:space="preserve">are likely to </w:t>
      </w:r>
      <w:r w:rsidR="00A23B1D">
        <w:rPr>
          <w:rFonts w:asciiTheme="minorHAnsi" w:hAnsiTheme="minorHAnsi"/>
          <w:snapToGrid w:val="0"/>
          <w:lang w:eastAsia="en-US"/>
        </w:rPr>
        <w:t xml:space="preserve">have </w:t>
      </w:r>
      <w:r w:rsidR="00D8731A">
        <w:rPr>
          <w:rFonts w:asciiTheme="minorHAnsi" w:hAnsiTheme="minorHAnsi"/>
          <w:snapToGrid w:val="0"/>
          <w:lang w:eastAsia="en-US"/>
        </w:rPr>
        <w:t>receive</w:t>
      </w:r>
      <w:r w:rsidR="00A23B1D">
        <w:rPr>
          <w:rFonts w:asciiTheme="minorHAnsi" w:hAnsiTheme="minorHAnsi"/>
          <w:snapToGrid w:val="0"/>
          <w:lang w:eastAsia="en-US"/>
        </w:rPr>
        <w:t>d prior</w:t>
      </w:r>
      <w:r w:rsidR="00E21A08">
        <w:rPr>
          <w:rFonts w:asciiTheme="minorHAnsi" w:hAnsiTheme="minorHAnsi"/>
          <w:snapToGrid w:val="0"/>
          <w:lang w:eastAsia="en-US"/>
        </w:rPr>
        <w:t xml:space="preserve"> T-</w:t>
      </w:r>
      <w:proofErr w:type="spellStart"/>
      <w:r w:rsidR="00E21A08">
        <w:rPr>
          <w:rFonts w:asciiTheme="minorHAnsi" w:hAnsiTheme="minorHAnsi"/>
          <w:snapToGrid w:val="0"/>
          <w:lang w:eastAsia="en-US"/>
        </w:rPr>
        <w:t>DXd</w:t>
      </w:r>
      <w:proofErr w:type="spellEnd"/>
      <w:r w:rsidR="00E21A08">
        <w:rPr>
          <w:rFonts w:asciiTheme="minorHAnsi" w:hAnsiTheme="minorHAnsi"/>
          <w:snapToGrid w:val="0"/>
          <w:lang w:eastAsia="en-US"/>
        </w:rPr>
        <w:t>)</w:t>
      </w:r>
      <w:r w:rsidR="00E75AEB" w:rsidRPr="00E75AEB">
        <w:rPr>
          <w:rFonts w:asciiTheme="minorHAnsi" w:hAnsiTheme="minorHAnsi"/>
          <w:snapToGrid w:val="0"/>
          <w:lang w:eastAsia="en-US"/>
        </w:rPr>
        <w:t>.</w:t>
      </w:r>
      <w:r w:rsidR="007B0579">
        <w:rPr>
          <w:rFonts w:asciiTheme="minorHAnsi" w:hAnsiTheme="minorHAnsi"/>
          <w:snapToGrid w:val="0"/>
          <w:lang w:eastAsia="en-US"/>
        </w:rPr>
        <w:t xml:space="preserve"> Notwithstanding this issue, the </w:t>
      </w:r>
      <w:r w:rsidR="007B0579" w:rsidRPr="007B0579">
        <w:rPr>
          <w:rFonts w:asciiTheme="minorHAnsi" w:hAnsiTheme="minorHAnsi"/>
          <w:snapToGrid w:val="0"/>
          <w:lang w:eastAsia="en-US"/>
        </w:rPr>
        <w:t xml:space="preserve">PBAC </w:t>
      </w:r>
      <w:r w:rsidR="007B0579" w:rsidRPr="007B0579">
        <w:rPr>
          <w:rFonts w:asciiTheme="minorHAnsi" w:hAnsiTheme="minorHAnsi"/>
          <w:snapToGrid w:val="0"/>
          <w:lang w:eastAsia="en-US"/>
        </w:rPr>
        <w:lastRenderedPageBreak/>
        <w:t>considered th</w:t>
      </w:r>
      <w:r w:rsidR="007B0579">
        <w:rPr>
          <w:rFonts w:asciiTheme="minorHAnsi" w:hAnsiTheme="minorHAnsi"/>
          <w:snapToGrid w:val="0"/>
          <w:lang w:eastAsia="en-US"/>
        </w:rPr>
        <w:t>e results of the HER2CLIMB trial</w:t>
      </w:r>
      <w:r w:rsidR="00374913">
        <w:rPr>
          <w:rFonts w:asciiTheme="minorHAnsi" w:hAnsiTheme="minorHAnsi"/>
          <w:snapToGrid w:val="0"/>
          <w:lang w:eastAsia="en-US"/>
        </w:rPr>
        <w:t xml:space="preserve"> demonstrated </w:t>
      </w:r>
      <w:r w:rsidR="007B0579" w:rsidRPr="007B0579">
        <w:rPr>
          <w:rFonts w:asciiTheme="minorHAnsi" w:hAnsiTheme="minorHAnsi"/>
          <w:snapToGrid w:val="0"/>
          <w:lang w:eastAsia="en-US"/>
        </w:rPr>
        <w:t>a clinically meaningful survival benefit, and a clear benefit in patients with brain metastases.</w:t>
      </w:r>
      <w:r w:rsidR="00E75AEB" w:rsidRPr="00E75AEB">
        <w:rPr>
          <w:rFonts w:asciiTheme="minorHAnsi" w:hAnsiTheme="minorHAnsi"/>
          <w:snapToGrid w:val="0"/>
          <w:lang w:eastAsia="en-US"/>
        </w:rPr>
        <w:t xml:space="preserve">  </w:t>
      </w:r>
    </w:p>
    <w:p w14:paraId="4ECC6515" w14:textId="1A3887F2" w:rsidR="00AC4256" w:rsidRDefault="009722F3" w:rsidP="007668CA">
      <w:pPr>
        <w:widowControl w:val="0"/>
        <w:numPr>
          <w:ilvl w:val="1"/>
          <w:numId w:val="4"/>
        </w:numPr>
        <w:spacing w:after="120"/>
        <w:rPr>
          <w:rFonts w:asciiTheme="minorHAnsi" w:hAnsiTheme="minorHAnsi"/>
          <w:snapToGrid w:val="0"/>
          <w:lang w:eastAsia="en-US"/>
        </w:rPr>
      </w:pPr>
      <w:r w:rsidRPr="007668CA">
        <w:rPr>
          <w:rFonts w:asciiTheme="minorHAnsi" w:hAnsiTheme="minorHAnsi"/>
          <w:snapToGrid w:val="0"/>
          <w:lang w:eastAsia="en-US"/>
        </w:rPr>
        <w:t xml:space="preserve">In terms of safety, the PBAC considered </w:t>
      </w:r>
      <w:r w:rsidR="004E50CA">
        <w:rPr>
          <w:rFonts w:asciiTheme="minorHAnsi" w:hAnsiTheme="minorHAnsi"/>
          <w:snapToGrid w:val="0"/>
          <w:lang w:eastAsia="en-US"/>
        </w:rPr>
        <w:t xml:space="preserve">that </w:t>
      </w:r>
      <w:r w:rsidRPr="007668CA">
        <w:rPr>
          <w:rFonts w:asciiTheme="minorHAnsi" w:hAnsiTheme="minorHAnsi"/>
          <w:snapToGrid w:val="0"/>
          <w:lang w:eastAsia="en-US"/>
        </w:rPr>
        <w:t>tucatinib plus capecitabine</w:t>
      </w:r>
      <w:r w:rsidR="004E50CA">
        <w:rPr>
          <w:rFonts w:asciiTheme="minorHAnsi" w:hAnsiTheme="minorHAnsi"/>
          <w:snapToGrid w:val="0"/>
          <w:lang w:eastAsia="en-US"/>
        </w:rPr>
        <w:t xml:space="preserve"> plus </w:t>
      </w:r>
      <w:r w:rsidRPr="007668CA">
        <w:rPr>
          <w:rFonts w:asciiTheme="minorHAnsi" w:hAnsiTheme="minorHAnsi"/>
          <w:snapToGrid w:val="0"/>
          <w:lang w:eastAsia="en-US"/>
        </w:rPr>
        <w:t xml:space="preserve">trastuzumab </w:t>
      </w:r>
      <w:r w:rsidR="004E50CA">
        <w:rPr>
          <w:rFonts w:asciiTheme="minorHAnsi" w:hAnsiTheme="minorHAnsi"/>
          <w:snapToGrid w:val="0"/>
          <w:lang w:eastAsia="en-US"/>
        </w:rPr>
        <w:t>has</w:t>
      </w:r>
      <w:r w:rsidRPr="007668CA">
        <w:rPr>
          <w:rFonts w:asciiTheme="minorHAnsi" w:hAnsiTheme="minorHAnsi"/>
          <w:snapToGrid w:val="0"/>
          <w:lang w:eastAsia="en-US"/>
        </w:rPr>
        <w:t xml:space="preserve"> inferior safety compared </w:t>
      </w:r>
      <w:r w:rsidR="00F565E8">
        <w:rPr>
          <w:rFonts w:asciiTheme="minorHAnsi" w:hAnsiTheme="minorHAnsi"/>
          <w:snapToGrid w:val="0"/>
          <w:lang w:eastAsia="en-US"/>
        </w:rPr>
        <w:t>with</w:t>
      </w:r>
      <w:r w:rsidRPr="007668CA">
        <w:rPr>
          <w:rFonts w:asciiTheme="minorHAnsi" w:hAnsiTheme="minorHAnsi"/>
          <w:snapToGrid w:val="0"/>
          <w:lang w:eastAsia="en-US"/>
        </w:rPr>
        <w:t xml:space="preserve"> capecitabine</w:t>
      </w:r>
      <w:r w:rsidR="004E50CA">
        <w:rPr>
          <w:rFonts w:asciiTheme="minorHAnsi" w:hAnsiTheme="minorHAnsi"/>
          <w:snapToGrid w:val="0"/>
          <w:lang w:eastAsia="en-US"/>
        </w:rPr>
        <w:t xml:space="preserve"> plus </w:t>
      </w:r>
      <w:r w:rsidRPr="007668CA">
        <w:rPr>
          <w:rFonts w:asciiTheme="minorHAnsi" w:hAnsiTheme="minorHAnsi"/>
          <w:snapToGrid w:val="0"/>
          <w:lang w:eastAsia="en-US"/>
        </w:rPr>
        <w:t>trastuzumab</w:t>
      </w:r>
      <w:r w:rsidR="004E50CA">
        <w:rPr>
          <w:rFonts w:asciiTheme="minorHAnsi" w:hAnsiTheme="minorHAnsi"/>
          <w:snapToGrid w:val="0"/>
          <w:lang w:eastAsia="en-US"/>
        </w:rPr>
        <w:t xml:space="preserve"> alone</w:t>
      </w:r>
      <w:r w:rsidRPr="007668CA">
        <w:rPr>
          <w:rFonts w:asciiTheme="minorHAnsi" w:hAnsiTheme="minorHAnsi"/>
          <w:snapToGrid w:val="0"/>
          <w:lang w:eastAsia="en-US"/>
        </w:rPr>
        <w:t>, primarily due to increased rates of Grade 3+ gastrointestinal toxicity</w:t>
      </w:r>
      <w:r w:rsidR="00E17692">
        <w:rPr>
          <w:rFonts w:asciiTheme="minorHAnsi" w:hAnsiTheme="minorHAnsi"/>
          <w:snapToGrid w:val="0"/>
          <w:lang w:eastAsia="en-US"/>
        </w:rPr>
        <w:t xml:space="preserve"> (</w:t>
      </w:r>
      <w:r w:rsidR="004A53CE">
        <w:rPr>
          <w:rFonts w:asciiTheme="minorHAnsi" w:hAnsiTheme="minorHAnsi"/>
          <w:snapToGrid w:val="0"/>
          <w:lang w:eastAsia="en-US"/>
        </w:rPr>
        <w:t>with</w:t>
      </w:r>
      <w:r w:rsidR="0086376D">
        <w:rPr>
          <w:rFonts w:asciiTheme="minorHAnsi" w:hAnsiTheme="minorHAnsi"/>
          <w:snapToGrid w:val="0"/>
          <w:lang w:eastAsia="en-US"/>
        </w:rPr>
        <w:t xml:space="preserve"> ra</w:t>
      </w:r>
      <w:r w:rsidR="004A53CE">
        <w:rPr>
          <w:rFonts w:asciiTheme="minorHAnsi" w:hAnsiTheme="minorHAnsi"/>
          <w:snapToGrid w:val="0"/>
          <w:lang w:eastAsia="en-US"/>
        </w:rPr>
        <w:t xml:space="preserve">tes of </w:t>
      </w:r>
      <w:r w:rsidR="004A53CE" w:rsidRPr="004A53CE">
        <w:rPr>
          <w:rFonts w:asciiTheme="minorHAnsi" w:hAnsiTheme="minorHAnsi"/>
          <w:snapToGrid w:val="0"/>
          <w:lang w:eastAsia="en-US"/>
        </w:rPr>
        <w:t xml:space="preserve">Grade ≥3 diarrhoea </w:t>
      </w:r>
      <w:r w:rsidR="004A53CE">
        <w:rPr>
          <w:rFonts w:asciiTheme="minorHAnsi" w:hAnsiTheme="minorHAnsi"/>
          <w:snapToGrid w:val="0"/>
          <w:lang w:eastAsia="en-US"/>
        </w:rPr>
        <w:t xml:space="preserve">of </w:t>
      </w:r>
      <w:r w:rsidR="00E17692">
        <w:rPr>
          <w:rFonts w:asciiTheme="minorHAnsi" w:hAnsiTheme="minorHAnsi"/>
          <w:snapToGrid w:val="0"/>
          <w:lang w:eastAsia="en-US"/>
        </w:rPr>
        <w:t>13% versus 9%</w:t>
      </w:r>
      <w:r w:rsidR="004A53CE">
        <w:rPr>
          <w:rFonts w:asciiTheme="minorHAnsi" w:hAnsiTheme="minorHAnsi"/>
          <w:snapToGrid w:val="0"/>
          <w:lang w:eastAsia="en-US"/>
        </w:rPr>
        <w:t>, respectively</w:t>
      </w:r>
      <w:r w:rsidR="00E17692">
        <w:rPr>
          <w:rFonts w:asciiTheme="minorHAnsi" w:hAnsiTheme="minorHAnsi"/>
          <w:snapToGrid w:val="0"/>
          <w:lang w:eastAsia="en-US"/>
        </w:rPr>
        <w:t>)</w:t>
      </w:r>
      <w:r w:rsidRPr="007668CA">
        <w:rPr>
          <w:rFonts w:asciiTheme="minorHAnsi" w:hAnsiTheme="minorHAnsi"/>
          <w:snapToGrid w:val="0"/>
          <w:lang w:eastAsia="en-US"/>
        </w:rPr>
        <w:t>.</w:t>
      </w:r>
    </w:p>
    <w:p w14:paraId="5F7EDFB8" w14:textId="43DC0C66" w:rsidR="004323A1" w:rsidRPr="00FD1145" w:rsidRDefault="004323A1" w:rsidP="004323A1">
      <w:pPr>
        <w:pStyle w:val="3-BodyText"/>
        <w:rPr>
          <w:rFonts w:eastAsia="Calibri"/>
        </w:rPr>
      </w:pPr>
      <w:r w:rsidRPr="007668CA">
        <w:rPr>
          <w:snapToGrid w:val="0"/>
          <w:lang w:eastAsia="en-US"/>
        </w:rPr>
        <w:t>The</w:t>
      </w:r>
      <w:r w:rsidRPr="006D3CD1">
        <w:rPr>
          <w:snapToGrid w:val="0"/>
          <w:lang w:eastAsia="en-US"/>
        </w:rPr>
        <w:t xml:space="preserve"> PBAC considered that the</w:t>
      </w:r>
      <w:r w:rsidR="009A6665">
        <w:rPr>
          <w:snapToGrid w:val="0"/>
          <w:lang w:eastAsia="en-US"/>
        </w:rPr>
        <w:t xml:space="preserve"> clinical</w:t>
      </w:r>
      <w:r w:rsidRPr="007668CA">
        <w:rPr>
          <w:snapToGrid w:val="0"/>
          <w:lang w:eastAsia="en-US"/>
        </w:rPr>
        <w:t xml:space="preserve"> claim versus T-DM1 </w:t>
      </w:r>
      <w:r>
        <w:rPr>
          <w:snapToGrid w:val="0"/>
          <w:lang w:eastAsia="en-US"/>
        </w:rPr>
        <w:t>(i.e.</w:t>
      </w:r>
      <w:r w:rsidRPr="007668CA">
        <w:rPr>
          <w:snapToGrid w:val="0"/>
          <w:lang w:eastAsia="en-US"/>
        </w:rPr>
        <w:t xml:space="preserve"> non-inferior effectiveness </w:t>
      </w:r>
      <w:r>
        <w:rPr>
          <w:snapToGrid w:val="0"/>
          <w:lang w:eastAsia="en-US"/>
        </w:rPr>
        <w:t xml:space="preserve">and a different but manageable/tolerable safety profile) </w:t>
      </w:r>
      <w:r w:rsidRPr="007668CA">
        <w:rPr>
          <w:snapToGrid w:val="0"/>
          <w:lang w:eastAsia="en-US"/>
        </w:rPr>
        <w:t xml:space="preserve">was </w:t>
      </w:r>
      <w:r>
        <w:rPr>
          <w:snapToGrid w:val="0"/>
          <w:lang w:eastAsia="en-US"/>
        </w:rPr>
        <w:t>not relevant as the Committee did not accept that T-DM1 was a relevant comparator.</w:t>
      </w:r>
      <w:r w:rsidRPr="004323A1">
        <w:rPr>
          <w:snapToGrid w:val="0"/>
          <w:lang w:eastAsia="en-US"/>
        </w:rPr>
        <w:t xml:space="preserve"> </w:t>
      </w:r>
      <w:r>
        <w:rPr>
          <w:snapToGrid w:val="0"/>
          <w:lang w:eastAsia="en-US"/>
        </w:rPr>
        <w:t>Thus, the PBAC considered that the CMA versus T-DM1 was not relevant.</w:t>
      </w:r>
    </w:p>
    <w:p w14:paraId="472F3E65" w14:textId="72FCE1FD" w:rsidR="004F563E" w:rsidRDefault="004F563E" w:rsidP="00551CEE">
      <w:pPr>
        <w:widowControl w:val="0"/>
        <w:numPr>
          <w:ilvl w:val="1"/>
          <w:numId w:val="4"/>
        </w:numPr>
        <w:spacing w:after="120"/>
        <w:rPr>
          <w:rFonts w:asciiTheme="minorHAnsi" w:hAnsiTheme="minorHAnsi"/>
          <w:snapToGrid w:val="0"/>
          <w:lang w:eastAsia="en-US"/>
        </w:rPr>
      </w:pPr>
      <w:r w:rsidRPr="004F563E">
        <w:rPr>
          <w:rFonts w:asciiTheme="minorHAnsi" w:hAnsiTheme="minorHAnsi"/>
          <w:snapToGrid w:val="0"/>
          <w:lang w:eastAsia="en-US"/>
        </w:rPr>
        <w:t xml:space="preserve">For the cost-utility analysis </w:t>
      </w:r>
      <w:r w:rsidR="002E6016">
        <w:rPr>
          <w:rFonts w:asciiTheme="minorHAnsi" w:hAnsiTheme="minorHAnsi"/>
          <w:snapToGrid w:val="0"/>
          <w:lang w:eastAsia="en-US"/>
        </w:rPr>
        <w:t xml:space="preserve">(CUA) </w:t>
      </w:r>
      <w:r w:rsidRPr="004F563E">
        <w:rPr>
          <w:rFonts w:asciiTheme="minorHAnsi" w:hAnsiTheme="minorHAnsi"/>
          <w:snapToGrid w:val="0"/>
          <w:lang w:eastAsia="en-US"/>
        </w:rPr>
        <w:t xml:space="preserve">versus trastuzumab plus capecitabine, the </w:t>
      </w:r>
      <w:r>
        <w:rPr>
          <w:rFonts w:asciiTheme="minorHAnsi" w:hAnsiTheme="minorHAnsi"/>
          <w:snapToGrid w:val="0"/>
          <w:lang w:eastAsia="en-US"/>
        </w:rPr>
        <w:t>PBAC noted</w:t>
      </w:r>
      <w:r w:rsidRPr="004F563E">
        <w:rPr>
          <w:rFonts w:asciiTheme="minorHAnsi" w:hAnsiTheme="minorHAnsi"/>
          <w:snapToGrid w:val="0"/>
          <w:lang w:eastAsia="en-US"/>
        </w:rPr>
        <w:t xml:space="preserve"> that the </w:t>
      </w:r>
      <w:r w:rsidR="00587E84">
        <w:rPr>
          <w:rFonts w:asciiTheme="minorHAnsi" w:hAnsiTheme="minorHAnsi"/>
          <w:snapToGrid w:val="0"/>
          <w:lang w:eastAsia="en-US"/>
        </w:rPr>
        <w:t xml:space="preserve">evaluation and </w:t>
      </w:r>
      <w:r w:rsidR="00B560A9">
        <w:rPr>
          <w:rFonts w:asciiTheme="minorHAnsi" w:hAnsiTheme="minorHAnsi"/>
          <w:snapToGrid w:val="0"/>
          <w:lang w:eastAsia="en-US"/>
        </w:rPr>
        <w:t xml:space="preserve">the </w:t>
      </w:r>
      <w:r w:rsidR="00587E84">
        <w:rPr>
          <w:rFonts w:asciiTheme="minorHAnsi" w:hAnsiTheme="minorHAnsi"/>
          <w:snapToGrid w:val="0"/>
          <w:lang w:eastAsia="en-US"/>
        </w:rPr>
        <w:t xml:space="preserve">ESC had considered that the </w:t>
      </w:r>
      <w:r w:rsidRPr="004F563E">
        <w:rPr>
          <w:rFonts w:asciiTheme="minorHAnsi" w:hAnsiTheme="minorHAnsi"/>
          <w:snapToGrid w:val="0"/>
          <w:lang w:eastAsia="en-US"/>
        </w:rPr>
        <w:t xml:space="preserve">following key concerns raised by the PBAC in March 2021 </w:t>
      </w:r>
      <w:r w:rsidR="00516F48">
        <w:rPr>
          <w:rFonts w:asciiTheme="minorHAnsi" w:hAnsiTheme="minorHAnsi"/>
          <w:snapToGrid w:val="0"/>
          <w:lang w:eastAsia="en-US"/>
        </w:rPr>
        <w:t>remained outstanding</w:t>
      </w:r>
      <w:r>
        <w:rPr>
          <w:rFonts w:asciiTheme="minorHAnsi" w:hAnsiTheme="minorHAnsi"/>
          <w:snapToGrid w:val="0"/>
          <w:lang w:eastAsia="en-US"/>
        </w:rPr>
        <w:t>:</w:t>
      </w:r>
    </w:p>
    <w:p w14:paraId="17781A2B" w14:textId="3EC1EFEC" w:rsidR="00516F48" w:rsidRPr="003E0DD0" w:rsidRDefault="00516F48" w:rsidP="00516F48">
      <w:pPr>
        <w:pStyle w:val="ListParagraph"/>
        <w:widowControl w:val="0"/>
        <w:numPr>
          <w:ilvl w:val="0"/>
          <w:numId w:val="14"/>
        </w:numPr>
        <w:rPr>
          <w:lang w:eastAsia="en-US"/>
        </w:rPr>
      </w:pPr>
      <w:r w:rsidRPr="003E0DD0">
        <w:rPr>
          <w:lang w:eastAsia="en-US"/>
        </w:rPr>
        <w:t xml:space="preserve">The </w:t>
      </w:r>
      <w:r w:rsidR="0085499D" w:rsidRPr="003E0DD0">
        <w:rPr>
          <w:lang w:eastAsia="en-US"/>
        </w:rPr>
        <w:t xml:space="preserve">resubmission applied a </w:t>
      </w:r>
      <w:r w:rsidRPr="003E0DD0">
        <w:rPr>
          <w:lang w:eastAsia="en-US"/>
        </w:rPr>
        <w:t xml:space="preserve">10-year horizon </w:t>
      </w:r>
      <w:r w:rsidR="0085499D" w:rsidRPr="003E0DD0">
        <w:rPr>
          <w:lang w:eastAsia="en-US"/>
        </w:rPr>
        <w:t xml:space="preserve">despite </w:t>
      </w:r>
      <w:r w:rsidRPr="003E0DD0">
        <w:rPr>
          <w:lang w:eastAsia="en-US"/>
        </w:rPr>
        <w:t>the PBAC</w:t>
      </w:r>
      <w:r w:rsidR="0085499D" w:rsidRPr="003E0DD0">
        <w:rPr>
          <w:lang w:eastAsia="en-US"/>
        </w:rPr>
        <w:t xml:space="preserve"> previously considering that </w:t>
      </w:r>
      <w:r w:rsidRPr="003E0DD0">
        <w:rPr>
          <w:lang w:eastAsia="en-US"/>
        </w:rPr>
        <w:t xml:space="preserve">5 years would be more appropriate. </w:t>
      </w:r>
      <w:r w:rsidR="00D10BE4" w:rsidRPr="003E0DD0">
        <w:rPr>
          <w:lang w:eastAsia="en-US"/>
        </w:rPr>
        <w:t>The PBAC considered that</w:t>
      </w:r>
      <w:r w:rsidR="006D2E8A">
        <w:rPr>
          <w:lang w:eastAsia="en-US"/>
        </w:rPr>
        <w:t xml:space="preserve">, in the context of the resubmission, </w:t>
      </w:r>
      <w:r w:rsidR="00D10BE4" w:rsidRPr="003E0DD0">
        <w:rPr>
          <w:lang w:eastAsia="en-US"/>
        </w:rPr>
        <w:t xml:space="preserve">a 7.5 or 10 year time horizon would be appropriate given the updated trial data which provided greater certainty in the extrapolation. </w:t>
      </w:r>
      <w:r w:rsidRPr="003E0DD0">
        <w:rPr>
          <w:lang w:eastAsia="en-US"/>
        </w:rPr>
        <w:t xml:space="preserve">The </w:t>
      </w:r>
      <w:r w:rsidR="00D10BE4" w:rsidRPr="003E0DD0">
        <w:rPr>
          <w:lang w:eastAsia="en-US"/>
        </w:rPr>
        <w:t xml:space="preserve">PBAC noted that </w:t>
      </w:r>
      <w:r w:rsidR="00BF1517" w:rsidRPr="003E0DD0">
        <w:rPr>
          <w:lang w:eastAsia="en-US"/>
        </w:rPr>
        <w:t xml:space="preserve">a </w:t>
      </w:r>
      <w:proofErr w:type="gramStart"/>
      <w:r w:rsidR="00BF1517" w:rsidRPr="003E0DD0">
        <w:rPr>
          <w:lang w:eastAsia="en-US"/>
        </w:rPr>
        <w:t>7.5 year</w:t>
      </w:r>
      <w:proofErr w:type="gramEnd"/>
      <w:r w:rsidR="00BF1517" w:rsidRPr="003E0DD0">
        <w:rPr>
          <w:lang w:eastAsia="en-US"/>
        </w:rPr>
        <w:t xml:space="preserve"> time horizon would increase the</w:t>
      </w:r>
      <w:r w:rsidRPr="003E0DD0">
        <w:rPr>
          <w:lang w:eastAsia="en-US"/>
        </w:rPr>
        <w:t xml:space="preserve"> ICER by </w:t>
      </w:r>
      <w:r w:rsidR="009B6432" w:rsidRPr="009B6432">
        <w:rPr>
          <w:highlight w:val="black"/>
          <w:lang w:eastAsia="en-US"/>
        </w:rPr>
        <w:t>&amp;&amp;&amp;&amp;</w:t>
      </w:r>
      <w:r w:rsidRPr="003E0DD0">
        <w:rPr>
          <w:lang w:eastAsia="en-US"/>
        </w:rPr>
        <w:t>% from $</w:t>
      </w:r>
      <w:r w:rsidR="006146F5">
        <w:rPr>
          <w:lang w:eastAsia="en-US"/>
        </w:rPr>
        <w:t>75,000 to &lt; $95,000</w:t>
      </w:r>
      <w:r w:rsidR="00440F77">
        <w:rPr>
          <w:lang w:eastAsia="en-US"/>
        </w:rPr>
        <w:t xml:space="preserve"> per </w:t>
      </w:r>
      <w:r w:rsidRPr="003E0DD0">
        <w:rPr>
          <w:lang w:eastAsia="en-US"/>
        </w:rPr>
        <w:t>quality-adjusted life year (QALY) to $</w:t>
      </w:r>
      <w:r w:rsidR="00EA0629">
        <w:rPr>
          <w:lang w:eastAsia="en-US"/>
        </w:rPr>
        <w:t>75,000 to &lt; $95,000</w:t>
      </w:r>
      <w:r w:rsidRPr="003E0DD0">
        <w:rPr>
          <w:lang w:eastAsia="en-US"/>
        </w:rPr>
        <w:t>/QALY.</w:t>
      </w:r>
    </w:p>
    <w:p w14:paraId="7590A2A2" w14:textId="1D36750E" w:rsidR="00516F48" w:rsidRPr="003E0DD0" w:rsidRDefault="00516F48" w:rsidP="00551CEE">
      <w:pPr>
        <w:pStyle w:val="ListParagraph"/>
        <w:widowControl w:val="0"/>
        <w:numPr>
          <w:ilvl w:val="0"/>
          <w:numId w:val="14"/>
        </w:numPr>
        <w:rPr>
          <w:lang w:eastAsia="en-US"/>
        </w:rPr>
      </w:pPr>
      <w:r w:rsidRPr="003E0DD0">
        <w:rPr>
          <w:lang w:eastAsia="en-US"/>
        </w:rPr>
        <w:t xml:space="preserve">Utilities </w:t>
      </w:r>
      <w:r w:rsidR="001F45CB">
        <w:rPr>
          <w:lang w:eastAsia="en-US"/>
        </w:rPr>
        <w:t>continued to be</w:t>
      </w:r>
      <w:r w:rsidRPr="003E0DD0">
        <w:rPr>
          <w:lang w:eastAsia="en-US"/>
        </w:rPr>
        <w:t xml:space="preserve"> derived from </w:t>
      </w:r>
      <w:r w:rsidR="00C520C8">
        <w:rPr>
          <w:lang w:eastAsia="en-US"/>
        </w:rPr>
        <w:t xml:space="preserve">the </w:t>
      </w:r>
      <w:r w:rsidRPr="003E0DD0">
        <w:rPr>
          <w:lang w:eastAsia="en-US"/>
        </w:rPr>
        <w:t>HER2CLIMB</w:t>
      </w:r>
      <w:r w:rsidR="00C520C8">
        <w:rPr>
          <w:lang w:eastAsia="en-US"/>
        </w:rPr>
        <w:t xml:space="preserve"> tria</w:t>
      </w:r>
      <w:r w:rsidR="0097333B">
        <w:rPr>
          <w:lang w:eastAsia="en-US"/>
        </w:rPr>
        <w:t>l EQ-5D data</w:t>
      </w:r>
      <w:r w:rsidR="00107E79" w:rsidRPr="00107E79">
        <w:rPr>
          <w:lang w:eastAsia="en-US"/>
        </w:rPr>
        <w:t>.</w:t>
      </w:r>
      <w:r w:rsidR="00B72E50">
        <w:rPr>
          <w:lang w:eastAsia="en-US"/>
        </w:rPr>
        <w:t xml:space="preserve"> This was</w:t>
      </w:r>
      <w:r w:rsidR="006A24F4">
        <w:rPr>
          <w:lang w:eastAsia="en-US"/>
        </w:rPr>
        <w:t xml:space="preserve"> despite the</w:t>
      </w:r>
      <w:r w:rsidRPr="003E0DD0">
        <w:rPr>
          <w:lang w:eastAsia="en-US"/>
        </w:rPr>
        <w:t xml:space="preserve"> </w:t>
      </w:r>
      <w:r w:rsidR="004917E6" w:rsidRPr="003E0DD0">
        <w:rPr>
          <w:lang w:eastAsia="en-US"/>
        </w:rPr>
        <w:t xml:space="preserve">PBAC previously </w:t>
      </w:r>
      <w:r w:rsidR="00B72E50">
        <w:rPr>
          <w:lang w:eastAsia="en-US"/>
        </w:rPr>
        <w:t>consider</w:t>
      </w:r>
      <w:r w:rsidR="008C5E70">
        <w:rPr>
          <w:lang w:eastAsia="en-US"/>
        </w:rPr>
        <w:t>ing</w:t>
      </w:r>
      <w:r w:rsidR="00B72E50">
        <w:rPr>
          <w:lang w:eastAsia="en-US"/>
        </w:rPr>
        <w:t xml:space="preserve"> that </w:t>
      </w:r>
      <w:r w:rsidR="00B72E50" w:rsidRPr="003E0DD0">
        <w:rPr>
          <w:lang w:eastAsia="en-US"/>
        </w:rPr>
        <w:t>values from the literature (i.e. from Lloyd et al, 2006) would be more appropriate</w:t>
      </w:r>
      <w:r w:rsidR="00B72E50">
        <w:rPr>
          <w:lang w:eastAsia="en-US"/>
        </w:rPr>
        <w:t xml:space="preserve"> given </w:t>
      </w:r>
      <w:r w:rsidR="00A82C71">
        <w:rPr>
          <w:lang w:eastAsia="en-US"/>
        </w:rPr>
        <w:t xml:space="preserve">there were </w:t>
      </w:r>
      <w:r w:rsidR="008C5E70">
        <w:rPr>
          <w:lang w:eastAsia="en-US"/>
        </w:rPr>
        <w:t>issues with the trial-based data, notably</w:t>
      </w:r>
      <w:r w:rsidR="001E46CC">
        <w:rPr>
          <w:lang w:eastAsia="en-US"/>
        </w:rPr>
        <w:t xml:space="preserve"> the</w:t>
      </w:r>
      <w:r w:rsidR="00EB084F">
        <w:rPr>
          <w:lang w:eastAsia="en-US"/>
        </w:rPr>
        <w:t>re w</w:t>
      </w:r>
      <w:r w:rsidR="0097333B">
        <w:rPr>
          <w:lang w:eastAsia="en-US"/>
        </w:rPr>
        <w:t>ere</w:t>
      </w:r>
      <w:r w:rsidR="006A24F4">
        <w:rPr>
          <w:lang w:eastAsia="en-US"/>
        </w:rPr>
        <w:t xml:space="preserve"> </w:t>
      </w:r>
      <w:r w:rsidR="006A24F4" w:rsidRPr="003E0DD0">
        <w:rPr>
          <w:lang w:eastAsia="en-US"/>
        </w:rPr>
        <w:t xml:space="preserve">substantial missing baseline data and </w:t>
      </w:r>
      <w:r w:rsidR="00EB084F">
        <w:rPr>
          <w:lang w:eastAsia="en-US"/>
        </w:rPr>
        <w:t xml:space="preserve">the resulting utility values appeared </w:t>
      </w:r>
      <w:r w:rsidR="00E6636E">
        <w:rPr>
          <w:lang w:eastAsia="en-US"/>
        </w:rPr>
        <w:t xml:space="preserve">high. </w:t>
      </w:r>
      <w:r w:rsidR="00EF2BA9" w:rsidRPr="003E0DD0">
        <w:rPr>
          <w:lang w:eastAsia="en-US"/>
        </w:rPr>
        <w:t>However, the PBAC considered that</w:t>
      </w:r>
      <w:r w:rsidR="00E81F30" w:rsidRPr="003E0DD0">
        <w:rPr>
          <w:lang w:eastAsia="en-US"/>
        </w:rPr>
        <w:t>,</w:t>
      </w:r>
      <w:r w:rsidR="00EF2BA9" w:rsidRPr="003E0DD0">
        <w:rPr>
          <w:lang w:eastAsia="en-US"/>
        </w:rPr>
        <w:t xml:space="preserve"> </w:t>
      </w:r>
      <w:r w:rsidR="00111318" w:rsidRPr="003E0DD0">
        <w:rPr>
          <w:lang w:eastAsia="en-US"/>
        </w:rPr>
        <w:t xml:space="preserve">while the utility values </w:t>
      </w:r>
      <w:r w:rsidR="00EB0B6E">
        <w:rPr>
          <w:lang w:eastAsia="en-US"/>
        </w:rPr>
        <w:t xml:space="preserve">derived from </w:t>
      </w:r>
      <w:r w:rsidR="00EB0B6E" w:rsidRPr="003E0DD0">
        <w:rPr>
          <w:lang w:eastAsia="en-US"/>
        </w:rPr>
        <w:t xml:space="preserve">HER2CLIMB </w:t>
      </w:r>
      <w:r w:rsidR="00111318" w:rsidRPr="003E0DD0">
        <w:rPr>
          <w:lang w:eastAsia="en-US"/>
        </w:rPr>
        <w:t>appeared high, these were preferred given the utilities from the literature (Lloyd et al, 2006) may not reflect the current treatment landscape.</w:t>
      </w:r>
      <w:r w:rsidR="00E81F30" w:rsidRPr="003E0DD0">
        <w:rPr>
          <w:lang w:eastAsia="en-US"/>
        </w:rPr>
        <w:t xml:space="preserve"> </w:t>
      </w:r>
      <w:r w:rsidR="00921CD9" w:rsidRPr="00921CD9">
        <w:rPr>
          <w:lang w:eastAsia="en-US"/>
        </w:rPr>
        <w:t>Further, the PBAC noted that the trial-based utilities resulted in a higher utility in the tucatinib arm versus the placebo arm from Cycle 5 onwards in the progression-free health state. The PBAC considered this may be reasonable in this case, noting the effect of tucatinib in patients with brain metastases (e</w:t>
      </w:r>
      <w:r w:rsidR="0012529F">
        <w:rPr>
          <w:lang w:eastAsia="en-US"/>
        </w:rPr>
        <w:t>.</w:t>
      </w:r>
      <w:r w:rsidR="00921CD9" w:rsidRPr="00921CD9">
        <w:rPr>
          <w:lang w:eastAsia="en-US"/>
        </w:rPr>
        <w:t>g</w:t>
      </w:r>
      <w:r w:rsidR="0012529F">
        <w:rPr>
          <w:lang w:eastAsia="en-US"/>
        </w:rPr>
        <w:t>.</w:t>
      </w:r>
      <w:r w:rsidR="00921CD9" w:rsidRPr="00921CD9">
        <w:rPr>
          <w:lang w:eastAsia="en-US"/>
        </w:rPr>
        <w:t xml:space="preserve"> the potential to reduce neurological symptoms). </w:t>
      </w:r>
    </w:p>
    <w:p w14:paraId="48BC17D6" w14:textId="1BAB593E" w:rsidR="00516F48" w:rsidRPr="003E0DD0" w:rsidRDefault="00516F48" w:rsidP="00516F48">
      <w:pPr>
        <w:pStyle w:val="ListParagraph"/>
        <w:widowControl w:val="0"/>
        <w:numPr>
          <w:ilvl w:val="0"/>
          <w:numId w:val="14"/>
        </w:numPr>
        <w:rPr>
          <w:lang w:eastAsia="en-US"/>
        </w:rPr>
      </w:pPr>
      <w:r w:rsidRPr="003E0DD0">
        <w:rPr>
          <w:lang w:eastAsia="en-US"/>
        </w:rPr>
        <w:t xml:space="preserve">Time on treatment for tucatinib </w:t>
      </w:r>
      <w:r w:rsidR="00117CBB">
        <w:rPr>
          <w:lang w:eastAsia="en-US"/>
        </w:rPr>
        <w:t xml:space="preserve">was extrapolated </w:t>
      </w:r>
      <w:r w:rsidRPr="003E0DD0">
        <w:rPr>
          <w:lang w:eastAsia="en-US"/>
        </w:rPr>
        <w:t>us</w:t>
      </w:r>
      <w:r w:rsidR="00117CBB">
        <w:rPr>
          <w:lang w:eastAsia="en-US"/>
        </w:rPr>
        <w:t>ing the</w:t>
      </w:r>
      <w:r w:rsidRPr="003E0DD0">
        <w:rPr>
          <w:lang w:eastAsia="en-US"/>
        </w:rPr>
        <w:t xml:space="preserve"> Gompertz </w:t>
      </w:r>
      <w:r w:rsidR="00117CBB">
        <w:rPr>
          <w:lang w:eastAsia="en-US"/>
        </w:rPr>
        <w:t>function</w:t>
      </w:r>
      <w:r w:rsidRPr="003E0DD0">
        <w:rPr>
          <w:lang w:eastAsia="en-US"/>
        </w:rPr>
        <w:t xml:space="preserve"> rather than the statistically best-fitting log-logistic function. </w:t>
      </w:r>
      <w:r w:rsidR="00245752">
        <w:rPr>
          <w:lang w:eastAsia="en-US"/>
        </w:rPr>
        <w:t>However, t</w:t>
      </w:r>
      <w:r w:rsidR="00117CBB" w:rsidRPr="00117CBB">
        <w:rPr>
          <w:lang w:eastAsia="en-US"/>
        </w:rPr>
        <w:t xml:space="preserve">he PBAC considered that it may be reasonable </w:t>
      </w:r>
      <w:r w:rsidR="00245752">
        <w:rPr>
          <w:lang w:eastAsia="en-US"/>
        </w:rPr>
        <w:t>to use the Gompertz function i</w:t>
      </w:r>
      <w:r w:rsidR="00117CBB" w:rsidRPr="00117CBB">
        <w:rPr>
          <w:lang w:eastAsia="en-US"/>
        </w:rPr>
        <w:t xml:space="preserve">n this case given the resubmission had externally validated </w:t>
      </w:r>
      <w:r w:rsidR="00810451">
        <w:rPr>
          <w:lang w:eastAsia="en-US"/>
        </w:rPr>
        <w:t>the extrapolation results</w:t>
      </w:r>
      <w:r w:rsidR="00117CBB" w:rsidRPr="00117CBB">
        <w:rPr>
          <w:lang w:eastAsia="en-US"/>
        </w:rPr>
        <w:t xml:space="preserve"> against real-world TTD data. </w:t>
      </w:r>
    </w:p>
    <w:p w14:paraId="3DD8F4A3" w14:textId="69321371" w:rsidR="007668CA" w:rsidRPr="007668CA" w:rsidRDefault="00C84943" w:rsidP="00551CEE">
      <w:pPr>
        <w:widowControl w:val="0"/>
        <w:numPr>
          <w:ilvl w:val="1"/>
          <w:numId w:val="4"/>
        </w:numPr>
        <w:spacing w:after="120"/>
        <w:rPr>
          <w:rFonts w:asciiTheme="minorHAnsi" w:hAnsiTheme="minorHAnsi"/>
          <w:snapToGrid w:val="0"/>
          <w:lang w:eastAsia="en-US"/>
        </w:rPr>
      </w:pPr>
      <w:bookmarkStart w:id="90" w:name="_Ref213925123"/>
      <w:r>
        <w:rPr>
          <w:rFonts w:asciiTheme="minorHAnsi" w:hAnsiTheme="minorHAnsi"/>
          <w:snapToGrid w:val="0"/>
          <w:lang w:eastAsia="en-US"/>
        </w:rPr>
        <w:t xml:space="preserve">The PBAC considered that the </w:t>
      </w:r>
      <w:r w:rsidR="008031CA">
        <w:rPr>
          <w:rFonts w:asciiTheme="minorHAnsi" w:hAnsiTheme="minorHAnsi"/>
          <w:snapToGrid w:val="0"/>
          <w:lang w:eastAsia="en-US"/>
        </w:rPr>
        <w:t>re</w:t>
      </w:r>
      <w:r w:rsidR="00B5446B">
        <w:rPr>
          <w:rFonts w:asciiTheme="minorHAnsi" w:hAnsiTheme="minorHAnsi"/>
          <w:snapToGrid w:val="0"/>
          <w:lang w:eastAsia="en-US"/>
        </w:rPr>
        <w:t>submission’s base case</w:t>
      </w:r>
      <w:r w:rsidR="00B5446B" w:rsidRPr="00B5446B">
        <w:rPr>
          <w:rFonts w:asciiTheme="minorHAnsi" w:hAnsiTheme="minorHAnsi"/>
          <w:snapToGrid w:val="0"/>
          <w:lang w:eastAsia="en-US"/>
        </w:rPr>
        <w:t xml:space="preserve"> </w:t>
      </w:r>
      <w:r w:rsidR="000A51B5">
        <w:rPr>
          <w:rFonts w:asciiTheme="minorHAnsi" w:hAnsiTheme="minorHAnsi"/>
          <w:snapToGrid w:val="0"/>
          <w:lang w:eastAsia="en-US"/>
        </w:rPr>
        <w:t>CUA</w:t>
      </w:r>
      <w:r w:rsidR="00B5446B" w:rsidRPr="004F563E">
        <w:rPr>
          <w:rFonts w:asciiTheme="minorHAnsi" w:hAnsiTheme="minorHAnsi"/>
          <w:snapToGrid w:val="0"/>
          <w:lang w:eastAsia="en-US"/>
        </w:rPr>
        <w:t xml:space="preserve"> versus trastuzumab plus capecitabine</w:t>
      </w:r>
      <w:r w:rsidR="008031CA">
        <w:rPr>
          <w:rFonts w:asciiTheme="minorHAnsi" w:hAnsiTheme="minorHAnsi"/>
          <w:snapToGrid w:val="0"/>
          <w:lang w:eastAsia="en-US"/>
        </w:rPr>
        <w:t xml:space="preserve">, which resulted in an ICER of </w:t>
      </w:r>
      <w:r w:rsidR="008031CA" w:rsidRPr="008031CA">
        <w:rPr>
          <w:rFonts w:asciiTheme="minorHAnsi" w:hAnsiTheme="minorHAnsi"/>
          <w:snapToGrid w:val="0"/>
          <w:lang w:eastAsia="en-US"/>
        </w:rPr>
        <w:t>$</w:t>
      </w:r>
      <w:r w:rsidR="00EA0629">
        <w:rPr>
          <w:rFonts w:asciiTheme="minorHAnsi" w:hAnsiTheme="minorHAnsi"/>
          <w:snapToGrid w:val="0"/>
          <w:lang w:eastAsia="en-US"/>
        </w:rPr>
        <w:t>75,000 to &lt; $95,000</w:t>
      </w:r>
      <w:r w:rsidR="006941F3">
        <w:rPr>
          <w:rFonts w:asciiTheme="minorHAnsi" w:hAnsiTheme="minorHAnsi"/>
          <w:snapToGrid w:val="0"/>
          <w:lang w:eastAsia="en-US"/>
        </w:rPr>
        <w:t xml:space="preserve"> </w:t>
      </w:r>
      <w:r w:rsidR="00440F77">
        <w:rPr>
          <w:rFonts w:asciiTheme="minorHAnsi" w:hAnsiTheme="minorHAnsi"/>
          <w:snapToGrid w:val="0"/>
          <w:lang w:eastAsia="en-US"/>
        </w:rPr>
        <w:t xml:space="preserve">per </w:t>
      </w:r>
      <w:r w:rsidR="008031CA" w:rsidRPr="008031CA">
        <w:rPr>
          <w:rFonts w:asciiTheme="minorHAnsi" w:hAnsiTheme="minorHAnsi"/>
          <w:snapToGrid w:val="0"/>
          <w:lang w:eastAsia="en-US"/>
        </w:rPr>
        <w:t>QALY</w:t>
      </w:r>
      <w:r w:rsidR="000A51B5">
        <w:rPr>
          <w:rFonts w:asciiTheme="minorHAnsi" w:hAnsiTheme="minorHAnsi"/>
          <w:snapToGrid w:val="0"/>
          <w:lang w:eastAsia="en-US"/>
        </w:rPr>
        <w:t>,</w:t>
      </w:r>
      <w:r w:rsidR="00B5446B">
        <w:rPr>
          <w:rFonts w:asciiTheme="minorHAnsi" w:hAnsiTheme="minorHAnsi"/>
          <w:snapToGrid w:val="0"/>
          <w:lang w:eastAsia="en-US"/>
        </w:rPr>
        <w:t xml:space="preserve"> was reasonable at the CUA component price proposed</w:t>
      </w:r>
      <w:r w:rsidR="00810451">
        <w:rPr>
          <w:rFonts w:asciiTheme="minorHAnsi" w:hAnsiTheme="minorHAnsi"/>
          <w:snapToGrid w:val="0"/>
          <w:lang w:eastAsia="en-US"/>
        </w:rPr>
        <w:t xml:space="preserve"> in the resubmission</w:t>
      </w:r>
      <w:r w:rsidR="00B5446B">
        <w:rPr>
          <w:rFonts w:asciiTheme="minorHAnsi" w:hAnsiTheme="minorHAnsi"/>
          <w:snapToGrid w:val="0"/>
          <w:lang w:eastAsia="en-US"/>
        </w:rPr>
        <w:t xml:space="preserve">. </w:t>
      </w:r>
      <w:r w:rsidR="006A73EB">
        <w:rPr>
          <w:rFonts w:asciiTheme="minorHAnsi" w:hAnsiTheme="minorHAnsi"/>
          <w:snapToGrid w:val="0"/>
          <w:lang w:eastAsia="en-US"/>
        </w:rPr>
        <w:t xml:space="preserve">The PBAC noted this </w:t>
      </w:r>
      <w:r w:rsidR="00EF0482">
        <w:rPr>
          <w:rFonts w:asciiTheme="minorHAnsi" w:hAnsiTheme="minorHAnsi"/>
          <w:snapToGrid w:val="0"/>
          <w:lang w:eastAsia="en-US"/>
        </w:rPr>
        <w:t xml:space="preserve">price </w:t>
      </w:r>
      <w:r w:rsidR="006A73EB">
        <w:rPr>
          <w:rFonts w:asciiTheme="minorHAnsi" w:hAnsiTheme="minorHAnsi"/>
          <w:snapToGrid w:val="0"/>
          <w:lang w:eastAsia="en-US"/>
        </w:rPr>
        <w:t xml:space="preserve">was lower than the weighted price proposed </w:t>
      </w:r>
      <w:r w:rsidR="003E1A0E">
        <w:rPr>
          <w:rFonts w:asciiTheme="minorHAnsi" w:hAnsiTheme="minorHAnsi"/>
          <w:snapToGrid w:val="0"/>
          <w:lang w:eastAsia="en-US"/>
        </w:rPr>
        <w:t>in</w:t>
      </w:r>
      <w:r w:rsidR="006A73EB">
        <w:rPr>
          <w:rFonts w:asciiTheme="minorHAnsi" w:hAnsiTheme="minorHAnsi"/>
          <w:snapToGrid w:val="0"/>
          <w:lang w:eastAsia="en-US"/>
        </w:rPr>
        <w:t xml:space="preserve"> the </w:t>
      </w:r>
      <w:r w:rsidR="003E1A0E">
        <w:rPr>
          <w:rFonts w:asciiTheme="minorHAnsi" w:hAnsiTheme="minorHAnsi"/>
          <w:snapToGrid w:val="0"/>
          <w:lang w:eastAsia="en-US"/>
        </w:rPr>
        <w:t>re</w:t>
      </w:r>
      <w:r w:rsidR="006A73EB">
        <w:rPr>
          <w:rFonts w:asciiTheme="minorHAnsi" w:hAnsiTheme="minorHAnsi"/>
          <w:snapToGrid w:val="0"/>
          <w:lang w:eastAsia="en-US"/>
        </w:rPr>
        <w:t xml:space="preserve">submission </w:t>
      </w:r>
      <w:r w:rsidR="007F334F">
        <w:rPr>
          <w:rFonts w:asciiTheme="minorHAnsi" w:hAnsiTheme="minorHAnsi"/>
          <w:snapToGrid w:val="0"/>
          <w:lang w:eastAsia="en-US"/>
        </w:rPr>
        <w:lastRenderedPageBreak/>
        <w:t>(</w:t>
      </w:r>
      <w:r w:rsidR="00492278">
        <w:rPr>
          <w:rFonts w:asciiTheme="minorHAnsi" w:hAnsiTheme="minorHAnsi"/>
          <w:snapToGrid w:val="0"/>
          <w:lang w:eastAsia="en-US"/>
        </w:rPr>
        <w:t>because</w:t>
      </w:r>
      <w:r w:rsidR="00EF7395">
        <w:rPr>
          <w:rFonts w:asciiTheme="minorHAnsi" w:hAnsiTheme="minorHAnsi"/>
          <w:snapToGrid w:val="0"/>
          <w:lang w:eastAsia="en-US"/>
        </w:rPr>
        <w:t xml:space="preserve"> the weighted price</w:t>
      </w:r>
      <w:r w:rsidR="007F334F">
        <w:rPr>
          <w:rFonts w:asciiTheme="minorHAnsi" w:hAnsiTheme="minorHAnsi"/>
          <w:snapToGrid w:val="0"/>
          <w:lang w:eastAsia="en-US"/>
        </w:rPr>
        <w:t xml:space="preserve"> included costs derived from the CMA, which the PBAC did not consider to be relevant). Overall, the PBAC considered that </w:t>
      </w:r>
      <w:r w:rsidR="00B434F3">
        <w:rPr>
          <w:rFonts w:asciiTheme="minorHAnsi" w:hAnsiTheme="minorHAnsi"/>
          <w:snapToGrid w:val="0"/>
          <w:lang w:eastAsia="en-US"/>
        </w:rPr>
        <w:t xml:space="preserve">a reduction in treatment costs would be required to achieve the ICER proposed in the </w:t>
      </w:r>
      <w:r w:rsidR="001C6FCB">
        <w:rPr>
          <w:rFonts w:asciiTheme="minorHAnsi" w:hAnsiTheme="minorHAnsi"/>
          <w:snapToGrid w:val="0"/>
          <w:lang w:eastAsia="en-US"/>
        </w:rPr>
        <w:t>re</w:t>
      </w:r>
      <w:r w:rsidR="00B434F3">
        <w:rPr>
          <w:rFonts w:asciiTheme="minorHAnsi" w:hAnsiTheme="minorHAnsi"/>
          <w:snapToGrid w:val="0"/>
          <w:lang w:eastAsia="en-US"/>
        </w:rPr>
        <w:t>submission</w:t>
      </w:r>
      <w:r w:rsidR="00994F04">
        <w:rPr>
          <w:rFonts w:asciiTheme="minorHAnsi" w:hAnsiTheme="minorHAnsi"/>
          <w:snapToGrid w:val="0"/>
          <w:lang w:eastAsia="en-US"/>
        </w:rPr>
        <w:t xml:space="preserve"> (i.e. an ICER of </w:t>
      </w:r>
      <w:r w:rsidR="00994F04" w:rsidRPr="007668CA">
        <w:rPr>
          <w:snapToGrid w:val="0"/>
          <w:lang w:eastAsia="en-US"/>
        </w:rPr>
        <w:t>$</w:t>
      </w:r>
      <w:r w:rsidR="00EA0629">
        <w:rPr>
          <w:snapToGrid w:val="0"/>
          <w:lang w:eastAsia="en-US"/>
        </w:rPr>
        <w:t>75,000 to &lt; $95,000</w:t>
      </w:r>
      <w:r w:rsidR="00994F04" w:rsidRPr="007668CA">
        <w:rPr>
          <w:snapToGrid w:val="0"/>
          <w:lang w:eastAsia="en-US"/>
        </w:rPr>
        <w:t>/QALY in the sponsor’s proposed base case</w:t>
      </w:r>
      <w:r w:rsidR="00994F04">
        <w:rPr>
          <w:snapToGrid w:val="0"/>
          <w:lang w:eastAsia="en-US"/>
        </w:rPr>
        <w:t>)</w:t>
      </w:r>
      <w:r w:rsidR="00B5446B">
        <w:rPr>
          <w:rFonts w:asciiTheme="minorHAnsi" w:hAnsiTheme="minorHAnsi"/>
          <w:snapToGrid w:val="0"/>
          <w:lang w:eastAsia="en-US"/>
        </w:rPr>
        <w:t xml:space="preserve"> </w:t>
      </w:r>
      <w:r w:rsidR="00187F28">
        <w:rPr>
          <w:rFonts w:asciiTheme="minorHAnsi" w:hAnsiTheme="minorHAnsi"/>
          <w:snapToGrid w:val="0"/>
          <w:lang w:eastAsia="en-US"/>
        </w:rPr>
        <w:t>and noted this would result in tucatinib drug costs of around $</w:t>
      </w:r>
      <w:r w:rsidR="009B6432" w:rsidRPr="009B6432">
        <w:rPr>
          <w:rFonts w:asciiTheme="minorHAnsi" w:hAnsiTheme="minorHAnsi"/>
          <w:snapToGrid w:val="0"/>
          <w:highlight w:val="black"/>
          <w:lang w:eastAsia="en-US"/>
        </w:rPr>
        <w:t>&amp;&amp;&amp;&amp;</w:t>
      </w:r>
      <w:r w:rsidR="00187F28">
        <w:rPr>
          <w:rFonts w:asciiTheme="minorHAnsi" w:hAnsiTheme="minorHAnsi"/>
          <w:snapToGrid w:val="0"/>
          <w:lang w:eastAsia="en-US"/>
        </w:rPr>
        <w:t xml:space="preserve"> </w:t>
      </w:r>
      <w:r w:rsidR="00BE146B">
        <w:rPr>
          <w:rFonts w:asciiTheme="minorHAnsi" w:hAnsiTheme="minorHAnsi"/>
          <w:snapToGrid w:val="0"/>
          <w:lang w:eastAsia="en-US"/>
        </w:rPr>
        <w:t>per patient</w:t>
      </w:r>
      <w:r w:rsidR="00EF7395">
        <w:rPr>
          <w:rFonts w:asciiTheme="minorHAnsi" w:hAnsiTheme="minorHAnsi"/>
          <w:snapToGrid w:val="0"/>
          <w:lang w:eastAsia="en-US"/>
        </w:rPr>
        <w:t xml:space="preserve"> </w:t>
      </w:r>
      <w:r w:rsidR="00187F28">
        <w:rPr>
          <w:rFonts w:asciiTheme="minorHAnsi" w:hAnsiTheme="minorHAnsi"/>
          <w:snapToGrid w:val="0"/>
          <w:lang w:eastAsia="en-US"/>
        </w:rPr>
        <w:t>(</w:t>
      </w:r>
      <w:r w:rsidR="000F3DA8">
        <w:rPr>
          <w:rFonts w:asciiTheme="minorHAnsi" w:hAnsiTheme="minorHAnsi"/>
          <w:snapToGrid w:val="0"/>
          <w:lang w:eastAsia="en-US"/>
        </w:rPr>
        <w:t xml:space="preserve">tucatinib </w:t>
      </w:r>
      <w:r w:rsidR="00187F28">
        <w:rPr>
          <w:rFonts w:asciiTheme="minorHAnsi" w:hAnsiTheme="minorHAnsi"/>
          <w:snapToGrid w:val="0"/>
          <w:lang w:eastAsia="en-US"/>
        </w:rPr>
        <w:t xml:space="preserve">drug costs only, </w:t>
      </w:r>
      <w:r w:rsidR="00BE146B">
        <w:rPr>
          <w:rFonts w:asciiTheme="minorHAnsi" w:hAnsiTheme="minorHAnsi"/>
          <w:snapToGrid w:val="0"/>
          <w:lang w:eastAsia="en-US"/>
        </w:rPr>
        <w:t>undiscounted).</w:t>
      </w:r>
      <w:bookmarkEnd w:id="90"/>
    </w:p>
    <w:p w14:paraId="3A3D9775" w14:textId="06C221C8" w:rsidR="00B3562F" w:rsidRDefault="007668CA" w:rsidP="007668CA">
      <w:pPr>
        <w:widowControl w:val="0"/>
        <w:numPr>
          <w:ilvl w:val="1"/>
          <w:numId w:val="4"/>
        </w:numPr>
        <w:spacing w:after="120"/>
        <w:rPr>
          <w:rFonts w:asciiTheme="minorHAnsi" w:hAnsiTheme="minorHAnsi"/>
          <w:snapToGrid w:val="0"/>
          <w:lang w:eastAsia="en-US"/>
        </w:rPr>
      </w:pPr>
      <w:bookmarkStart w:id="91" w:name="_Ref213925086"/>
      <w:r w:rsidRPr="007668CA">
        <w:rPr>
          <w:rFonts w:asciiTheme="minorHAnsi" w:hAnsiTheme="minorHAnsi"/>
          <w:snapToGrid w:val="0"/>
          <w:lang w:eastAsia="en-US"/>
        </w:rPr>
        <w:t xml:space="preserve">The PBAC considered the </w:t>
      </w:r>
      <w:r w:rsidR="00B3562F">
        <w:rPr>
          <w:rFonts w:asciiTheme="minorHAnsi" w:hAnsiTheme="minorHAnsi"/>
          <w:snapToGrid w:val="0"/>
          <w:lang w:eastAsia="en-US"/>
        </w:rPr>
        <w:t xml:space="preserve">key issue with the </w:t>
      </w:r>
      <w:r w:rsidRPr="007668CA">
        <w:rPr>
          <w:rFonts w:asciiTheme="minorHAnsi" w:hAnsiTheme="minorHAnsi"/>
          <w:snapToGrid w:val="0"/>
          <w:lang w:eastAsia="en-US"/>
        </w:rPr>
        <w:t xml:space="preserve">financial estimates </w:t>
      </w:r>
      <w:r w:rsidR="00B3562F">
        <w:rPr>
          <w:rFonts w:asciiTheme="minorHAnsi" w:hAnsiTheme="minorHAnsi"/>
          <w:snapToGrid w:val="0"/>
          <w:lang w:eastAsia="en-US"/>
        </w:rPr>
        <w:t xml:space="preserve">was the </w:t>
      </w:r>
      <w:r w:rsidR="00883BE1">
        <w:rPr>
          <w:rFonts w:asciiTheme="minorHAnsi" w:hAnsiTheme="minorHAnsi"/>
          <w:snapToGrid w:val="0"/>
          <w:lang w:eastAsia="en-US"/>
        </w:rPr>
        <w:t xml:space="preserve">resubmission’s </w:t>
      </w:r>
      <w:r w:rsidR="00B3562F">
        <w:rPr>
          <w:rFonts w:asciiTheme="minorHAnsi" w:hAnsiTheme="minorHAnsi"/>
          <w:snapToGrid w:val="0"/>
          <w:lang w:eastAsia="en-US"/>
        </w:rPr>
        <w:t>assumption that tucatinib would replace T-DM1</w:t>
      </w:r>
      <w:r w:rsidR="001F3618">
        <w:rPr>
          <w:rFonts w:asciiTheme="minorHAnsi" w:hAnsiTheme="minorHAnsi"/>
          <w:snapToGrid w:val="0"/>
          <w:lang w:eastAsia="en-US"/>
        </w:rPr>
        <w:t xml:space="preserve">. </w:t>
      </w:r>
      <w:r w:rsidR="005E21A7">
        <w:rPr>
          <w:rFonts w:asciiTheme="minorHAnsi" w:hAnsiTheme="minorHAnsi"/>
          <w:snapToGrid w:val="0"/>
          <w:lang w:eastAsia="en-US"/>
        </w:rPr>
        <w:t>The PBAC</w:t>
      </w:r>
      <w:r w:rsidRPr="007668CA">
        <w:rPr>
          <w:rFonts w:asciiTheme="minorHAnsi" w:hAnsiTheme="minorHAnsi"/>
          <w:snapToGrid w:val="0"/>
          <w:lang w:eastAsia="en-US"/>
        </w:rPr>
        <w:t xml:space="preserve"> </w:t>
      </w:r>
      <w:r w:rsidR="00B3562F">
        <w:rPr>
          <w:rFonts w:asciiTheme="minorHAnsi" w:hAnsiTheme="minorHAnsi"/>
          <w:snapToGrid w:val="0"/>
          <w:lang w:eastAsia="en-US"/>
        </w:rPr>
        <w:t>considered the following would be more appropriate:</w:t>
      </w:r>
      <w:bookmarkEnd w:id="91"/>
      <w:r w:rsidR="00B3562F">
        <w:rPr>
          <w:rFonts w:asciiTheme="minorHAnsi" w:hAnsiTheme="minorHAnsi"/>
          <w:snapToGrid w:val="0"/>
          <w:lang w:eastAsia="en-US"/>
        </w:rPr>
        <w:t xml:space="preserve"> </w:t>
      </w:r>
    </w:p>
    <w:p w14:paraId="0C173694" w14:textId="0E009963" w:rsidR="00B3562F" w:rsidRDefault="007668CA" w:rsidP="00B3562F">
      <w:pPr>
        <w:pStyle w:val="ListParagraph"/>
        <w:widowControl w:val="0"/>
        <w:numPr>
          <w:ilvl w:val="0"/>
          <w:numId w:val="14"/>
        </w:numPr>
        <w:rPr>
          <w:lang w:eastAsia="en-US"/>
        </w:rPr>
      </w:pPr>
      <w:r w:rsidRPr="00B3562F">
        <w:rPr>
          <w:lang w:eastAsia="en-US"/>
        </w:rPr>
        <w:t xml:space="preserve">tucatinib </w:t>
      </w:r>
      <w:r w:rsidR="00A50D2F">
        <w:rPr>
          <w:lang w:eastAsia="en-US"/>
        </w:rPr>
        <w:t>replacing</w:t>
      </w:r>
      <w:r w:rsidRPr="00B3562F">
        <w:rPr>
          <w:lang w:eastAsia="en-US"/>
        </w:rPr>
        <w:t xml:space="preserve"> </w:t>
      </w:r>
      <w:r w:rsidR="005E21A7" w:rsidRPr="005E21A7">
        <w:rPr>
          <w:lang w:eastAsia="en-US"/>
        </w:rPr>
        <w:t xml:space="preserve">trastuzumab </w:t>
      </w:r>
      <w:r w:rsidR="005D261F">
        <w:rPr>
          <w:lang w:eastAsia="en-US"/>
        </w:rPr>
        <w:t>plus</w:t>
      </w:r>
      <w:r w:rsidR="005E21A7" w:rsidRPr="005E21A7">
        <w:rPr>
          <w:lang w:eastAsia="en-US"/>
        </w:rPr>
        <w:t xml:space="preserve"> capecitabine</w:t>
      </w:r>
      <w:r w:rsidR="00A50D2F">
        <w:rPr>
          <w:lang w:eastAsia="en-US"/>
        </w:rPr>
        <w:t xml:space="preserve"> only</w:t>
      </w:r>
      <w:r w:rsidR="005E21A7" w:rsidRPr="005E21A7">
        <w:rPr>
          <w:lang w:eastAsia="en-US"/>
        </w:rPr>
        <w:t xml:space="preserve">, and that this would likely represent around half the </w:t>
      </w:r>
      <w:r w:rsidR="006B4487">
        <w:rPr>
          <w:lang w:eastAsia="en-US"/>
        </w:rPr>
        <w:t>estimated third line</w:t>
      </w:r>
      <w:r w:rsidR="006B4487" w:rsidRPr="005E21A7">
        <w:rPr>
          <w:lang w:eastAsia="en-US"/>
        </w:rPr>
        <w:t xml:space="preserve"> </w:t>
      </w:r>
      <w:r w:rsidR="005E21A7" w:rsidRPr="005E21A7">
        <w:rPr>
          <w:lang w:eastAsia="en-US"/>
        </w:rPr>
        <w:t>population. That is, of the patients who progress on T-</w:t>
      </w:r>
      <w:proofErr w:type="spellStart"/>
      <w:r w:rsidR="005E21A7" w:rsidRPr="005E21A7">
        <w:rPr>
          <w:lang w:eastAsia="en-US"/>
        </w:rPr>
        <w:t>DXd</w:t>
      </w:r>
      <w:proofErr w:type="spellEnd"/>
      <w:r w:rsidR="005E21A7" w:rsidRPr="005E21A7">
        <w:rPr>
          <w:lang w:eastAsia="en-US"/>
        </w:rPr>
        <w:t xml:space="preserve"> and receive further treatment, the PBAC considered that half would currently use T-DM1 (and this cohort were unlikely to receive tucatinib) and half would use trastuzumab </w:t>
      </w:r>
      <w:r w:rsidR="005D261F">
        <w:rPr>
          <w:lang w:eastAsia="en-US"/>
        </w:rPr>
        <w:t>plus</w:t>
      </w:r>
      <w:r w:rsidR="005E21A7" w:rsidRPr="005E21A7">
        <w:rPr>
          <w:lang w:eastAsia="en-US"/>
        </w:rPr>
        <w:t xml:space="preserve"> capecitabine.</w:t>
      </w:r>
    </w:p>
    <w:p w14:paraId="11392870" w14:textId="186B1E94" w:rsidR="00B3562F" w:rsidRDefault="007668CA" w:rsidP="00B3562F">
      <w:pPr>
        <w:pStyle w:val="ListParagraph"/>
        <w:widowControl w:val="0"/>
        <w:numPr>
          <w:ilvl w:val="0"/>
          <w:numId w:val="14"/>
        </w:numPr>
        <w:rPr>
          <w:lang w:eastAsia="en-US"/>
        </w:rPr>
      </w:pPr>
      <w:r w:rsidRPr="00B3562F">
        <w:rPr>
          <w:lang w:eastAsia="en-US"/>
        </w:rPr>
        <w:t xml:space="preserve">uptake in </w:t>
      </w:r>
      <w:r w:rsidR="004A7CF3">
        <w:rPr>
          <w:lang w:eastAsia="en-US"/>
        </w:rPr>
        <w:t xml:space="preserve">patients who </w:t>
      </w:r>
      <w:r w:rsidR="004A7CF3" w:rsidRPr="004A7CF3">
        <w:rPr>
          <w:lang w:eastAsia="en-US"/>
        </w:rPr>
        <w:t>would</w:t>
      </w:r>
      <w:r w:rsidR="004A7CF3">
        <w:rPr>
          <w:lang w:eastAsia="en-US"/>
        </w:rPr>
        <w:t xml:space="preserve"> otherwise</w:t>
      </w:r>
      <w:r w:rsidR="004A7CF3" w:rsidRPr="004A7CF3">
        <w:rPr>
          <w:lang w:eastAsia="en-US"/>
        </w:rPr>
        <w:t xml:space="preserve"> use trastuzumab </w:t>
      </w:r>
      <w:r w:rsidR="00700637">
        <w:rPr>
          <w:lang w:eastAsia="en-US"/>
        </w:rPr>
        <w:t>plus</w:t>
      </w:r>
      <w:r w:rsidR="004A7CF3" w:rsidRPr="004A7CF3">
        <w:rPr>
          <w:lang w:eastAsia="en-US"/>
        </w:rPr>
        <w:t xml:space="preserve"> capecitabine</w:t>
      </w:r>
      <w:r w:rsidR="004A7CF3">
        <w:rPr>
          <w:lang w:eastAsia="en-US"/>
        </w:rPr>
        <w:t xml:space="preserve"> </w:t>
      </w:r>
      <w:r w:rsidR="00D17B17">
        <w:rPr>
          <w:lang w:eastAsia="en-US"/>
        </w:rPr>
        <w:t xml:space="preserve">would likely be high, up to </w:t>
      </w:r>
      <w:r w:rsidR="009B6432" w:rsidRPr="009B6432">
        <w:rPr>
          <w:highlight w:val="black"/>
          <w:lang w:eastAsia="en-US"/>
        </w:rPr>
        <w:t>&amp;&amp;&amp;&amp;</w:t>
      </w:r>
      <w:r w:rsidRPr="00B3562F">
        <w:rPr>
          <w:lang w:eastAsia="en-US"/>
        </w:rPr>
        <w:t xml:space="preserve">% in Year 1, increasing to </w:t>
      </w:r>
      <w:r w:rsidR="009B6432" w:rsidRPr="009B6432">
        <w:rPr>
          <w:highlight w:val="black"/>
          <w:lang w:eastAsia="en-US"/>
        </w:rPr>
        <w:t>&amp;&amp;&amp;&amp;</w:t>
      </w:r>
      <w:r w:rsidRPr="00B3562F">
        <w:rPr>
          <w:lang w:eastAsia="en-US"/>
        </w:rPr>
        <w:t xml:space="preserve">% in Years 2–6. </w:t>
      </w:r>
    </w:p>
    <w:p w14:paraId="1FD896E1" w14:textId="446B69D2" w:rsidR="000D3C4F" w:rsidRPr="000D3C4F" w:rsidRDefault="004F2B0F" w:rsidP="000D3C4F">
      <w:pPr>
        <w:pStyle w:val="ListParagraph"/>
        <w:numPr>
          <w:ilvl w:val="0"/>
          <w:numId w:val="14"/>
        </w:numPr>
        <w:rPr>
          <w:lang w:eastAsia="en-US"/>
        </w:rPr>
      </w:pPr>
      <w:r>
        <w:rPr>
          <w:lang w:eastAsia="en-US"/>
        </w:rPr>
        <w:t>t</w:t>
      </w:r>
      <w:r w:rsidR="000D3C4F" w:rsidRPr="000D3C4F">
        <w:rPr>
          <w:lang w:eastAsia="en-US"/>
        </w:rPr>
        <w:t xml:space="preserve">he </w:t>
      </w:r>
      <w:r w:rsidR="000D3C4F">
        <w:rPr>
          <w:lang w:eastAsia="en-US"/>
        </w:rPr>
        <w:t xml:space="preserve">PBAC agreed with ESC that the proportion of patients who </w:t>
      </w:r>
      <w:r w:rsidR="000A69E9" w:rsidRPr="000D3C4F">
        <w:rPr>
          <w:lang w:eastAsia="en-US"/>
        </w:rPr>
        <w:t>discontinue T-</w:t>
      </w:r>
      <w:proofErr w:type="spellStart"/>
      <w:r w:rsidR="000A69E9" w:rsidRPr="000D3C4F">
        <w:rPr>
          <w:lang w:eastAsia="en-US"/>
        </w:rPr>
        <w:t>DXd</w:t>
      </w:r>
      <w:proofErr w:type="spellEnd"/>
      <w:r w:rsidR="000A69E9" w:rsidRPr="000D3C4F">
        <w:rPr>
          <w:lang w:eastAsia="en-US"/>
        </w:rPr>
        <w:t xml:space="preserve"> </w:t>
      </w:r>
      <w:r w:rsidR="000A69E9">
        <w:rPr>
          <w:lang w:eastAsia="en-US"/>
        </w:rPr>
        <w:t>and</w:t>
      </w:r>
      <w:r w:rsidR="000A69E9" w:rsidRPr="000D3C4F">
        <w:rPr>
          <w:lang w:eastAsia="en-US"/>
        </w:rPr>
        <w:t xml:space="preserve"> receive further systemic treatment </w:t>
      </w:r>
      <w:r w:rsidR="000A69E9">
        <w:rPr>
          <w:lang w:eastAsia="en-US"/>
        </w:rPr>
        <w:t xml:space="preserve">(71%) was likely overestimated </w:t>
      </w:r>
      <w:r w:rsidR="001C751B">
        <w:rPr>
          <w:lang w:eastAsia="en-US"/>
        </w:rPr>
        <w:t>by the resubmission. The</w:t>
      </w:r>
      <w:r w:rsidR="000D3C4F" w:rsidRPr="000D3C4F">
        <w:rPr>
          <w:lang w:eastAsia="en-US"/>
        </w:rPr>
        <w:t xml:space="preserve"> PBAC considered this proportion would likely be lower (e.g.</w:t>
      </w:r>
      <w:r w:rsidR="00EA0629">
        <w:rPr>
          <w:lang w:eastAsia="en-US"/>
        </w:rPr>
        <w:t>,</w:t>
      </w:r>
      <w:r w:rsidR="000D3C4F" w:rsidRPr="000D3C4F">
        <w:rPr>
          <w:lang w:eastAsia="en-US"/>
        </w:rPr>
        <w:t xml:space="preserve"> around 60%) as real world patients are generally less fit than patients enrolled in a clinical trial and thus, in clinical practice, fewer patients are likely to receive the next line of treatment.</w:t>
      </w:r>
    </w:p>
    <w:p w14:paraId="666449EA" w14:textId="4CA4CC2A" w:rsidR="005C679D" w:rsidRPr="00B3562F" w:rsidRDefault="004F2B0F" w:rsidP="00B3562F">
      <w:pPr>
        <w:pStyle w:val="ListParagraph"/>
        <w:widowControl w:val="0"/>
        <w:numPr>
          <w:ilvl w:val="0"/>
          <w:numId w:val="14"/>
        </w:numPr>
        <w:rPr>
          <w:lang w:eastAsia="en-US"/>
        </w:rPr>
      </w:pPr>
      <w:r>
        <w:rPr>
          <w:lang w:eastAsia="en-US"/>
        </w:rPr>
        <w:t>t</w:t>
      </w:r>
      <w:r w:rsidR="001C751B" w:rsidRPr="001C751B">
        <w:rPr>
          <w:lang w:eastAsia="en-US"/>
        </w:rPr>
        <w:t>he PBAC considered that the dosing assumptions in the financial estimates should be updated to be consistent with those applied in the CUA</w:t>
      </w:r>
      <w:r w:rsidR="009410DA">
        <w:rPr>
          <w:lang w:eastAsia="en-US"/>
        </w:rPr>
        <w:t>.</w:t>
      </w:r>
    </w:p>
    <w:p w14:paraId="4A1CD83F" w14:textId="709EEC84" w:rsidR="00BC1D21" w:rsidRPr="00BC1D21" w:rsidRDefault="00BC1D21" w:rsidP="00551CEE">
      <w:pPr>
        <w:pStyle w:val="3-BodyText"/>
        <w:widowControl w:val="0"/>
        <w:spacing w:after="120"/>
        <w:rPr>
          <w:snapToGrid w:val="0"/>
          <w:lang w:eastAsia="en-US"/>
        </w:rPr>
      </w:pPr>
      <w:r>
        <w:rPr>
          <w:snapToGrid w:val="0"/>
          <w:lang w:eastAsia="en-US"/>
        </w:rPr>
        <w:t xml:space="preserve">The PBAC considered that, with these adjustments applied to the financial estimates, </w:t>
      </w:r>
      <w:r w:rsidR="00434ADC">
        <w:rPr>
          <w:snapToGrid w:val="0"/>
          <w:lang w:eastAsia="en-US"/>
        </w:rPr>
        <w:t xml:space="preserve">there would be a reasonably </w:t>
      </w:r>
      <w:r w:rsidR="00434ADC" w:rsidRPr="007668CA">
        <w:rPr>
          <w:snapToGrid w:val="0"/>
          <w:lang w:eastAsia="en-US"/>
        </w:rPr>
        <w:t>high level of certainty in the financial estimates.</w:t>
      </w:r>
    </w:p>
    <w:p w14:paraId="70E211F9" w14:textId="7946E370" w:rsidR="004D72DC" w:rsidRPr="00316D40" w:rsidRDefault="008A6D68" w:rsidP="00551CEE">
      <w:pPr>
        <w:pStyle w:val="3-BodyText"/>
        <w:widowControl w:val="0"/>
        <w:spacing w:after="120"/>
        <w:rPr>
          <w:snapToGrid w:val="0"/>
          <w:lang w:eastAsia="en-US"/>
        </w:rPr>
      </w:pPr>
      <w:r w:rsidRPr="008A6D68">
        <w:rPr>
          <w:snapToGrid w:val="0"/>
          <w:lang w:eastAsia="en-US"/>
        </w:rPr>
        <w:t xml:space="preserve">The PBAC considered </w:t>
      </w:r>
      <w:r>
        <w:rPr>
          <w:snapToGrid w:val="0"/>
          <w:lang w:eastAsia="en-US"/>
        </w:rPr>
        <w:t>that an</w:t>
      </w:r>
      <w:r w:rsidRPr="008A6D68">
        <w:rPr>
          <w:snapToGrid w:val="0"/>
          <w:lang w:eastAsia="en-US"/>
        </w:rPr>
        <w:t xml:space="preserve"> RSA may be appropriate if there </w:t>
      </w:r>
      <w:r>
        <w:rPr>
          <w:snapToGrid w:val="0"/>
          <w:lang w:eastAsia="en-US"/>
        </w:rPr>
        <w:t>i</w:t>
      </w:r>
      <w:r w:rsidRPr="008A6D68">
        <w:rPr>
          <w:snapToGrid w:val="0"/>
          <w:lang w:eastAsia="en-US"/>
        </w:rPr>
        <w:t xml:space="preserve">s a risk of the cost per patient exceeding that outlined in </w:t>
      </w:r>
      <w:r w:rsidR="00D266C2" w:rsidRPr="00824523">
        <w:rPr>
          <w:rFonts w:eastAsia="Times New Roman" w:cs="Arial"/>
          <w:snapToGrid w:val="0"/>
          <w:szCs w:val="24"/>
          <w:lang w:eastAsia="en-US"/>
        </w:rPr>
        <w:t>paragraph</w:t>
      </w:r>
      <w:r w:rsidR="00D266C2">
        <w:rPr>
          <w:rFonts w:eastAsia="Times New Roman" w:cs="Arial"/>
          <w:snapToGrid w:val="0"/>
          <w:szCs w:val="24"/>
          <w:lang w:eastAsia="en-US"/>
        </w:rPr>
        <w:t xml:space="preserve"> </w:t>
      </w:r>
      <w:r w:rsidR="00D266C2">
        <w:rPr>
          <w:rFonts w:eastAsia="Times New Roman" w:cs="Arial"/>
          <w:snapToGrid w:val="0"/>
          <w:szCs w:val="24"/>
          <w:lang w:eastAsia="en-US"/>
        </w:rPr>
        <w:fldChar w:fldCharType="begin"/>
      </w:r>
      <w:r w:rsidR="00D266C2">
        <w:rPr>
          <w:rFonts w:eastAsia="Times New Roman" w:cs="Arial"/>
          <w:snapToGrid w:val="0"/>
          <w:szCs w:val="24"/>
          <w:lang w:eastAsia="en-US"/>
        </w:rPr>
        <w:instrText xml:space="preserve"> REF _Ref213925123 \r \h </w:instrText>
      </w:r>
      <w:r w:rsidR="00D266C2">
        <w:rPr>
          <w:rFonts w:eastAsia="Times New Roman" w:cs="Arial"/>
          <w:snapToGrid w:val="0"/>
          <w:szCs w:val="24"/>
          <w:lang w:eastAsia="en-US"/>
        </w:rPr>
      </w:r>
      <w:r w:rsidR="00D266C2">
        <w:rPr>
          <w:rFonts w:eastAsia="Times New Roman" w:cs="Arial"/>
          <w:snapToGrid w:val="0"/>
          <w:szCs w:val="24"/>
          <w:lang w:eastAsia="en-US"/>
        </w:rPr>
        <w:fldChar w:fldCharType="separate"/>
      </w:r>
      <w:r w:rsidR="009B3037">
        <w:rPr>
          <w:rFonts w:eastAsia="Times New Roman" w:cs="Arial"/>
          <w:snapToGrid w:val="0"/>
          <w:szCs w:val="24"/>
          <w:lang w:eastAsia="en-US"/>
        </w:rPr>
        <w:t>7.11</w:t>
      </w:r>
      <w:r w:rsidR="00D266C2">
        <w:rPr>
          <w:rFonts w:eastAsia="Times New Roman" w:cs="Arial"/>
          <w:snapToGrid w:val="0"/>
          <w:szCs w:val="24"/>
          <w:lang w:eastAsia="en-US"/>
        </w:rPr>
        <w:fldChar w:fldCharType="end"/>
      </w:r>
      <w:r w:rsidRPr="008A6D68">
        <w:rPr>
          <w:snapToGrid w:val="0"/>
          <w:lang w:eastAsia="en-US"/>
        </w:rPr>
        <w:t>. In this circumstance</w:t>
      </w:r>
      <w:r w:rsidR="00C57010">
        <w:rPr>
          <w:snapToGrid w:val="0"/>
          <w:lang w:eastAsia="en-US"/>
        </w:rPr>
        <w:t>, t</w:t>
      </w:r>
      <w:r w:rsidR="00C57010" w:rsidRPr="00C57010">
        <w:rPr>
          <w:snapToGrid w:val="0"/>
          <w:lang w:eastAsia="en-US"/>
        </w:rPr>
        <w:t xml:space="preserve">he PBAC considered that </w:t>
      </w:r>
      <w:r w:rsidR="009B6432" w:rsidRPr="009B6432">
        <w:rPr>
          <w:snapToGrid w:val="0"/>
          <w:highlight w:val="black"/>
          <w:lang w:eastAsia="en-US"/>
        </w:rPr>
        <w:t>&amp;&amp;&amp;&amp;</w:t>
      </w:r>
      <w:r w:rsidR="00C57010" w:rsidRPr="00C57010">
        <w:rPr>
          <w:snapToGrid w:val="0"/>
          <w:lang w:eastAsia="en-US"/>
        </w:rPr>
        <w:t>% re</w:t>
      </w:r>
      <w:r w:rsidR="006270FC">
        <w:rPr>
          <w:snapToGrid w:val="0"/>
          <w:lang w:eastAsia="en-US"/>
        </w:rPr>
        <w:t xml:space="preserve">imbursement </w:t>
      </w:r>
      <w:r w:rsidR="00C57010" w:rsidRPr="00C57010">
        <w:rPr>
          <w:snapToGrid w:val="0"/>
          <w:lang w:eastAsia="en-US"/>
        </w:rPr>
        <w:t>would be required for expenditure above the utilisation estimates (i.e. based on the resubmission’s utilisation estimates, adjusted for the issues outlined in paragraph 7.12, and based on the treatment costs outlined in paragraph 7.11)</w:t>
      </w:r>
      <w:r w:rsidR="001C6E56">
        <w:rPr>
          <w:snapToGrid w:val="0"/>
          <w:lang w:eastAsia="en-US"/>
        </w:rPr>
        <w:t xml:space="preserve">. </w:t>
      </w:r>
      <w:r w:rsidR="00C57010" w:rsidRPr="00C57010">
        <w:rPr>
          <w:snapToGrid w:val="0"/>
          <w:lang w:eastAsia="en-US"/>
        </w:rPr>
        <w:t xml:space="preserve"> </w:t>
      </w:r>
    </w:p>
    <w:p w14:paraId="6E668897" w14:textId="0BA1A5A1" w:rsidR="00730875" w:rsidRPr="00CB73C6" w:rsidRDefault="00730875" w:rsidP="00730875">
      <w:pPr>
        <w:pStyle w:val="3-BodyText"/>
        <w:widowControl w:val="0"/>
        <w:numPr>
          <w:ilvl w:val="0"/>
          <w:numId w:val="0"/>
        </w:numPr>
        <w:spacing w:after="120"/>
        <w:rPr>
          <w:b/>
          <w:bCs/>
          <w:i/>
          <w:iCs/>
          <w:snapToGrid w:val="0"/>
          <w:lang w:eastAsia="en-US"/>
        </w:rPr>
      </w:pPr>
      <w:r w:rsidRPr="00CB73C6">
        <w:rPr>
          <w:rFonts w:eastAsia="Times New Roman" w:cs="Arial"/>
          <w:b/>
          <w:bCs/>
          <w:i/>
          <w:iCs/>
          <w:snapToGrid w:val="0"/>
          <w:szCs w:val="24"/>
          <w:lang w:eastAsia="en-US"/>
        </w:rPr>
        <w:t>Restriction</w:t>
      </w:r>
    </w:p>
    <w:p w14:paraId="1D0EE47C" w14:textId="766D62E7" w:rsidR="00642660" w:rsidRPr="00CB73C6" w:rsidRDefault="00F57E3F" w:rsidP="00551CEE">
      <w:pPr>
        <w:pStyle w:val="3-BodyText"/>
        <w:widowControl w:val="0"/>
        <w:spacing w:after="120"/>
        <w:rPr>
          <w:snapToGrid w:val="0"/>
          <w:lang w:eastAsia="en-US"/>
        </w:rPr>
      </w:pPr>
      <w:r w:rsidRPr="00CB73C6">
        <w:rPr>
          <w:snapToGrid w:val="0"/>
          <w:lang w:eastAsia="en-US"/>
        </w:rPr>
        <w:t>The PBAC considered that a</w:t>
      </w:r>
      <w:r w:rsidR="00CB73C6" w:rsidRPr="00CB73C6">
        <w:rPr>
          <w:snapToGrid w:val="0"/>
          <w:lang w:eastAsia="en-US"/>
        </w:rPr>
        <w:t>n</w:t>
      </w:r>
      <w:r w:rsidRPr="00CB73C6">
        <w:rPr>
          <w:snapToGrid w:val="0"/>
          <w:lang w:eastAsia="en-US"/>
        </w:rPr>
        <w:t xml:space="preserve"> </w:t>
      </w:r>
      <w:r w:rsidR="00CB73C6" w:rsidRPr="00CB73C6">
        <w:rPr>
          <w:snapToGrid w:val="0"/>
          <w:lang w:eastAsia="en-US"/>
        </w:rPr>
        <w:t>Authority Required (Streamlined) listing would be appropriate</w:t>
      </w:r>
      <w:r w:rsidR="00CB73C6">
        <w:rPr>
          <w:snapToGrid w:val="0"/>
          <w:lang w:eastAsia="en-US"/>
        </w:rPr>
        <w:t xml:space="preserve"> for tucatinib</w:t>
      </w:r>
      <w:r w:rsidR="00CB73C6" w:rsidRPr="00CB73C6">
        <w:rPr>
          <w:snapToGrid w:val="0"/>
          <w:lang w:eastAsia="en-US"/>
        </w:rPr>
        <w:t xml:space="preserve">, consistent with the existing listing for </w:t>
      </w:r>
      <w:r w:rsidR="00B920DB" w:rsidRPr="00CB73C6">
        <w:rPr>
          <w:snapToGrid w:val="0"/>
          <w:lang w:eastAsia="en-US"/>
        </w:rPr>
        <w:t>trastuzumab</w:t>
      </w:r>
      <w:r w:rsidR="00CB73C6" w:rsidRPr="00CB73C6">
        <w:rPr>
          <w:snapToGrid w:val="0"/>
          <w:lang w:eastAsia="en-US"/>
        </w:rPr>
        <w:t>.</w:t>
      </w:r>
    </w:p>
    <w:p w14:paraId="2E04665E" w14:textId="0D1D33B9" w:rsidR="00F677BF" w:rsidRDefault="00393858" w:rsidP="00551CEE">
      <w:pPr>
        <w:pStyle w:val="3-BodyText"/>
        <w:widowControl w:val="0"/>
        <w:spacing w:after="120"/>
        <w:rPr>
          <w:snapToGrid w:val="0"/>
          <w:lang w:eastAsia="en-US"/>
        </w:rPr>
      </w:pPr>
      <w:r w:rsidRPr="00824523">
        <w:rPr>
          <w:snapToGrid w:val="0"/>
          <w:lang w:eastAsia="en-US"/>
        </w:rPr>
        <w:t>The PBAC considered that</w:t>
      </w:r>
      <w:r w:rsidR="00FD5F64">
        <w:rPr>
          <w:snapToGrid w:val="0"/>
          <w:lang w:eastAsia="en-US"/>
        </w:rPr>
        <w:t>,</w:t>
      </w:r>
      <w:r w:rsidR="00FD5F64" w:rsidRPr="00FD5F64">
        <w:t xml:space="preserve"> </w:t>
      </w:r>
      <w:r w:rsidR="00FD5F64" w:rsidRPr="00FD5F64">
        <w:rPr>
          <w:snapToGrid w:val="0"/>
          <w:lang w:eastAsia="en-US"/>
        </w:rPr>
        <w:t>for the 150 mg and 50 mg strengths, the maximum quantity should be one pack</w:t>
      </w:r>
      <w:r w:rsidR="00204DD8">
        <w:rPr>
          <w:snapToGrid w:val="0"/>
          <w:lang w:eastAsia="en-US"/>
        </w:rPr>
        <w:t xml:space="preserve"> for both the initial and continuing listings</w:t>
      </w:r>
      <w:r w:rsidR="00BC1E11">
        <w:rPr>
          <w:snapToGrid w:val="0"/>
          <w:lang w:eastAsia="en-US"/>
        </w:rPr>
        <w:t xml:space="preserve">, </w:t>
      </w:r>
      <w:r w:rsidR="00FD5F64" w:rsidRPr="00FD5F64">
        <w:rPr>
          <w:snapToGrid w:val="0"/>
          <w:lang w:eastAsia="en-US"/>
        </w:rPr>
        <w:t>noting this would provide 21 days of therapy</w:t>
      </w:r>
      <w:r w:rsidR="00042C2C">
        <w:rPr>
          <w:snapToGrid w:val="0"/>
          <w:lang w:eastAsia="en-US"/>
        </w:rPr>
        <w:t xml:space="preserve"> </w:t>
      </w:r>
      <w:r w:rsidR="00502C82">
        <w:rPr>
          <w:snapToGrid w:val="0"/>
          <w:lang w:eastAsia="en-US"/>
        </w:rPr>
        <w:t>(</w:t>
      </w:r>
      <w:r w:rsidR="00042C2C">
        <w:rPr>
          <w:snapToGrid w:val="0"/>
          <w:lang w:eastAsia="en-US"/>
        </w:rPr>
        <w:t>with the 150 mg stre</w:t>
      </w:r>
      <w:r w:rsidR="00502C82">
        <w:rPr>
          <w:snapToGrid w:val="0"/>
          <w:lang w:eastAsia="en-US"/>
        </w:rPr>
        <w:t>n</w:t>
      </w:r>
      <w:r w:rsidR="00042C2C">
        <w:rPr>
          <w:snapToGrid w:val="0"/>
          <w:lang w:eastAsia="en-US"/>
        </w:rPr>
        <w:t>gth</w:t>
      </w:r>
      <w:r w:rsidR="00502C82">
        <w:rPr>
          <w:snapToGrid w:val="0"/>
          <w:lang w:eastAsia="en-US"/>
        </w:rPr>
        <w:t>)</w:t>
      </w:r>
      <w:r w:rsidR="00FD5F64" w:rsidRPr="00FD5F64">
        <w:rPr>
          <w:snapToGrid w:val="0"/>
          <w:lang w:eastAsia="en-US"/>
        </w:rPr>
        <w:t xml:space="preserve"> at the maximum dose</w:t>
      </w:r>
      <w:r w:rsidR="00204DD8">
        <w:rPr>
          <w:snapToGrid w:val="0"/>
          <w:lang w:eastAsia="en-US"/>
        </w:rPr>
        <w:t xml:space="preserve">, which </w:t>
      </w:r>
      <w:r w:rsidR="00FD5F64" w:rsidRPr="00FD5F64">
        <w:rPr>
          <w:snapToGrid w:val="0"/>
          <w:lang w:eastAsia="en-US"/>
        </w:rPr>
        <w:t>correspond</w:t>
      </w:r>
      <w:r w:rsidR="00204DD8">
        <w:rPr>
          <w:snapToGrid w:val="0"/>
          <w:lang w:eastAsia="en-US"/>
        </w:rPr>
        <w:t>s</w:t>
      </w:r>
      <w:r w:rsidR="00FD5F64" w:rsidRPr="00FD5F64">
        <w:rPr>
          <w:snapToGrid w:val="0"/>
          <w:lang w:eastAsia="en-US"/>
        </w:rPr>
        <w:t xml:space="preserve"> with one treatment cycle of trastuzumab and capecitabine. </w:t>
      </w:r>
      <w:r w:rsidR="00204DD8">
        <w:rPr>
          <w:snapToGrid w:val="0"/>
          <w:lang w:eastAsia="en-US"/>
        </w:rPr>
        <w:t>T</w:t>
      </w:r>
      <w:r w:rsidR="00FD5F64" w:rsidRPr="00FD5F64">
        <w:rPr>
          <w:snapToGrid w:val="0"/>
          <w:lang w:eastAsia="en-US"/>
        </w:rPr>
        <w:t xml:space="preserve">he PBAC considered this may reduce wastage compared with </w:t>
      </w:r>
      <w:r w:rsidR="003B58EF">
        <w:rPr>
          <w:snapToGrid w:val="0"/>
          <w:lang w:eastAsia="en-US"/>
        </w:rPr>
        <w:t>the requested</w:t>
      </w:r>
      <w:r w:rsidR="00FD5F64" w:rsidRPr="00FD5F64">
        <w:rPr>
          <w:snapToGrid w:val="0"/>
          <w:lang w:eastAsia="en-US"/>
        </w:rPr>
        <w:t xml:space="preserve"> maximum quantity </w:t>
      </w:r>
      <w:r w:rsidR="00FD5F64" w:rsidRPr="00FD5F64">
        <w:rPr>
          <w:snapToGrid w:val="0"/>
          <w:lang w:eastAsia="en-US"/>
        </w:rPr>
        <w:lastRenderedPageBreak/>
        <w:t xml:space="preserve">of two packs. </w:t>
      </w:r>
    </w:p>
    <w:p w14:paraId="0DE14BE4" w14:textId="75B290C4" w:rsidR="00393858" w:rsidRDefault="00FD5F64" w:rsidP="00551CEE">
      <w:pPr>
        <w:pStyle w:val="3-BodyText"/>
        <w:widowControl w:val="0"/>
        <w:spacing w:after="120"/>
        <w:rPr>
          <w:snapToGrid w:val="0"/>
          <w:lang w:eastAsia="en-US"/>
        </w:rPr>
      </w:pPr>
      <w:r>
        <w:rPr>
          <w:snapToGrid w:val="0"/>
          <w:lang w:eastAsia="en-US"/>
        </w:rPr>
        <w:t>The PBAC considered that the maximum number of repeats should be: two for the 150</w:t>
      </w:r>
      <w:r w:rsidR="00CF1263">
        <w:rPr>
          <w:snapToGrid w:val="0"/>
          <w:lang w:eastAsia="en-US"/>
        </w:rPr>
        <w:t> </w:t>
      </w:r>
      <w:r>
        <w:rPr>
          <w:snapToGrid w:val="0"/>
          <w:lang w:eastAsia="en-US"/>
        </w:rPr>
        <w:t>mg strength; and one for the 50 mg strength</w:t>
      </w:r>
      <w:r w:rsidR="003B58EF">
        <w:rPr>
          <w:snapToGrid w:val="0"/>
          <w:lang w:eastAsia="en-US"/>
        </w:rPr>
        <w:t xml:space="preserve"> (</w:t>
      </w:r>
      <w:r w:rsidR="006A5962">
        <w:rPr>
          <w:snapToGrid w:val="0"/>
          <w:lang w:eastAsia="en-US"/>
        </w:rPr>
        <w:t>for both the initial and continuing listing</w:t>
      </w:r>
      <w:r w:rsidR="003B58EF">
        <w:rPr>
          <w:snapToGrid w:val="0"/>
          <w:lang w:eastAsia="en-US"/>
        </w:rPr>
        <w:t>s)</w:t>
      </w:r>
      <w:r w:rsidR="006A5962">
        <w:rPr>
          <w:snapToGrid w:val="0"/>
          <w:lang w:eastAsia="en-US"/>
        </w:rPr>
        <w:t xml:space="preserve">. </w:t>
      </w:r>
      <w:r w:rsidR="00407890">
        <w:rPr>
          <w:snapToGrid w:val="0"/>
          <w:lang w:eastAsia="en-US"/>
        </w:rPr>
        <w:t>This would allow nine weeks of treatment with the initial listing at the maximum dose</w:t>
      </w:r>
      <w:r w:rsidR="004D6C7B">
        <w:rPr>
          <w:snapToGrid w:val="0"/>
          <w:lang w:eastAsia="en-US"/>
        </w:rPr>
        <w:t xml:space="preserve"> (300 mg twice daily)</w:t>
      </w:r>
      <w:r w:rsidR="00F677BF">
        <w:rPr>
          <w:snapToGrid w:val="0"/>
          <w:lang w:eastAsia="en-US"/>
        </w:rPr>
        <w:t xml:space="preserve">. </w:t>
      </w:r>
      <w:r w:rsidR="00CF1263">
        <w:rPr>
          <w:snapToGrid w:val="0"/>
          <w:lang w:eastAsia="en-US"/>
        </w:rPr>
        <w:t xml:space="preserve">The lower number of repeats for the 50 mg strength </w:t>
      </w:r>
      <w:r w:rsidR="004B3490">
        <w:rPr>
          <w:snapToGrid w:val="0"/>
          <w:lang w:eastAsia="en-US"/>
        </w:rPr>
        <w:t xml:space="preserve">reflects the </w:t>
      </w:r>
      <w:r w:rsidR="00F677BF" w:rsidRPr="00F677BF">
        <w:rPr>
          <w:snapToGrid w:val="0"/>
          <w:lang w:eastAsia="en-US"/>
        </w:rPr>
        <w:t xml:space="preserve">potential </w:t>
      </w:r>
      <w:r w:rsidR="004B3490">
        <w:rPr>
          <w:snapToGrid w:val="0"/>
          <w:lang w:eastAsia="en-US"/>
        </w:rPr>
        <w:t xml:space="preserve">for </w:t>
      </w:r>
      <w:r w:rsidR="00F677BF" w:rsidRPr="00F677BF">
        <w:rPr>
          <w:snapToGrid w:val="0"/>
          <w:lang w:eastAsia="en-US"/>
        </w:rPr>
        <w:t xml:space="preserve">excess supply </w:t>
      </w:r>
      <w:r w:rsidR="004B3490">
        <w:rPr>
          <w:snapToGrid w:val="0"/>
          <w:lang w:eastAsia="en-US"/>
        </w:rPr>
        <w:t>(e.g.</w:t>
      </w:r>
      <w:r w:rsidR="00364618">
        <w:rPr>
          <w:snapToGrid w:val="0"/>
          <w:lang w:eastAsia="en-US"/>
        </w:rPr>
        <w:t>,</w:t>
      </w:r>
      <w:r w:rsidR="004B3490">
        <w:rPr>
          <w:snapToGrid w:val="0"/>
          <w:lang w:eastAsia="en-US"/>
        </w:rPr>
        <w:t xml:space="preserve"> if doses fluctuate or  </w:t>
      </w:r>
      <w:r w:rsidR="00F677BF" w:rsidRPr="00F677BF">
        <w:rPr>
          <w:snapToGrid w:val="0"/>
          <w:lang w:eastAsia="en-US"/>
        </w:rPr>
        <w:t>if a stable dose of 200 mg dose is prescribed</w:t>
      </w:r>
      <w:r w:rsidR="004B3490">
        <w:rPr>
          <w:snapToGrid w:val="0"/>
          <w:lang w:eastAsia="en-US"/>
        </w:rPr>
        <w:t>)</w:t>
      </w:r>
      <w:r w:rsidR="00F677BF" w:rsidRPr="00F677BF">
        <w:rPr>
          <w:snapToGrid w:val="0"/>
          <w:lang w:eastAsia="en-US"/>
        </w:rPr>
        <w:t>, but with</w:t>
      </w:r>
      <w:r w:rsidR="00B62889">
        <w:rPr>
          <w:snapToGrid w:val="0"/>
          <w:lang w:eastAsia="en-US"/>
        </w:rPr>
        <w:t xml:space="preserve"> a</w:t>
      </w:r>
      <w:r w:rsidR="00F677BF" w:rsidRPr="00F677BF">
        <w:rPr>
          <w:snapToGrid w:val="0"/>
          <w:lang w:eastAsia="en-US"/>
        </w:rPr>
        <w:t xml:space="preserve"> direction to Services Australia that an increase in the number of repeats is permitted </w:t>
      </w:r>
      <w:r w:rsidR="006E7849">
        <w:rPr>
          <w:snapToGrid w:val="0"/>
          <w:lang w:eastAsia="en-US"/>
        </w:rPr>
        <w:t>if required.</w:t>
      </w:r>
    </w:p>
    <w:p w14:paraId="36039748" w14:textId="18B5846C" w:rsidR="006E7849" w:rsidRPr="007668CA" w:rsidRDefault="00EB0AFA" w:rsidP="00551CEE">
      <w:pPr>
        <w:pStyle w:val="3-BodyText"/>
        <w:widowControl w:val="0"/>
        <w:spacing w:after="120"/>
        <w:rPr>
          <w:snapToGrid w:val="0"/>
          <w:lang w:eastAsia="en-US"/>
        </w:rPr>
      </w:pPr>
      <w:r>
        <w:rPr>
          <w:snapToGrid w:val="0"/>
          <w:lang w:eastAsia="en-US"/>
        </w:rPr>
        <w:t xml:space="preserve">The resubmission requested a </w:t>
      </w:r>
      <w:r w:rsidR="00164D2F">
        <w:rPr>
          <w:snapToGrid w:val="0"/>
          <w:lang w:eastAsia="en-US"/>
        </w:rPr>
        <w:t xml:space="preserve">grandfather restriction for </w:t>
      </w:r>
      <w:r w:rsidR="00164D2F" w:rsidRPr="00164D2F">
        <w:rPr>
          <w:snapToGrid w:val="0"/>
          <w:lang w:eastAsia="en-US"/>
        </w:rPr>
        <w:t xml:space="preserve">patients who received tucatinib prior to the </w:t>
      </w:r>
      <w:r w:rsidR="00164D2F">
        <w:rPr>
          <w:snapToGrid w:val="0"/>
          <w:lang w:eastAsia="en-US"/>
        </w:rPr>
        <w:t xml:space="preserve">PBS </w:t>
      </w:r>
      <w:r w:rsidR="00164D2F" w:rsidRPr="00164D2F">
        <w:rPr>
          <w:snapToGrid w:val="0"/>
          <w:lang w:eastAsia="en-US"/>
        </w:rPr>
        <w:t>listing date through a patient support program</w:t>
      </w:r>
      <w:r w:rsidR="00164D2F">
        <w:rPr>
          <w:snapToGrid w:val="0"/>
          <w:lang w:eastAsia="en-US"/>
        </w:rPr>
        <w:t xml:space="preserve">. The PBAC considered </w:t>
      </w:r>
      <w:r w:rsidR="00DD679E">
        <w:rPr>
          <w:snapToGrid w:val="0"/>
          <w:lang w:eastAsia="en-US"/>
        </w:rPr>
        <w:t xml:space="preserve">it would be appropriate to enable access for grandfather patients who otherwise met the PBS criteria at the time of </w:t>
      </w:r>
      <w:r w:rsidR="00310048">
        <w:rPr>
          <w:snapToGrid w:val="0"/>
          <w:lang w:eastAsia="en-US"/>
        </w:rPr>
        <w:t xml:space="preserve">tucatinib </w:t>
      </w:r>
      <w:r w:rsidR="00DD679E">
        <w:rPr>
          <w:snapToGrid w:val="0"/>
          <w:lang w:eastAsia="en-US"/>
        </w:rPr>
        <w:t>initiation</w:t>
      </w:r>
      <w:r w:rsidR="00EC33D3">
        <w:rPr>
          <w:snapToGrid w:val="0"/>
          <w:lang w:eastAsia="en-US"/>
        </w:rPr>
        <w:t xml:space="preserve"> including the criteria around prior therapies</w:t>
      </w:r>
      <w:r w:rsidR="00DD679E">
        <w:rPr>
          <w:snapToGrid w:val="0"/>
          <w:lang w:eastAsia="en-US"/>
        </w:rPr>
        <w:t xml:space="preserve">. </w:t>
      </w:r>
    </w:p>
    <w:p w14:paraId="0D4B6540" w14:textId="40E4DD9D" w:rsidR="00B76057" w:rsidRPr="004D35A8" w:rsidRDefault="00B76057" w:rsidP="00B76057">
      <w:pPr>
        <w:widowControl w:val="0"/>
        <w:numPr>
          <w:ilvl w:val="1"/>
          <w:numId w:val="4"/>
        </w:numPr>
        <w:spacing w:after="120"/>
        <w:jc w:val="left"/>
        <w:rPr>
          <w:rFonts w:asciiTheme="minorHAnsi" w:hAnsiTheme="minorHAnsi"/>
          <w:bCs/>
          <w:snapToGrid w:val="0"/>
          <w:lang w:val="en-GB" w:eastAsia="en-US"/>
        </w:rPr>
      </w:pPr>
      <w:r w:rsidRPr="004D35A8">
        <w:rPr>
          <w:rFonts w:asciiTheme="minorHAnsi" w:hAnsiTheme="minorHAnsi"/>
          <w:bCs/>
          <w:snapToGrid w:val="0"/>
          <w:lang w:val="en-GB" w:eastAsia="en-US"/>
        </w:rPr>
        <w:t>The PBAC advised that tucatinib is not suitable for prescribing by nurse practitioners</w:t>
      </w:r>
      <w:r w:rsidR="001C035D">
        <w:rPr>
          <w:rFonts w:asciiTheme="minorHAnsi" w:hAnsiTheme="minorHAnsi"/>
          <w:bCs/>
          <w:snapToGrid w:val="0"/>
          <w:lang w:val="en-GB" w:eastAsia="en-US"/>
        </w:rPr>
        <w:t xml:space="preserve"> given the toxicity of the regimen</w:t>
      </w:r>
      <w:r w:rsidRPr="004D35A8">
        <w:rPr>
          <w:rFonts w:asciiTheme="minorHAnsi" w:hAnsiTheme="minorHAnsi"/>
          <w:bCs/>
          <w:snapToGrid w:val="0"/>
          <w:lang w:val="en-GB" w:eastAsia="en-US"/>
        </w:rPr>
        <w:t xml:space="preserve">. </w:t>
      </w:r>
    </w:p>
    <w:p w14:paraId="3CCD62BA" w14:textId="44163EEA" w:rsidR="006D7A59" w:rsidRPr="00A73D97" w:rsidRDefault="00424B65" w:rsidP="006D7A59">
      <w:pPr>
        <w:widowControl w:val="0"/>
        <w:numPr>
          <w:ilvl w:val="1"/>
          <w:numId w:val="4"/>
        </w:numPr>
        <w:spacing w:after="120"/>
        <w:jc w:val="left"/>
        <w:rPr>
          <w:rFonts w:asciiTheme="minorHAnsi" w:hAnsiTheme="minorHAnsi"/>
          <w:bCs/>
          <w:snapToGrid w:val="0"/>
          <w:lang w:val="en-GB" w:eastAsia="en-US"/>
        </w:rPr>
      </w:pPr>
      <w:r w:rsidRPr="00424B65">
        <w:rPr>
          <w:rFonts w:asciiTheme="minorHAnsi" w:hAnsiTheme="minorHAnsi"/>
          <w:bCs/>
          <w:snapToGrid w:val="0"/>
          <w:lang w:val="en-GB" w:eastAsia="en-US"/>
        </w:rPr>
        <w:t xml:space="preserve">The PBAC advised that </w:t>
      </w:r>
      <w:r w:rsidRPr="00A73D97">
        <w:rPr>
          <w:rFonts w:asciiTheme="minorHAnsi" w:hAnsiTheme="minorHAnsi"/>
          <w:bCs/>
          <w:snapToGrid w:val="0"/>
          <w:lang w:val="en-GB" w:eastAsia="en-US"/>
        </w:rPr>
        <w:t>tucatinib should be exempt from the Early Supply Rule</w:t>
      </w:r>
      <w:r w:rsidR="00A73D97" w:rsidRPr="00A73D97">
        <w:rPr>
          <w:rFonts w:asciiTheme="minorHAnsi" w:hAnsiTheme="minorHAnsi"/>
          <w:bCs/>
          <w:snapToGrid w:val="0"/>
          <w:lang w:val="en-GB" w:eastAsia="en-US"/>
        </w:rPr>
        <w:t xml:space="preserve"> given the </w:t>
      </w:r>
      <w:r w:rsidR="006D7A59" w:rsidRPr="00A73D97">
        <w:rPr>
          <w:rFonts w:eastAsia="Calibri" w:cs="Calibri"/>
          <w:lang w:eastAsia="en-US"/>
        </w:rPr>
        <w:t xml:space="preserve">maximum quantities </w:t>
      </w:r>
      <w:r w:rsidR="00A73D97">
        <w:rPr>
          <w:rFonts w:eastAsia="Calibri" w:cs="Calibri"/>
          <w:lang w:eastAsia="en-US"/>
        </w:rPr>
        <w:t xml:space="preserve">are only sufficient for </w:t>
      </w:r>
      <w:r w:rsidR="006D7A59" w:rsidRPr="00A73D97">
        <w:rPr>
          <w:rFonts w:eastAsia="Calibri" w:cs="Calibri"/>
          <w:lang w:eastAsia="en-US"/>
        </w:rPr>
        <w:t>21 days per supply</w:t>
      </w:r>
      <w:r w:rsidR="00A73D97">
        <w:rPr>
          <w:rFonts w:eastAsia="Calibri" w:cs="Calibri"/>
          <w:lang w:eastAsia="en-US"/>
        </w:rPr>
        <w:t xml:space="preserve"> at the maximum dose</w:t>
      </w:r>
      <w:r w:rsidR="00A73D97" w:rsidRPr="00A73D97">
        <w:rPr>
          <w:rFonts w:eastAsia="Calibri" w:cs="Calibri"/>
          <w:lang w:eastAsia="en-US"/>
        </w:rPr>
        <w:t>.</w:t>
      </w:r>
    </w:p>
    <w:p w14:paraId="3D5A2963" w14:textId="60122659" w:rsidR="00B76057" w:rsidRPr="006D7A59" w:rsidRDefault="00B76057" w:rsidP="00551CEE">
      <w:pPr>
        <w:pStyle w:val="3-BodyText"/>
        <w:rPr>
          <w:snapToGrid w:val="0"/>
          <w:lang w:val="en-GB" w:eastAsia="en-US"/>
        </w:rPr>
      </w:pPr>
      <w:r w:rsidRPr="006D7A59">
        <w:rPr>
          <w:snapToGrid w:val="0"/>
          <w:lang w:eastAsia="en-US"/>
        </w:rPr>
        <w:t>The PBAC advised that tucatinib should not be treated as interchangeable with any other drugs</w:t>
      </w:r>
      <w:r w:rsidR="006D7A59" w:rsidRPr="006D7A59">
        <w:t xml:space="preserve"> </w:t>
      </w:r>
      <w:r w:rsidR="006D7A59">
        <w:t>u</w:t>
      </w:r>
      <w:r w:rsidR="006D7A59" w:rsidRPr="006D7A59">
        <w:rPr>
          <w:rFonts w:eastAsia="Times New Roman" w:cs="Arial"/>
          <w:bCs/>
          <w:snapToGrid w:val="0"/>
          <w:szCs w:val="24"/>
          <w:lang w:eastAsia="en-US"/>
        </w:rPr>
        <w:t xml:space="preserve">nder Section 101 (3BA) of the </w:t>
      </w:r>
      <w:r w:rsidR="006D7A59" w:rsidRPr="006D7A59">
        <w:rPr>
          <w:rFonts w:eastAsia="Times New Roman" w:cs="Arial"/>
          <w:bCs/>
          <w:i/>
          <w:iCs/>
          <w:snapToGrid w:val="0"/>
          <w:szCs w:val="24"/>
          <w:lang w:eastAsia="en-US"/>
        </w:rPr>
        <w:t>National Health Act 1953</w:t>
      </w:r>
      <w:r w:rsidRPr="006D7A59">
        <w:rPr>
          <w:snapToGrid w:val="0"/>
          <w:lang w:eastAsia="en-US"/>
        </w:rPr>
        <w:t>.</w:t>
      </w:r>
    </w:p>
    <w:p w14:paraId="20952BC5" w14:textId="2915D4D2" w:rsidR="009F65CE" w:rsidRPr="0082086F" w:rsidRDefault="009F65CE" w:rsidP="00380C05">
      <w:pPr>
        <w:pStyle w:val="3-BodyText"/>
        <w:rPr>
          <w:rFonts w:cstheme="minorHAnsi"/>
          <w:b/>
          <w:lang w:val="en-GB" w:eastAsia="en-US"/>
        </w:rPr>
      </w:pPr>
      <w:r w:rsidRPr="00AB4906">
        <w:rPr>
          <w:rFonts w:eastAsia="Times New Roman" w:cs="Arial"/>
          <w:bCs/>
          <w:snapToGrid w:val="0"/>
          <w:szCs w:val="24"/>
          <w:lang w:val="en-GB" w:eastAsia="en-US"/>
        </w:rPr>
        <w:t>The</w:t>
      </w:r>
      <w:r w:rsidRPr="009F65CE">
        <w:rPr>
          <w:rFonts w:cstheme="minorHAnsi"/>
          <w:lang w:val="en-GB" w:eastAsia="en-US"/>
        </w:rPr>
        <w:t xml:space="preserve"> PBAC found that the criteria prescribed by the </w:t>
      </w:r>
      <w:r w:rsidRPr="009F65CE">
        <w:rPr>
          <w:rFonts w:cstheme="minorHAnsi"/>
          <w:i/>
          <w:lang w:val="en-GB" w:eastAsia="en-US"/>
        </w:rPr>
        <w:t>National Health (Pharmaceuticals and Vaccines – Cost Recovery) Regulations 2022</w:t>
      </w:r>
      <w:r w:rsidRPr="009F65CE">
        <w:rPr>
          <w:rFonts w:cstheme="minorHAnsi"/>
          <w:lang w:val="en-GB" w:eastAsia="en-US"/>
        </w:rPr>
        <w:t xml:space="preserve"> for Pricing Pathway A were not met. Specifically</w:t>
      </w:r>
      <w:r w:rsidR="00403953">
        <w:rPr>
          <w:rFonts w:cstheme="minorHAnsi"/>
          <w:lang w:val="en-GB" w:eastAsia="en-US"/>
        </w:rPr>
        <w:t>,</w:t>
      </w:r>
      <w:r w:rsidRPr="009F65CE">
        <w:rPr>
          <w:rFonts w:cstheme="minorHAnsi"/>
          <w:lang w:val="en-GB" w:eastAsia="en-US"/>
        </w:rPr>
        <w:t xml:space="preserve"> the PBAC found that in the circumstances of its recommendation for </w:t>
      </w:r>
      <w:r w:rsidR="00403953" w:rsidRPr="0082086F">
        <w:rPr>
          <w:rFonts w:cstheme="minorHAnsi"/>
          <w:lang w:val="en-GB" w:eastAsia="en-US"/>
        </w:rPr>
        <w:t>tucatinib</w:t>
      </w:r>
      <w:r w:rsidRPr="0082086F">
        <w:rPr>
          <w:rFonts w:cstheme="minorHAnsi"/>
          <w:lang w:val="en-GB" w:eastAsia="en-US"/>
        </w:rPr>
        <w:t>:</w:t>
      </w:r>
    </w:p>
    <w:p w14:paraId="15BCF977" w14:textId="29BA6631" w:rsidR="009F65CE" w:rsidRPr="0082086F" w:rsidRDefault="009F65CE" w:rsidP="00380C05">
      <w:pPr>
        <w:widowControl w:val="0"/>
        <w:numPr>
          <w:ilvl w:val="1"/>
          <w:numId w:val="27"/>
        </w:numPr>
        <w:spacing w:after="120"/>
        <w:rPr>
          <w:rFonts w:asciiTheme="minorHAnsi" w:hAnsiTheme="minorHAnsi" w:cstheme="minorHAnsi"/>
          <w:lang w:val="en-GB" w:eastAsia="en-US"/>
        </w:rPr>
      </w:pPr>
      <w:r w:rsidRPr="0082086F">
        <w:rPr>
          <w:rFonts w:asciiTheme="minorHAnsi" w:hAnsiTheme="minorHAnsi" w:cstheme="minorHAnsi"/>
          <w:lang w:val="en-GB" w:eastAsia="en-US"/>
        </w:rPr>
        <w:t xml:space="preserve">The treatment is expected to provide a substantial and clinically relevant improvement in efficacy over </w:t>
      </w:r>
      <w:r w:rsidR="0082086F" w:rsidRPr="0082086F">
        <w:rPr>
          <w:rFonts w:asciiTheme="minorHAnsi" w:hAnsiTheme="minorHAnsi" w:cstheme="minorHAnsi"/>
          <w:lang w:val="en-GB" w:eastAsia="en-US"/>
        </w:rPr>
        <w:t>trastuzumab plus capecitabine</w:t>
      </w:r>
      <w:r w:rsidR="00BA2E3A">
        <w:rPr>
          <w:rFonts w:asciiTheme="minorHAnsi" w:hAnsiTheme="minorHAnsi" w:cstheme="minorHAnsi"/>
          <w:lang w:val="en-GB" w:eastAsia="en-US"/>
        </w:rPr>
        <w:t>, particularly in patients with brain metastases,</w:t>
      </w:r>
      <w:r w:rsidR="0082086F" w:rsidRPr="0082086F">
        <w:rPr>
          <w:rFonts w:asciiTheme="minorHAnsi" w:hAnsiTheme="minorHAnsi" w:cstheme="minorHAnsi"/>
          <w:lang w:val="en-GB" w:eastAsia="en-US"/>
        </w:rPr>
        <w:t xml:space="preserve"> </w:t>
      </w:r>
      <w:proofErr w:type="gramStart"/>
      <w:r w:rsidR="0082086F" w:rsidRPr="0082086F">
        <w:rPr>
          <w:rFonts w:asciiTheme="minorHAnsi" w:hAnsiTheme="minorHAnsi" w:cstheme="minorHAnsi"/>
          <w:lang w:val="en-GB" w:eastAsia="en-US"/>
        </w:rPr>
        <w:t>on the basis of</w:t>
      </w:r>
      <w:proofErr w:type="gramEnd"/>
      <w:r w:rsidR="0082086F" w:rsidRPr="0082086F">
        <w:rPr>
          <w:rFonts w:asciiTheme="minorHAnsi" w:hAnsiTheme="minorHAnsi" w:cstheme="minorHAnsi"/>
          <w:lang w:val="en-GB" w:eastAsia="en-US"/>
        </w:rPr>
        <w:t xml:space="preserve"> the HER2CLIMB trial </w:t>
      </w:r>
      <w:proofErr w:type="gramStart"/>
      <w:r w:rsidR="0082086F" w:rsidRPr="0082086F">
        <w:rPr>
          <w:rFonts w:asciiTheme="minorHAnsi" w:hAnsiTheme="minorHAnsi" w:cstheme="minorHAnsi"/>
          <w:lang w:val="en-GB" w:eastAsia="en-US"/>
        </w:rPr>
        <w:t>results;</w:t>
      </w:r>
      <w:proofErr w:type="gramEnd"/>
      <w:r w:rsidR="0082086F" w:rsidRPr="0082086F">
        <w:rPr>
          <w:rFonts w:asciiTheme="minorHAnsi" w:hAnsiTheme="minorHAnsi" w:cstheme="minorHAnsi"/>
          <w:lang w:val="en-GB" w:eastAsia="en-US"/>
        </w:rPr>
        <w:t xml:space="preserve"> </w:t>
      </w:r>
    </w:p>
    <w:p w14:paraId="0DBAF5FE" w14:textId="784FDA0C" w:rsidR="009F65CE" w:rsidRPr="0082086F" w:rsidRDefault="009F65CE" w:rsidP="00380C05">
      <w:pPr>
        <w:widowControl w:val="0"/>
        <w:numPr>
          <w:ilvl w:val="1"/>
          <w:numId w:val="27"/>
        </w:numPr>
        <w:spacing w:after="120"/>
        <w:rPr>
          <w:rFonts w:asciiTheme="minorHAnsi" w:hAnsiTheme="minorHAnsi" w:cstheme="minorHAnsi"/>
          <w:lang w:val="en-GB" w:eastAsia="en-US"/>
        </w:rPr>
      </w:pPr>
      <w:r w:rsidRPr="0082086F">
        <w:rPr>
          <w:rFonts w:asciiTheme="minorHAnsi" w:hAnsiTheme="minorHAnsi" w:cstheme="minorHAnsi"/>
          <w:lang w:val="en-GB" w:eastAsia="en-US"/>
        </w:rPr>
        <w:t xml:space="preserve">The treatment is not expected to address a high and urgent unmet clinical need </w:t>
      </w:r>
      <w:r w:rsidR="0082086F">
        <w:rPr>
          <w:rFonts w:asciiTheme="minorHAnsi" w:hAnsiTheme="minorHAnsi" w:cstheme="minorHAnsi"/>
          <w:lang w:val="en-GB" w:eastAsia="en-US"/>
        </w:rPr>
        <w:t xml:space="preserve">given </w:t>
      </w:r>
      <w:r w:rsidR="00EA3C3D">
        <w:rPr>
          <w:rFonts w:asciiTheme="minorHAnsi" w:hAnsiTheme="minorHAnsi" w:cstheme="minorHAnsi"/>
          <w:lang w:val="en-GB" w:eastAsia="en-US"/>
        </w:rPr>
        <w:t xml:space="preserve">other therapies are </w:t>
      </w:r>
      <w:proofErr w:type="gramStart"/>
      <w:r w:rsidR="00EA3C3D">
        <w:rPr>
          <w:rFonts w:asciiTheme="minorHAnsi" w:hAnsiTheme="minorHAnsi" w:cstheme="minorHAnsi"/>
          <w:lang w:val="en-GB" w:eastAsia="en-US"/>
        </w:rPr>
        <w:t>available;</w:t>
      </w:r>
      <w:proofErr w:type="gramEnd"/>
    </w:p>
    <w:p w14:paraId="08E2AF10" w14:textId="7B8B5A6A" w:rsidR="00380C05" w:rsidRDefault="009F65CE" w:rsidP="00380C05">
      <w:pPr>
        <w:widowControl w:val="0"/>
        <w:numPr>
          <w:ilvl w:val="1"/>
          <w:numId w:val="27"/>
        </w:numPr>
        <w:spacing w:after="120"/>
        <w:rPr>
          <w:rFonts w:asciiTheme="minorHAnsi" w:hAnsiTheme="minorHAnsi" w:cstheme="minorHAnsi"/>
          <w:lang w:val="en-GB" w:eastAsia="en-US"/>
        </w:rPr>
      </w:pPr>
      <w:r w:rsidRPr="0082086F">
        <w:rPr>
          <w:rFonts w:asciiTheme="minorHAnsi" w:hAnsiTheme="minorHAnsi" w:cstheme="minorHAnsi"/>
          <w:lang w:val="en-GB" w:eastAsia="en-US"/>
        </w:rPr>
        <w:t>It was not necessary</w:t>
      </w:r>
      <w:r w:rsidRPr="009F65CE">
        <w:rPr>
          <w:rFonts w:asciiTheme="minorHAnsi" w:hAnsiTheme="minorHAnsi" w:cstheme="minorHAnsi"/>
          <w:lang w:val="en-GB" w:eastAsia="en-US"/>
        </w:rPr>
        <w:t xml:space="preserve"> to make a finding in relation to whether it would be in the public interest for the subsequent pricing application to be progressed under Pricing Pathway A because one or more of the preceding tests had failed</w:t>
      </w:r>
      <w:r w:rsidR="00380C05">
        <w:rPr>
          <w:rFonts w:asciiTheme="minorHAnsi" w:hAnsiTheme="minorHAnsi" w:cstheme="minorHAnsi"/>
          <w:lang w:val="en-GB" w:eastAsia="en-US"/>
        </w:rPr>
        <w:t>.</w:t>
      </w:r>
      <w:r w:rsidRPr="009F65CE">
        <w:rPr>
          <w:rFonts w:asciiTheme="minorHAnsi" w:hAnsiTheme="minorHAnsi" w:cstheme="minorHAnsi"/>
          <w:lang w:val="en-GB" w:eastAsia="en-US"/>
        </w:rPr>
        <w:t xml:space="preserve"> </w:t>
      </w:r>
    </w:p>
    <w:p w14:paraId="79BE3C04" w14:textId="3C0C65C2" w:rsidR="009F65CE" w:rsidRPr="009F65CE" w:rsidRDefault="009F65CE" w:rsidP="004A0D5D">
      <w:pPr>
        <w:widowControl w:val="0"/>
        <w:numPr>
          <w:ilvl w:val="1"/>
          <w:numId w:val="4"/>
        </w:numPr>
        <w:spacing w:after="120"/>
        <w:jc w:val="left"/>
        <w:rPr>
          <w:rFonts w:asciiTheme="minorHAnsi" w:hAnsiTheme="minorHAnsi"/>
          <w:bCs/>
          <w:snapToGrid w:val="0"/>
          <w:lang w:val="en-GB" w:eastAsia="en-US"/>
        </w:rPr>
      </w:pPr>
      <w:r w:rsidRPr="009F65CE">
        <w:rPr>
          <w:rFonts w:asciiTheme="minorHAnsi" w:hAnsiTheme="minorHAnsi"/>
          <w:bCs/>
          <w:snapToGrid w:val="0"/>
          <w:lang w:val="en-GB" w:eastAsia="en-US"/>
        </w:rPr>
        <w:t>The PBAC noted that this submission is</w:t>
      </w:r>
      <w:r w:rsidR="004A0D5D">
        <w:rPr>
          <w:rFonts w:asciiTheme="minorHAnsi" w:hAnsiTheme="minorHAnsi"/>
          <w:bCs/>
          <w:snapToGrid w:val="0"/>
          <w:lang w:val="en-GB" w:eastAsia="en-US"/>
        </w:rPr>
        <w:t xml:space="preserve"> no</w:t>
      </w:r>
      <w:r w:rsidRPr="009F65CE">
        <w:rPr>
          <w:rFonts w:asciiTheme="minorHAnsi" w:hAnsiTheme="minorHAnsi"/>
          <w:bCs/>
          <w:snapToGrid w:val="0"/>
          <w:lang w:val="en-GB" w:eastAsia="en-US"/>
        </w:rPr>
        <w:t>t eligible for an Independent Review</w:t>
      </w:r>
      <w:r w:rsidR="00776CC2">
        <w:rPr>
          <w:rFonts w:asciiTheme="minorHAnsi" w:hAnsiTheme="minorHAnsi"/>
          <w:bCs/>
          <w:snapToGrid w:val="0"/>
          <w:lang w:val="en-GB" w:eastAsia="en-US"/>
        </w:rPr>
        <w:t xml:space="preserve"> as it received a positive recommendation</w:t>
      </w:r>
      <w:r w:rsidRPr="009F65CE">
        <w:rPr>
          <w:rFonts w:asciiTheme="minorHAnsi" w:hAnsiTheme="minorHAnsi"/>
          <w:bCs/>
          <w:snapToGrid w:val="0"/>
          <w:lang w:val="en-GB" w:eastAsia="en-US"/>
        </w:rPr>
        <w:t xml:space="preserve">. </w:t>
      </w:r>
    </w:p>
    <w:p w14:paraId="12115B65" w14:textId="77777777" w:rsidR="009F65CE" w:rsidRPr="009F65CE" w:rsidRDefault="009F65CE" w:rsidP="009F65CE">
      <w:pPr>
        <w:spacing w:before="240"/>
        <w:rPr>
          <w:rFonts w:asciiTheme="minorHAnsi" w:hAnsiTheme="minorHAnsi"/>
          <w:b/>
          <w:bCs/>
          <w:snapToGrid w:val="0"/>
          <w:lang w:val="en-GB" w:eastAsia="en-US"/>
        </w:rPr>
      </w:pPr>
      <w:r w:rsidRPr="009F65CE">
        <w:rPr>
          <w:rFonts w:asciiTheme="minorHAnsi" w:hAnsiTheme="minorHAnsi"/>
          <w:b/>
          <w:bCs/>
          <w:snapToGrid w:val="0"/>
          <w:lang w:val="en-GB" w:eastAsia="en-US"/>
        </w:rPr>
        <w:t>Outcome:</w:t>
      </w:r>
    </w:p>
    <w:p w14:paraId="3EEBE192" w14:textId="6C3E60E3" w:rsidR="009F65CE" w:rsidRPr="009F65CE" w:rsidRDefault="009F65CE" w:rsidP="009F65CE">
      <w:pPr>
        <w:spacing w:after="120"/>
        <w:rPr>
          <w:rFonts w:asciiTheme="minorHAnsi" w:hAnsiTheme="minorHAnsi"/>
          <w:bCs/>
          <w:snapToGrid w:val="0"/>
          <w:lang w:val="en-GB" w:eastAsia="en-US"/>
        </w:rPr>
      </w:pPr>
      <w:r w:rsidRPr="009F65CE">
        <w:rPr>
          <w:rFonts w:asciiTheme="minorHAnsi" w:hAnsiTheme="minorHAnsi"/>
          <w:bCs/>
          <w:snapToGrid w:val="0"/>
          <w:lang w:val="en-GB" w:eastAsia="en-US"/>
        </w:rPr>
        <w:t xml:space="preserve">Recommended </w:t>
      </w:r>
    </w:p>
    <w:p w14:paraId="7A397A7F" w14:textId="77777777" w:rsidR="009F65CE" w:rsidRPr="009F65CE" w:rsidRDefault="009F65CE" w:rsidP="009F65CE">
      <w:pPr>
        <w:widowControl w:val="0"/>
        <w:spacing w:after="120"/>
        <w:rPr>
          <w:rFonts w:asciiTheme="minorHAnsi" w:hAnsiTheme="minorHAnsi"/>
          <w:b/>
          <w:bCs/>
          <w:snapToGrid w:val="0"/>
          <w:lang w:eastAsia="en-US"/>
        </w:rPr>
      </w:pPr>
    </w:p>
    <w:bookmarkEnd w:id="88"/>
    <w:p w14:paraId="5D3DFDBF" w14:textId="52DFB0BD" w:rsidR="009F65CE" w:rsidRPr="009F65CE" w:rsidRDefault="009F65CE" w:rsidP="00BD528E">
      <w:pPr>
        <w:keepNext/>
        <w:keepLines/>
        <w:numPr>
          <w:ilvl w:val="0"/>
          <w:numId w:val="4"/>
        </w:numPr>
        <w:spacing w:before="240" w:after="120"/>
        <w:jc w:val="left"/>
        <w:outlineLvl w:val="0"/>
        <w:rPr>
          <w:rFonts w:asciiTheme="minorHAnsi" w:hAnsiTheme="minorHAnsi"/>
          <w:b/>
          <w:snapToGrid w:val="0"/>
          <w:sz w:val="32"/>
          <w:szCs w:val="32"/>
        </w:rPr>
      </w:pPr>
      <w:r w:rsidRPr="009F65CE">
        <w:rPr>
          <w:rFonts w:asciiTheme="minorHAnsi" w:hAnsiTheme="minorHAnsi"/>
          <w:b/>
          <w:snapToGrid w:val="0"/>
          <w:sz w:val="32"/>
          <w:szCs w:val="32"/>
        </w:rPr>
        <w:lastRenderedPageBreak/>
        <w:t>Recommended listing</w:t>
      </w:r>
    </w:p>
    <w:p w14:paraId="61990E50" w14:textId="284BA53B" w:rsidR="009F65CE" w:rsidRDefault="009F65CE" w:rsidP="00BD528E">
      <w:pPr>
        <w:pStyle w:val="3-BodyText"/>
        <w:keepNext/>
        <w:keepLines/>
        <w:rPr>
          <w:snapToGrid w:val="0"/>
          <w:lang w:eastAsia="en-US"/>
        </w:rPr>
      </w:pPr>
      <w:r w:rsidRPr="009F65CE">
        <w:rPr>
          <w:snapToGrid w:val="0"/>
          <w:lang w:eastAsia="en-US"/>
        </w:rPr>
        <w:t>Add new item:</w:t>
      </w:r>
    </w:p>
    <w:p w14:paraId="2B5AE03E" w14:textId="21CAA971" w:rsidR="00E60AE6" w:rsidRPr="00E60AE6" w:rsidRDefault="45E2616B" w:rsidP="00BD528E">
      <w:pPr>
        <w:pStyle w:val="3-BodyText"/>
        <w:keepNext/>
        <w:keepLines/>
        <w:numPr>
          <w:ilvl w:val="0"/>
          <w:numId w:val="0"/>
        </w:numPr>
        <w:rPr>
          <w:b/>
          <w:bCs/>
          <w:snapToGrid w:val="0"/>
          <w:lang w:eastAsia="en-US"/>
        </w:rPr>
      </w:pPr>
      <w:r>
        <w:rPr>
          <w:b/>
          <w:bCs/>
          <w:snapToGrid w:val="0"/>
          <w:lang w:eastAsia="en-US"/>
        </w:rPr>
        <w:t xml:space="preserve">Initial treatment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Initial treatment "/>
      </w:tblPr>
      <w:tblGrid>
        <w:gridCol w:w="3114"/>
        <w:gridCol w:w="1276"/>
        <w:gridCol w:w="1134"/>
        <w:gridCol w:w="992"/>
        <w:gridCol w:w="992"/>
        <w:gridCol w:w="1559"/>
      </w:tblGrid>
      <w:tr w:rsidR="00E60AE6" w:rsidRPr="00794AFE" w14:paraId="1EA2AB89" w14:textId="77777777" w:rsidTr="65FE1DB5">
        <w:trPr>
          <w:cantSplit/>
          <w:trHeight w:val="471"/>
        </w:trPr>
        <w:tc>
          <w:tcPr>
            <w:tcW w:w="3114" w:type="dxa"/>
          </w:tcPr>
          <w:p w14:paraId="68DCDCF2" w14:textId="77777777" w:rsidR="00E60AE6" w:rsidRPr="00794AFE" w:rsidRDefault="00E60AE6" w:rsidP="00BD528E">
            <w:pPr>
              <w:keepNext/>
              <w:keepLines/>
              <w:ind w:left="-57"/>
              <w:jc w:val="left"/>
              <w:rPr>
                <w:rFonts w:ascii="Arial Narrow" w:eastAsia="Calibri" w:hAnsi="Arial Narrow"/>
                <w:b/>
                <w:bCs/>
                <w:sz w:val="18"/>
                <w:szCs w:val="18"/>
                <w:lang w:eastAsia="en-US"/>
              </w:rPr>
            </w:pPr>
            <w:r w:rsidRPr="00794AFE">
              <w:rPr>
                <w:rFonts w:ascii="Arial Narrow" w:eastAsia="Calibri" w:hAnsi="Arial Narrow"/>
                <w:b/>
                <w:bCs/>
                <w:sz w:val="18"/>
                <w:szCs w:val="18"/>
                <w:lang w:eastAsia="en-US"/>
              </w:rPr>
              <w:t>MEDICINAL PRODUCT</w:t>
            </w:r>
          </w:p>
          <w:p w14:paraId="7C15112B" w14:textId="77777777" w:rsidR="00E60AE6" w:rsidRPr="00794AFE" w:rsidRDefault="00E60AE6" w:rsidP="00BD528E">
            <w:pPr>
              <w:keepNext/>
              <w:keepLines/>
              <w:ind w:left="-57"/>
              <w:jc w:val="left"/>
              <w:rPr>
                <w:rFonts w:ascii="Arial Narrow" w:eastAsia="Calibri" w:hAnsi="Arial Narrow"/>
                <w:b/>
                <w:sz w:val="18"/>
                <w:szCs w:val="18"/>
                <w:lang w:eastAsia="en-US"/>
              </w:rPr>
            </w:pPr>
            <w:r w:rsidRPr="00794AFE">
              <w:rPr>
                <w:rFonts w:ascii="Arial Narrow" w:eastAsia="Calibri" w:hAnsi="Arial Narrow"/>
                <w:b/>
                <w:bCs/>
                <w:sz w:val="18"/>
                <w:szCs w:val="18"/>
                <w:lang w:eastAsia="en-US"/>
              </w:rPr>
              <w:t>medicinal product pack</w:t>
            </w:r>
          </w:p>
        </w:tc>
        <w:tc>
          <w:tcPr>
            <w:tcW w:w="1276" w:type="dxa"/>
          </w:tcPr>
          <w:p w14:paraId="4F4095FB" w14:textId="77777777" w:rsidR="00E60AE6" w:rsidRPr="00794AFE" w:rsidRDefault="00E60AE6" w:rsidP="00BD528E">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PBS item code</w:t>
            </w:r>
          </w:p>
        </w:tc>
        <w:tc>
          <w:tcPr>
            <w:tcW w:w="1134" w:type="dxa"/>
          </w:tcPr>
          <w:p w14:paraId="7BC6A5A8" w14:textId="77777777" w:rsidR="00E60AE6" w:rsidRPr="00794AFE" w:rsidRDefault="00E60AE6" w:rsidP="00BD528E">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Max. qty packs</w:t>
            </w:r>
          </w:p>
        </w:tc>
        <w:tc>
          <w:tcPr>
            <w:tcW w:w="992" w:type="dxa"/>
          </w:tcPr>
          <w:p w14:paraId="0ECE1851" w14:textId="77777777" w:rsidR="00E60AE6" w:rsidRPr="00794AFE" w:rsidRDefault="00E60AE6" w:rsidP="00BD528E">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Max. qty units</w:t>
            </w:r>
          </w:p>
        </w:tc>
        <w:tc>
          <w:tcPr>
            <w:tcW w:w="992" w:type="dxa"/>
          </w:tcPr>
          <w:p w14:paraId="13879FB0" w14:textId="77777777" w:rsidR="00E60AE6" w:rsidRPr="00794AFE" w:rsidRDefault="00E60AE6" w:rsidP="00BD528E">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№.of</w:t>
            </w:r>
          </w:p>
          <w:p w14:paraId="5505E89F" w14:textId="77777777" w:rsidR="00E60AE6" w:rsidRPr="00794AFE" w:rsidRDefault="00E60AE6" w:rsidP="00BD528E">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Rpts</w:t>
            </w:r>
          </w:p>
        </w:tc>
        <w:tc>
          <w:tcPr>
            <w:tcW w:w="1559" w:type="dxa"/>
          </w:tcPr>
          <w:p w14:paraId="5EB9F2C0" w14:textId="77777777" w:rsidR="00E60AE6" w:rsidRPr="00794AFE" w:rsidRDefault="00E60AE6" w:rsidP="00BD528E">
            <w:pPr>
              <w:keepNext/>
              <w:keepLines/>
              <w:jc w:val="left"/>
              <w:rPr>
                <w:rFonts w:ascii="Arial Narrow" w:eastAsia="Calibri" w:hAnsi="Arial Narrow"/>
                <w:b/>
                <w:sz w:val="18"/>
                <w:szCs w:val="18"/>
                <w:lang w:val="fr-FR" w:eastAsia="en-US"/>
              </w:rPr>
            </w:pPr>
            <w:r w:rsidRPr="00794AFE">
              <w:rPr>
                <w:rFonts w:ascii="Arial Narrow" w:eastAsia="Calibri" w:hAnsi="Arial Narrow"/>
                <w:b/>
                <w:sz w:val="18"/>
                <w:szCs w:val="18"/>
                <w:lang w:eastAsia="en-US"/>
              </w:rPr>
              <w:t>Available brands</w:t>
            </w:r>
          </w:p>
        </w:tc>
      </w:tr>
      <w:tr w:rsidR="00E60AE6" w:rsidRPr="00794AFE" w14:paraId="20496FE8" w14:textId="77777777" w:rsidTr="65FE1DB5">
        <w:trPr>
          <w:cantSplit/>
          <w:trHeight w:val="224"/>
        </w:trPr>
        <w:tc>
          <w:tcPr>
            <w:tcW w:w="9067" w:type="dxa"/>
            <w:gridSpan w:val="6"/>
          </w:tcPr>
          <w:p w14:paraId="619B5CF1" w14:textId="77777777" w:rsidR="00E60AE6" w:rsidRPr="00794AFE" w:rsidRDefault="00E60AE6" w:rsidP="00BD528E">
            <w:pPr>
              <w:keepNext/>
              <w:keepLines/>
              <w:ind w:left="-57"/>
              <w:jc w:val="left"/>
              <w:rPr>
                <w:rFonts w:ascii="Arial Narrow" w:eastAsia="Calibri" w:hAnsi="Arial Narrow"/>
                <w:sz w:val="18"/>
                <w:szCs w:val="18"/>
                <w:lang w:eastAsia="en-US"/>
              </w:rPr>
            </w:pPr>
            <w:r w:rsidRPr="00794AFE">
              <w:rPr>
                <w:rFonts w:ascii="Arial Narrow" w:eastAsia="Calibri" w:hAnsi="Arial Narrow"/>
                <w:sz w:val="18"/>
                <w:szCs w:val="18"/>
                <w:lang w:eastAsia="en-US"/>
              </w:rPr>
              <w:t xml:space="preserve">TUCATINIB </w:t>
            </w:r>
          </w:p>
        </w:tc>
      </w:tr>
      <w:tr w:rsidR="00E60AE6" w:rsidRPr="00794AFE" w14:paraId="52DAFEC4" w14:textId="77777777" w:rsidTr="65FE1DB5">
        <w:trPr>
          <w:cantSplit/>
          <w:trHeight w:val="303"/>
        </w:trPr>
        <w:tc>
          <w:tcPr>
            <w:tcW w:w="3114" w:type="dxa"/>
          </w:tcPr>
          <w:p w14:paraId="3C56CF67" w14:textId="77777777" w:rsidR="00E60AE6" w:rsidRPr="00794AFE" w:rsidRDefault="00E60AE6" w:rsidP="00BD528E">
            <w:pPr>
              <w:keepNext/>
              <w:keepLines/>
              <w:ind w:left="-57"/>
              <w:rPr>
                <w:rFonts w:ascii="Arial Narrow" w:eastAsia="Calibri" w:hAnsi="Arial Narrow"/>
                <w:sz w:val="18"/>
                <w:szCs w:val="18"/>
                <w:lang w:eastAsia="en-US"/>
              </w:rPr>
            </w:pPr>
            <w:r w:rsidRPr="00794AFE">
              <w:rPr>
                <w:rFonts w:ascii="Arial Narrow" w:eastAsia="Calibri" w:hAnsi="Arial Narrow"/>
                <w:sz w:val="18"/>
                <w:szCs w:val="18"/>
                <w:lang w:eastAsia="en-US"/>
              </w:rPr>
              <w:t>tucatinib 150 mg tablet, 84</w:t>
            </w:r>
          </w:p>
        </w:tc>
        <w:tc>
          <w:tcPr>
            <w:tcW w:w="1276" w:type="dxa"/>
          </w:tcPr>
          <w:p w14:paraId="695F7E21" w14:textId="77777777" w:rsidR="00E60AE6" w:rsidRPr="00794AFE" w:rsidRDefault="00E60AE6" w:rsidP="00BD528E">
            <w:pPr>
              <w:keepNext/>
              <w:keepLines/>
              <w:jc w:val="center"/>
              <w:rPr>
                <w:rFonts w:ascii="Arial Narrow" w:eastAsia="Calibri" w:hAnsi="Arial Narrow"/>
                <w:sz w:val="18"/>
                <w:szCs w:val="18"/>
                <w:lang w:eastAsia="en-US"/>
              </w:rPr>
            </w:pPr>
            <w:r w:rsidRPr="00794AFE">
              <w:rPr>
                <w:rFonts w:ascii="Arial Narrow" w:eastAsia="Calibri" w:hAnsi="Arial Narrow"/>
                <w:sz w:val="18"/>
                <w:szCs w:val="18"/>
                <w:lang w:eastAsia="en-US"/>
              </w:rPr>
              <w:t>NEW</w:t>
            </w:r>
          </w:p>
        </w:tc>
        <w:tc>
          <w:tcPr>
            <w:tcW w:w="1134" w:type="dxa"/>
          </w:tcPr>
          <w:p w14:paraId="0F769E6B" w14:textId="77777777" w:rsidR="00E60AE6" w:rsidRPr="00794AFE" w:rsidRDefault="00E60AE6" w:rsidP="00BD528E">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1</w:t>
            </w:r>
          </w:p>
        </w:tc>
        <w:tc>
          <w:tcPr>
            <w:tcW w:w="992" w:type="dxa"/>
          </w:tcPr>
          <w:p w14:paraId="54A82DF6" w14:textId="77777777" w:rsidR="00E60AE6" w:rsidRPr="00794AFE" w:rsidRDefault="00E60AE6" w:rsidP="00BD528E">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84</w:t>
            </w:r>
          </w:p>
        </w:tc>
        <w:tc>
          <w:tcPr>
            <w:tcW w:w="992" w:type="dxa"/>
          </w:tcPr>
          <w:p w14:paraId="52F80DF5" w14:textId="77777777" w:rsidR="00E60AE6" w:rsidRPr="00794AFE" w:rsidRDefault="00E60AE6" w:rsidP="00BD528E">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2</w:t>
            </w:r>
          </w:p>
        </w:tc>
        <w:tc>
          <w:tcPr>
            <w:tcW w:w="1559" w:type="dxa"/>
          </w:tcPr>
          <w:p w14:paraId="113C56CF" w14:textId="77777777" w:rsidR="00E60AE6" w:rsidRPr="00794AFE" w:rsidRDefault="00E60AE6" w:rsidP="00BD528E">
            <w:pPr>
              <w:keepNext/>
              <w:keepLines/>
              <w:spacing w:before="20" w:after="20"/>
              <w:jc w:val="left"/>
              <w:rPr>
                <w:rFonts w:ascii="Arial Narrow" w:eastAsia="Calibri" w:hAnsi="Arial Narrow"/>
                <w:sz w:val="18"/>
                <w:szCs w:val="18"/>
                <w:lang w:eastAsia="en-US"/>
              </w:rPr>
            </w:pPr>
            <w:proofErr w:type="spellStart"/>
            <w:r w:rsidRPr="00794AFE">
              <w:rPr>
                <w:rFonts w:ascii="Arial Narrow" w:eastAsia="Calibri" w:hAnsi="Arial Narrow"/>
                <w:sz w:val="18"/>
                <w:szCs w:val="18"/>
                <w:lang w:eastAsia="en-US"/>
              </w:rPr>
              <w:t>Tukysa</w:t>
            </w:r>
            <w:proofErr w:type="spellEnd"/>
          </w:p>
        </w:tc>
      </w:tr>
      <w:tr w:rsidR="00F12ECD" w:rsidRPr="00794AFE" w14:paraId="345FAAE9" w14:textId="77777777" w:rsidTr="65FE1DB5">
        <w:trPr>
          <w:cantSplit/>
          <w:trHeight w:val="303"/>
        </w:trPr>
        <w:tc>
          <w:tcPr>
            <w:tcW w:w="3114" w:type="dxa"/>
          </w:tcPr>
          <w:p w14:paraId="6D71AAAF" w14:textId="735C80EA" w:rsidR="00F12ECD" w:rsidRPr="00794AFE" w:rsidRDefault="00F12ECD" w:rsidP="00F12ECD">
            <w:pPr>
              <w:keepNext/>
              <w:keepLines/>
              <w:ind w:left="-57"/>
              <w:rPr>
                <w:rFonts w:ascii="Arial Narrow" w:eastAsia="Calibri" w:hAnsi="Arial Narrow"/>
                <w:sz w:val="18"/>
                <w:szCs w:val="18"/>
                <w:lang w:eastAsia="en-US"/>
              </w:rPr>
            </w:pPr>
            <w:r w:rsidRPr="00794AFE">
              <w:rPr>
                <w:rFonts w:ascii="Arial Narrow" w:eastAsia="Calibri" w:hAnsi="Arial Narrow"/>
                <w:sz w:val="18"/>
                <w:szCs w:val="18"/>
                <w:lang w:eastAsia="en-US"/>
              </w:rPr>
              <w:t>tucatinib 50 mg tablet, 8</w:t>
            </w:r>
            <w:r>
              <w:rPr>
                <w:rFonts w:ascii="Arial Narrow" w:eastAsia="Calibri" w:hAnsi="Arial Narrow"/>
                <w:sz w:val="18"/>
                <w:szCs w:val="18"/>
                <w:lang w:eastAsia="en-US"/>
              </w:rPr>
              <w:t>8</w:t>
            </w:r>
          </w:p>
        </w:tc>
        <w:tc>
          <w:tcPr>
            <w:tcW w:w="1276" w:type="dxa"/>
          </w:tcPr>
          <w:p w14:paraId="3CADE2D3" w14:textId="3ECA9482" w:rsidR="00F12ECD" w:rsidRPr="00794AFE" w:rsidRDefault="00F12ECD" w:rsidP="00F12ECD">
            <w:pPr>
              <w:keepNext/>
              <w:keepLines/>
              <w:jc w:val="center"/>
              <w:rPr>
                <w:rFonts w:ascii="Arial Narrow" w:eastAsia="Calibri" w:hAnsi="Arial Narrow"/>
                <w:sz w:val="18"/>
                <w:szCs w:val="18"/>
                <w:lang w:eastAsia="en-US"/>
              </w:rPr>
            </w:pPr>
            <w:r w:rsidRPr="00794AFE">
              <w:rPr>
                <w:rFonts w:ascii="Arial Narrow" w:eastAsia="Calibri" w:hAnsi="Arial Narrow"/>
                <w:sz w:val="18"/>
                <w:szCs w:val="18"/>
                <w:lang w:eastAsia="en-US"/>
              </w:rPr>
              <w:t>NEW</w:t>
            </w:r>
          </w:p>
        </w:tc>
        <w:tc>
          <w:tcPr>
            <w:tcW w:w="1134" w:type="dxa"/>
          </w:tcPr>
          <w:p w14:paraId="75E39E2D" w14:textId="7CB010AC" w:rsidR="00F12ECD" w:rsidRPr="00794AFE" w:rsidRDefault="00F12ECD" w:rsidP="00F12ECD">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1</w:t>
            </w:r>
          </w:p>
        </w:tc>
        <w:tc>
          <w:tcPr>
            <w:tcW w:w="992" w:type="dxa"/>
          </w:tcPr>
          <w:p w14:paraId="38382945" w14:textId="097C8156" w:rsidR="00F12ECD" w:rsidRPr="00794AFE" w:rsidRDefault="00F12ECD" w:rsidP="00F12ECD">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8</w:t>
            </w:r>
            <w:r>
              <w:rPr>
                <w:rFonts w:ascii="Arial Narrow" w:eastAsia="Calibri" w:hAnsi="Arial Narrow"/>
                <w:iCs/>
                <w:sz w:val="18"/>
                <w:szCs w:val="18"/>
                <w:lang w:eastAsia="en-US"/>
              </w:rPr>
              <w:t>8</w:t>
            </w:r>
          </w:p>
        </w:tc>
        <w:tc>
          <w:tcPr>
            <w:tcW w:w="992" w:type="dxa"/>
          </w:tcPr>
          <w:p w14:paraId="5D941EE5" w14:textId="087A749F" w:rsidR="00F12ECD" w:rsidRPr="00794AFE" w:rsidRDefault="00F12ECD" w:rsidP="00F12ECD">
            <w:pPr>
              <w:keepNext/>
              <w:keepLines/>
              <w:jc w:val="center"/>
              <w:rPr>
                <w:rFonts w:ascii="Arial Narrow" w:eastAsia="Calibri" w:hAnsi="Arial Narrow"/>
                <w:iCs/>
                <w:sz w:val="18"/>
                <w:szCs w:val="18"/>
                <w:lang w:eastAsia="en-US"/>
              </w:rPr>
            </w:pPr>
            <w:r>
              <w:rPr>
                <w:rFonts w:ascii="Arial Narrow" w:eastAsia="Calibri" w:hAnsi="Arial Narrow"/>
                <w:iCs/>
                <w:sz w:val="18"/>
                <w:szCs w:val="18"/>
                <w:lang w:eastAsia="en-US"/>
              </w:rPr>
              <w:t>1</w:t>
            </w:r>
          </w:p>
        </w:tc>
        <w:tc>
          <w:tcPr>
            <w:tcW w:w="1559" w:type="dxa"/>
          </w:tcPr>
          <w:p w14:paraId="16722770" w14:textId="5CD8A9F6" w:rsidR="00F12ECD" w:rsidRPr="00794AFE" w:rsidRDefault="00F12ECD" w:rsidP="00F12ECD">
            <w:pPr>
              <w:keepNext/>
              <w:keepLines/>
              <w:spacing w:before="20" w:after="20"/>
              <w:jc w:val="left"/>
              <w:rPr>
                <w:rFonts w:ascii="Arial Narrow" w:eastAsia="Calibri" w:hAnsi="Arial Narrow"/>
                <w:sz w:val="18"/>
                <w:szCs w:val="18"/>
                <w:lang w:eastAsia="en-US"/>
              </w:rPr>
            </w:pPr>
            <w:proofErr w:type="spellStart"/>
            <w:r w:rsidRPr="00794AFE">
              <w:rPr>
                <w:rFonts w:ascii="Arial Narrow" w:eastAsia="Calibri" w:hAnsi="Arial Narrow"/>
                <w:sz w:val="18"/>
                <w:szCs w:val="18"/>
                <w:lang w:eastAsia="en-US"/>
              </w:rPr>
              <w:t>Tukysa</w:t>
            </w:r>
            <w:proofErr w:type="spellEnd"/>
          </w:p>
        </w:tc>
      </w:tr>
      <w:tr w:rsidR="00E60AE6" w:rsidRPr="00794AFE" w14:paraId="6821FEC0" w14:textId="77777777" w:rsidTr="65FE1DB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4637DCE4" w14:textId="77777777" w:rsidR="00E60AE6" w:rsidRPr="00794AFE" w:rsidRDefault="00E60AE6" w:rsidP="00BD528E">
            <w:pPr>
              <w:keepNext/>
              <w:keepLines/>
              <w:rPr>
                <w:rFonts w:ascii="Arial Narrow" w:eastAsia="Calibri" w:hAnsi="Arial Narrow"/>
                <w:b/>
                <w:sz w:val="18"/>
                <w:szCs w:val="18"/>
                <w:lang w:eastAsia="en-US"/>
              </w:rPr>
            </w:pPr>
          </w:p>
        </w:tc>
      </w:tr>
      <w:tr w:rsidR="00E60AE6" w:rsidRPr="00794AFE" w14:paraId="09738595" w14:textId="77777777" w:rsidTr="65FE1DB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7B37097A" w14:textId="77777777" w:rsidR="00E60AE6" w:rsidRPr="00794AFE" w:rsidRDefault="00E60AE6">
            <w:pPr>
              <w:ind w:left="57"/>
              <w:rPr>
                <w:rFonts w:ascii="Arial Narrow" w:eastAsia="Calibri" w:hAnsi="Arial Narrow"/>
                <w:b/>
                <w:sz w:val="18"/>
                <w:szCs w:val="18"/>
                <w:lang w:eastAsia="en-US"/>
              </w:rPr>
            </w:pPr>
            <w:r w:rsidRPr="00794AFE">
              <w:rPr>
                <w:rFonts w:ascii="Arial Narrow" w:eastAsia="Calibri" w:hAnsi="Arial Narrow" w:cs="Times New Roman"/>
                <w:b/>
                <w:sz w:val="18"/>
                <w:szCs w:val="18"/>
                <w:lang w:eastAsia="en-US"/>
              </w:rPr>
              <w:t xml:space="preserve">Restriction Summary [new] / Treatment of Concept: [new] </w:t>
            </w:r>
          </w:p>
        </w:tc>
      </w:tr>
      <w:tr w:rsidR="00364618" w:rsidRPr="00794AFE" w14:paraId="1E0EE630" w14:textId="77777777" w:rsidTr="00364618">
        <w:tblPrEx>
          <w:tblCellMar>
            <w:top w:w="15" w:type="dxa"/>
            <w:left w:w="15" w:type="dxa"/>
            <w:bottom w:w="15" w:type="dxa"/>
            <w:right w:w="15" w:type="dxa"/>
          </w:tblCellMar>
          <w:tblLook w:val="04A0" w:firstRow="1" w:lastRow="0" w:firstColumn="1" w:lastColumn="0" w:noHBand="0" w:noVBand="1"/>
        </w:tblPrEx>
        <w:trPr>
          <w:trHeight w:val="117"/>
        </w:trPr>
        <w:tc>
          <w:tcPr>
            <w:tcW w:w="9067" w:type="dxa"/>
            <w:gridSpan w:val="6"/>
            <w:tcBorders>
              <w:top w:val="single" w:sz="4" w:space="0" w:color="auto"/>
              <w:left w:val="single" w:sz="4" w:space="0" w:color="auto"/>
              <w:bottom w:val="single" w:sz="4" w:space="0" w:color="auto"/>
              <w:right w:val="single" w:sz="4" w:space="0" w:color="auto"/>
            </w:tcBorders>
          </w:tcPr>
          <w:p w14:paraId="4A1EE39D" w14:textId="77777777" w:rsidR="00364618" w:rsidRPr="00794AFE" w:rsidRDefault="00364618">
            <w:pPr>
              <w:rPr>
                <w:rFonts w:ascii="Arial Narrow" w:eastAsia="Calibri" w:hAnsi="Arial Narrow"/>
                <w:sz w:val="18"/>
                <w:szCs w:val="18"/>
                <w:lang w:eastAsia="en-US"/>
              </w:rPr>
            </w:pPr>
            <w:r w:rsidRPr="00794AFE">
              <w:rPr>
                <w:rFonts w:ascii="Arial Narrow" w:eastAsia="Calibri" w:hAnsi="Arial Narrow"/>
                <w:b/>
                <w:sz w:val="18"/>
                <w:szCs w:val="18"/>
                <w:lang w:eastAsia="en-US"/>
              </w:rPr>
              <w:t xml:space="preserve">Category / Program:  </w:t>
            </w:r>
            <w:r w:rsidRPr="00794AFE">
              <w:rPr>
                <w:rFonts w:ascii="Arial Narrow" w:eastAsia="Calibri" w:hAnsi="Arial Narrow"/>
                <w:bCs/>
                <w:sz w:val="18"/>
                <w:szCs w:val="18"/>
                <w:lang w:eastAsia="en-US"/>
              </w:rPr>
              <w:t>Section 85</w:t>
            </w:r>
            <w:r w:rsidRPr="00794AFE">
              <w:rPr>
                <w:rFonts w:ascii="Arial Narrow" w:eastAsia="Calibri" w:hAnsi="Arial Narrow"/>
                <w:b/>
                <w:sz w:val="18"/>
                <w:szCs w:val="18"/>
                <w:lang w:eastAsia="en-US"/>
              </w:rPr>
              <w:t xml:space="preserve"> </w:t>
            </w:r>
            <w:r w:rsidRPr="00794AFE">
              <w:rPr>
                <w:rFonts w:ascii="Arial Narrow" w:eastAsia="Calibri" w:hAnsi="Arial Narrow"/>
                <w:sz w:val="18"/>
                <w:szCs w:val="18"/>
                <w:lang w:eastAsia="en-US"/>
              </w:rPr>
              <w:t xml:space="preserve">GENERAL – General Schedule (Code GE) </w:t>
            </w:r>
          </w:p>
        </w:tc>
      </w:tr>
      <w:tr w:rsidR="00364618" w:rsidRPr="00794AFE" w14:paraId="68AE49B4" w14:textId="77777777" w:rsidTr="00364618">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1B856CDE" w14:textId="77777777" w:rsidR="00364618" w:rsidRPr="00794AFE" w:rsidRDefault="00364618">
            <w:pPr>
              <w:rPr>
                <w:rFonts w:ascii="Arial Narrow" w:eastAsia="Calibri" w:hAnsi="Arial Narrow"/>
                <w:b/>
                <w:sz w:val="18"/>
                <w:szCs w:val="18"/>
                <w:lang w:eastAsia="en-US"/>
              </w:rPr>
            </w:pPr>
            <w:r w:rsidRPr="00794AFE">
              <w:rPr>
                <w:rFonts w:ascii="Arial Narrow" w:eastAsia="Calibri" w:hAnsi="Arial Narrow"/>
                <w:b/>
                <w:sz w:val="18"/>
                <w:szCs w:val="18"/>
                <w:lang w:eastAsia="en-US"/>
              </w:rPr>
              <w:t xml:space="preserve">Prescriber type:  </w:t>
            </w:r>
            <w:r w:rsidRPr="00794AFE">
              <w:rPr>
                <w:rFonts w:ascii="Arial Narrow" w:eastAsia="Calibri" w:hAnsi="Arial Narrow"/>
                <w:sz w:val="18"/>
                <w:szCs w:val="18"/>
                <w:lang w:eastAsia="en-US"/>
              </w:rPr>
              <w:fldChar w:fldCharType="begin">
                <w:ffData>
                  <w:name w:val=""/>
                  <w:enabled/>
                  <w:calcOnExit w:val="0"/>
                  <w:checkBox>
                    <w:sizeAuto/>
                    <w:default w:val="1"/>
                  </w:checkBox>
                </w:ffData>
              </w:fldChar>
            </w:r>
            <w:r w:rsidRPr="00794AFE">
              <w:rPr>
                <w:rFonts w:ascii="Arial Narrow" w:eastAsia="Calibri" w:hAnsi="Arial Narrow"/>
                <w:sz w:val="18"/>
                <w:szCs w:val="18"/>
                <w:lang w:eastAsia="en-US"/>
              </w:rPr>
              <w:instrText xml:space="preserve"> FORMCHECKBOX </w:instrText>
            </w:r>
            <w:r w:rsidRPr="00794AFE">
              <w:rPr>
                <w:rFonts w:ascii="Arial Narrow" w:eastAsia="Calibri" w:hAnsi="Arial Narrow"/>
                <w:sz w:val="18"/>
                <w:szCs w:val="18"/>
                <w:lang w:eastAsia="en-US"/>
              </w:rPr>
            </w:r>
            <w:r w:rsidRPr="00794AFE">
              <w:rPr>
                <w:rFonts w:ascii="Arial Narrow" w:eastAsia="Calibri" w:hAnsi="Arial Narrow"/>
                <w:sz w:val="18"/>
                <w:szCs w:val="18"/>
                <w:lang w:eastAsia="en-US"/>
              </w:rPr>
              <w:fldChar w:fldCharType="separate"/>
            </w:r>
            <w:r w:rsidRPr="00794AFE">
              <w:rPr>
                <w:rFonts w:ascii="Arial Narrow" w:eastAsia="Calibri" w:hAnsi="Arial Narrow"/>
                <w:sz w:val="18"/>
                <w:szCs w:val="18"/>
                <w:lang w:eastAsia="en-US"/>
              </w:rPr>
              <w:fldChar w:fldCharType="end"/>
            </w:r>
            <w:r w:rsidRPr="00794AFE">
              <w:rPr>
                <w:rFonts w:ascii="Arial Narrow" w:eastAsia="Calibri" w:hAnsi="Arial Narrow"/>
                <w:sz w:val="18"/>
                <w:szCs w:val="18"/>
                <w:lang w:eastAsia="en-US"/>
              </w:rPr>
              <w:t xml:space="preserve">Medical Practitioners  </w:t>
            </w:r>
          </w:p>
        </w:tc>
      </w:tr>
      <w:tr w:rsidR="00364618" w:rsidRPr="00794AFE" w14:paraId="3678128F"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26877AA0" w14:textId="7239ACCF" w:rsidR="00364618" w:rsidRPr="00794AFE" w:rsidRDefault="00364618">
            <w:pPr>
              <w:rPr>
                <w:rFonts w:ascii="Arial Narrow" w:eastAsia="Calibri" w:hAnsi="Arial Narrow"/>
                <w:color w:val="FF00FF"/>
                <w:sz w:val="18"/>
                <w:szCs w:val="18"/>
                <w:lang w:eastAsia="en-US"/>
              </w:rPr>
            </w:pPr>
            <w:r w:rsidRPr="00794AFE">
              <w:rPr>
                <w:rFonts w:ascii="Arial Narrow" w:eastAsia="Calibri" w:hAnsi="Arial Narrow"/>
                <w:b/>
                <w:sz w:val="18"/>
                <w:szCs w:val="18"/>
                <w:lang w:eastAsia="en-US"/>
              </w:rPr>
              <w:t xml:space="preserve">Restriction type: </w:t>
            </w:r>
            <w:r w:rsidRPr="00794AFE">
              <w:rPr>
                <w:rFonts w:ascii="Arial Narrow" w:eastAsia="Calibri" w:hAnsi="Arial Narrow"/>
                <w:sz w:val="18"/>
                <w:szCs w:val="18"/>
                <w:lang w:eastAsia="en-US"/>
              </w:rPr>
              <w:fldChar w:fldCharType="begin">
                <w:ffData>
                  <w:name w:val="Check3"/>
                  <w:enabled/>
                  <w:calcOnExit w:val="0"/>
                  <w:checkBox>
                    <w:sizeAuto/>
                    <w:default w:val="1"/>
                  </w:checkBox>
                </w:ffData>
              </w:fldChar>
            </w:r>
            <w:r w:rsidRPr="00794AFE">
              <w:rPr>
                <w:rFonts w:ascii="Arial Narrow" w:eastAsia="Calibri" w:hAnsi="Arial Narrow"/>
                <w:sz w:val="18"/>
                <w:szCs w:val="18"/>
                <w:lang w:eastAsia="en-US"/>
              </w:rPr>
              <w:instrText xml:space="preserve"> FORMCHECKBOX </w:instrText>
            </w:r>
            <w:r w:rsidRPr="00794AFE">
              <w:rPr>
                <w:rFonts w:ascii="Arial Narrow" w:eastAsia="Calibri" w:hAnsi="Arial Narrow"/>
                <w:sz w:val="18"/>
                <w:szCs w:val="18"/>
                <w:lang w:eastAsia="en-US"/>
              </w:rPr>
            </w:r>
            <w:r w:rsidRPr="00794AFE">
              <w:rPr>
                <w:rFonts w:ascii="Arial Narrow" w:eastAsia="Calibri" w:hAnsi="Arial Narrow"/>
                <w:sz w:val="18"/>
                <w:szCs w:val="18"/>
                <w:lang w:eastAsia="en-US"/>
              </w:rPr>
              <w:fldChar w:fldCharType="separate"/>
            </w:r>
            <w:r w:rsidRPr="00794AFE">
              <w:rPr>
                <w:rFonts w:ascii="Arial Narrow" w:eastAsia="Calibri" w:hAnsi="Arial Narrow"/>
                <w:sz w:val="18"/>
                <w:szCs w:val="18"/>
                <w:lang w:eastAsia="en-US"/>
              </w:rPr>
              <w:fldChar w:fldCharType="end"/>
            </w:r>
            <w:r w:rsidRPr="00794AFE">
              <w:rPr>
                <w:rFonts w:ascii="Arial Narrow" w:eastAsia="Calibri" w:hAnsi="Arial Narrow"/>
                <w:sz w:val="18"/>
                <w:szCs w:val="18"/>
                <w:lang w:eastAsia="en-US"/>
              </w:rPr>
              <w:t xml:space="preserve">Authority Required – </w:t>
            </w:r>
            <w:r w:rsidRPr="00B8142A">
              <w:rPr>
                <w:rFonts w:ascii="Arial Narrow" w:eastAsia="Calibri" w:hAnsi="Arial Narrow"/>
                <w:sz w:val="18"/>
                <w:szCs w:val="18"/>
              </w:rPr>
              <w:t>Streamlined [new code]</w:t>
            </w:r>
          </w:p>
        </w:tc>
      </w:tr>
      <w:tr w:rsidR="00364618" w:rsidRPr="00794AFE" w14:paraId="6FD0A726"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05858F21" w14:textId="77777777" w:rsidR="00364618" w:rsidRPr="00211388" w:rsidRDefault="00364618">
            <w:pPr>
              <w:jc w:val="left"/>
              <w:rPr>
                <w:rFonts w:ascii="Arial Narrow" w:hAnsi="Arial Narrow" w:cs="Times New Roman"/>
                <w:color w:val="333333"/>
                <w:sz w:val="18"/>
                <w:szCs w:val="18"/>
              </w:rPr>
            </w:pPr>
            <w:r w:rsidRPr="00211388">
              <w:rPr>
                <w:rFonts w:ascii="Arial Narrow" w:hAnsi="Arial Narrow" w:cs="Times New Roman"/>
                <w:b/>
                <w:bCs/>
                <w:color w:val="333333"/>
                <w:sz w:val="18"/>
                <w:szCs w:val="18"/>
              </w:rPr>
              <w:t>Administrative Advice:</w:t>
            </w:r>
            <w:r w:rsidRPr="00211388">
              <w:rPr>
                <w:rFonts w:ascii="Arial Narrow" w:hAnsi="Arial Narrow" w:cs="Times New Roman"/>
                <w:color w:val="333333"/>
                <w:sz w:val="18"/>
                <w:szCs w:val="18"/>
              </w:rPr>
              <w:t xml:space="preserve"> Special pricing arrangements apply</w:t>
            </w:r>
          </w:p>
        </w:tc>
      </w:tr>
      <w:tr w:rsidR="00364618" w:rsidRPr="00794AFE" w14:paraId="6C68439F"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1412D00" w14:textId="3F3C67FF" w:rsidR="00364618" w:rsidRPr="00B25C53" w:rsidRDefault="00364618">
            <w:pPr>
              <w:jc w:val="left"/>
              <w:rPr>
                <w:rFonts w:ascii="Arial Narrow" w:hAnsi="Arial Narrow" w:cs="Times New Roman"/>
                <w:color w:val="333333"/>
                <w:sz w:val="18"/>
                <w:szCs w:val="18"/>
              </w:rPr>
            </w:pPr>
            <w:r w:rsidRPr="00211388">
              <w:rPr>
                <w:rFonts w:ascii="Arial Narrow" w:hAnsi="Arial Narrow" w:cs="Times New Roman"/>
                <w:b/>
                <w:bCs/>
                <w:color w:val="333333"/>
                <w:sz w:val="18"/>
                <w:szCs w:val="18"/>
              </w:rPr>
              <w:t>Administrative Advice:</w:t>
            </w:r>
            <w:r w:rsidRPr="00211388">
              <w:rPr>
                <w:rFonts w:ascii="Arial Narrow" w:hAnsi="Arial Narrow" w:cs="Times New Roman"/>
                <w:color w:val="333333"/>
                <w:sz w:val="18"/>
                <w:szCs w:val="18"/>
              </w:rPr>
              <w:t xml:space="preserve"> </w:t>
            </w:r>
            <w:r w:rsidRPr="00B25C53">
              <w:rPr>
                <w:rFonts w:ascii="Arial Narrow" w:hAnsi="Arial Narrow" w:cs="Times New Roman"/>
                <w:color w:val="333333"/>
                <w:sz w:val="18"/>
                <w:szCs w:val="18"/>
              </w:rPr>
              <w:t>Authority applications for increased quantities/repeats (where relevant) may be made via the Online PBS Authorities system or by telephone to Services Australia on 1800 888 333</w:t>
            </w:r>
          </w:p>
        </w:tc>
      </w:tr>
      <w:tr w:rsidR="00364618" w:rsidRPr="00794AFE" w14:paraId="40E55568"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22DE3008"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
                <w:bCs/>
                <w:color w:val="333333"/>
                <w:sz w:val="18"/>
                <w:szCs w:val="18"/>
              </w:rPr>
              <w:t xml:space="preserve">Episodicity: </w:t>
            </w:r>
            <w:r w:rsidRPr="00794AFE">
              <w:rPr>
                <w:rFonts w:ascii="Arial Narrow" w:hAnsi="Arial Narrow" w:cs="Times New Roman"/>
                <w:color w:val="333333"/>
                <w:sz w:val="18"/>
                <w:szCs w:val="18"/>
              </w:rPr>
              <w:t>[blank]</w:t>
            </w:r>
          </w:p>
        </w:tc>
      </w:tr>
      <w:tr w:rsidR="00364618" w:rsidRPr="00794AFE" w14:paraId="660A68E0"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5E36593D" w14:textId="77777777" w:rsidR="00364618" w:rsidRPr="00794AFE" w:rsidRDefault="00364618">
            <w:pPr>
              <w:jc w:val="left"/>
              <w:rPr>
                <w:rFonts w:ascii="Arial Narrow" w:hAnsi="Arial Narrow" w:cs="Times New Roman"/>
                <w:b/>
                <w:bCs/>
                <w:i/>
                <w:color w:val="333333"/>
                <w:sz w:val="18"/>
                <w:szCs w:val="18"/>
              </w:rPr>
            </w:pPr>
            <w:r w:rsidRPr="00794AFE">
              <w:rPr>
                <w:rFonts w:ascii="Arial Narrow" w:hAnsi="Arial Narrow" w:cs="Times New Roman"/>
                <w:b/>
                <w:bCs/>
                <w:color w:val="333333"/>
                <w:sz w:val="18"/>
                <w:szCs w:val="18"/>
              </w:rPr>
              <w:t xml:space="preserve">Severity: </w:t>
            </w:r>
            <w:r w:rsidRPr="00794AFE">
              <w:rPr>
                <w:rFonts w:ascii="Arial Narrow" w:hAnsi="Arial Narrow" w:cs="Times New Roman"/>
                <w:iCs/>
                <w:color w:val="333333"/>
                <w:sz w:val="18"/>
                <w:szCs w:val="18"/>
              </w:rPr>
              <w:t>Metastatic (Stage IV)</w:t>
            </w:r>
          </w:p>
        </w:tc>
      </w:tr>
      <w:tr w:rsidR="00364618" w:rsidRPr="00794AFE" w14:paraId="114455D0"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48877FF3" w14:textId="77777777" w:rsidR="00364618" w:rsidRPr="00794AFE" w:rsidRDefault="00364618">
            <w:pPr>
              <w:jc w:val="left"/>
              <w:rPr>
                <w:rFonts w:ascii="Arial Narrow" w:hAnsi="Arial Narrow" w:cs="Times New Roman"/>
                <w:b/>
                <w:bCs/>
                <w:color w:val="333333"/>
                <w:sz w:val="18"/>
                <w:szCs w:val="18"/>
              </w:rPr>
            </w:pPr>
            <w:r w:rsidRPr="00794AFE">
              <w:rPr>
                <w:rFonts w:ascii="Arial Narrow" w:hAnsi="Arial Narrow" w:cs="Times New Roman"/>
                <w:b/>
                <w:bCs/>
                <w:color w:val="333333"/>
                <w:sz w:val="18"/>
                <w:szCs w:val="18"/>
              </w:rPr>
              <w:t xml:space="preserve">Condition: </w:t>
            </w:r>
            <w:r w:rsidRPr="00794AFE">
              <w:rPr>
                <w:rFonts w:ascii="Arial Narrow" w:hAnsi="Arial Narrow" w:cs="Times New Roman"/>
                <w:color w:val="333333"/>
                <w:sz w:val="18"/>
                <w:szCs w:val="18"/>
              </w:rPr>
              <w:t>HER2 positive breast cancer</w:t>
            </w:r>
          </w:p>
        </w:tc>
      </w:tr>
      <w:tr w:rsidR="00364618" w:rsidRPr="00794AFE" w14:paraId="08F0505A"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68831CAF"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Indication:</w:t>
            </w:r>
            <w:r w:rsidRPr="00794AFE">
              <w:rPr>
                <w:rFonts w:ascii="Arial Narrow" w:hAnsi="Arial Narrow" w:cs="Times New Roman"/>
                <w:color w:val="333333"/>
                <w:sz w:val="18"/>
                <w:szCs w:val="18"/>
              </w:rPr>
              <w:t xml:space="preserve"> Metastatic (Stage IV) HER2 positive breast cancer</w:t>
            </w:r>
          </w:p>
        </w:tc>
      </w:tr>
      <w:tr w:rsidR="00364618" w:rsidRPr="00794AFE" w14:paraId="5A26167F"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75871463" w14:textId="77777777" w:rsidR="00364618" w:rsidRPr="00794AFE" w:rsidRDefault="00364618">
            <w:pPr>
              <w:jc w:val="left"/>
              <w:rPr>
                <w:rFonts w:ascii="Arial Narrow" w:hAnsi="Arial Narrow" w:cs="Times New Roman"/>
                <w:color w:val="FF00FF"/>
                <w:sz w:val="18"/>
                <w:szCs w:val="18"/>
              </w:rPr>
            </w:pPr>
            <w:r w:rsidRPr="00794AFE">
              <w:rPr>
                <w:rFonts w:ascii="Arial Narrow" w:hAnsi="Arial Narrow" w:cs="Times New Roman"/>
                <w:b/>
                <w:bCs/>
                <w:color w:val="333333"/>
                <w:sz w:val="18"/>
                <w:szCs w:val="18"/>
              </w:rPr>
              <w:t>Treatment Phase:</w:t>
            </w:r>
            <w:r w:rsidRPr="00794AFE">
              <w:rPr>
                <w:rFonts w:ascii="Arial Narrow" w:hAnsi="Arial Narrow" w:cs="Times New Roman"/>
                <w:color w:val="333333"/>
                <w:sz w:val="18"/>
                <w:szCs w:val="18"/>
              </w:rPr>
              <w:t xml:space="preserve"> </w:t>
            </w:r>
            <w:r w:rsidRPr="00794AFE">
              <w:rPr>
                <w:rFonts w:ascii="Arial Narrow" w:hAnsi="Arial Narrow" w:cs="Times New Roman"/>
                <w:sz w:val="18"/>
                <w:szCs w:val="18"/>
              </w:rPr>
              <w:t>Initial</w:t>
            </w:r>
            <w:r w:rsidRPr="00794AFE">
              <w:rPr>
                <w:rFonts w:ascii="Arial Narrow" w:hAnsi="Arial Narrow" w:cs="Times New Roman"/>
                <w:color w:val="FF00FF"/>
                <w:sz w:val="18"/>
                <w:szCs w:val="18"/>
              </w:rPr>
              <w:t xml:space="preserve"> </w:t>
            </w:r>
            <w:r w:rsidRPr="00794AFE">
              <w:rPr>
                <w:rFonts w:ascii="Arial Narrow" w:hAnsi="Arial Narrow" w:cs="Times New Roman"/>
                <w:sz w:val="18"/>
                <w:szCs w:val="18"/>
              </w:rPr>
              <w:t>treatment</w:t>
            </w:r>
          </w:p>
        </w:tc>
      </w:tr>
      <w:tr w:rsidR="00364618" w:rsidRPr="00794AFE" w14:paraId="2DBFD04A"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00B152BD" w14:textId="77777777" w:rsidR="00364618" w:rsidRPr="00794AFE" w:rsidRDefault="00364618">
            <w:pPr>
              <w:jc w:val="left"/>
              <w:rPr>
                <w:rFonts w:ascii="Arial Narrow" w:hAnsi="Arial Narrow" w:cs="Times New Roman"/>
                <w:color w:val="FF00FF"/>
                <w:sz w:val="18"/>
                <w:szCs w:val="18"/>
              </w:rPr>
            </w:pPr>
            <w:r w:rsidRPr="00794AFE">
              <w:rPr>
                <w:rFonts w:ascii="Arial Narrow" w:hAnsi="Arial Narrow" w:cs="Times New Roman"/>
                <w:b/>
                <w:bCs/>
                <w:color w:val="333333"/>
                <w:sz w:val="18"/>
                <w:szCs w:val="18"/>
              </w:rPr>
              <w:t>Clinical criteria</w:t>
            </w:r>
          </w:p>
        </w:tc>
      </w:tr>
      <w:tr w:rsidR="00364618" w:rsidRPr="00794AFE" w14:paraId="02CC1462" w14:textId="77777777" w:rsidTr="00364618">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6"/>
            <w:vAlign w:val="center"/>
            <w:hideMark/>
          </w:tcPr>
          <w:p w14:paraId="3734E1ED"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Cs/>
                <w:color w:val="333333"/>
                <w:sz w:val="18"/>
                <w:szCs w:val="18"/>
              </w:rPr>
              <w:t>Patient must have evidence of human epidermal growth factor receptor 2 (HER2) gene amplification as demonstrated by in situ hybridisation (ISH) either in the primary tumour or a metastatic lesion</w:t>
            </w:r>
          </w:p>
        </w:tc>
      </w:tr>
      <w:tr w:rsidR="00364618" w:rsidRPr="00794AFE" w14:paraId="354CBA9B"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4FF641F2"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AND</w:t>
            </w:r>
          </w:p>
        </w:tc>
      </w:tr>
      <w:tr w:rsidR="00364618" w:rsidRPr="00794AFE" w14:paraId="450E08F7"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365D7A1"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Clinical criteria:</w:t>
            </w:r>
          </w:p>
        </w:tc>
      </w:tr>
      <w:tr w:rsidR="00364618" w:rsidRPr="00794AFE" w14:paraId="142994CA"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6DEC0FDD"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The condition must have progressed following treatment with at least two different HER2-directed regimens for metastatic breast cancer; OR</w:t>
            </w:r>
          </w:p>
        </w:tc>
      </w:tr>
      <w:tr w:rsidR="00364618" w:rsidRPr="00794AFE" w14:paraId="7A11EDDA"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4C412414"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The condition must have progressed following treatment with T-</w:t>
            </w:r>
            <w:proofErr w:type="spellStart"/>
            <w:r w:rsidRPr="00794AFE">
              <w:rPr>
                <w:rFonts w:ascii="Arial Narrow" w:hAnsi="Arial Narrow" w:cs="Times New Roman"/>
                <w:bCs/>
                <w:color w:val="333333"/>
                <w:sz w:val="18"/>
                <w:szCs w:val="18"/>
              </w:rPr>
              <w:t>DXd</w:t>
            </w:r>
            <w:proofErr w:type="spellEnd"/>
            <w:r w:rsidRPr="00794AFE">
              <w:rPr>
                <w:rFonts w:ascii="Arial Narrow" w:hAnsi="Arial Narrow" w:cs="Times New Roman"/>
                <w:bCs/>
                <w:color w:val="333333"/>
                <w:sz w:val="18"/>
                <w:szCs w:val="18"/>
              </w:rPr>
              <w:t xml:space="preserve"> for HER2+ metastatic breast cancer</w:t>
            </w:r>
          </w:p>
        </w:tc>
      </w:tr>
      <w:tr w:rsidR="00364618" w:rsidRPr="00794AFE" w14:paraId="0C001729"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26D9C8FB"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AND</w:t>
            </w:r>
          </w:p>
        </w:tc>
      </w:tr>
      <w:tr w:rsidR="00364618" w:rsidRPr="00794AFE" w14:paraId="2A0FA16E"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616CE810"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Clinical criteria:</w:t>
            </w:r>
          </w:p>
        </w:tc>
      </w:tr>
      <w:tr w:rsidR="00364618" w:rsidRPr="00794AFE" w14:paraId="5BA61F9D"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7A63A461"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Patient must have a WHO performance status of 0 or 1</w:t>
            </w:r>
            <w:r>
              <w:rPr>
                <w:rFonts w:ascii="Arial Narrow" w:hAnsi="Arial Narrow" w:cs="Times New Roman"/>
                <w:bCs/>
                <w:color w:val="333333"/>
                <w:sz w:val="18"/>
                <w:szCs w:val="18"/>
              </w:rPr>
              <w:t xml:space="preserve"> prior to initiating treatment with this drug</w:t>
            </w:r>
          </w:p>
        </w:tc>
      </w:tr>
      <w:tr w:rsidR="00364618" w:rsidRPr="00794AFE" w14:paraId="57342CB0"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1947166E"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AND</w:t>
            </w:r>
          </w:p>
        </w:tc>
      </w:tr>
      <w:tr w:rsidR="00364618" w:rsidRPr="00794AFE" w14:paraId="60067CC2"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1B27C6E8" w14:textId="77777777" w:rsidR="00364618" w:rsidRPr="00794AFE" w:rsidRDefault="00364618">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 xml:space="preserve">Clinical criteria </w:t>
            </w:r>
          </w:p>
        </w:tc>
      </w:tr>
      <w:tr w:rsidR="00364618" w:rsidRPr="00794AFE" w14:paraId="2136F6A4"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6829A8A0"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The treatment must be in</w:t>
            </w:r>
            <w:r>
              <w:rPr>
                <w:rFonts w:ascii="Arial Narrow" w:hAnsi="Arial Narrow" w:cs="Times New Roman"/>
                <w:bCs/>
                <w:color w:val="333333"/>
                <w:sz w:val="18"/>
                <w:szCs w:val="18"/>
              </w:rPr>
              <w:t>itiated in</w:t>
            </w:r>
            <w:r w:rsidRPr="00794AFE">
              <w:rPr>
                <w:rFonts w:ascii="Arial Narrow" w:hAnsi="Arial Narrow" w:cs="Times New Roman"/>
                <w:bCs/>
                <w:color w:val="333333"/>
                <w:sz w:val="18"/>
                <w:szCs w:val="18"/>
              </w:rPr>
              <w:t xml:space="preserve"> combination with trastuzumab and capecitabine</w:t>
            </w:r>
          </w:p>
        </w:tc>
      </w:tr>
      <w:tr w:rsidR="00364618" w:rsidRPr="00794AFE" w14:paraId="2AA9C3B7"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3480DDE2" w14:textId="77777777" w:rsidR="00364618" w:rsidRPr="00794AFE" w:rsidRDefault="00364618">
            <w:pPr>
              <w:jc w:val="left"/>
              <w:rPr>
                <w:rFonts w:ascii="Arial Narrow" w:hAnsi="Arial Narrow" w:cs="Times New Roman"/>
                <w:b/>
                <w:bCs/>
                <w:color w:val="333333"/>
                <w:sz w:val="18"/>
                <w:szCs w:val="18"/>
              </w:rPr>
            </w:pPr>
            <w:r w:rsidRPr="00794AFE">
              <w:rPr>
                <w:rFonts w:ascii="Arial Narrow" w:hAnsi="Arial Narrow" w:cs="Times New Roman"/>
                <w:b/>
                <w:bCs/>
                <w:color w:val="333333"/>
                <w:sz w:val="18"/>
                <w:szCs w:val="18"/>
              </w:rPr>
              <w:t>Administrative Advice:</w:t>
            </w:r>
          </w:p>
          <w:p w14:paraId="4ECD079C" w14:textId="77777777" w:rsidR="00364618" w:rsidRPr="00794AFE" w:rsidRDefault="00364618">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HER2 gene amplification need not be re-confirmed. The evidence obtained from when the patient was treated with a prior HER2-directed regimen is sufficient.</w:t>
            </w:r>
          </w:p>
        </w:tc>
      </w:tr>
      <w:tr w:rsidR="00364618" w14:paraId="185B9FCC" w14:textId="77777777" w:rsidTr="00364618">
        <w:tblPrEx>
          <w:tblCellMar>
            <w:top w:w="15" w:type="dxa"/>
            <w:left w:w="15" w:type="dxa"/>
            <w:bottom w:w="15" w:type="dxa"/>
            <w:right w:w="15" w:type="dxa"/>
          </w:tblCellMar>
          <w:tblLook w:val="04A0" w:firstRow="1" w:lastRow="0" w:firstColumn="1" w:lastColumn="0" w:noHBand="0" w:noVBand="1"/>
        </w:tblPrEx>
        <w:trPr>
          <w:trHeight w:val="300"/>
        </w:trPr>
        <w:tc>
          <w:tcPr>
            <w:tcW w:w="9067" w:type="dxa"/>
            <w:gridSpan w:val="6"/>
            <w:vAlign w:val="center"/>
          </w:tcPr>
          <w:p w14:paraId="26101621" w14:textId="77777777" w:rsidR="00364618" w:rsidRDefault="00364618" w:rsidP="65FE1DB5">
            <w:pPr>
              <w:jc w:val="left"/>
              <w:rPr>
                <w:rFonts w:ascii="Arial Narrow" w:hAnsi="Arial Narrow" w:cs="Open Sans"/>
                <w:b/>
                <w:bCs/>
                <w:sz w:val="18"/>
                <w:szCs w:val="18"/>
              </w:rPr>
            </w:pPr>
            <w:r w:rsidRPr="65FE1DB5">
              <w:rPr>
                <w:rFonts w:ascii="Arial Narrow" w:hAnsi="Arial Narrow" w:cs="Open Sans"/>
                <w:b/>
                <w:bCs/>
                <w:sz w:val="18"/>
                <w:szCs w:val="18"/>
              </w:rPr>
              <w:t>Prescribing Instructions:</w:t>
            </w:r>
          </w:p>
          <w:p w14:paraId="3CE761F6" w14:textId="65199BCA" w:rsidR="00364618" w:rsidRDefault="00364618" w:rsidP="65FE1DB5">
            <w:pPr>
              <w:jc w:val="left"/>
              <w:rPr>
                <w:rFonts w:ascii="Arial Narrow" w:hAnsi="Arial Narrow" w:cs="Open Sans"/>
                <w:sz w:val="18"/>
                <w:szCs w:val="18"/>
              </w:rPr>
            </w:pPr>
            <w:r w:rsidRPr="65FE1DB5">
              <w:rPr>
                <w:rFonts w:ascii="Arial Narrow" w:hAnsi="Arial Narrow" w:cs="Open Sans"/>
                <w:sz w:val="18"/>
                <w:szCs w:val="18"/>
              </w:rPr>
              <w:t>At the time of the authority application, the prescriber should request an appropriate quantity and number of repeats for the strength(s) required; according to the patients dosing schedule in the TGA approved Product Information.</w:t>
            </w:r>
          </w:p>
        </w:tc>
      </w:tr>
    </w:tbl>
    <w:p w14:paraId="44F632D5" w14:textId="77777777" w:rsidR="00EF0F53" w:rsidRDefault="00EF0F53" w:rsidP="00EF0F53">
      <w:pPr>
        <w:pStyle w:val="3-BodyText"/>
        <w:numPr>
          <w:ilvl w:val="0"/>
          <w:numId w:val="0"/>
        </w:numPr>
        <w:rPr>
          <w:snapToGrid w:val="0"/>
          <w:lang w:eastAsia="en-US"/>
        </w:rPr>
      </w:pPr>
    </w:p>
    <w:p w14:paraId="54924320" w14:textId="697C9C83" w:rsidR="001D0FA1" w:rsidRDefault="001D0FA1" w:rsidP="00712D07">
      <w:pPr>
        <w:pStyle w:val="3-BodyText"/>
        <w:keepNext/>
        <w:keepLines/>
        <w:numPr>
          <w:ilvl w:val="0"/>
          <w:numId w:val="0"/>
        </w:numPr>
        <w:rPr>
          <w:b/>
          <w:bCs/>
          <w:snapToGrid w:val="0"/>
          <w:lang w:eastAsia="en-US"/>
        </w:rPr>
      </w:pPr>
      <w:r>
        <w:rPr>
          <w:b/>
          <w:bCs/>
          <w:snapToGrid w:val="0"/>
          <w:lang w:eastAsia="en-US"/>
        </w:rPr>
        <w:lastRenderedPageBreak/>
        <w:t>Continuing treatment</w:t>
      </w:r>
      <w:r w:rsidR="00EA2E01">
        <w:rPr>
          <w:b/>
          <w:bCs/>
          <w:snapToGrid w:val="0"/>
          <w:lang w:eastAsia="en-US"/>
        </w:rPr>
        <w:t xml:space="preserve">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Caption w:val="Continuing treatment "/>
      </w:tblPr>
      <w:tblGrid>
        <w:gridCol w:w="2972"/>
        <w:gridCol w:w="1559"/>
        <w:gridCol w:w="993"/>
        <w:gridCol w:w="992"/>
        <w:gridCol w:w="992"/>
        <w:gridCol w:w="1559"/>
      </w:tblGrid>
      <w:tr w:rsidR="00E61722" w:rsidRPr="00794AFE" w14:paraId="13B7C738" w14:textId="77777777" w:rsidTr="65FE1DB5">
        <w:trPr>
          <w:cantSplit/>
          <w:trHeight w:val="471"/>
        </w:trPr>
        <w:tc>
          <w:tcPr>
            <w:tcW w:w="2972" w:type="dxa"/>
          </w:tcPr>
          <w:p w14:paraId="0045A75D" w14:textId="77777777" w:rsidR="00E61722" w:rsidRPr="00794AFE" w:rsidRDefault="00E61722" w:rsidP="00712D07">
            <w:pPr>
              <w:keepNext/>
              <w:keepLines/>
              <w:ind w:left="-57"/>
              <w:jc w:val="left"/>
              <w:rPr>
                <w:rFonts w:ascii="Arial Narrow" w:eastAsia="Calibri" w:hAnsi="Arial Narrow"/>
                <w:b/>
                <w:bCs/>
                <w:sz w:val="18"/>
                <w:szCs w:val="18"/>
                <w:lang w:eastAsia="en-US"/>
              </w:rPr>
            </w:pPr>
            <w:r w:rsidRPr="00794AFE">
              <w:rPr>
                <w:rFonts w:ascii="Arial Narrow" w:eastAsia="Calibri" w:hAnsi="Arial Narrow"/>
                <w:b/>
                <w:bCs/>
                <w:sz w:val="18"/>
                <w:szCs w:val="18"/>
                <w:lang w:eastAsia="en-US"/>
              </w:rPr>
              <w:t>MEDICINAL PRODUCT</w:t>
            </w:r>
          </w:p>
          <w:p w14:paraId="0B325575" w14:textId="77777777" w:rsidR="00E61722" w:rsidRPr="00794AFE" w:rsidRDefault="00E61722" w:rsidP="00712D07">
            <w:pPr>
              <w:keepNext/>
              <w:keepLines/>
              <w:ind w:left="-57"/>
              <w:jc w:val="left"/>
              <w:rPr>
                <w:rFonts w:ascii="Arial Narrow" w:eastAsia="Calibri" w:hAnsi="Arial Narrow"/>
                <w:b/>
                <w:sz w:val="18"/>
                <w:szCs w:val="18"/>
                <w:lang w:eastAsia="en-US"/>
              </w:rPr>
            </w:pPr>
            <w:r w:rsidRPr="00794AFE">
              <w:rPr>
                <w:rFonts w:ascii="Arial Narrow" w:eastAsia="Calibri" w:hAnsi="Arial Narrow"/>
                <w:b/>
                <w:bCs/>
                <w:sz w:val="18"/>
                <w:szCs w:val="18"/>
                <w:lang w:eastAsia="en-US"/>
              </w:rPr>
              <w:t>medicinal product pack</w:t>
            </w:r>
          </w:p>
        </w:tc>
        <w:tc>
          <w:tcPr>
            <w:tcW w:w="1559" w:type="dxa"/>
          </w:tcPr>
          <w:p w14:paraId="2505259A" w14:textId="77777777" w:rsidR="00E61722" w:rsidRPr="00794AFE" w:rsidRDefault="00E61722" w:rsidP="00712D07">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PBS item code</w:t>
            </w:r>
          </w:p>
        </w:tc>
        <w:tc>
          <w:tcPr>
            <w:tcW w:w="993" w:type="dxa"/>
          </w:tcPr>
          <w:p w14:paraId="51803A5C" w14:textId="77777777" w:rsidR="00E61722" w:rsidRPr="00794AFE" w:rsidRDefault="00E61722" w:rsidP="00712D07">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Max. qty packs</w:t>
            </w:r>
          </w:p>
        </w:tc>
        <w:tc>
          <w:tcPr>
            <w:tcW w:w="992" w:type="dxa"/>
          </w:tcPr>
          <w:p w14:paraId="3F4BB992" w14:textId="77777777" w:rsidR="00E61722" w:rsidRPr="00794AFE" w:rsidRDefault="00E61722" w:rsidP="00712D07">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Max. qty units</w:t>
            </w:r>
          </w:p>
        </w:tc>
        <w:tc>
          <w:tcPr>
            <w:tcW w:w="992" w:type="dxa"/>
          </w:tcPr>
          <w:p w14:paraId="571AE59D" w14:textId="77777777" w:rsidR="00E61722" w:rsidRPr="00794AFE" w:rsidRDefault="00E61722" w:rsidP="00712D07">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№.of</w:t>
            </w:r>
          </w:p>
          <w:p w14:paraId="3DE78E21" w14:textId="77777777" w:rsidR="00E61722" w:rsidRPr="00794AFE" w:rsidRDefault="00E61722" w:rsidP="00712D07">
            <w:pPr>
              <w:keepNext/>
              <w:keepLines/>
              <w:ind w:left="-108"/>
              <w:jc w:val="center"/>
              <w:rPr>
                <w:rFonts w:ascii="Arial Narrow" w:eastAsia="Calibri" w:hAnsi="Arial Narrow"/>
                <w:b/>
                <w:sz w:val="18"/>
                <w:szCs w:val="18"/>
                <w:lang w:eastAsia="en-US"/>
              </w:rPr>
            </w:pPr>
            <w:r w:rsidRPr="00794AFE">
              <w:rPr>
                <w:rFonts w:ascii="Arial Narrow" w:eastAsia="Calibri" w:hAnsi="Arial Narrow"/>
                <w:b/>
                <w:sz w:val="18"/>
                <w:szCs w:val="18"/>
                <w:lang w:eastAsia="en-US"/>
              </w:rPr>
              <w:t>Rpts</w:t>
            </w:r>
          </w:p>
        </w:tc>
        <w:tc>
          <w:tcPr>
            <w:tcW w:w="1559" w:type="dxa"/>
          </w:tcPr>
          <w:p w14:paraId="77445683" w14:textId="77777777" w:rsidR="00E61722" w:rsidRPr="00794AFE" w:rsidRDefault="00E61722" w:rsidP="00712D07">
            <w:pPr>
              <w:keepNext/>
              <w:keepLines/>
              <w:jc w:val="left"/>
              <w:rPr>
                <w:rFonts w:ascii="Arial Narrow" w:eastAsia="Calibri" w:hAnsi="Arial Narrow"/>
                <w:b/>
                <w:sz w:val="18"/>
                <w:szCs w:val="18"/>
                <w:lang w:val="fr-FR" w:eastAsia="en-US"/>
              </w:rPr>
            </w:pPr>
            <w:r w:rsidRPr="00794AFE">
              <w:rPr>
                <w:rFonts w:ascii="Arial Narrow" w:eastAsia="Calibri" w:hAnsi="Arial Narrow"/>
                <w:b/>
                <w:sz w:val="18"/>
                <w:szCs w:val="18"/>
                <w:lang w:eastAsia="en-US"/>
              </w:rPr>
              <w:t>Available brands</w:t>
            </w:r>
          </w:p>
        </w:tc>
      </w:tr>
      <w:tr w:rsidR="00E61722" w:rsidRPr="00794AFE" w14:paraId="36AC55FF" w14:textId="77777777" w:rsidTr="65FE1DB5">
        <w:trPr>
          <w:cantSplit/>
          <w:trHeight w:val="224"/>
        </w:trPr>
        <w:tc>
          <w:tcPr>
            <w:tcW w:w="9067" w:type="dxa"/>
            <w:gridSpan w:val="6"/>
          </w:tcPr>
          <w:p w14:paraId="0C626AEA" w14:textId="77777777" w:rsidR="00E61722" w:rsidRPr="00794AFE" w:rsidRDefault="00E61722" w:rsidP="00712D07">
            <w:pPr>
              <w:keepNext/>
              <w:keepLines/>
              <w:ind w:left="-57"/>
              <w:jc w:val="left"/>
              <w:rPr>
                <w:rFonts w:ascii="Arial Narrow" w:eastAsia="Calibri" w:hAnsi="Arial Narrow"/>
                <w:sz w:val="18"/>
                <w:szCs w:val="18"/>
                <w:lang w:eastAsia="en-US"/>
              </w:rPr>
            </w:pPr>
            <w:r w:rsidRPr="00794AFE">
              <w:rPr>
                <w:rFonts w:ascii="Arial Narrow" w:eastAsia="Calibri" w:hAnsi="Arial Narrow"/>
                <w:sz w:val="18"/>
                <w:szCs w:val="18"/>
                <w:lang w:eastAsia="en-US"/>
              </w:rPr>
              <w:t xml:space="preserve">TUCATINIB </w:t>
            </w:r>
          </w:p>
        </w:tc>
      </w:tr>
      <w:tr w:rsidR="00E61722" w:rsidRPr="00794AFE" w14:paraId="4B7F0CA9" w14:textId="77777777" w:rsidTr="65FE1DB5">
        <w:trPr>
          <w:cantSplit/>
          <w:trHeight w:val="303"/>
        </w:trPr>
        <w:tc>
          <w:tcPr>
            <w:tcW w:w="2972" w:type="dxa"/>
          </w:tcPr>
          <w:p w14:paraId="0C6BD9F4" w14:textId="77777777" w:rsidR="00E61722" w:rsidRPr="00794AFE" w:rsidRDefault="00E61722" w:rsidP="00712D07">
            <w:pPr>
              <w:keepNext/>
              <w:keepLines/>
              <w:ind w:left="-57"/>
              <w:rPr>
                <w:rFonts w:ascii="Arial Narrow" w:eastAsia="Calibri" w:hAnsi="Arial Narrow"/>
                <w:sz w:val="18"/>
                <w:szCs w:val="18"/>
                <w:lang w:eastAsia="en-US"/>
              </w:rPr>
            </w:pPr>
            <w:r w:rsidRPr="00794AFE">
              <w:rPr>
                <w:rFonts w:ascii="Arial Narrow" w:eastAsia="Calibri" w:hAnsi="Arial Narrow"/>
                <w:sz w:val="18"/>
                <w:szCs w:val="18"/>
                <w:lang w:eastAsia="en-US"/>
              </w:rPr>
              <w:t xml:space="preserve">tucatinib 150 mg tablet, 84 </w:t>
            </w:r>
          </w:p>
        </w:tc>
        <w:tc>
          <w:tcPr>
            <w:tcW w:w="1559" w:type="dxa"/>
          </w:tcPr>
          <w:p w14:paraId="20950F9A" w14:textId="77777777" w:rsidR="00E61722" w:rsidRPr="00794AFE" w:rsidRDefault="00E61722" w:rsidP="00712D07">
            <w:pPr>
              <w:keepNext/>
              <w:keepLines/>
              <w:jc w:val="center"/>
              <w:rPr>
                <w:rFonts w:ascii="Arial Narrow" w:eastAsia="Calibri" w:hAnsi="Arial Narrow"/>
                <w:sz w:val="18"/>
                <w:szCs w:val="18"/>
                <w:lang w:eastAsia="en-US"/>
              </w:rPr>
            </w:pPr>
            <w:r w:rsidRPr="00794AFE">
              <w:rPr>
                <w:rFonts w:ascii="Arial Narrow" w:eastAsia="Calibri" w:hAnsi="Arial Narrow"/>
                <w:sz w:val="18"/>
                <w:szCs w:val="18"/>
                <w:lang w:eastAsia="en-US"/>
              </w:rPr>
              <w:t>NEW</w:t>
            </w:r>
          </w:p>
        </w:tc>
        <w:tc>
          <w:tcPr>
            <w:tcW w:w="993" w:type="dxa"/>
          </w:tcPr>
          <w:p w14:paraId="118455FF" w14:textId="77777777" w:rsidR="00E61722" w:rsidRPr="00794AFE" w:rsidRDefault="00E61722"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1</w:t>
            </w:r>
          </w:p>
        </w:tc>
        <w:tc>
          <w:tcPr>
            <w:tcW w:w="992" w:type="dxa"/>
          </w:tcPr>
          <w:p w14:paraId="1CE3E351" w14:textId="77777777" w:rsidR="00E61722" w:rsidRPr="00794AFE" w:rsidRDefault="00E61722"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84</w:t>
            </w:r>
          </w:p>
        </w:tc>
        <w:tc>
          <w:tcPr>
            <w:tcW w:w="992" w:type="dxa"/>
          </w:tcPr>
          <w:p w14:paraId="6D945F6F" w14:textId="77777777" w:rsidR="00E61722" w:rsidRPr="00794AFE" w:rsidRDefault="00E61722"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2</w:t>
            </w:r>
          </w:p>
        </w:tc>
        <w:tc>
          <w:tcPr>
            <w:tcW w:w="1559" w:type="dxa"/>
          </w:tcPr>
          <w:p w14:paraId="701E0A53" w14:textId="77777777" w:rsidR="00E61722" w:rsidRPr="00794AFE" w:rsidRDefault="00E61722" w:rsidP="00712D07">
            <w:pPr>
              <w:keepNext/>
              <w:keepLines/>
              <w:spacing w:before="20" w:after="20"/>
              <w:jc w:val="left"/>
              <w:rPr>
                <w:rFonts w:ascii="Arial Narrow" w:eastAsia="Calibri" w:hAnsi="Arial Narrow"/>
                <w:sz w:val="18"/>
                <w:szCs w:val="18"/>
                <w:lang w:eastAsia="en-US"/>
              </w:rPr>
            </w:pPr>
            <w:proofErr w:type="spellStart"/>
            <w:r w:rsidRPr="00794AFE">
              <w:rPr>
                <w:rFonts w:ascii="Arial Narrow" w:eastAsia="Calibri" w:hAnsi="Arial Narrow"/>
                <w:sz w:val="18"/>
                <w:szCs w:val="18"/>
                <w:lang w:eastAsia="en-US"/>
              </w:rPr>
              <w:t>Tukysa</w:t>
            </w:r>
            <w:proofErr w:type="spellEnd"/>
          </w:p>
        </w:tc>
      </w:tr>
      <w:tr w:rsidR="00331A1F" w:rsidRPr="00794AFE" w14:paraId="070F32DB" w14:textId="77777777" w:rsidTr="65FE1DB5">
        <w:trPr>
          <w:cantSplit/>
          <w:trHeight w:val="303"/>
        </w:trPr>
        <w:tc>
          <w:tcPr>
            <w:tcW w:w="2972" w:type="dxa"/>
          </w:tcPr>
          <w:p w14:paraId="1C5C6143" w14:textId="12E4DFCC" w:rsidR="00331A1F" w:rsidRPr="00794AFE" w:rsidRDefault="00331A1F" w:rsidP="00712D07">
            <w:pPr>
              <w:keepNext/>
              <w:keepLines/>
              <w:ind w:left="-57"/>
              <w:rPr>
                <w:rFonts w:ascii="Arial Narrow" w:eastAsia="Calibri" w:hAnsi="Arial Narrow"/>
                <w:sz w:val="18"/>
                <w:szCs w:val="18"/>
                <w:lang w:eastAsia="en-US"/>
              </w:rPr>
            </w:pPr>
            <w:r w:rsidRPr="00794AFE">
              <w:rPr>
                <w:rFonts w:ascii="Arial Narrow" w:eastAsia="Calibri" w:hAnsi="Arial Narrow"/>
                <w:sz w:val="18"/>
                <w:szCs w:val="18"/>
                <w:lang w:eastAsia="en-US"/>
              </w:rPr>
              <w:t xml:space="preserve">tucatinib 50 mg tablet, 88 </w:t>
            </w:r>
          </w:p>
        </w:tc>
        <w:tc>
          <w:tcPr>
            <w:tcW w:w="1559" w:type="dxa"/>
          </w:tcPr>
          <w:p w14:paraId="1F0C0023" w14:textId="716A4F53" w:rsidR="00331A1F" w:rsidRPr="00794AFE" w:rsidRDefault="00331A1F" w:rsidP="00712D07">
            <w:pPr>
              <w:keepNext/>
              <w:keepLines/>
              <w:jc w:val="center"/>
              <w:rPr>
                <w:rFonts w:ascii="Arial Narrow" w:eastAsia="Calibri" w:hAnsi="Arial Narrow"/>
                <w:sz w:val="18"/>
                <w:szCs w:val="18"/>
                <w:lang w:eastAsia="en-US"/>
              </w:rPr>
            </w:pPr>
            <w:r w:rsidRPr="00794AFE">
              <w:rPr>
                <w:rFonts w:ascii="Arial Narrow" w:eastAsia="Calibri" w:hAnsi="Arial Narrow"/>
                <w:sz w:val="18"/>
                <w:szCs w:val="18"/>
                <w:lang w:eastAsia="en-US"/>
              </w:rPr>
              <w:t>NEW</w:t>
            </w:r>
          </w:p>
        </w:tc>
        <w:tc>
          <w:tcPr>
            <w:tcW w:w="993" w:type="dxa"/>
          </w:tcPr>
          <w:p w14:paraId="2A6E0C6B" w14:textId="16722887" w:rsidR="00331A1F" w:rsidRPr="00794AFE" w:rsidRDefault="00331A1F"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1</w:t>
            </w:r>
          </w:p>
        </w:tc>
        <w:tc>
          <w:tcPr>
            <w:tcW w:w="992" w:type="dxa"/>
          </w:tcPr>
          <w:p w14:paraId="5ADF2635" w14:textId="348982CF" w:rsidR="00331A1F" w:rsidRPr="00794AFE" w:rsidRDefault="00331A1F"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88</w:t>
            </w:r>
          </w:p>
        </w:tc>
        <w:tc>
          <w:tcPr>
            <w:tcW w:w="992" w:type="dxa"/>
          </w:tcPr>
          <w:p w14:paraId="3DC9A814" w14:textId="1A6C08C8" w:rsidR="00331A1F" w:rsidRPr="00794AFE" w:rsidRDefault="00331A1F" w:rsidP="00712D07">
            <w:pPr>
              <w:keepNext/>
              <w:keepLines/>
              <w:jc w:val="center"/>
              <w:rPr>
                <w:rFonts w:ascii="Arial Narrow" w:eastAsia="Calibri" w:hAnsi="Arial Narrow"/>
                <w:iCs/>
                <w:sz w:val="18"/>
                <w:szCs w:val="18"/>
                <w:lang w:eastAsia="en-US"/>
              </w:rPr>
            </w:pPr>
            <w:r w:rsidRPr="00794AFE">
              <w:rPr>
                <w:rFonts w:ascii="Arial Narrow" w:eastAsia="Calibri" w:hAnsi="Arial Narrow"/>
                <w:iCs/>
                <w:sz w:val="18"/>
                <w:szCs w:val="18"/>
                <w:lang w:eastAsia="en-US"/>
              </w:rPr>
              <w:t>1</w:t>
            </w:r>
          </w:p>
        </w:tc>
        <w:tc>
          <w:tcPr>
            <w:tcW w:w="1559" w:type="dxa"/>
          </w:tcPr>
          <w:p w14:paraId="7C41E586" w14:textId="3D99A25E" w:rsidR="00331A1F" w:rsidRPr="00794AFE" w:rsidRDefault="00331A1F" w:rsidP="00712D07">
            <w:pPr>
              <w:keepNext/>
              <w:keepLines/>
              <w:spacing w:before="20" w:after="20"/>
              <w:jc w:val="left"/>
              <w:rPr>
                <w:rFonts w:ascii="Arial Narrow" w:eastAsia="Calibri" w:hAnsi="Arial Narrow"/>
                <w:sz w:val="18"/>
                <w:szCs w:val="18"/>
                <w:lang w:eastAsia="en-US"/>
              </w:rPr>
            </w:pPr>
            <w:proofErr w:type="spellStart"/>
            <w:r w:rsidRPr="00794AFE">
              <w:rPr>
                <w:rFonts w:ascii="Arial Narrow" w:eastAsia="Calibri" w:hAnsi="Arial Narrow"/>
                <w:sz w:val="18"/>
                <w:szCs w:val="18"/>
                <w:lang w:eastAsia="en-US"/>
              </w:rPr>
              <w:t>Tukysa</w:t>
            </w:r>
            <w:proofErr w:type="spellEnd"/>
          </w:p>
        </w:tc>
      </w:tr>
      <w:tr w:rsidR="00331A1F" w:rsidRPr="00794AFE" w14:paraId="45A1D4FB" w14:textId="77777777" w:rsidTr="65FE1DB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04D6F5D6" w14:textId="77777777" w:rsidR="00331A1F" w:rsidRPr="00794AFE" w:rsidRDefault="00331A1F" w:rsidP="00712D07">
            <w:pPr>
              <w:keepNext/>
              <w:keepLines/>
              <w:rPr>
                <w:rFonts w:ascii="Arial Narrow" w:eastAsia="Calibri" w:hAnsi="Arial Narrow"/>
                <w:b/>
                <w:sz w:val="18"/>
                <w:szCs w:val="18"/>
                <w:lang w:eastAsia="en-US"/>
              </w:rPr>
            </w:pPr>
          </w:p>
        </w:tc>
      </w:tr>
      <w:tr w:rsidR="00331A1F" w:rsidRPr="00794AFE" w14:paraId="4928034E" w14:textId="77777777" w:rsidTr="65FE1DB5">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right w:val="single" w:sz="4" w:space="0" w:color="auto"/>
            </w:tcBorders>
          </w:tcPr>
          <w:p w14:paraId="6C746A89" w14:textId="77777777" w:rsidR="00331A1F" w:rsidRPr="00794AFE" w:rsidRDefault="00331A1F" w:rsidP="00712D07">
            <w:pPr>
              <w:keepNext/>
              <w:keepLines/>
              <w:ind w:left="57"/>
              <w:rPr>
                <w:rFonts w:ascii="Arial Narrow" w:eastAsia="Calibri" w:hAnsi="Arial Narrow"/>
                <w:b/>
                <w:sz w:val="18"/>
                <w:szCs w:val="18"/>
                <w:lang w:eastAsia="en-US"/>
              </w:rPr>
            </w:pPr>
            <w:r w:rsidRPr="00794AFE">
              <w:rPr>
                <w:rFonts w:ascii="Arial Narrow" w:eastAsia="Calibri" w:hAnsi="Arial Narrow" w:cs="Times New Roman"/>
                <w:b/>
                <w:sz w:val="18"/>
                <w:szCs w:val="18"/>
                <w:lang w:eastAsia="en-US"/>
              </w:rPr>
              <w:t xml:space="preserve">Restriction Summary [new] / Treatment of Concept: [new] </w:t>
            </w:r>
          </w:p>
        </w:tc>
      </w:tr>
      <w:tr w:rsidR="00364618" w:rsidRPr="00794AFE" w14:paraId="4255628C"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tcBorders>
              <w:top w:val="single" w:sz="4" w:space="0" w:color="auto"/>
              <w:left w:val="single" w:sz="4" w:space="0" w:color="auto"/>
              <w:bottom w:val="single" w:sz="4" w:space="0" w:color="auto"/>
              <w:right w:val="single" w:sz="4" w:space="0" w:color="auto"/>
            </w:tcBorders>
          </w:tcPr>
          <w:p w14:paraId="26FFE733" w14:textId="77777777" w:rsidR="00364618" w:rsidRPr="00794AFE" w:rsidRDefault="00364618" w:rsidP="00331A1F">
            <w:pPr>
              <w:rPr>
                <w:rFonts w:ascii="Arial Narrow" w:eastAsia="Calibri" w:hAnsi="Arial Narrow"/>
                <w:sz w:val="18"/>
                <w:szCs w:val="18"/>
                <w:lang w:eastAsia="en-US"/>
              </w:rPr>
            </w:pPr>
            <w:r w:rsidRPr="00794AFE">
              <w:rPr>
                <w:rFonts w:ascii="Arial Narrow" w:eastAsia="Calibri" w:hAnsi="Arial Narrow"/>
                <w:b/>
                <w:sz w:val="18"/>
                <w:szCs w:val="18"/>
                <w:lang w:eastAsia="en-US"/>
              </w:rPr>
              <w:t xml:space="preserve">Category / Program:   </w:t>
            </w:r>
            <w:r w:rsidRPr="00794AFE">
              <w:rPr>
                <w:rFonts w:ascii="Arial Narrow" w:eastAsia="Calibri" w:hAnsi="Arial Narrow"/>
                <w:bCs/>
                <w:sz w:val="18"/>
                <w:szCs w:val="18"/>
                <w:lang w:eastAsia="en-US"/>
              </w:rPr>
              <w:t>Schedule 85</w:t>
            </w:r>
            <w:r w:rsidRPr="00794AFE">
              <w:rPr>
                <w:rFonts w:ascii="Arial Narrow" w:eastAsia="Calibri" w:hAnsi="Arial Narrow"/>
                <w:b/>
                <w:sz w:val="18"/>
                <w:szCs w:val="18"/>
                <w:lang w:eastAsia="en-US"/>
              </w:rPr>
              <w:t xml:space="preserve"> </w:t>
            </w:r>
            <w:r w:rsidRPr="00794AFE">
              <w:rPr>
                <w:rFonts w:ascii="Arial Narrow" w:eastAsia="Calibri" w:hAnsi="Arial Narrow"/>
                <w:sz w:val="18"/>
                <w:szCs w:val="18"/>
                <w:lang w:eastAsia="en-US"/>
              </w:rPr>
              <w:t xml:space="preserve">GENERAL – General Schedule (Code GE) </w:t>
            </w:r>
          </w:p>
        </w:tc>
      </w:tr>
      <w:tr w:rsidR="00364618" w:rsidRPr="00794AFE" w14:paraId="708337FB" w14:textId="77777777" w:rsidTr="00364618">
        <w:tblPrEx>
          <w:tblCellMar>
            <w:top w:w="15" w:type="dxa"/>
            <w:left w:w="15" w:type="dxa"/>
            <w:bottom w:w="15" w:type="dxa"/>
            <w:right w:w="15" w:type="dxa"/>
          </w:tblCellMar>
          <w:tblLook w:val="04A0" w:firstRow="1" w:lastRow="0" w:firstColumn="1" w:lastColumn="0" w:noHBand="0" w:noVBand="1"/>
        </w:tblPrEx>
        <w:trPr>
          <w:trHeight w:val="240"/>
        </w:trPr>
        <w:tc>
          <w:tcPr>
            <w:tcW w:w="9067" w:type="dxa"/>
            <w:gridSpan w:val="6"/>
            <w:tcBorders>
              <w:top w:val="single" w:sz="4" w:space="0" w:color="auto"/>
              <w:left w:val="single" w:sz="4" w:space="0" w:color="auto"/>
              <w:bottom w:val="single" w:sz="4" w:space="0" w:color="auto"/>
              <w:right w:val="single" w:sz="4" w:space="0" w:color="auto"/>
            </w:tcBorders>
          </w:tcPr>
          <w:p w14:paraId="39C909A1" w14:textId="77777777" w:rsidR="00364618" w:rsidRPr="00794AFE" w:rsidRDefault="00364618" w:rsidP="00331A1F">
            <w:pPr>
              <w:rPr>
                <w:rFonts w:ascii="Arial Narrow" w:eastAsia="Calibri" w:hAnsi="Arial Narrow"/>
                <w:b/>
                <w:sz w:val="18"/>
                <w:szCs w:val="18"/>
                <w:lang w:eastAsia="en-US"/>
              </w:rPr>
            </w:pPr>
            <w:r w:rsidRPr="00794AFE">
              <w:rPr>
                <w:rFonts w:ascii="Arial Narrow" w:eastAsia="Calibri" w:hAnsi="Arial Narrow"/>
                <w:b/>
                <w:sz w:val="18"/>
                <w:szCs w:val="18"/>
                <w:lang w:eastAsia="en-US"/>
              </w:rPr>
              <w:t xml:space="preserve">Prescriber type:  </w:t>
            </w:r>
            <w:r w:rsidRPr="00794AFE">
              <w:rPr>
                <w:rFonts w:ascii="Arial Narrow" w:eastAsia="Calibri" w:hAnsi="Arial Narrow"/>
                <w:sz w:val="18"/>
                <w:szCs w:val="18"/>
                <w:lang w:eastAsia="en-US"/>
              </w:rPr>
              <w:fldChar w:fldCharType="begin">
                <w:ffData>
                  <w:name w:val=""/>
                  <w:enabled/>
                  <w:calcOnExit w:val="0"/>
                  <w:checkBox>
                    <w:sizeAuto/>
                    <w:default w:val="1"/>
                  </w:checkBox>
                </w:ffData>
              </w:fldChar>
            </w:r>
            <w:r w:rsidRPr="00794AFE">
              <w:rPr>
                <w:rFonts w:ascii="Arial Narrow" w:eastAsia="Calibri" w:hAnsi="Arial Narrow"/>
                <w:sz w:val="18"/>
                <w:szCs w:val="18"/>
                <w:lang w:eastAsia="en-US"/>
              </w:rPr>
              <w:instrText xml:space="preserve"> FORMCHECKBOX </w:instrText>
            </w:r>
            <w:r w:rsidRPr="00794AFE">
              <w:rPr>
                <w:rFonts w:ascii="Arial Narrow" w:eastAsia="Calibri" w:hAnsi="Arial Narrow"/>
                <w:sz w:val="18"/>
                <w:szCs w:val="18"/>
                <w:lang w:eastAsia="en-US"/>
              </w:rPr>
            </w:r>
            <w:r w:rsidRPr="00794AFE">
              <w:rPr>
                <w:rFonts w:ascii="Arial Narrow" w:eastAsia="Calibri" w:hAnsi="Arial Narrow"/>
                <w:sz w:val="18"/>
                <w:szCs w:val="18"/>
                <w:lang w:eastAsia="en-US"/>
              </w:rPr>
              <w:fldChar w:fldCharType="separate"/>
            </w:r>
            <w:r w:rsidRPr="00794AFE">
              <w:rPr>
                <w:rFonts w:ascii="Arial Narrow" w:eastAsia="Calibri" w:hAnsi="Arial Narrow"/>
                <w:sz w:val="18"/>
                <w:szCs w:val="18"/>
                <w:lang w:eastAsia="en-US"/>
              </w:rPr>
              <w:fldChar w:fldCharType="end"/>
            </w:r>
            <w:r w:rsidRPr="00794AFE">
              <w:rPr>
                <w:rFonts w:ascii="Arial Narrow" w:eastAsia="Calibri" w:hAnsi="Arial Narrow"/>
                <w:sz w:val="18"/>
                <w:szCs w:val="18"/>
                <w:lang w:eastAsia="en-US"/>
              </w:rPr>
              <w:t xml:space="preserve">Medical Practitioners  </w:t>
            </w:r>
          </w:p>
        </w:tc>
      </w:tr>
      <w:tr w:rsidR="00364618" w:rsidRPr="00794AFE" w14:paraId="713C6471" w14:textId="77777777" w:rsidTr="00364618">
        <w:tblPrEx>
          <w:tblCellMar>
            <w:top w:w="15" w:type="dxa"/>
            <w:left w:w="15" w:type="dxa"/>
            <w:bottom w:w="15" w:type="dxa"/>
            <w:right w:w="15" w:type="dxa"/>
          </w:tblCellMar>
          <w:tblLook w:val="04A0" w:firstRow="1" w:lastRow="0" w:firstColumn="1" w:lastColumn="0" w:noHBand="0" w:noVBand="1"/>
        </w:tblPrEx>
        <w:trPr>
          <w:trHeight w:val="121"/>
        </w:trPr>
        <w:tc>
          <w:tcPr>
            <w:tcW w:w="9067" w:type="dxa"/>
            <w:gridSpan w:val="6"/>
            <w:tcBorders>
              <w:top w:val="single" w:sz="4" w:space="0" w:color="auto"/>
              <w:left w:val="single" w:sz="4" w:space="0" w:color="auto"/>
              <w:bottom w:val="single" w:sz="4" w:space="0" w:color="auto"/>
              <w:right w:val="single" w:sz="4" w:space="0" w:color="auto"/>
            </w:tcBorders>
          </w:tcPr>
          <w:p w14:paraId="3F59C08B" w14:textId="77777777" w:rsidR="00364618" w:rsidRPr="00794AFE" w:rsidRDefault="00364618" w:rsidP="00331A1F">
            <w:pPr>
              <w:rPr>
                <w:rFonts w:ascii="Arial Narrow" w:eastAsia="Calibri" w:hAnsi="Arial Narrow"/>
                <w:color w:val="FF00FF"/>
                <w:sz w:val="18"/>
                <w:szCs w:val="18"/>
                <w:lang w:eastAsia="en-US"/>
              </w:rPr>
            </w:pPr>
            <w:r w:rsidRPr="00794AFE">
              <w:rPr>
                <w:rFonts w:ascii="Arial Narrow" w:eastAsia="Calibri" w:hAnsi="Arial Narrow"/>
                <w:b/>
                <w:sz w:val="18"/>
                <w:szCs w:val="18"/>
                <w:lang w:eastAsia="en-US"/>
              </w:rPr>
              <w:t xml:space="preserve">Restriction type: </w:t>
            </w:r>
            <w:r w:rsidRPr="00794AFE">
              <w:rPr>
                <w:rFonts w:ascii="Arial Narrow" w:eastAsia="Calibri" w:hAnsi="Arial Narrow"/>
                <w:color w:val="FF00FF"/>
                <w:sz w:val="18"/>
                <w:szCs w:val="18"/>
                <w:lang w:eastAsia="en-US"/>
              </w:rPr>
              <w:t xml:space="preserve"> </w:t>
            </w:r>
            <w:r w:rsidRPr="00794AFE">
              <w:rPr>
                <w:rFonts w:ascii="Arial Narrow" w:eastAsia="Calibri" w:hAnsi="Arial Narrow"/>
                <w:sz w:val="18"/>
                <w:szCs w:val="18"/>
                <w:lang w:eastAsia="en-US"/>
              </w:rPr>
              <w:fldChar w:fldCharType="begin">
                <w:ffData>
                  <w:name w:val="Check3"/>
                  <w:enabled/>
                  <w:calcOnExit w:val="0"/>
                  <w:checkBox>
                    <w:sizeAuto/>
                    <w:default w:val="1"/>
                  </w:checkBox>
                </w:ffData>
              </w:fldChar>
            </w:r>
            <w:r w:rsidRPr="00794AFE">
              <w:rPr>
                <w:rFonts w:ascii="Arial Narrow" w:eastAsia="Calibri" w:hAnsi="Arial Narrow"/>
                <w:sz w:val="18"/>
                <w:szCs w:val="18"/>
                <w:lang w:eastAsia="en-US"/>
              </w:rPr>
              <w:instrText xml:space="preserve"> FORMCHECKBOX </w:instrText>
            </w:r>
            <w:r w:rsidRPr="00794AFE">
              <w:rPr>
                <w:rFonts w:ascii="Arial Narrow" w:eastAsia="Calibri" w:hAnsi="Arial Narrow"/>
                <w:sz w:val="18"/>
                <w:szCs w:val="18"/>
                <w:lang w:eastAsia="en-US"/>
              </w:rPr>
            </w:r>
            <w:r w:rsidRPr="00794AFE">
              <w:rPr>
                <w:rFonts w:ascii="Arial Narrow" w:eastAsia="Calibri" w:hAnsi="Arial Narrow"/>
                <w:sz w:val="18"/>
                <w:szCs w:val="18"/>
                <w:lang w:eastAsia="en-US"/>
              </w:rPr>
              <w:fldChar w:fldCharType="separate"/>
            </w:r>
            <w:r w:rsidRPr="00794AFE">
              <w:rPr>
                <w:rFonts w:ascii="Arial Narrow" w:eastAsia="Calibri" w:hAnsi="Arial Narrow"/>
                <w:sz w:val="18"/>
                <w:szCs w:val="18"/>
                <w:lang w:eastAsia="en-US"/>
              </w:rPr>
              <w:fldChar w:fldCharType="end"/>
            </w:r>
            <w:r w:rsidRPr="00794AFE">
              <w:rPr>
                <w:rFonts w:ascii="Arial Narrow" w:eastAsia="Calibri" w:hAnsi="Arial Narrow"/>
                <w:sz w:val="18"/>
                <w:szCs w:val="18"/>
                <w:lang w:eastAsia="en-US"/>
              </w:rPr>
              <w:t>Authority Required – Streamlined [new code]</w:t>
            </w:r>
          </w:p>
        </w:tc>
      </w:tr>
      <w:tr w:rsidR="00364618" w:rsidRPr="00794AFE" w14:paraId="22291CC7"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19AD231F" w14:textId="77777777" w:rsidR="00364618" w:rsidRPr="00E61722" w:rsidRDefault="00364618" w:rsidP="00331A1F">
            <w:pPr>
              <w:jc w:val="left"/>
              <w:rPr>
                <w:rFonts w:ascii="Arial Narrow" w:hAnsi="Arial Narrow" w:cs="Times New Roman"/>
                <w:color w:val="333333"/>
                <w:sz w:val="18"/>
                <w:szCs w:val="18"/>
              </w:rPr>
            </w:pPr>
            <w:r w:rsidRPr="00E61722">
              <w:rPr>
                <w:rFonts w:ascii="Arial Narrow" w:hAnsi="Arial Narrow" w:cs="Times New Roman"/>
                <w:b/>
                <w:bCs/>
                <w:color w:val="333333"/>
                <w:sz w:val="18"/>
                <w:szCs w:val="18"/>
              </w:rPr>
              <w:t>Administrative Advice</w:t>
            </w:r>
            <w:r w:rsidRPr="00E61722">
              <w:rPr>
                <w:rFonts w:ascii="Arial Narrow" w:hAnsi="Arial Narrow" w:cs="Times New Roman"/>
                <w:color w:val="333333"/>
                <w:sz w:val="18"/>
                <w:szCs w:val="18"/>
              </w:rPr>
              <w:t xml:space="preserve"> Special pricing arrangements apply </w:t>
            </w:r>
          </w:p>
        </w:tc>
      </w:tr>
      <w:tr w:rsidR="00364618" w:rsidRPr="00794AFE" w14:paraId="22A44BA5"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25C21B76" w14:textId="281545F1" w:rsidR="00364618" w:rsidRPr="00E61722" w:rsidRDefault="00364618" w:rsidP="00331A1F">
            <w:pPr>
              <w:jc w:val="left"/>
              <w:rPr>
                <w:rFonts w:ascii="Arial Narrow" w:hAnsi="Arial Narrow" w:cs="Times New Roman"/>
                <w:b/>
                <w:bCs/>
                <w:color w:val="333333"/>
                <w:sz w:val="18"/>
                <w:szCs w:val="18"/>
              </w:rPr>
            </w:pPr>
            <w:r w:rsidRPr="00211388">
              <w:rPr>
                <w:rFonts w:ascii="Arial Narrow" w:hAnsi="Arial Narrow" w:cs="Times New Roman"/>
                <w:b/>
                <w:bCs/>
                <w:color w:val="333333"/>
                <w:sz w:val="18"/>
                <w:szCs w:val="18"/>
              </w:rPr>
              <w:t>Administrative Advice:</w:t>
            </w:r>
            <w:r w:rsidRPr="00211388">
              <w:rPr>
                <w:rFonts w:ascii="Arial Narrow" w:hAnsi="Arial Narrow" w:cs="Times New Roman"/>
                <w:color w:val="333333"/>
                <w:sz w:val="18"/>
                <w:szCs w:val="18"/>
              </w:rPr>
              <w:t xml:space="preserve"> </w:t>
            </w:r>
            <w:r w:rsidRPr="00B25C53">
              <w:rPr>
                <w:rFonts w:ascii="Arial Narrow" w:hAnsi="Arial Narrow" w:cs="Times New Roman"/>
                <w:color w:val="333333"/>
                <w:sz w:val="18"/>
                <w:szCs w:val="18"/>
              </w:rPr>
              <w:t>Authority applications for increased quantities/repeats (where relevant) may be made via the Online PBS Authorities system or by telephone to Services Australia on 1800 888 333</w:t>
            </w:r>
          </w:p>
        </w:tc>
      </w:tr>
      <w:tr w:rsidR="00364618" w:rsidRPr="00794AFE" w14:paraId="27EBB593"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5B8F6A3E" w14:textId="77777777" w:rsidR="00364618" w:rsidRPr="00E61722" w:rsidRDefault="00364618" w:rsidP="00331A1F">
            <w:pPr>
              <w:jc w:val="left"/>
              <w:rPr>
                <w:rFonts w:ascii="Arial Narrow" w:hAnsi="Arial Narrow" w:cs="Times New Roman"/>
                <w:color w:val="333333"/>
                <w:sz w:val="18"/>
                <w:szCs w:val="18"/>
              </w:rPr>
            </w:pPr>
            <w:r w:rsidRPr="00E61722">
              <w:rPr>
                <w:rFonts w:ascii="Arial Narrow" w:hAnsi="Arial Narrow" w:cs="Times New Roman"/>
                <w:b/>
                <w:bCs/>
                <w:color w:val="333333"/>
                <w:sz w:val="18"/>
                <w:szCs w:val="18"/>
              </w:rPr>
              <w:t>Indication:</w:t>
            </w:r>
            <w:r w:rsidRPr="00E61722">
              <w:rPr>
                <w:rFonts w:ascii="Arial Narrow" w:hAnsi="Arial Narrow" w:cs="Times New Roman"/>
                <w:color w:val="333333"/>
                <w:sz w:val="18"/>
                <w:szCs w:val="18"/>
              </w:rPr>
              <w:t xml:space="preserve"> Metastatic (Stage IV) HER2 positive breast cancer</w:t>
            </w:r>
          </w:p>
        </w:tc>
      </w:tr>
      <w:tr w:rsidR="00364618" w:rsidRPr="00794AFE" w14:paraId="4FEABC94"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09E5CCB4" w14:textId="77777777" w:rsidR="00364618" w:rsidRPr="00794AFE" w:rsidRDefault="00364618" w:rsidP="00331A1F">
            <w:pPr>
              <w:jc w:val="left"/>
              <w:rPr>
                <w:rFonts w:ascii="Arial Narrow" w:hAnsi="Arial Narrow" w:cs="Times New Roman"/>
                <w:color w:val="FF00FF"/>
                <w:sz w:val="18"/>
                <w:szCs w:val="18"/>
              </w:rPr>
            </w:pPr>
            <w:r w:rsidRPr="00794AFE">
              <w:rPr>
                <w:rFonts w:ascii="Arial Narrow" w:hAnsi="Arial Narrow" w:cs="Times New Roman"/>
                <w:b/>
                <w:bCs/>
                <w:color w:val="333333"/>
                <w:sz w:val="18"/>
                <w:szCs w:val="18"/>
              </w:rPr>
              <w:t>Treatment Phase:</w:t>
            </w:r>
            <w:r w:rsidRPr="00794AFE">
              <w:rPr>
                <w:rFonts w:ascii="Arial Narrow" w:hAnsi="Arial Narrow" w:cs="Times New Roman"/>
                <w:color w:val="333333"/>
                <w:sz w:val="18"/>
                <w:szCs w:val="18"/>
              </w:rPr>
              <w:t xml:space="preserve"> </w:t>
            </w:r>
            <w:r w:rsidRPr="00794AFE">
              <w:rPr>
                <w:rFonts w:ascii="Arial Narrow" w:hAnsi="Arial Narrow" w:cs="Times New Roman"/>
                <w:sz w:val="18"/>
                <w:szCs w:val="18"/>
              </w:rPr>
              <w:t>Continuing</w:t>
            </w:r>
            <w:r w:rsidRPr="00794AFE">
              <w:rPr>
                <w:rFonts w:ascii="Arial Narrow" w:hAnsi="Arial Narrow" w:cs="Times New Roman"/>
                <w:color w:val="FF00FF"/>
                <w:sz w:val="18"/>
                <w:szCs w:val="18"/>
              </w:rPr>
              <w:t xml:space="preserve"> </w:t>
            </w:r>
            <w:r w:rsidRPr="00794AFE">
              <w:rPr>
                <w:rFonts w:ascii="Arial Narrow" w:hAnsi="Arial Narrow" w:cs="Times New Roman"/>
                <w:sz w:val="18"/>
                <w:szCs w:val="18"/>
              </w:rPr>
              <w:t>treatment</w:t>
            </w:r>
          </w:p>
        </w:tc>
      </w:tr>
      <w:tr w:rsidR="00364618" w:rsidRPr="00794AFE" w14:paraId="2CC736C2"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79FE531B" w14:textId="77777777" w:rsidR="00364618" w:rsidRPr="00794AFE" w:rsidRDefault="00364618" w:rsidP="00331A1F">
            <w:pPr>
              <w:jc w:val="left"/>
              <w:rPr>
                <w:rFonts w:ascii="Arial Narrow" w:hAnsi="Arial Narrow" w:cs="Times New Roman"/>
                <w:color w:val="FF00FF"/>
                <w:sz w:val="18"/>
                <w:szCs w:val="18"/>
              </w:rPr>
            </w:pPr>
            <w:r w:rsidRPr="00794AFE">
              <w:rPr>
                <w:rFonts w:ascii="Arial Narrow" w:hAnsi="Arial Narrow" w:cs="Times New Roman"/>
                <w:b/>
                <w:bCs/>
                <w:color w:val="333333"/>
                <w:sz w:val="18"/>
                <w:szCs w:val="18"/>
              </w:rPr>
              <w:t>Clinical criteria</w:t>
            </w:r>
          </w:p>
        </w:tc>
      </w:tr>
      <w:tr w:rsidR="00364618" w:rsidRPr="00794AFE" w14:paraId="1892A6B1" w14:textId="77777777" w:rsidTr="00364618">
        <w:tblPrEx>
          <w:tblCellMar>
            <w:top w:w="15" w:type="dxa"/>
            <w:left w:w="15" w:type="dxa"/>
            <w:bottom w:w="15" w:type="dxa"/>
            <w:right w:w="15" w:type="dxa"/>
          </w:tblCellMar>
          <w:tblLook w:val="04A0" w:firstRow="1" w:lastRow="0" w:firstColumn="1" w:lastColumn="0" w:noHBand="0" w:noVBand="1"/>
        </w:tblPrEx>
        <w:trPr>
          <w:trHeight w:val="20"/>
        </w:trPr>
        <w:tc>
          <w:tcPr>
            <w:tcW w:w="9067" w:type="dxa"/>
            <w:gridSpan w:val="6"/>
            <w:vAlign w:val="center"/>
            <w:hideMark/>
          </w:tcPr>
          <w:p w14:paraId="36E55FA2"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bCs/>
                <w:color w:val="333333"/>
                <w:sz w:val="18"/>
                <w:szCs w:val="18"/>
              </w:rPr>
              <w:t>Patient must have previously received PBS-subsidised treatment with this drug for metastatic (Stage IV) HER2 positive breast cancer</w:t>
            </w:r>
          </w:p>
        </w:tc>
      </w:tr>
      <w:tr w:rsidR="00364618" w:rsidRPr="00794AFE" w14:paraId="1BBC3E2C"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34E04B79"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AND</w:t>
            </w:r>
          </w:p>
        </w:tc>
      </w:tr>
      <w:tr w:rsidR="00364618" w:rsidRPr="00794AFE" w14:paraId="0957DAB6" w14:textId="77777777" w:rsidTr="00364618">
        <w:tblPrEx>
          <w:tblCellMar>
            <w:top w:w="15" w:type="dxa"/>
            <w:left w:w="15" w:type="dxa"/>
            <w:bottom w:w="15" w:type="dxa"/>
            <w:right w:w="15" w:type="dxa"/>
          </w:tblCellMar>
          <w:tblLook w:val="04A0" w:firstRow="1" w:lastRow="0" w:firstColumn="1" w:lastColumn="0" w:noHBand="0" w:noVBand="1"/>
        </w:tblPrEx>
        <w:trPr>
          <w:trHeight w:val="159"/>
        </w:trPr>
        <w:tc>
          <w:tcPr>
            <w:tcW w:w="9067" w:type="dxa"/>
            <w:gridSpan w:val="6"/>
            <w:vAlign w:val="center"/>
            <w:hideMark/>
          </w:tcPr>
          <w:p w14:paraId="509BF020"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Clinical criteria:</w:t>
            </w:r>
          </w:p>
        </w:tc>
      </w:tr>
      <w:tr w:rsidR="00364618" w:rsidRPr="00794AFE" w14:paraId="0F9C4D1F" w14:textId="77777777" w:rsidTr="00364618">
        <w:tblPrEx>
          <w:tblCellMar>
            <w:top w:w="15" w:type="dxa"/>
            <w:left w:w="15" w:type="dxa"/>
            <w:bottom w:w="15" w:type="dxa"/>
            <w:right w:w="15" w:type="dxa"/>
          </w:tblCellMar>
          <w:tblLook w:val="04A0" w:firstRow="1" w:lastRow="0" w:firstColumn="1" w:lastColumn="0" w:noHBand="0" w:noVBand="1"/>
        </w:tblPrEx>
        <w:trPr>
          <w:trHeight w:val="477"/>
        </w:trPr>
        <w:tc>
          <w:tcPr>
            <w:tcW w:w="9067" w:type="dxa"/>
            <w:gridSpan w:val="6"/>
            <w:vAlign w:val="center"/>
          </w:tcPr>
          <w:p w14:paraId="426DF6A7"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color w:val="333333"/>
                <w:sz w:val="18"/>
                <w:szCs w:val="18"/>
              </w:rPr>
              <w:t>Patient must not have developed disease progression while receiving treatment with this drug for this condition.</w:t>
            </w:r>
          </w:p>
        </w:tc>
      </w:tr>
      <w:tr w:rsidR="00364618" w:rsidRPr="00794AFE" w14:paraId="55571BAD"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E4843A0"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AND</w:t>
            </w:r>
          </w:p>
        </w:tc>
      </w:tr>
      <w:tr w:rsidR="00364618" w:rsidRPr="00794AFE" w14:paraId="7737210F"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332A421D" w14:textId="77777777" w:rsidR="00364618" w:rsidRPr="00794AFE" w:rsidRDefault="00364618" w:rsidP="00331A1F">
            <w:pPr>
              <w:jc w:val="left"/>
              <w:rPr>
                <w:rFonts w:ascii="Arial Narrow" w:hAnsi="Arial Narrow" w:cs="Times New Roman"/>
                <w:color w:val="333333"/>
                <w:sz w:val="18"/>
                <w:szCs w:val="18"/>
              </w:rPr>
            </w:pPr>
            <w:r w:rsidRPr="00794AFE">
              <w:rPr>
                <w:rFonts w:ascii="Arial Narrow" w:hAnsi="Arial Narrow" w:cs="Times New Roman"/>
                <w:b/>
                <w:bCs/>
                <w:color w:val="333333"/>
                <w:sz w:val="18"/>
                <w:szCs w:val="18"/>
              </w:rPr>
              <w:t>Treatment criteria:</w:t>
            </w:r>
          </w:p>
        </w:tc>
      </w:tr>
      <w:tr w:rsidR="00364618" w:rsidRPr="00794AFE" w14:paraId="660BAABA"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1C00CED6" w14:textId="77777777" w:rsidR="00364618" w:rsidRPr="00794AFE" w:rsidRDefault="00364618" w:rsidP="00331A1F">
            <w:pPr>
              <w:jc w:val="left"/>
              <w:rPr>
                <w:rFonts w:ascii="Arial Narrow" w:hAnsi="Arial Narrow" w:cs="Times New Roman"/>
                <w:bCs/>
                <w:color w:val="333333"/>
                <w:sz w:val="18"/>
                <w:szCs w:val="18"/>
              </w:rPr>
            </w:pPr>
            <w:r w:rsidRPr="00794AFE">
              <w:rPr>
                <w:rFonts w:ascii="Arial Narrow" w:hAnsi="Arial Narrow" w:cs="Times New Roman"/>
                <w:bCs/>
                <w:color w:val="333333"/>
                <w:sz w:val="18"/>
                <w:szCs w:val="18"/>
              </w:rPr>
              <w:t xml:space="preserve">Patient must </w:t>
            </w:r>
            <w:r>
              <w:rPr>
                <w:rFonts w:ascii="Arial Narrow" w:hAnsi="Arial Narrow" w:cs="Times New Roman"/>
                <w:bCs/>
                <w:color w:val="333333"/>
                <w:sz w:val="18"/>
                <w:szCs w:val="18"/>
              </w:rPr>
              <w:t xml:space="preserve">have initiated as a </w:t>
            </w:r>
            <w:r w:rsidRPr="00794AFE">
              <w:rPr>
                <w:rFonts w:ascii="Arial Narrow" w:hAnsi="Arial Narrow" w:cs="Times New Roman"/>
                <w:bCs/>
                <w:color w:val="333333"/>
                <w:sz w:val="18"/>
                <w:szCs w:val="18"/>
              </w:rPr>
              <w:t>triple drug-regimen, following issuance of this prescription, consisting of: (i) tucatinib, (ii) capecitabine, (iii) trastuzumab</w:t>
            </w:r>
          </w:p>
        </w:tc>
      </w:tr>
      <w:tr w:rsidR="00364618" w:rsidRPr="00794AFE" w14:paraId="3A4FB4CD"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hideMark/>
          </w:tcPr>
          <w:p w14:paraId="18416336" w14:textId="77777777" w:rsidR="00364618" w:rsidRPr="00794AFE" w:rsidRDefault="00364618" w:rsidP="00331A1F">
            <w:pPr>
              <w:jc w:val="left"/>
              <w:rPr>
                <w:rFonts w:ascii="Arial Narrow" w:hAnsi="Arial Narrow" w:cs="Times New Roman"/>
                <w:b/>
                <w:bCs/>
                <w:color w:val="333333"/>
                <w:sz w:val="18"/>
                <w:szCs w:val="18"/>
              </w:rPr>
            </w:pPr>
            <w:r w:rsidRPr="00794AFE">
              <w:rPr>
                <w:rFonts w:ascii="Arial Narrow" w:hAnsi="Arial Narrow" w:cs="Times New Roman"/>
                <w:b/>
                <w:bCs/>
                <w:color w:val="333333"/>
                <w:sz w:val="18"/>
                <w:szCs w:val="18"/>
              </w:rPr>
              <w:t xml:space="preserve">Prescribing Instructions: </w:t>
            </w:r>
          </w:p>
          <w:p w14:paraId="1F87DDAB" w14:textId="77777777" w:rsidR="00364618" w:rsidRPr="00794AFE" w:rsidRDefault="00364618" w:rsidP="00331A1F">
            <w:pPr>
              <w:jc w:val="left"/>
              <w:rPr>
                <w:rFonts w:ascii="Arial Narrow" w:hAnsi="Arial Narrow" w:cs="Times New Roman"/>
                <w:strike/>
                <w:color w:val="333333"/>
                <w:sz w:val="18"/>
                <w:szCs w:val="18"/>
              </w:rPr>
            </w:pPr>
            <w:r w:rsidRPr="00794AFE">
              <w:rPr>
                <w:rFonts w:ascii="Arial Narrow" w:hAnsi="Arial Narrow" w:cs="Times New Roman"/>
                <w:color w:val="333333"/>
                <w:sz w:val="18"/>
                <w:szCs w:val="18"/>
              </w:rPr>
              <w:t>A patient who has progressive disease when treated with this drug is no longer eligible for PBS-subsidised treatment with this drug.</w:t>
            </w:r>
          </w:p>
        </w:tc>
      </w:tr>
      <w:tr w:rsidR="00364618" w:rsidRPr="00794AFE" w14:paraId="57E472CB" w14:textId="77777777" w:rsidTr="00364618">
        <w:tblPrEx>
          <w:tblCellMar>
            <w:top w:w="15" w:type="dxa"/>
            <w:left w:w="15" w:type="dxa"/>
            <w:bottom w:w="15" w:type="dxa"/>
            <w:right w:w="15" w:type="dxa"/>
          </w:tblCellMar>
          <w:tblLook w:val="04A0" w:firstRow="1" w:lastRow="0" w:firstColumn="1" w:lastColumn="0" w:noHBand="0" w:noVBand="1"/>
        </w:tblPrEx>
        <w:tc>
          <w:tcPr>
            <w:tcW w:w="9067" w:type="dxa"/>
            <w:gridSpan w:val="6"/>
            <w:vAlign w:val="center"/>
          </w:tcPr>
          <w:p w14:paraId="5AF210B0" w14:textId="77777777" w:rsidR="00364618" w:rsidRPr="00E61722" w:rsidRDefault="00364618" w:rsidP="00331A1F">
            <w:pPr>
              <w:jc w:val="left"/>
              <w:rPr>
                <w:rFonts w:ascii="Arial Narrow" w:hAnsi="Arial Narrow" w:cs="Times New Roman"/>
                <w:b/>
                <w:bCs/>
                <w:color w:val="333333"/>
                <w:sz w:val="18"/>
                <w:szCs w:val="18"/>
              </w:rPr>
            </w:pPr>
            <w:r w:rsidRPr="00E61722">
              <w:rPr>
                <w:rFonts w:ascii="Arial Narrow" w:hAnsi="Arial Narrow" w:cs="Times New Roman"/>
                <w:b/>
                <w:bCs/>
                <w:color w:val="333333"/>
                <w:sz w:val="18"/>
                <w:szCs w:val="18"/>
              </w:rPr>
              <w:t xml:space="preserve">Prescribing Instructions: </w:t>
            </w:r>
          </w:p>
          <w:p w14:paraId="13770416" w14:textId="77777777" w:rsidR="00364618" w:rsidRPr="00E61722" w:rsidRDefault="00364618" w:rsidP="00331A1F">
            <w:pPr>
              <w:jc w:val="left"/>
              <w:rPr>
                <w:rFonts w:ascii="Arial Narrow" w:hAnsi="Arial Narrow" w:cs="Times New Roman"/>
                <w:b/>
                <w:bCs/>
                <w:strike/>
                <w:color w:val="333333"/>
                <w:sz w:val="18"/>
                <w:szCs w:val="18"/>
              </w:rPr>
            </w:pPr>
            <w:r w:rsidRPr="00E61722">
              <w:rPr>
                <w:rFonts w:ascii="Arial Narrow" w:hAnsi="Arial Narrow" w:cs="Times New Roman"/>
                <w:color w:val="333333"/>
                <w:sz w:val="18"/>
                <w:szCs w:val="18"/>
              </w:rPr>
              <w:t>The treatment must not exceed a lifetime total of one continuous course for this PBS indication.</w:t>
            </w:r>
          </w:p>
        </w:tc>
      </w:tr>
      <w:tr w:rsidR="00364618" w14:paraId="75AE52DE" w14:textId="77777777" w:rsidTr="00364618">
        <w:tblPrEx>
          <w:tblCellMar>
            <w:top w:w="15" w:type="dxa"/>
            <w:left w:w="15" w:type="dxa"/>
            <w:bottom w:w="15" w:type="dxa"/>
            <w:right w:w="15" w:type="dxa"/>
          </w:tblCellMar>
          <w:tblLook w:val="04A0" w:firstRow="1" w:lastRow="0" w:firstColumn="1" w:lastColumn="0" w:noHBand="0" w:noVBand="1"/>
        </w:tblPrEx>
        <w:trPr>
          <w:trHeight w:val="300"/>
        </w:trPr>
        <w:tc>
          <w:tcPr>
            <w:tcW w:w="9067" w:type="dxa"/>
            <w:gridSpan w:val="6"/>
            <w:vAlign w:val="center"/>
          </w:tcPr>
          <w:p w14:paraId="4D88CEDE" w14:textId="77777777" w:rsidR="00364618" w:rsidRDefault="00364618" w:rsidP="00331A1F">
            <w:pPr>
              <w:jc w:val="left"/>
              <w:rPr>
                <w:rFonts w:ascii="Arial Narrow" w:hAnsi="Arial Narrow" w:cs="Open Sans"/>
                <w:b/>
                <w:bCs/>
                <w:sz w:val="18"/>
                <w:szCs w:val="18"/>
              </w:rPr>
            </w:pPr>
            <w:r w:rsidRPr="65FE1DB5">
              <w:rPr>
                <w:rFonts w:ascii="Arial Narrow" w:hAnsi="Arial Narrow" w:cs="Open Sans"/>
                <w:b/>
                <w:bCs/>
                <w:sz w:val="18"/>
                <w:szCs w:val="18"/>
              </w:rPr>
              <w:t>Prescribing Instructions:</w:t>
            </w:r>
          </w:p>
          <w:p w14:paraId="2143DD6A" w14:textId="65199BCA" w:rsidR="00364618" w:rsidRDefault="00364618" w:rsidP="00331A1F">
            <w:pPr>
              <w:jc w:val="left"/>
              <w:rPr>
                <w:rFonts w:ascii="Arial Narrow" w:hAnsi="Arial Narrow" w:cs="Open Sans"/>
                <w:sz w:val="18"/>
                <w:szCs w:val="18"/>
              </w:rPr>
            </w:pPr>
            <w:r w:rsidRPr="65FE1DB5">
              <w:rPr>
                <w:rFonts w:ascii="Arial Narrow" w:hAnsi="Arial Narrow" w:cs="Open Sans"/>
                <w:sz w:val="18"/>
                <w:szCs w:val="18"/>
              </w:rPr>
              <w:t>At the time of the authority application, the prescriber should request an appropriate quantity and number of repeats for the strength(s) required; according to the patients dosing schedule in the TGA approved Product Information.</w:t>
            </w:r>
          </w:p>
        </w:tc>
      </w:tr>
    </w:tbl>
    <w:p w14:paraId="283E4A27" w14:textId="77777777" w:rsidR="00EA2E01" w:rsidRDefault="00EA2E01" w:rsidP="001D0FA1">
      <w:pPr>
        <w:pStyle w:val="3-BodyText"/>
        <w:numPr>
          <w:ilvl w:val="0"/>
          <w:numId w:val="0"/>
        </w:numPr>
        <w:rPr>
          <w:b/>
          <w:bCs/>
          <w:snapToGrid w:val="0"/>
          <w:lang w:eastAsia="en-US"/>
        </w:rPr>
      </w:pPr>
    </w:p>
    <w:p w14:paraId="3654DCCD" w14:textId="77777777" w:rsidR="001D0FA1" w:rsidRPr="009468BE" w:rsidRDefault="001D0FA1" w:rsidP="001D0FA1">
      <w:pPr>
        <w:spacing w:line="259" w:lineRule="auto"/>
        <w:contextualSpacing/>
        <w:jc w:val="left"/>
      </w:pPr>
      <w:r w:rsidRPr="009468BE">
        <w:rPr>
          <w:b/>
          <w:i/>
          <w:iCs/>
          <w:lang w:val="en-GB"/>
        </w:rPr>
        <w:t>These restrictions may be subject to further review. Should there be any changes made to the restriction the sponsor will be informed.</w:t>
      </w:r>
    </w:p>
    <w:bookmarkEnd w:id="1"/>
    <w:bookmarkEnd w:id="2"/>
    <w:bookmarkEnd w:id="3"/>
    <w:bookmarkEnd w:id="4"/>
    <w:bookmarkEnd w:id="5"/>
    <w:bookmarkEnd w:id="89"/>
    <w:p w14:paraId="6DEBB78E" w14:textId="77777777" w:rsidR="001D0FA1" w:rsidRDefault="001D0FA1" w:rsidP="00EF0F53">
      <w:pPr>
        <w:jc w:val="left"/>
        <w:rPr>
          <w:rFonts w:ascii="Arial Narrow" w:eastAsia="Calibri" w:hAnsi="Arial Narrow" w:cs="Calibri"/>
          <w:sz w:val="18"/>
          <w:szCs w:val="18"/>
          <w:lang w:eastAsia="en-US"/>
        </w:rPr>
      </w:pPr>
    </w:p>
    <w:p w14:paraId="31A93FBD" w14:textId="77777777" w:rsidR="0063560B" w:rsidRPr="0063560B" w:rsidRDefault="0063560B" w:rsidP="0063560B">
      <w:pPr>
        <w:pStyle w:val="2-SectionHeading"/>
      </w:pPr>
      <w:r w:rsidRPr="0063560B">
        <w:t>Context for Decision</w:t>
      </w:r>
    </w:p>
    <w:p w14:paraId="44FEFA4B" w14:textId="77777777" w:rsidR="0063560B" w:rsidRPr="0063560B" w:rsidRDefault="0063560B" w:rsidP="0063560B">
      <w:pPr>
        <w:ind w:left="709"/>
        <w:jc w:val="left"/>
        <w:rPr>
          <w:rFonts w:cs="Calibri"/>
        </w:rPr>
      </w:pPr>
      <w:r w:rsidRPr="0063560B">
        <w:rPr>
          <w:rFonts w:cs="Calibr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4D4F7C6" w14:textId="77777777" w:rsidR="0063560B" w:rsidRPr="0063560B" w:rsidRDefault="0063560B" w:rsidP="0063560B">
      <w:pPr>
        <w:pStyle w:val="2-SectionHeading"/>
      </w:pPr>
      <w:r w:rsidRPr="0063560B">
        <w:lastRenderedPageBreak/>
        <w:t>Sponsor’s Comment</w:t>
      </w:r>
    </w:p>
    <w:p w14:paraId="436F18AE" w14:textId="31B9EA65" w:rsidR="008D2591" w:rsidRPr="0063560B" w:rsidRDefault="008D2591" w:rsidP="0063560B">
      <w:pPr>
        <w:spacing w:after="120"/>
        <w:ind w:left="709"/>
        <w:jc w:val="left"/>
        <w:rPr>
          <w:rFonts w:cs="Calibri"/>
        </w:rPr>
      </w:pPr>
      <w:r w:rsidRPr="008D2591">
        <w:rPr>
          <w:rFonts w:cs="Calibri"/>
        </w:rPr>
        <w:t>Pfizer Australia acknowledges the healthcare professionals, professional societies, patient organisations and consumers who supported the re-submission for TUKYSA® (tucatinib). Pfizer welcomes the PBAC's acknowledgement of the unmet need for patients in Australia living with HER2+ metastatic breast cancer and the positive recommendation. Pfizer is disappointed that the recommended price does not reflect the value of this innovative medicine and its expected use in Australian clinical practice. Unfortunately, this means that TUKYSA® will not be made available on the PBS.</w:t>
      </w:r>
    </w:p>
    <w:p w14:paraId="11EA3F64" w14:textId="77777777" w:rsidR="00364618" w:rsidRDefault="00364618" w:rsidP="00EF0F53">
      <w:pPr>
        <w:jc w:val="left"/>
        <w:rPr>
          <w:rFonts w:ascii="Arial Narrow" w:eastAsia="Calibri" w:hAnsi="Arial Narrow" w:cs="Calibri"/>
          <w:sz w:val="18"/>
          <w:szCs w:val="18"/>
          <w:lang w:eastAsia="en-US"/>
        </w:rPr>
      </w:pPr>
    </w:p>
    <w:sectPr w:rsidR="00364618" w:rsidSect="00F42DC9">
      <w:headerReference w:type="even" r:id="rId15"/>
      <w:headerReference w:type="default" r:id="rId16"/>
      <w:footerReference w:type="even" r:id="rId17"/>
      <w:footerReference w:type="default" r:id="rId18"/>
      <w:headerReference w:type="first" r:id="rId19"/>
      <w:footerReference w:type="first" r:id="rId20"/>
      <w:type w:val="continuous"/>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C9702" w14:textId="77777777" w:rsidR="003B7BB0" w:rsidRDefault="003B7BB0" w:rsidP="00124A51">
      <w:r>
        <w:separator/>
      </w:r>
    </w:p>
    <w:p w14:paraId="1CAA283B" w14:textId="77777777" w:rsidR="003B7BB0" w:rsidRDefault="003B7BB0"/>
  </w:endnote>
  <w:endnote w:type="continuationSeparator" w:id="0">
    <w:p w14:paraId="2097242D" w14:textId="77777777" w:rsidR="003B7BB0" w:rsidRDefault="003B7BB0" w:rsidP="00124A51">
      <w:r>
        <w:continuationSeparator/>
      </w:r>
    </w:p>
    <w:p w14:paraId="61539DF3" w14:textId="77777777" w:rsidR="003B7BB0" w:rsidRDefault="003B7B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6A195" w14:textId="322CF05F" w:rsidR="00E674A3" w:rsidRDefault="001C7F50">
    <w:pPr>
      <w:pStyle w:val="Footer"/>
    </w:pPr>
    <w:r>
      <w:rPr>
        <w:noProof/>
      </w:rPr>
      <mc:AlternateContent>
        <mc:Choice Requires="wps">
          <w:drawing>
            <wp:anchor distT="0" distB="0" distL="0" distR="0" simplePos="0" relativeHeight="251663363" behindDoc="0" locked="0" layoutInCell="1" allowOverlap="1" wp14:anchorId="010E2B88" wp14:editId="029842AF">
              <wp:simplePos x="635" y="635"/>
              <wp:positionH relativeFrom="page">
                <wp:align>center</wp:align>
              </wp:positionH>
              <wp:positionV relativeFrom="page">
                <wp:align>bottom</wp:align>
              </wp:positionV>
              <wp:extent cx="622300" cy="376555"/>
              <wp:effectExtent l="0" t="0" r="6350" b="0"/>
              <wp:wrapNone/>
              <wp:docPr id="2666247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CA826AF" w14:textId="19E0CE46"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0E2B88" id="_x0000_t202" coordsize="21600,21600" o:spt="202" path="m,l,21600r21600,l21600,xe">
              <v:stroke joinstyle="miter"/>
              <v:path gradientshapeok="t" o:connecttype="rect"/>
            </v:shapetype>
            <v:shape id="Text Box 5" o:spid="_x0000_s1028" type="#_x0000_t202" alt="OFFICIAL" style="position:absolute;left:0;text-align:left;margin-left:0;margin-top:0;width:49pt;height:29.65pt;z-index:25166336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3CA826AF" w14:textId="19E0CE46"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9917" w14:textId="7044C848" w:rsidR="00F84089" w:rsidRDefault="001C7F50" w:rsidP="00753B29">
    <w:pPr>
      <w:pStyle w:val="Footer"/>
      <w:jc w:val="center"/>
    </w:pPr>
    <w:r>
      <w:rPr>
        <w:noProof/>
      </w:rPr>
      <mc:AlternateContent>
        <mc:Choice Requires="wps">
          <w:drawing>
            <wp:anchor distT="0" distB="0" distL="0" distR="0" simplePos="0" relativeHeight="251664387" behindDoc="0" locked="0" layoutInCell="1" allowOverlap="1" wp14:anchorId="19C46613" wp14:editId="06A0B7EF">
              <wp:simplePos x="635" y="635"/>
              <wp:positionH relativeFrom="page">
                <wp:align>center</wp:align>
              </wp:positionH>
              <wp:positionV relativeFrom="page">
                <wp:align>bottom</wp:align>
              </wp:positionV>
              <wp:extent cx="622300" cy="376555"/>
              <wp:effectExtent l="0" t="0" r="6350" b="0"/>
              <wp:wrapNone/>
              <wp:docPr id="192678966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926009" w14:textId="117B077F"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46613"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438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33926009" w14:textId="117B077F"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p>
  <w:p w14:paraId="0BE6C600" w14:textId="122CD445" w:rsidR="00F84089" w:rsidRPr="007C1CD9" w:rsidRDefault="00F84089" w:rsidP="006028D3">
    <w:pPr>
      <w:pStyle w:val="PageFooter"/>
    </w:pPr>
    <w:r w:rsidRPr="00E11CE0">
      <w:fldChar w:fldCharType="begin"/>
    </w:r>
    <w:r w:rsidRPr="00E11CE0">
      <w:instrText xml:space="preserve"> PAGE   \* MERGEFORMAT </w:instrText>
    </w:r>
    <w:r w:rsidRPr="00E11CE0">
      <w:fldChar w:fldCharType="separate"/>
    </w:r>
    <w:r w:rsidR="00DB14EC" w:rsidRPr="00E11CE0">
      <w:rPr>
        <w:lang w:val="en-GB"/>
      </w:rPr>
      <w:t>1</w:t>
    </w:r>
    <w:r w:rsidRPr="00E11CE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0B1CA" w14:textId="66D7F099" w:rsidR="00E674A3" w:rsidRDefault="001C7F50">
    <w:pPr>
      <w:pStyle w:val="Footer"/>
    </w:pPr>
    <w:r>
      <w:rPr>
        <w:noProof/>
      </w:rPr>
      <mc:AlternateContent>
        <mc:Choice Requires="wps">
          <w:drawing>
            <wp:anchor distT="0" distB="0" distL="0" distR="0" simplePos="0" relativeHeight="251662339" behindDoc="0" locked="0" layoutInCell="1" allowOverlap="1" wp14:anchorId="05360630" wp14:editId="1E74EE45">
              <wp:simplePos x="635" y="635"/>
              <wp:positionH relativeFrom="page">
                <wp:align>center</wp:align>
              </wp:positionH>
              <wp:positionV relativeFrom="page">
                <wp:align>bottom</wp:align>
              </wp:positionV>
              <wp:extent cx="622300" cy="376555"/>
              <wp:effectExtent l="0" t="0" r="6350" b="0"/>
              <wp:wrapNone/>
              <wp:docPr id="7330679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6A20921" w14:textId="214528A8"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360630" id="_x0000_t202" coordsize="21600,21600" o:spt="202" path="m,l,21600r21600,l21600,xe">
              <v:stroke joinstyle="miter"/>
              <v:path gradientshapeok="t" o:connecttype="rect"/>
            </v:shapetype>
            <v:shape id="Text Box 4" o:spid="_x0000_s1031" type="#_x0000_t202" alt="OFFICIAL" style="position:absolute;left:0;text-align:left;margin-left:0;margin-top:0;width:49pt;height:29.65pt;z-index:2516623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textbox style="mso-fit-shape-to-text:t" inset="0,0,0,15pt">
                <w:txbxContent>
                  <w:p w14:paraId="56A20921" w14:textId="214528A8"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D2CFF" w14:textId="77777777" w:rsidR="003B7BB0" w:rsidRDefault="003B7BB0" w:rsidP="00124A51">
      <w:r>
        <w:separator/>
      </w:r>
    </w:p>
    <w:p w14:paraId="7B6418C3" w14:textId="77777777" w:rsidR="003B7BB0" w:rsidRDefault="003B7BB0"/>
  </w:footnote>
  <w:footnote w:type="continuationSeparator" w:id="0">
    <w:p w14:paraId="6ABA40E1" w14:textId="77777777" w:rsidR="003B7BB0" w:rsidRDefault="003B7BB0" w:rsidP="00124A51">
      <w:r>
        <w:continuationSeparator/>
      </w:r>
    </w:p>
    <w:p w14:paraId="0657EAFB" w14:textId="77777777" w:rsidR="003B7BB0" w:rsidRDefault="003B7BB0"/>
  </w:footnote>
  <w:footnote w:id="1">
    <w:p w14:paraId="08915ABF" w14:textId="77777777" w:rsidR="00F84089" w:rsidRDefault="00F84089" w:rsidP="00F84089">
      <w:pPr>
        <w:pStyle w:val="FootnoteText"/>
      </w:pPr>
      <w:r>
        <w:rPr>
          <w:rStyle w:val="FootnoteReference"/>
        </w:rPr>
        <w:footnoteRef/>
      </w:r>
      <w:r>
        <w:t xml:space="preserve"> </w:t>
      </w:r>
      <w:r w:rsidRPr="007572F7">
        <w:t xml:space="preserve">Wang, &amp; Xu, (2019), 'Targeted therapeutic options and future perspectives for HER2-positive breast cancer', </w:t>
      </w:r>
      <w:r w:rsidRPr="007572F7">
        <w:rPr>
          <w:i/>
          <w:iCs/>
        </w:rPr>
        <w:t>Signal Transduction and Targeted Therapy</w:t>
      </w:r>
      <w:r w:rsidRPr="007572F7">
        <w:t>,</w:t>
      </w:r>
      <w:r w:rsidRPr="007572F7">
        <w:rPr>
          <w:i/>
          <w:iCs/>
        </w:rPr>
        <w:t xml:space="preserve"> </w:t>
      </w:r>
      <w:r w:rsidRPr="007572F7">
        <w:t>4, 1, https://doi.org/10.1038/s41392-019-0069-2.</w:t>
      </w:r>
    </w:p>
  </w:footnote>
  <w:footnote w:id="2">
    <w:p w14:paraId="799BC71B" w14:textId="3ACC0D29" w:rsidR="00C447EE" w:rsidRDefault="00C447EE">
      <w:pPr>
        <w:pStyle w:val="FootnoteText"/>
      </w:pPr>
      <w:r>
        <w:rPr>
          <w:rStyle w:val="FootnoteReference"/>
        </w:rPr>
        <w:footnoteRef/>
      </w:r>
      <w:r>
        <w:t xml:space="preserve"> </w:t>
      </w:r>
      <w:r w:rsidRPr="00C447EE">
        <w:t>Brufsky et al., (2011), 'Central nervous system metastases in patients with HER2-positive metastatic breast cancer: incidence, treatment, and survival in patients from registHER', Clin Cancer Res, 17, 14,</w:t>
      </w:r>
    </w:p>
  </w:footnote>
  <w:footnote w:id="3">
    <w:p w14:paraId="4B530084" w14:textId="77777777" w:rsidR="00F84089" w:rsidRDefault="00F84089" w:rsidP="00F84089">
      <w:pPr>
        <w:pStyle w:val="FootnoteText"/>
        <w:jc w:val="left"/>
      </w:pPr>
      <w:r>
        <w:rPr>
          <w:rStyle w:val="FootnoteReference"/>
        </w:rPr>
        <w:footnoteRef/>
      </w:r>
      <w:r>
        <w:t xml:space="preserve"> </w:t>
      </w:r>
      <w:r w:rsidRPr="00221CE5">
        <w:t>Itani et al., (2020), 'Metastatic Presentations of Previously Treated Early-Stage Breast Cancer Patients and Association With Survival', Clinical Breast Cancer, 20, 3,</w:t>
      </w:r>
      <w:r>
        <w:t xml:space="preserve"> </w:t>
      </w:r>
      <w:r w:rsidRPr="00221CE5">
        <w:t>https://www.sciencedirect.com/science/article/pii/S1526820919307359.</w:t>
      </w:r>
    </w:p>
  </w:footnote>
  <w:footnote w:id="4">
    <w:p w14:paraId="4A47AB75" w14:textId="77777777" w:rsidR="00F84089" w:rsidRDefault="00F84089" w:rsidP="00F84089">
      <w:pPr>
        <w:pStyle w:val="FootnoteText"/>
      </w:pPr>
      <w:r>
        <w:rPr>
          <w:rStyle w:val="FootnoteReference"/>
        </w:rPr>
        <w:footnoteRef/>
      </w:r>
      <w:r>
        <w:t xml:space="preserve"> </w:t>
      </w:r>
      <w:r w:rsidRPr="00087F2C">
        <w:t>Guglielmi et al., (2024), 'Targeting HER2 in breast cancer with brain metastases: A pharmacological point of view with special focus on the permeability of blood-brain barrier to targeted treatments', European Journal of Pharmacology, 985, https://www.sciencedirect.com/science/article/pii/S0014299924007660.</w:t>
      </w:r>
    </w:p>
  </w:footnote>
  <w:footnote w:id="5">
    <w:p w14:paraId="64FA0606" w14:textId="77777777" w:rsidR="000B6F61" w:rsidRDefault="000B6F61" w:rsidP="000B6F61">
      <w:pPr>
        <w:pStyle w:val="FootnoteText"/>
      </w:pPr>
      <w:r>
        <w:rPr>
          <w:rStyle w:val="FootnoteReference"/>
        </w:rPr>
        <w:footnoteRef/>
      </w:r>
      <w:r>
        <w:t xml:space="preserve"> </w:t>
      </w:r>
      <w:r w:rsidRPr="00626BB8">
        <w:rPr>
          <w:rFonts w:ascii="Arial Narrow" w:hAnsi="Arial Narrow"/>
        </w:rPr>
        <w:t>Cherny NI, Dafni U, Bogaerts J, et al: ESMO-Magnitude of Clinical Benefit Scale version 1.1. Annals of Oncology 28:2340-2366, 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D1A2" w14:textId="7429A95E" w:rsidR="00E674A3" w:rsidRDefault="001C7F50">
    <w:pPr>
      <w:pStyle w:val="Header"/>
    </w:pPr>
    <w:r>
      <w:rPr>
        <w:noProof/>
      </w:rPr>
      <mc:AlternateContent>
        <mc:Choice Requires="wps">
          <w:drawing>
            <wp:anchor distT="0" distB="0" distL="0" distR="0" simplePos="0" relativeHeight="251660291" behindDoc="0" locked="0" layoutInCell="1" allowOverlap="1" wp14:anchorId="7D53805E" wp14:editId="29CCFBFE">
              <wp:simplePos x="635" y="635"/>
              <wp:positionH relativeFrom="page">
                <wp:align>center</wp:align>
              </wp:positionH>
              <wp:positionV relativeFrom="page">
                <wp:align>top</wp:align>
              </wp:positionV>
              <wp:extent cx="622300" cy="376555"/>
              <wp:effectExtent l="0" t="0" r="6350" b="4445"/>
              <wp:wrapNone/>
              <wp:docPr id="4543093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50B4F08" w14:textId="1DE3A599"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D53805E"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29.65pt;z-index:25166029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50B4F08" w14:textId="1DE3A599"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028" w14:textId="73EE219E" w:rsidR="00F84089" w:rsidRPr="00E674A3" w:rsidRDefault="001C7F50" w:rsidP="00D822E2">
    <w:pPr>
      <w:pStyle w:val="Header"/>
      <w:rPr>
        <w:rFonts w:asciiTheme="minorHAnsi" w:hAnsiTheme="minorHAnsi" w:cstheme="minorHAnsi"/>
        <w:i w:val="0"/>
        <w:color w:val="808080"/>
      </w:rPr>
    </w:pPr>
    <w:r>
      <w:rPr>
        <w:rFonts w:asciiTheme="minorHAnsi" w:hAnsiTheme="minorHAnsi" w:cstheme="minorHAnsi"/>
        <w:noProof/>
        <w:color w:val="808080"/>
      </w:rPr>
      <mc:AlternateContent>
        <mc:Choice Requires="wps">
          <w:drawing>
            <wp:anchor distT="0" distB="0" distL="0" distR="0" simplePos="0" relativeHeight="251661315" behindDoc="0" locked="0" layoutInCell="1" allowOverlap="1" wp14:anchorId="30FB9B05" wp14:editId="6758868B">
              <wp:simplePos x="635" y="635"/>
              <wp:positionH relativeFrom="page">
                <wp:align>center</wp:align>
              </wp:positionH>
              <wp:positionV relativeFrom="page">
                <wp:align>top</wp:align>
              </wp:positionV>
              <wp:extent cx="622300" cy="376555"/>
              <wp:effectExtent l="0" t="0" r="6350" b="4445"/>
              <wp:wrapNone/>
              <wp:docPr id="168719296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BF33080" w14:textId="2B985FFD"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FB9B05"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29.65pt;z-index:25166131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2BF33080" w14:textId="2B985FFD"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r w:rsidR="006A7249">
      <w:rPr>
        <w:rFonts w:asciiTheme="minorHAnsi" w:hAnsiTheme="minorHAnsi" w:cstheme="minorHAnsi"/>
        <w:color w:val="808080"/>
      </w:rPr>
      <w:t>Public Summary Document</w:t>
    </w:r>
    <w:r w:rsidR="00561054" w:rsidRPr="00E674A3">
      <w:rPr>
        <w:rFonts w:asciiTheme="minorHAnsi" w:hAnsiTheme="minorHAnsi" w:cstheme="minorHAnsi"/>
        <w:color w:val="808080"/>
      </w:rPr>
      <w:t xml:space="preserve"> - </w:t>
    </w:r>
    <w:r w:rsidR="004E631C" w:rsidRPr="00E674A3">
      <w:rPr>
        <w:rFonts w:asciiTheme="minorHAnsi" w:hAnsiTheme="minorHAnsi" w:cstheme="minorHAnsi"/>
        <w:color w:val="808080"/>
      </w:rPr>
      <w:t>November 2025</w:t>
    </w:r>
    <w:r w:rsidR="00F84089" w:rsidRPr="00E674A3">
      <w:rPr>
        <w:rFonts w:asciiTheme="minorHAnsi" w:hAnsiTheme="minorHAnsi" w:cstheme="minorHAnsi"/>
        <w:color w:val="808080"/>
      </w:rPr>
      <w:t xml:space="preserve"> PBAC Meeting</w:t>
    </w:r>
  </w:p>
  <w:p w14:paraId="14D49908" w14:textId="77777777" w:rsidR="00F84089" w:rsidRPr="008C7ECB" w:rsidRDefault="00F84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46055" w14:textId="6B92F7F4" w:rsidR="00E674A3" w:rsidRDefault="001C7F50">
    <w:pPr>
      <w:pStyle w:val="Header"/>
    </w:pPr>
    <w:r>
      <w:rPr>
        <w:noProof/>
      </w:rPr>
      <mc:AlternateContent>
        <mc:Choice Requires="wps">
          <w:drawing>
            <wp:anchor distT="0" distB="0" distL="0" distR="0" simplePos="0" relativeHeight="251659267" behindDoc="0" locked="0" layoutInCell="1" allowOverlap="1" wp14:anchorId="003F4900" wp14:editId="6D9047A0">
              <wp:simplePos x="635" y="635"/>
              <wp:positionH relativeFrom="page">
                <wp:align>center</wp:align>
              </wp:positionH>
              <wp:positionV relativeFrom="page">
                <wp:align>top</wp:align>
              </wp:positionV>
              <wp:extent cx="622300" cy="376555"/>
              <wp:effectExtent l="0" t="0" r="6350" b="4445"/>
              <wp:wrapNone/>
              <wp:docPr id="5111515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23CB97F" w14:textId="5EA5075F"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3F4900" id="_x0000_t202" coordsize="21600,21600" o:spt="202" path="m,l,21600r21600,l21600,xe">
              <v:stroke joinstyle="miter"/>
              <v:path gradientshapeok="t" o:connecttype="rect"/>
            </v:shapetype>
            <v:shape id="Text Box 1" o:spid="_x0000_s1030" type="#_x0000_t202" alt="OFFICIAL" style="position:absolute;left:0;text-align:left;margin-left:0;margin-top:0;width:49pt;height:29.65pt;z-index:2516592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textbox style="mso-fit-shape-to-text:t" inset="0,15pt,0,0">
                <w:txbxContent>
                  <w:p w14:paraId="323CB97F" w14:textId="5EA5075F" w:rsidR="001C7F50" w:rsidRPr="001C7F50" w:rsidRDefault="001C7F50" w:rsidP="001C7F50">
                    <w:pPr>
                      <w:rPr>
                        <w:rFonts w:ascii="Aptos" w:eastAsia="Aptos" w:hAnsi="Aptos" w:cs="Aptos"/>
                        <w:noProof/>
                        <w:color w:val="FF0000"/>
                      </w:rPr>
                    </w:pPr>
                    <w:r w:rsidRPr="001C7F50">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4C163D"/>
    <w:multiLevelType w:val="hybridMultilevel"/>
    <w:tmpl w:val="970C1F86"/>
    <w:lvl w:ilvl="0" w:tplc="C828417A">
      <w:start w:val="1"/>
      <w:numFmt w:val="decimal"/>
      <w:lvlText w:val="%1."/>
      <w:lvlJc w:val="left"/>
      <w:pPr>
        <w:ind w:left="720" w:hanging="360"/>
      </w:pPr>
    </w:lvl>
    <w:lvl w:ilvl="1" w:tplc="64DCB6D2">
      <w:start w:val="1"/>
      <w:numFmt w:val="decimal"/>
      <w:lvlText w:val="%2."/>
      <w:lvlJc w:val="left"/>
      <w:pPr>
        <w:ind w:left="720" w:hanging="360"/>
      </w:pPr>
    </w:lvl>
    <w:lvl w:ilvl="2" w:tplc="1E680788">
      <w:start w:val="1"/>
      <w:numFmt w:val="decimal"/>
      <w:lvlText w:val="%3."/>
      <w:lvlJc w:val="left"/>
      <w:pPr>
        <w:ind w:left="720" w:hanging="360"/>
      </w:pPr>
    </w:lvl>
    <w:lvl w:ilvl="3" w:tplc="6A68B05C">
      <w:start w:val="1"/>
      <w:numFmt w:val="decimal"/>
      <w:lvlText w:val="%4."/>
      <w:lvlJc w:val="left"/>
      <w:pPr>
        <w:ind w:left="720" w:hanging="360"/>
      </w:pPr>
    </w:lvl>
    <w:lvl w:ilvl="4" w:tplc="67662CEA">
      <w:start w:val="1"/>
      <w:numFmt w:val="decimal"/>
      <w:lvlText w:val="%5."/>
      <w:lvlJc w:val="left"/>
      <w:pPr>
        <w:ind w:left="720" w:hanging="360"/>
      </w:pPr>
    </w:lvl>
    <w:lvl w:ilvl="5" w:tplc="77F681C8">
      <w:start w:val="1"/>
      <w:numFmt w:val="decimal"/>
      <w:lvlText w:val="%6."/>
      <w:lvlJc w:val="left"/>
      <w:pPr>
        <w:ind w:left="720" w:hanging="360"/>
      </w:pPr>
    </w:lvl>
    <w:lvl w:ilvl="6" w:tplc="60286180">
      <w:start w:val="1"/>
      <w:numFmt w:val="decimal"/>
      <w:lvlText w:val="%7."/>
      <w:lvlJc w:val="left"/>
      <w:pPr>
        <w:ind w:left="720" w:hanging="360"/>
      </w:pPr>
    </w:lvl>
    <w:lvl w:ilvl="7" w:tplc="D7C67F8A">
      <w:start w:val="1"/>
      <w:numFmt w:val="decimal"/>
      <w:lvlText w:val="%8."/>
      <w:lvlJc w:val="left"/>
      <w:pPr>
        <w:ind w:left="720" w:hanging="360"/>
      </w:pPr>
    </w:lvl>
    <w:lvl w:ilvl="8" w:tplc="5D923044">
      <w:start w:val="1"/>
      <w:numFmt w:val="decimal"/>
      <w:lvlText w:val="%9."/>
      <w:lvlJc w:val="left"/>
      <w:pPr>
        <w:ind w:left="72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C61C1D"/>
    <w:multiLevelType w:val="multilevel"/>
    <w:tmpl w:val="5C9A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73B7C"/>
    <w:multiLevelType w:val="hybridMultilevel"/>
    <w:tmpl w:val="369C7132"/>
    <w:lvl w:ilvl="0" w:tplc="2F1CB830">
      <w:start w:val="1"/>
      <w:numFmt w:val="bullet"/>
      <w:pStyle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C120A7D"/>
    <w:multiLevelType w:val="hybridMultilevel"/>
    <w:tmpl w:val="66702F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FB1CE850"/>
    <w:lvl w:ilvl="0" w:tplc="F000EB3A">
      <w:start w:val="1"/>
      <w:numFmt w:val="decimal"/>
      <w:lvlText w:val="%1."/>
      <w:lvlJc w:val="left"/>
      <w:pPr>
        <w:ind w:left="1778" w:hanging="360"/>
      </w:pPr>
      <w:rPr>
        <w:rFonts w:hint="default"/>
        <w:b w:val="0"/>
        <w:i/>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1079F0"/>
    <w:multiLevelType w:val="hybridMultilevel"/>
    <w:tmpl w:val="BB146306"/>
    <w:lvl w:ilvl="0" w:tplc="49C6B602">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A864EC"/>
    <w:multiLevelType w:val="multilevel"/>
    <w:tmpl w:val="1D48B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43769A9"/>
    <w:multiLevelType w:val="hybridMultilevel"/>
    <w:tmpl w:val="A6BE6F72"/>
    <w:lvl w:ilvl="0" w:tplc="EB70C8A4">
      <w:start w:val="1"/>
      <w:numFmt w:val="bullet"/>
      <w:lvlText w:val="•"/>
      <w:lvlJc w:val="left"/>
      <w:pPr>
        <w:tabs>
          <w:tab w:val="num" w:pos="720"/>
        </w:tabs>
        <w:ind w:left="720" w:hanging="360"/>
      </w:pPr>
      <w:rPr>
        <w:rFonts w:ascii="Arial" w:hAnsi="Arial" w:hint="default"/>
      </w:rPr>
    </w:lvl>
    <w:lvl w:ilvl="1" w:tplc="F2E24C5A" w:tentative="1">
      <w:start w:val="1"/>
      <w:numFmt w:val="bullet"/>
      <w:lvlText w:val="•"/>
      <w:lvlJc w:val="left"/>
      <w:pPr>
        <w:tabs>
          <w:tab w:val="num" w:pos="1440"/>
        </w:tabs>
        <w:ind w:left="1440" w:hanging="360"/>
      </w:pPr>
      <w:rPr>
        <w:rFonts w:ascii="Arial" w:hAnsi="Arial" w:hint="default"/>
      </w:rPr>
    </w:lvl>
    <w:lvl w:ilvl="2" w:tplc="7C6257D2" w:tentative="1">
      <w:start w:val="1"/>
      <w:numFmt w:val="bullet"/>
      <w:lvlText w:val="•"/>
      <w:lvlJc w:val="left"/>
      <w:pPr>
        <w:tabs>
          <w:tab w:val="num" w:pos="2160"/>
        </w:tabs>
        <w:ind w:left="2160" w:hanging="360"/>
      </w:pPr>
      <w:rPr>
        <w:rFonts w:ascii="Arial" w:hAnsi="Arial" w:hint="default"/>
      </w:rPr>
    </w:lvl>
    <w:lvl w:ilvl="3" w:tplc="A04E43A6" w:tentative="1">
      <w:start w:val="1"/>
      <w:numFmt w:val="bullet"/>
      <w:lvlText w:val="•"/>
      <w:lvlJc w:val="left"/>
      <w:pPr>
        <w:tabs>
          <w:tab w:val="num" w:pos="2880"/>
        </w:tabs>
        <w:ind w:left="2880" w:hanging="360"/>
      </w:pPr>
      <w:rPr>
        <w:rFonts w:ascii="Arial" w:hAnsi="Arial" w:hint="default"/>
      </w:rPr>
    </w:lvl>
    <w:lvl w:ilvl="4" w:tplc="837E13F6" w:tentative="1">
      <w:start w:val="1"/>
      <w:numFmt w:val="bullet"/>
      <w:lvlText w:val="•"/>
      <w:lvlJc w:val="left"/>
      <w:pPr>
        <w:tabs>
          <w:tab w:val="num" w:pos="3600"/>
        </w:tabs>
        <w:ind w:left="3600" w:hanging="360"/>
      </w:pPr>
      <w:rPr>
        <w:rFonts w:ascii="Arial" w:hAnsi="Arial" w:hint="default"/>
      </w:rPr>
    </w:lvl>
    <w:lvl w:ilvl="5" w:tplc="1D00D6B2" w:tentative="1">
      <w:start w:val="1"/>
      <w:numFmt w:val="bullet"/>
      <w:lvlText w:val="•"/>
      <w:lvlJc w:val="left"/>
      <w:pPr>
        <w:tabs>
          <w:tab w:val="num" w:pos="4320"/>
        </w:tabs>
        <w:ind w:left="4320" w:hanging="360"/>
      </w:pPr>
      <w:rPr>
        <w:rFonts w:ascii="Arial" w:hAnsi="Arial" w:hint="default"/>
      </w:rPr>
    </w:lvl>
    <w:lvl w:ilvl="6" w:tplc="0EAE8664" w:tentative="1">
      <w:start w:val="1"/>
      <w:numFmt w:val="bullet"/>
      <w:lvlText w:val="•"/>
      <w:lvlJc w:val="left"/>
      <w:pPr>
        <w:tabs>
          <w:tab w:val="num" w:pos="5040"/>
        </w:tabs>
        <w:ind w:left="5040" w:hanging="360"/>
      </w:pPr>
      <w:rPr>
        <w:rFonts w:ascii="Arial" w:hAnsi="Arial" w:hint="default"/>
      </w:rPr>
    </w:lvl>
    <w:lvl w:ilvl="7" w:tplc="1696D256" w:tentative="1">
      <w:start w:val="1"/>
      <w:numFmt w:val="bullet"/>
      <w:lvlText w:val="•"/>
      <w:lvlJc w:val="left"/>
      <w:pPr>
        <w:tabs>
          <w:tab w:val="num" w:pos="5760"/>
        </w:tabs>
        <w:ind w:left="5760" w:hanging="360"/>
      </w:pPr>
      <w:rPr>
        <w:rFonts w:ascii="Arial" w:hAnsi="Arial" w:hint="default"/>
      </w:rPr>
    </w:lvl>
    <w:lvl w:ilvl="8" w:tplc="C9B23E9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6812661"/>
    <w:multiLevelType w:val="hybridMultilevel"/>
    <w:tmpl w:val="02B416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371A1D7D"/>
    <w:multiLevelType w:val="hybridMultilevel"/>
    <w:tmpl w:val="D2E2DD84"/>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38E15E2A"/>
    <w:multiLevelType w:val="hybridMultilevel"/>
    <w:tmpl w:val="5C8AA05C"/>
    <w:lvl w:ilvl="0" w:tplc="6330C0F0">
      <w:start w:val="1"/>
      <w:numFmt w:val="decimal"/>
      <w:lvlText w:val="%1."/>
      <w:lvlJc w:val="left"/>
      <w:pPr>
        <w:ind w:left="1020" w:hanging="360"/>
      </w:pPr>
    </w:lvl>
    <w:lvl w:ilvl="1" w:tplc="47BA00B2">
      <w:start w:val="1"/>
      <w:numFmt w:val="decimal"/>
      <w:lvlText w:val="%2."/>
      <w:lvlJc w:val="left"/>
      <w:pPr>
        <w:ind w:left="1020" w:hanging="360"/>
      </w:pPr>
    </w:lvl>
    <w:lvl w:ilvl="2" w:tplc="EDF09384">
      <w:start w:val="1"/>
      <w:numFmt w:val="decimal"/>
      <w:lvlText w:val="%3."/>
      <w:lvlJc w:val="left"/>
      <w:pPr>
        <w:ind w:left="1020" w:hanging="360"/>
      </w:pPr>
    </w:lvl>
    <w:lvl w:ilvl="3" w:tplc="A484E0EA">
      <w:start w:val="1"/>
      <w:numFmt w:val="decimal"/>
      <w:lvlText w:val="%4."/>
      <w:lvlJc w:val="left"/>
      <w:pPr>
        <w:ind w:left="1020" w:hanging="360"/>
      </w:pPr>
    </w:lvl>
    <w:lvl w:ilvl="4" w:tplc="0D0E2E60">
      <w:start w:val="1"/>
      <w:numFmt w:val="decimal"/>
      <w:lvlText w:val="%5."/>
      <w:lvlJc w:val="left"/>
      <w:pPr>
        <w:ind w:left="1020" w:hanging="360"/>
      </w:pPr>
    </w:lvl>
    <w:lvl w:ilvl="5" w:tplc="87D68622">
      <w:start w:val="1"/>
      <w:numFmt w:val="decimal"/>
      <w:lvlText w:val="%6."/>
      <w:lvlJc w:val="left"/>
      <w:pPr>
        <w:ind w:left="1020" w:hanging="360"/>
      </w:pPr>
    </w:lvl>
    <w:lvl w:ilvl="6" w:tplc="5F6C334E">
      <w:start w:val="1"/>
      <w:numFmt w:val="decimal"/>
      <w:lvlText w:val="%7."/>
      <w:lvlJc w:val="left"/>
      <w:pPr>
        <w:ind w:left="1020" w:hanging="360"/>
      </w:pPr>
    </w:lvl>
    <w:lvl w:ilvl="7" w:tplc="8B908590">
      <w:start w:val="1"/>
      <w:numFmt w:val="decimal"/>
      <w:lvlText w:val="%8."/>
      <w:lvlJc w:val="left"/>
      <w:pPr>
        <w:ind w:left="1020" w:hanging="360"/>
      </w:pPr>
    </w:lvl>
    <w:lvl w:ilvl="8" w:tplc="640C9322">
      <w:start w:val="1"/>
      <w:numFmt w:val="decimal"/>
      <w:lvlText w:val="%9."/>
      <w:lvlJc w:val="left"/>
      <w:pPr>
        <w:ind w:left="1020" w:hanging="360"/>
      </w:p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376182"/>
    <w:multiLevelType w:val="hybridMultilevel"/>
    <w:tmpl w:val="E9C4C4BE"/>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4DD77663"/>
    <w:multiLevelType w:val="hybridMultilevel"/>
    <w:tmpl w:val="2048E8EE"/>
    <w:lvl w:ilvl="0" w:tplc="55B6AA02">
      <w:start w:val="1"/>
      <w:numFmt w:val="decimal"/>
      <w:pStyle w:val="Ntabletext"/>
      <w:lvlText w:val="%1"/>
      <w:lvlJc w:val="left"/>
      <w:pPr>
        <w:ind w:left="360" w:hanging="360"/>
      </w:pPr>
      <w:rPr>
        <w:rFonts w:ascii="Calibri" w:hAnsi="Calibri" w:hint="default"/>
        <w:b w:val="0"/>
        <w:i w:val="0"/>
        <w:color w:val="auto"/>
        <w:sz w:val="2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4D097B"/>
    <w:multiLevelType w:val="hybridMultilevel"/>
    <w:tmpl w:val="CD442A7C"/>
    <w:lvl w:ilvl="0" w:tplc="4A062AB6">
      <w:start w:val="1"/>
      <w:numFmt w:val="decimal"/>
      <w:lvlText w:val="%1."/>
      <w:lvlJc w:val="left"/>
      <w:pPr>
        <w:ind w:left="1020" w:hanging="360"/>
      </w:pPr>
    </w:lvl>
    <w:lvl w:ilvl="1" w:tplc="03DE9FFE">
      <w:start w:val="1"/>
      <w:numFmt w:val="decimal"/>
      <w:lvlText w:val="%2."/>
      <w:lvlJc w:val="left"/>
      <w:pPr>
        <w:ind w:left="1020" w:hanging="360"/>
      </w:pPr>
    </w:lvl>
    <w:lvl w:ilvl="2" w:tplc="597A1C08">
      <w:start w:val="1"/>
      <w:numFmt w:val="decimal"/>
      <w:lvlText w:val="%3."/>
      <w:lvlJc w:val="left"/>
      <w:pPr>
        <w:ind w:left="1020" w:hanging="360"/>
      </w:pPr>
    </w:lvl>
    <w:lvl w:ilvl="3" w:tplc="A3881274">
      <w:start w:val="1"/>
      <w:numFmt w:val="decimal"/>
      <w:lvlText w:val="%4."/>
      <w:lvlJc w:val="left"/>
      <w:pPr>
        <w:ind w:left="1020" w:hanging="360"/>
      </w:pPr>
    </w:lvl>
    <w:lvl w:ilvl="4" w:tplc="28B27CE6">
      <w:start w:val="1"/>
      <w:numFmt w:val="decimal"/>
      <w:lvlText w:val="%5."/>
      <w:lvlJc w:val="left"/>
      <w:pPr>
        <w:ind w:left="1020" w:hanging="360"/>
      </w:pPr>
    </w:lvl>
    <w:lvl w:ilvl="5" w:tplc="FF4A63EA">
      <w:start w:val="1"/>
      <w:numFmt w:val="decimal"/>
      <w:lvlText w:val="%6."/>
      <w:lvlJc w:val="left"/>
      <w:pPr>
        <w:ind w:left="1020" w:hanging="360"/>
      </w:pPr>
    </w:lvl>
    <w:lvl w:ilvl="6" w:tplc="A46A2100">
      <w:start w:val="1"/>
      <w:numFmt w:val="decimal"/>
      <w:lvlText w:val="%7."/>
      <w:lvlJc w:val="left"/>
      <w:pPr>
        <w:ind w:left="1020" w:hanging="360"/>
      </w:pPr>
    </w:lvl>
    <w:lvl w:ilvl="7" w:tplc="733AE158">
      <w:start w:val="1"/>
      <w:numFmt w:val="decimal"/>
      <w:lvlText w:val="%8."/>
      <w:lvlJc w:val="left"/>
      <w:pPr>
        <w:ind w:left="1020" w:hanging="360"/>
      </w:pPr>
    </w:lvl>
    <w:lvl w:ilvl="8" w:tplc="6F2EA7D6">
      <w:start w:val="1"/>
      <w:numFmt w:val="decimal"/>
      <w:lvlText w:val="%9."/>
      <w:lvlJc w:val="left"/>
      <w:pPr>
        <w:ind w:left="1020" w:hanging="360"/>
      </w:pPr>
    </w:lvl>
  </w:abstractNum>
  <w:abstractNum w:abstractNumId="23"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646E195B"/>
    <w:multiLevelType w:val="hybridMultilevel"/>
    <w:tmpl w:val="66FA0E62"/>
    <w:lvl w:ilvl="0" w:tplc="4ACCC8F0">
      <w:start w:val="1"/>
      <w:numFmt w:val="lowerRoman"/>
      <w:pStyle w:val="bullet0"/>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4762342"/>
    <w:multiLevelType w:val="hybridMultilevel"/>
    <w:tmpl w:val="93989E70"/>
    <w:lvl w:ilvl="0" w:tplc="C8563CAE">
      <w:numFmt w:val="bullet"/>
      <w:lvlText w:val="-"/>
      <w:lvlJc w:val="left"/>
      <w:pPr>
        <w:ind w:left="1824" w:hanging="360"/>
      </w:pPr>
      <w:rPr>
        <w:rFonts w:ascii="Times New Roman" w:eastAsiaTheme="minorHAnsi" w:hAnsi="Times New Roman" w:cs="Times New Roman" w:hint="default"/>
      </w:rPr>
    </w:lvl>
    <w:lvl w:ilvl="1" w:tplc="0C090003" w:tentative="1">
      <w:start w:val="1"/>
      <w:numFmt w:val="bullet"/>
      <w:lvlText w:val="o"/>
      <w:lvlJc w:val="left"/>
      <w:pPr>
        <w:ind w:left="2544" w:hanging="360"/>
      </w:pPr>
      <w:rPr>
        <w:rFonts w:ascii="Courier New" w:hAnsi="Courier New" w:cs="Courier New" w:hint="default"/>
      </w:rPr>
    </w:lvl>
    <w:lvl w:ilvl="2" w:tplc="0C090005" w:tentative="1">
      <w:start w:val="1"/>
      <w:numFmt w:val="bullet"/>
      <w:lvlText w:val=""/>
      <w:lvlJc w:val="left"/>
      <w:pPr>
        <w:ind w:left="3264" w:hanging="360"/>
      </w:pPr>
      <w:rPr>
        <w:rFonts w:ascii="Wingdings" w:hAnsi="Wingdings" w:hint="default"/>
      </w:rPr>
    </w:lvl>
    <w:lvl w:ilvl="3" w:tplc="0C090001" w:tentative="1">
      <w:start w:val="1"/>
      <w:numFmt w:val="bullet"/>
      <w:lvlText w:val=""/>
      <w:lvlJc w:val="left"/>
      <w:pPr>
        <w:ind w:left="3984" w:hanging="360"/>
      </w:pPr>
      <w:rPr>
        <w:rFonts w:ascii="Symbol" w:hAnsi="Symbol" w:hint="default"/>
      </w:rPr>
    </w:lvl>
    <w:lvl w:ilvl="4" w:tplc="0C090003" w:tentative="1">
      <w:start w:val="1"/>
      <w:numFmt w:val="bullet"/>
      <w:lvlText w:val="o"/>
      <w:lvlJc w:val="left"/>
      <w:pPr>
        <w:ind w:left="4704" w:hanging="360"/>
      </w:pPr>
      <w:rPr>
        <w:rFonts w:ascii="Courier New" w:hAnsi="Courier New" w:cs="Courier New" w:hint="default"/>
      </w:rPr>
    </w:lvl>
    <w:lvl w:ilvl="5" w:tplc="0C090005" w:tentative="1">
      <w:start w:val="1"/>
      <w:numFmt w:val="bullet"/>
      <w:lvlText w:val=""/>
      <w:lvlJc w:val="left"/>
      <w:pPr>
        <w:ind w:left="5424" w:hanging="360"/>
      </w:pPr>
      <w:rPr>
        <w:rFonts w:ascii="Wingdings" w:hAnsi="Wingdings" w:hint="default"/>
      </w:rPr>
    </w:lvl>
    <w:lvl w:ilvl="6" w:tplc="0C090001" w:tentative="1">
      <w:start w:val="1"/>
      <w:numFmt w:val="bullet"/>
      <w:lvlText w:val=""/>
      <w:lvlJc w:val="left"/>
      <w:pPr>
        <w:ind w:left="6144" w:hanging="360"/>
      </w:pPr>
      <w:rPr>
        <w:rFonts w:ascii="Symbol" w:hAnsi="Symbol" w:hint="default"/>
      </w:rPr>
    </w:lvl>
    <w:lvl w:ilvl="7" w:tplc="0C090003" w:tentative="1">
      <w:start w:val="1"/>
      <w:numFmt w:val="bullet"/>
      <w:lvlText w:val="o"/>
      <w:lvlJc w:val="left"/>
      <w:pPr>
        <w:ind w:left="6864" w:hanging="360"/>
      </w:pPr>
      <w:rPr>
        <w:rFonts w:ascii="Courier New" w:hAnsi="Courier New" w:cs="Courier New" w:hint="default"/>
      </w:rPr>
    </w:lvl>
    <w:lvl w:ilvl="8" w:tplc="0C090005" w:tentative="1">
      <w:start w:val="1"/>
      <w:numFmt w:val="bullet"/>
      <w:lvlText w:val=""/>
      <w:lvlJc w:val="left"/>
      <w:pPr>
        <w:ind w:left="7584" w:hanging="360"/>
      </w:pPr>
      <w:rPr>
        <w:rFonts w:ascii="Wingdings" w:hAnsi="Wingdings" w:hint="default"/>
      </w:rPr>
    </w:lvl>
  </w:abstractNum>
  <w:abstractNum w:abstractNumId="27" w15:restartNumberingAfterBreak="0">
    <w:nsid w:val="75C25323"/>
    <w:multiLevelType w:val="hybridMultilevel"/>
    <w:tmpl w:val="59F6CFB4"/>
    <w:lvl w:ilvl="0" w:tplc="AF2A846E">
      <w:start w:val="1"/>
      <w:numFmt w:val="decimal"/>
      <w:lvlText w:val="%1."/>
      <w:lvlJc w:val="left"/>
      <w:pPr>
        <w:ind w:left="720" w:hanging="360"/>
      </w:pPr>
    </w:lvl>
    <w:lvl w:ilvl="1" w:tplc="001A59A6">
      <w:start w:val="1"/>
      <w:numFmt w:val="decimal"/>
      <w:lvlText w:val="%2."/>
      <w:lvlJc w:val="left"/>
      <w:pPr>
        <w:ind w:left="720" w:hanging="360"/>
      </w:pPr>
    </w:lvl>
    <w:lvl w:ilvl="2" w:tplc="AE20AEA4">
      <w:start w:val="1"/>
      <w:numFmt w:val="decimal"/>
      <w:lvlText w:val="%3."/>
      <w:lvlJc w:val="left"/>
      <w:pPr>
        <w:ind w:left="720" w:hanging="360"/>
      </w:pPr>
    </w:lvl>
    <w:lvl w:ilvl="3" w:tplc="721055B2">
      <w:start w:val="1"/>
      <w:numFmt w:val="decimal"/>
      <w:lvlText w:val="%4."/>
      <w:lvlJc w:val="left"/>
      <w:pPr>
        <w:ind w:left="720" w:hanging="360"/>
      </w:pPr>
    </w:lvl>
    <w:lvl w:ilvl="4" w:tplc="12127B3E">
      <w:start w:val="1"/>
      <w:numFmt w:val="decimal"/>
      <w:lvlText w:val="%5."/>
      <w:lvlJc w:val="left"/>
      <w:pPr>
        <w:ind w:left="720" w:hanging="360"/>
      </w:pPr>
    </w:lvl>
    <w:lvl w:ilvl="5" w:tplc="7DBC378E">
      <w:start w:val="1"/>
      <w:numFmt w:val="decimal"/>
      <w:lvlText w:val="%6."/>
      <w:lvlJc w:val="left"/>
      <w:pPr>
        <w:ind w:left="720" w:hanging="360"/>
      </w:pPr>
    </w:lvl>
    <w:lvl w:ilvl="6" w:tplc="ACBE9594">
      <w:start w:val="1"/>
      <w:numFmt w:val="decimal"/>
      <w:lvlText w:val="%7."/>
      <w:lvlJc w:val="left"/>
      <w:pPr>
        <w:ind w:left="720" w:hanging="360"/>
      </w:pPr>
    </w:lvl>
    <w:lvl w:ilvl="7" w:tplc="B798E65C">
      <w:start w:val="1"/>
      <w:numFmt w:val="decimal"/>
      <w:lvlText w:val="%8."/>
      <w:lvlJc w:val="left"/>
      <w:pPr>
        <w:ind w:left="720" w:hanging="360"/>
      </w:pPr>
    </w:lvl>
    <w:lvl w:ilvl="8" w:tplc="13C281FA">
      <w:start w:val="1"/>
      <w:numFmt w:val="decimal"/>
      <w:lvlText w:val="%9."/>
      <w:lvlJc w:val="left"/>
      <w:pPr>
        <w:ind w:left="720" w:hanging="360"/>
      </w:pPr>
    </w:lvl>
  </w:abstractNum>
  <w:abstractNum w:abstractNumId="28" w15:restartNumberingAfterBreak="0">
    <w:nsid w:val="77566943"/>
    <w:multiLevelType w:val="multilevel"/>
    <w:tmpl w:val="057A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84D033C"/>
    <w:multiLevelType w:val="multilevel"/>
    <w:tmpl w:val="320409C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8942594"/>
    <w:multiLevelType w:val="multilevel"/>
    <w:tmpl w:val="9C2EF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D5323"/>
    <w:multiLevelType w:val="hybridMultilevel"/>
    <w:tmpl w:val="2AFA24DA"/>
    <w:lvl w:ilvl="0" w:tplc="4CE8CDB8">
      <w:start w:val="1"/>
      <w:numFmt w:val="bullet"/>
      <w:pStyle w:val="Bullets"/>
      <w:lvlText w:val=""/>
      <w:lvlJc w:val="left"/>
      <w:pPr>
        <w:ind w:left="720" w:hanging="360"/>
      </w:pPr>
      <w:rPr>
        <w:rFonts w:ascii="Symbol" w:hAnsi="Symbol" w:hint="default"/>
      </w:rPr>
    </w:lvl>
    <w:lvl w:ilvl="1" w:tplc="0C090003">
      <w:start w:val="1"/>
      <w:numFmt w:val="bullet"/>
      <w:pStyle w:val="Bullets-2ndlvl"/>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DC95B7A"/>
    <w:multiLevelType w:val="hybridMultilevel"/>
    <w:tmpl w:val="7DA242A8"/>
    <w:lvl w:ilvl="0" w:tplc="5086A130">
      <w:start w:val="1"/>
      <w:numFmt w:val="bullet"/>
      <w:pStyle w:val="Table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16cid:durableId="917793048">
    <w:abstractNumId w:val="18"/>
  </w:num>
  <w:num w:numId="2" w16cid:durableId="263461728">
    <w:abstractNumId w:val="0"/>
  </w:num>
  <w:num w:numId="3" w16cid:durableId="220360847">
    <w:abstractNumId w:val="24"/>
  </w:num>
  <w:num w:numId="4" w16cid:durableId="1048839230">
    <w:abstractNumId w:val="29"/>
  </w:num>
  <w:num w:numId="5" w16cid:durableId="266041343">
    <w:abstractNumId w:val="6"/>
  </w:num>
  <w:num w:numId="6" w16cid:durableId="1703019734">
    <w:abstractNumId w:val="19"/>
  </w:num>
  <w:num w:numId="7" w16cid:durableId="148182321">
    <w:abstractNumId w:val="32"/>
  </w:num>
  <w:num w:numId="8" w16cid:durableId="2114015253">
    <w:abstractNumId w:val="20"/>
  </w:num>
  <w:num w:numId="9" w16cid:durableId="1469321528">
    <w:abstractNumId w:val="31"/>
  </w:num>
  <w:num w:numId="10" w16cid:durableId="462504751">
    <w:abstractNumId w:val="11"/>
  </w:num>
  <w:num w:numId="11" w16cid:durableId="859046120">
    <w:abstractNumId w:val="7"/>
  </w:num>
  <w:num w:numId="12" w16cid:durableId="161429529">
    <w:abstractNumId w:val="9"/>
  </w:num>
  <w:num w:numId="13" w16cid:durableId="1269775880">
    <w:abstractNumId w:val="33"/>
  </w:num>
  <w:num w:numId="14" w16cid:durableId="261763376">
    <w:abstractNumId w:val="15"/>
  </w:num>
  <w:num w:numId="15" w16cid:durableId="342785765">
    <w:abstractNumId w:val="26"/>
  </w:num>
  <w:num w:numId="16" w16cid:durableId="1736662233">
    <w:abstractNumId w:val="16"/>
  </w:num>
  <w:num w:numId="17" w16cid:durableId="548032313">
    <w:abstractNumId w:val="29"/>
  </w:num>
  <w:num w:numId="18" w16cid:durableId="1937248474">
    <w:abstractNumId w:val="11"/>
  </w:num>
  <w:num w:numId="19" w16cid:durableId="1660116426">
    <w:abstractNumId w:val="3"/>
  </w:num>
  <w:num w:numId="20" w16cid:durableId="408699874">
    <w:abstractNumId w:val="21"/>
  </w:num>
  <w:num w:numId="21" w16cid:durableId="1569418770">
    <w:abstractNumId w:val="4"/>
  </w:num>
  <w:num w:numId="22" w16cid:durableId="705176722">
    <w:abstractNumId w:val="2"/>
  </w:num>
  <w:num w:numId="23" w16cid:durableId="1926569401">
    <w:abstractNumId w:val="10"/>
  </w:num>
  <w:num w:numId="24" w16cid:durableId="1979457665">
    <w:abstractNumId w:val="12"/>
  </w:num>
  <w:num w:numId="25" w16cid:durableId="2038313566">
    <w:abstractNumId w:val="8"/>
  </w:num>
  <w:num w:numId="26" w16cid:durableId="12974431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997201">
    <w:abstractNumId w:val="25"/>
  </w:num>
  <w:num w:numId="28" w16cid:durableId="1646818855">
    <w:abstractNumId w:val="30"/>
  </w:num>
  <w:num w:numId="29" w16cid:durableId="608900039">
    <w:abstractNumId w:val="5"/>
  </w:num>
  <w:num w:numId="30" w16cid:durableId="1111703687">
    <w:abstractNumId w:val="29"/>
  </w:num>
  <w:num w:numId="31" w16cid:durableId="1275289904">
    <w:abstractNumId w:val="14"/>
  </w:num>
  <w:num w:numId="32" w16cid:durableId="1600022681">
    <w:abstractNumId w:val="29"/>
  </w:num>
  <w:num w:numId="33" w16cid:durableId="786239946">
    <w:abstractNumId w:val="29"/>
  </w:num>
  <w:num w:numId="34" w16cid:durableId="1230268048">
    <w:abstractNumId w:val="29"/>
  </w:num>
  <w:num w:numId="35" w16cid:durableId="2089036698">
    <w:abstractNumId w:val="29"/>
  </w:num>
  <w:num w:numId="36" w16cid:durableId="1560822549">
    <w:abstractNumId w:val="29"/>
  </w:num>
  <w:num w:numId="37" w16cid:durableId="874735829">
    <w:abstractNumId w:val="29"/>
  </w:num>
  <w:num w:numId="38" w16cid:durableId="1088769519">
    <w:abstractNumId w:val="29"/>
  </w:num>
  <w:num w:numId="39" w16cid:durableId="1175723929">
    <w:abstractNumId w:val="29"/>
  </w:num>
  <w:num w:numId="40" w16cid:durableId="1798179364">
    <w:abstractNumId w:val="29"/>
  </w:num>
  <w:num w:numId="41" w16cid:durableId="450322068">
    <w:abstractNumId w:val="29"/>
  </w:num>
  <w:num w:numId="42" w16cid:durableId="476190261">
    <w:abstractNumId w:val="22"/>
  </w:num>
  <w:num w:numId="43" w16cid:durableId="368576367">
    <w:abstractNumId w:val="17"/>
  </w:num>
  <w:num w:numId="44" w16cid:durableId="192504285">
    <w:abstractNumId w:val="1"/>
  </w:num>
  <w:num w:numId="45" w16cid:durableId="1773434940">
    <w:abstractNumId w:val="27"/>
  </w:num>
  <w:num w:numId="46" w16cid:durableId="774864502">
    <w:abstractNumId w:val="28"/>
    <w:lvlOverride w:ilvl="0">
      <w:startOverride w:val="1"/>
    </w:lvlOverride>
  </w:num>
  <w:num w:numId="47" w16cid:durableId="178546787">
    <w:abstractNumId w:val="13"/>
    <w:lvlOverride w:ilvl="0">
      <w:startOverride w:val="2"/>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0FA"/>
    <w:rsid w:val="00000790"/>
    <w:rsid w:val="00000DAB"/>
    <w:rsid w:val="00001060"/>
    <w:rsid w:val="0000110B"/>
    <w:rsid w:val="0000150A"/>
    <w:rsid w:val="00001876"/>
    <w:rsid w:val="00001C4A"/>
    <w:rsid w:val="00001F48"/>
    <w:rsid w:val="00001F67"/>
    <w:rsid w:val="00002012"/>
    <w:rsid w:val="000026D9"/>
    <w:rsid w:val="0000294B"/>
    <w:rsid w:val="00002A2C"/>
    <w:rsid w:val="00002C37"/>
    <w:rsid w:val="00002C5B"/>
    <w:rsid w:val="00002CC8"/>
    <w:rsid w:val="00002ECE"/>
    <w:rsid w:val="00003254"/>
    <w:rsid w:val="00003499"/>
    <w:rsid w:val="000039B7"/>
    <w:rsid w:val="00003BBF"/>
    <w:rsid w:val="00003E42"/>
    <w:rsid w:val="0000462F"/>
    <w:rsid w:val="0000468A"/>
    <w:rsid w:val="00004D75"/>
    <w:rsid w:val="00004E34"/>
    <w:rsid w:val="00005352"/>
    <w:rsid w:val="000056B9"/>
    <w:rsid w:val="0000582E"/>
    <w:rsid w:val="0000583E"/>
    <w:rsid w:val="00005F89"/>
    <w:rsid w:val="0000639A"/>
    <w:rsid w:val="00006593"/>
    <w:rsid w:val="000065AE"/>
    <w:rsid w:val="000068DE"/>
    <w:rsid w:val="00006E35"/>
    <w:rsid w:val="00007580"/>
    <w:rsid w:val="00007794"/>
    <w:rsid w:val="000078E8"/>
    <w:rsid w:val="00007FF9"/>
    <w:rsid w:val="0001001C"/>
    <w:rsid w:val="0001008B"/>
    <w:rsid w:val="00010652"/>
    <w:rsid w:val="00010E2A"/>
    <w:rsid w:val="00010EF2"/>
    <w:rsid w:val="00011927"/>
    <w:rsid w:val="00011943"/>
    <w:rsid w:val="00011F86"/>
    <w:rsid w:val="00012A1E"/>
    <w:rsid w:val="00012D9A"/>
    <w:rsid w:val="00012DF5"/>
    <w:rsid w:val="00013247"/>
    <w:rsid w:val="0001378D"/>
    <w:rsid w:val="00013820"/>
    <w:rsid w:val="00013A58"/>
    <w:rsid w:val="00013A72"/>
    <w:rsid w:val="00013BBA"/>
    <w:rsid w:val="0001451B"/>
    <w:rsid w:val="00014956"/>
    <w:rsid w:val="00014AFB"/>
    <w:rsid w:val="00014C67"/>
    <w:rsid w:val="00014DC4"/>
    <w:rsid w:val="00014FE2"/>
    <w:rsid w:val="000151D9"/>
    <w:rsid w:val="00015401"/>
    <w:rsid w:val="00015886"/>
    <w:rsid w:val="000158BD"/>
    <w:rsid w:val="000158E7"/>
    <w:rsid w:val="00015BC2"/>
    <w:rsid w:val="00015FD3"/>
    <w:rsid w:val="00016134"/>
    <w:rsid w:val="000162EF"/>
    <w:rsid w:val="00016887"/>
    <w:rsid w:val="00016BBB"/>
    <w:rsid w:val="00017080"/>
    <w:rsid w:val="00017443"/>
    <w:rsid w:val="000179DD"/>
    <w:rsid w:val="000179FD"/>
    <w:rsid w:val="00017B8F"/>
    <w:rsid w:val="00017BDE"/>
    <w:rsid w:val="00017CC7"/>
    <w:rsid w:val="000200CC"/>
    <w:rsid w:val="0002045B"/>
    <w:rsid w:val="000206B6"/>
    <w:rsid w:val="000207C9"/>
    <w:rsid w:val="00020865"/>
    <w:rsid w:val="000209F9"/>
    <w:rsid w:val="00020F2A"/>
    <w:rsid w:val="00020F33"/>
    <w:rsid w:val="000213C3"/>
    <w:rsid w:val="00021948"/>
    <w:rsid w:val="00021BF0"/>
    <w:rsid w:val="00022003"/>
    <w:rsid w:val="0002225F"/>
    <w:rsid w:val="000222BA"/>
    <w:rsid w:val="000226B1"/>
    <w:rsid w:val="000227A4"/>
    <w:rsid w:val="00022855"/>
    <w:rsid w:val="00022B12"/>
    <w:rsid w:val="00023763"/>
    <w:rsid w:val="000237D4"/>
    <w:rsid w:val="00023999"/>
    <w:rsid w:val="00023B60"/>
    <w:rsid w:val="000245E4"/>
    <w:rsid w:val="00024B2A"/>
    <w:rsid w:val="00024EB5"/>
    <w:rsid w:val="00024FC0"/>
    <w:rsid w:val="000253DE"/>
    <w:rsid w:val="0002578F"/>
    <w:rsid w:val="00025914"/>
    <w:rsid w:val="00025ACA"/>
    <w:rsid w:val="00025C14"/>
    <w:rsid w:val="00025E70"/>
    <w:rsid w:val="000264C9"/>
    <w:rsid w:val="000265AD"/>
    <w:rsid w:val="0002666B"/>
    <w:rsid w:val="0002672B"/>
    <w:rsid w:val="000272AB"/>
    <w:rsid w:val="000274B8"/>
    <w:rsid w:val="0002762D"/>
    <w:rsid w:val="0002770E"/>
    <w:rsid w:val="0003004E"/>
    <w:rsid w:val="0003109F"/>
    <w:rsid w:val="00031131"/>
    <w:rsid w:val="00031649"/>
    <w:rsid w:val="00031BAB"/>
    <w:rsid w:val="00031BEB"/>
    <w:rsid w:val="00031D18"/>
    <w:rsid w:val="00031F93"/>
    <w:rsid w:val="000322AF"/>
    <w:rsid w:val="000323BF"/>
    <w:rsid w:val="00032820"/>
    <w:rsid w:val="00032864"/>
    <w:rsid w:val="00032CEC"/>
    <w:rsid w:val="00032D03"/>
    <w:rsid w:val="00032E23"/>
    <w:rsid w:val="00032E4F"/>
    <w:rsid w:val="00032FB4"/>
    <w:rsid w:val="0003305A"/>
    <w:rsid w:val="00033284"/>
    <w:rsid w:val="000332BB"/>
    <w:rsid w:val="00033806"/>
    <w:rsid w:val="00033863"/>
    <w:rsid w:val="000339F6"/>
    <w:rsid w:val="00033AD1"/>
    <w:rsid w:val="00034588"/>
    <w:rsid w:val="0003464B"/>
    <w:rsid w:val="000346C2"/>
    <w:rsid w:val="00034DC0"/>
    <w:rsid w:val="00034E02"/>
    <w:rsid w:val="00034EF8"/>
    <w:rsid w:val="00035032"/>
    <w:rsid w:val="00035181"/>
    <w:rsid w:val="0003545A"/>
    <w:rsid w:val="0003580E"/>
    <w:rsid w:val="000358BE"/>
    <w:rsid w:val="00035BE9"/>
    <w:rsid w:val="00035DC0"/>
    <w:rsid w:val="000361CE"/>
    <w:rsid w:val="000366CE"/>
    <w:rsid w:val="00036829"/>
    <w:rsid w:val="00037212"/>
    <w:rsid w:val="00037634"/>
    <w:rsid w:val="00037770"/>
    <w:rsid w:val="000377DB"/>
    <w:rsid w:val="00037F52"/>
    <w:rsid w:val="000407A4"/>
    <w:rsid w:val="00040895"/>
    <w:rsid w:val="000410A0"/>
    <w:rsid w:val="000413ED"/>
    <w:rsid w:val="000413FF"/>
    <w:rsid w:val="0004173F"/>
    <w:rsid w:val="00041E9B"/>
    <w:rsid w:val="00042043"/>
    <w:rsid w:val="00042319"/>
    <w:rsid w:val="000424C2"/>
    <w:rsid w:val="000427C9"/>
    <w:rsid w:val="0004299A"/>
    <w:rsid w:val="00042AF3"/>
    <w:rsid w:val="00042C2C"/>
    <w:rsid w:val="00042E99"/>
    <w:rsid w:val="00042F13"/>
    <w:rsid w:val="000435EE"/>
    <w:rsid w:val="000438D5"/>
    <w:rsid w:val="00043981"/>
    <w:rsid w:val="00043C37"/>
    <w:rsid w:val="00043C74"/>
    <w:rsid w:val="00043DCF"/>
    <w:rsid w:val="00044619"/>
    <w:rsid w:val="0004482C"/>
    <w:rsid w:val="000448B6"/>
    <w:rsid w:val="000448C2"/>
    <w:rsid w:val="00044A6E"/>
    <w:rsid w:val="00044DD5"/>
    <w:rsid w:val="00045017"/>
    <w:rsid w:val="000450C5"/>
    <w:rsid w:val="00045128"/>
    <w:rsid w:val="0004521F"/>
    <w:rsid w:val="0004525A"/>
    <w:rsid w:val="00045690"/>
    <w:rsid w:val="0004570D"/>
    <w:rsid w:val="000457C2"/>
    <w:rsid w:val="00045813"/>
    <w:rsid w:val="00045A2B"/>
    <w:rsid w:val="00045DDC"/>
    <w:rsid w:val="00045EAE"/>
    <w:rsid w:val="00045F93"/>
    <w:rsid w:val="00046287"/>
    <w:rsid w:val="00046750"/>
    <w:rsid w:val="0004698F"/>
    <w:rsid w:val="00046D64"/>
    <w:rsid w:val="00046EF8"/>
    <w:rsid w:val="0004724A"/>
    <w:rsid w:val="000473C5"/>
    <w:rsid w:val="00047D7C"/>
    <w:rsid w:val="00050094"/>
    <w:rsid w:val="00050240"/>
    <w:rsid w:val="000507F3"/>
    <w:rsid w:val="000508C2"/>
    <w:rsid w:val="00050A35"/>
    <w:rsid w:val="0005180C"/>
    <w:rsid w:val="0005189A"/>
    <w:rsid w:val="00051B63"/>
    <w:rsid w:val="00051DB1"/>
    <w:rsid w:val="00051EB1"/>
    <w:rsid w:val="00051EF2"/>
    <w:rsid w:val="00052076"/>
    <w:rsid w:val="000531D6"/>
    <w:rsid w:val="000539D0"/>
    <w:rsid w:val="00053CD4"/>
    <w:rsid w:val="00053EB0"/>
    <w:rsid w:val="00053EC4"/>
    <w:rsid w:val="00054205"/>
    <w:rsid w:val="00054621"/>
    <w:rsid w:val="000546D7"/>
    <w:rsid w:val="000549D4"/>
    <w:rsid w:val="00054A10"/>
    <w:rsid w:val="00054A8D"/>
    <w:rsid w:val="00054ACC"/>
    <w:rsid w:val="00054CD2"/>
    <w:rsid w:val="00054D65"/>
    <w:rsid w:val="0005504E"/>
    <w:rsid w:val="0005530D"/>
    <w:rsid w:val="00055452"/>
    <w:rsid w:val="000559DB"/>
    <w:rsid w:val="000565B5"/>
    <w:rsid w:val="00056698"/>
    <w:rsid w:val="00056BAC"/>
    <w:rsid w:val="00056CF7"/>
    <w:rsid w:val="00056ECF"/>
    <w:rsid w:val="00056F68"/>
    <w:rsid w:val="00056F77"/>
    <w:rsid w:val="00057253"/>
    <w:rsid w:val="000572B8"/>
    <w:rsid w:val="00057A19"/>
    <w:rsid w:val="00057CAE"/>
    <w:rsid w:val="00057DB0"/>
    <w:rsid w:val="00057DD6"/>
    <w:rsid w:val="000604DF"/>
    <w:rsid w:val="00060BC3"/>
    <w:rsid w:val="000613F2"/>
    <w:rsid w:val="00061786"/>
    <w:rsid w:val="00061A99"/>
    <w:rsid w:val="00061B29"/>
    <w:rsid w:val="00062324"/>
    <w:rsid w:val="0006250D"/>
    <w:rsid w:val="00062F74"/>
    <w:rsid w:val="000634BA"/>
    <w:rsid w:val="00063586"/>
    <w:rsid w:val="000635B8"/>
    <w:rsid w:val="00063B0F"/>
    <w:rsid w:val="00063BB7"/>
    <w:rsid w:val="000644D6"/>
    <w:rsid w:val="000644E0"/>
    <w:rsid w:val="000645C7"/>
    <w:rsid w:val="00064B19"/>
    <w:rsid w:val="000653B5"/>
    <w:rsid w:val="00065C4E"/>
    <w:rsid w:val="00065F31"/>
    <w:rsid w:val="00066360"/>
    <w:rsid w:val="00066390"/>
    <w:rsid w:val="00066A08"/>
    <w:rsid w:val="00066AF8"/>
    <w:rsid w:val="00066B6E"/>
    <w:rsid w:val="00066D43"/>
    <w:rsid w:val="00066E53"/>
    <w:rsid w:val="00066EE3"/>
    <w:rsid w:val="000672F5"/>
    <w:rsid w:val="000673BC"/>
    <w:rsid w:val="000676B3"/>
    <w:rsid w:val="00067D11"/>
    <w:rsid w:val="000702D3"/>
    <w:rsid w:val="000702F4"/>
    <w:rsid w:val="00070A8F"/>
    <w:rsid w:val="00070C2E"/>
    <w:rsid w:val="00070E72"/>
    <w:rsid w:val="00071248"/>
    <w:rsid w:val="00071376"/>
    <w:rsid w:val="000717A2"/>
    <w:rsid w:val="000717EA"/>
    <w:rsid w:val="00071929"/>
    <w:rsid w:val="00071A6A"/>
    <w:rsid w:val="00071ADC"/>
    <w:rsid w:val="00071B99"/>
    <w:rsid w:val="00071C09"/>
    <w:rsid w:val="00071CCA"/>
    <w:rsid w:val="000720B9"/>
    <w:rsid w:val="00072382"/>
    <w:rsid w:val="000726F4"/>
    <w:rsid w:val="00072AE9"/>
    <w:rsid w:val="00072B20"/>
    <w:rsid w:val="00072CA5"/>
    <w:rsid w:val="00072F0B"/>
    <w:rsid w:val="0007343A"/>
    <w:rsid w:val="00073485"/>
    <w:rsid w:val="000737F7"/>
    <w:rsid w:val="00073829"/>
    <w:rsid w:val="00073BD5"/>
    <w:rsid w:val="00074272"/>
    <w:rsid w:val="00074E8F"/>
    <w:rsid w:val="000755D6"/>
    <w:rsid w:val="00075837"/>
    <w:rsid w:val="00075925"/>
    <w:rsid w:val="00075A55"/>
    <w:rsid w:val="00075C28"/>
    <w:rsid w:val="00075C84"/>
    <w:rsid w:val="00075F29"/>
    <w:rsid w:val="00076042"/>
    <w:rsid w:val="0007608A"/>
    <w:rsid w:val="0007672F"/>
    <w:rsid w:val="00076B54"/>
    <w:rsid w:val="00076B9C"/>
    <w:rsid w:val="0007708B"/>
    <w:rsid w:val="000772D9"/>
    <w:rsid w:val="000774F0"/>
    <w:rsid w:val="00077559"/>
    <w:rsid w:val="000775C8"/>
    <w:rsid w:val="00077696"/>
    <w:rsid w:val="000776EA"/>
    <w:rsid w:val="000778D0"/>
    <w:rsid w:val="00077CBC"/>
    <w:rsid w:val="00077D96"/>
    <w:rsid w:val="00080027"/>
    <w:rsid w:val="000808FF"/>
    <w:rsid w:val="00080909"/>
    <w:rsid w:val="00080943"/>
    <w:rsid w:val="0008097A"/>
    <w:rsid w:val="00080B22"/>
    <w:rsid w:val="00080CB8"/>
    <w:rsid w:val="00080E00"/>
    <w:rsid w:val="000812CA"/>
    <w:rsid w:val="000816CA"/>
    <w:rsid w:val="00081980"/>
    <w:rsid w:val="000819B6"/>
    <w:rsid w:val="00081E63"/>
    <w:rsid w:val="000824D0"/>
    <w:rsid w:val="0008258D"/>
    <w:rsid w:val="000825CA"/>
    <w:rsid w:val="000827A0"/>
    <w:rsid w:val="00083345"/>
    <w:rsid w:val="000835D9"/>
    <w:rsid w:val="00083810"/>
    <w:rsid w:val="00083C70"/>
    <w:rsid w:val="00083E99"/>
    <w:rsid w:val="0008424A"/>
    <w:rsid w:val="0008445F"/>
    <w:rsid w:val="00084615"/>
    <w:rsid w:val="0008471A"/>
    <w:rsid w:val="00084825"/>
    <w:rsid w:val="00084BC8"/>
    <w:rsid w:val="00084D93"/>
    <w:rsid w:val="00084FA8"/>
    <w:rsid w:val="0008501D"/>
    <w:rsid w:val="000850CB"/>
    <w:rsid w:val="00085276"/>
    <w:rsid w:val="000856C5"/>
    <w:rsid w:val="0008577C"/>
    <w:rsid w:val="0008581A"/>
    <w:rsid w:val="00085BA8"/>
    <w:rsid w:val="00085C31"/>
    <w:rsid w:val="00085E30"/>
    <w:rsid w:val="00085E64"/>
    <w:rsid w:val="000860DC"/>
    <w:rsid w:val="00086249"/>
    <w:rsid w:val="0008664D"/>
    <w:rsid w:val="00086711"/>
    <w:rsid w:val="000867F1"/>
    <w:rsid w:val="00086934"/>
    <w:rsid w:val="000874D4"/>
    <w:rsid w:val="00087F2C"/>
    <w:rsid w:val="000902D9"/>
    <w:rsid w:val="000903BD"/>
    <w:rsid w:val="000903F1"/>
    <w:rsid w:val="000905EB"/>
    <w:rsid w:val="00090683"/>
    <w:rsid w:val="00090A47"/>
    <w:rsid w:val="00090C7E"/>
    <w:rsid w:val="00090E96"/>
    <w:rsid w:val="000911AC"/>
    <w:rsid w:val="00091740"/>
    <w:rsid w:val="00091A47"/>
    <w:rsid w:val="0009234D"/>
    <w:rsid w:val="00092600"/>
    <w:rsid w:val="0009262B"/>
    <w:rsid w:val="000926E6"/>
    <w:rsid w:val="00092E1F"/>
    <w:rsid w:val="00092E48"/>
    <w:rsid w:val="000931EF"/>
    <w:rsid w:val="00093310"/>
    <w:rsid w:val="000933B9"/>
    <w:rsid w:val="0009351D"/>
    <w:rsid w:val="00093899"/>
    <w:rsid w:val="000938E2"/>
    <w:rsid w:val="00093BAD"/>
    <w:rsid w:val="00094092"/>
    <w:rsid w:val="000942F1"/>
    <w:rsid w:val="0009445C"/>
    <w:rsid w:val="00094583"/>
    <w:rsid w:val="000950FE"/>
    <w:rsid w:val="00095200"/>
    <w:rsid w:val="000959B3"/>
    <w:rsid w:val="00095DC5"/>
    <w:rsid w:val="00095FE5"/>
    <w:rsid w:val="0009620B"/>
    <w:rsid w:val="00096270"/>
    <w:rsid w:val="00096284"/>
    <w:rsid w:val="00096A19"/>
    <w:rsid w:val="00096AD2"/>
    <w:rsid w:val="00096D0E"/>
    <w:rsid w:val="00096D91"/>
    <w:rsid w:val="000972D9"/>
    <w:rsid w:val="0009743D"/>
    <w:rsid w:val="00097846"/>
    <w:rsid w:val="00097C20"/>
    <w:rsid w:val="00097D6A"/>
    <w:rsid w:val="00097FF4"/>
    <w:rsid w:val="000A0185"/>
    <w:rsid w:val="000A057E"/>
    <w:rsid w:val="000A05B4"/>
    <w:rsid w:val="000A0665"/>
    <w:rsid w:val="000A079A"/>
    <w:rsid w:val="000A0D28"/>
    <w:rsid w:val="000A0FE4"/>
    <w:rsid w:val="000A11E1"/>
    <w:rsid w:val="000A14B0"/>
    <w:rsid w:val="000A177F"/>
    <w:rsid w:val="000A17EE"/>
    <w:rsid w:val="000A1A79"/>
    <w:rsid w:val="000A1BC0"/>
    <w:rsid w:val="000A1C71"/>
    <w:rsid w:val="000A1F0F"/>
    <w:rsid w:val="000A2032"/>
    <w:rsid w:val="000A20E8"/>
    <w:rsid w:val="000A220A"/>
    <w:rsid w:val="000A29CD"/>
    <w:rsid w:val="000A2F9E"/>
    <w:rsid w:val="000A3058"/>
    <w:rsid w:val="000A326B"/>
    <w:rsid w:val="000A3478"/>
    <w:rsid w:val="000A34DE"/>
    <w:rsid w:val="000A3540"/>
    <w:rsid w:val="000A35C9"/>
    <w:rsid w:val="000A3C02"/>
    <w:rsid w:val="000A3C30"/>
    <w:rsid w:val="000A3E47"/>
    <w:rsid w:val="000A414B"/>
    <w:rsid w:val="000A4ACC"/>
    <w:rsid w:val="000A4B70"/>
    <w:rsid w:val="000A4BA4"/>
    <w:rsid w:val="000A4BD7"/>
    <w:rsid w:val="000A506E"/>
    <w:rsid w:val="000A51B5"/>
    <w:rsid w:val="000A522B"/>
    <w:rsid w:val="000A55AB"/>
    <w:rsid w:val="000A576F"/>
    <w:rsid w:val="000A5986"/>
    <w:rsid w:val="000A5AD9"/>
    <w:rsid w:val="000A5CE5"/>
    <w:rsid w:val="000A6039"/>
    <w:rsid w:val="000A6778"/>
    <w:rsid w:val="000A69E9"/>
    <w:rsid w:val="000A6A4D"/>
    <w:rsid w:val="000A6C11"/>
    <w:rsid w:val="000A70D4"/>
    <w:rsid w:val="000A73F7"/>
    <w:rsid w:val="000A7453"/>
    <w:rsid w:val="000A78DD"/>
    <w:rsid w:val="000A78EC"/>
    <w:rsid w:val="000A7D08"/>
    <w:rsid w:val="000A7EBB"/>
    <w:rsid w:val="000A7F0C"/>
    <w:rsid w:val="000A7F12"/>
    <w:rsid w:val="000B0032"/>
    <w:rsid w:val="000B0121"/>
    <w:rsid w:val="000B040E"/>
    <w:rsid w:val="000B0670"/>
    <w:rsid w:val="000B0B5C"/>
    <w:rsid w:val="000B0E75"/>
    <w:rsid w:val="000B0EC3"/>
    <w:rsid w:val="000B0FAF"/>
    <w:rsid w:val="000B1467"/>
    <w:rsid w:val="000B1504"/>
    <w:rsid w:val="000B181C"/>
    <w:rsid w:val="000B1A9A"/>
    <w:rsid w:val="000B1BBC"/>
    <w:rsid w:val="000B1CB5"/>
    <w:rsid w:val="000B1F4C"/>
    <w:rsid w:val="000B254B"/>
    <w:rsid w:val="000B2795"/>
    <w:rsid w:val="000B2B50"/>
    <w:rsid w:val="000B2C80"/>
    <w:rsid w:val="000B2DCB"/>
    <w:rsid w:val="000B3065"/>
    <w:rsid w:val="000B3671"/>
    <w:rsid w:val="000B3A96"/>
    <w:rsid w:val="000B3AEC"/>
    <w:rsid w:val="000B3B84"/>
    <w:rsid w:val="000B3F6A"/>
    <w:rsid w:val="000B4A9A"/>
    <w:rsid w:val="000B4AE0"/>
    <w:rsid w:val="000B4C31"/>
    <w:rsid w:val="000B4DA7"/>
    <w:rsid w:val="000B4EC8"/>
    <w:rsid w:val="000B4FC6"/>
    <w:rsid w:val="000B5ABC"/>
    <w:rsid w:val="000B5C6D"/>
    <w:rsid w:val="000B5CE0"/>
    <w:rsid w:val="000B6445"/>
    <w:rsid w:val="000B65CD"/>
    <w:rsid w:val="000B67FD"/>
    <w:rsid w:val="000B6CAC"/>
    <w:rsid w:val="000B6F13"/>
    <w:rsid w:val="000B6F50"/>
    <w:rsid w:val="000B6F61"/>
    <w:rsid w:val="000B7422"/>
    <w:rsid w:val="000B7458"/>
    <w:rsid w:val="000B74E3"/>
    <w:rsid w:val="000B7612"/>
    <w:rsid w:val="000B78AE"/>
    <w:rsid w:val="000B7996"/>
    <w:rsid w:val="000B7EA6"/>
    <w:rsid w:val="000B7EC1"/>
    <w:rsid w:val="000B7EEC"/>
    <w:rsid w:val="000C0187"/>
    <w:rsid w:val="000C03B6"/>
    <w:rsid w:val="000C09F7"/>
    <w:rsid w:val="000C0D5C"/>
    <w:rsid w:val="000C18B8"/>
    <w:rsid w:val="000C1A2F"/>
    <w:rsid w:val="000C1A5F"/>
    <w:rsid w:val="000C1BF1"/>
    <w:rsid w:val="000C2631"/>
    <w:rsid w:val="000C2C95"/>
    <w:rsid w:val="000C2CEA"/>
    <w:rsid w:val="000C306E"/>
    <w:rsid w:val="000C35E6"/>
    <w:rsid w:val="000C3BD9"/>
    <w:rsid w:val="000C3DF9"/>
    <w:rsid w:val="000C491B"/>
    <w:rsid w:val="000C4B56"/>
    <w:rsid w:val="000C4B79"/>
    <w:rsid w:val="000C4C4A"/>
    <w:rsid w:val="000C4CF2"/>
    <w:rsid w:val="000C51DF"/>
    <w:rsid w:val="000C5622"/>
    <w:rsid w:val="000C59DE"/>
    <w:rsid w:val="000C5A77"/>
    <w:rsid w:val="000C5B1C"/>
    <w:rsid w:val="000C5E46"/>
    <w:rsid w:val="000C6256"/>
    <w:rsid w:val="000C6612"/>
    <w:rsid w:val="000C6713"/>
    <w:rsid w:val="000C68EA"/>
    <w:rsid w:val="000C6BA2"/>
    <w:rsid w:val="000C76C1"/>
    <w:rsid w:val="000C77AA"/>
    <w:rsid w:val="000D01BB"/>
    <w:rsid w:val="000D027A"/>
    <w:rsid w:val="000D0958"/>
    <w:rsid w:val="000D0E80"/>
    <w:rsid w:val="000D1181"/>
    <w:rsid w:val="000D14FF"/>
    <w:rsid w:val="000D15C3"/>
    <w:rsid w:val="000D17B1"/>
    <w:rsid w:val="000D1BFC"/>
    <w:rsid w:val="000D1D5D"/>
    <w:rsid w:val="000D1E03"/>
    <w:rsid w:val="000D2030"/>
    <w:rsid w:val="000D2652"/>
    <w:rsid w:val="000D2769"/>
    <w:rsid w:val="000D27A2"/>
    <w:rsid w:val="000D281A"/>
    <w:rsid w:val="000D2848"/>
    <w:rsid w:val="000D288E"/>
    <w:rsid w:val="000D296F"/>
    <w:rsid w:val="000D2AC0"/>
    <w:rsid w:val="000D2BF6"/>
    <w:rsid w:val="000D2CA5"/>
    <w:rsid w:val="000D31DD"/>
    <w:rsid w:val="000D326A"/>
    <w:rsid w:val="000D33FE"/>
    <w:rsid w:val="000D3AC4"/>
    <w:rsid w:val="000D3C35"/>
    <w:rsid w:val="000D3C4F"/>
    <w:rsid w:val="000D3C83"/>
    <w:rsid w:val="000D3D7B"/>
    <w:rsid w:val="000D400E"/>
    <w:rsid w:val="000D4396"/>
    <w:rsid w:val="000D446E"/>
    <w:rsid w:val="000D4DF9"/>
    <w:rsid w:val="000D51FB"/>
    <w:rsid w:val="000D52DC"/>
    <w:rsid w:val="000D541C"/>
    <w:rsid w:val="000D5913"/>
    <w:rsid w:val="000D5F6C"/>
    <w:rsid w:val="000D62D1"/>
    <w:rsid w:val="000D6814"/>
    <w:rsid w:val="000D6B3B"/>
    <w:rsid w:val="000D6BF8"/>
    <w:rsid w:val="000D6E5B"/>
    <w:rsid w:val="000D7032"/>
    <w:rsid w:val="000D73BC"/>
    <w:rsid w:val="000D76EE"/>
    <w:rsid w:val="000D7D9F"/>
    <w:rsid w:val="000D7EDB"/>
    <w:rsid w:val="000E00B1"/>
    <w:rsid w:val="000E05D2"/>
    <w:rsid w:val="000E0640"/>
    <w:rsid w:val="000E09C7"/>
    <w:rsid w:val="000E0CD8"/>
    <w:rsid w:val="000E135D"/>
    <w:rsid w:val="000E1609"/>
    <w:rsid w:val="000E1956"/>
    <w:rsid w:val="000E263E"/>
    <w:rsid w:val="000E26A0"/>
    <w:rsid w:val="000E2F78"/>
    <w:rsid w:val="000E3070"/>
    <w:rsid w:val="000E33BE"/>
    <w:rsid w:val="000E3547"/>
    <w:rsid w:val="000E3595"/>
    <w:rsid w:val="000E3777"/>
    <w:rsid w:val="000E3B98"/>
    <w:rsid w:val="000E3CE3"/>
    <w:rsid w:val="000E3DA4"/>
    <w:rsid w:val="000E3E23"/>
    <w:rsid w:val="000E4976"/>
    <w:rsid w:val="000E4CD6"/>
    <w:rsid w:val="000E518F"/>
    <w:rsid w:val="000E5377"/>
    <w:rsid w:val="000E54DD"/>
    <w:rsid w:val="000E5BD2"/>
    <w:rsid w:val="000E5DB5"/>
    <w:rsid w:val="000E667A"/>
    <w:rsid w:val="000E67C7"/>
    <w:rsid w:val="000E6CBF"/>
    <w:rsid w:val="000E6D70"/>
    <w:rsid w:val="000E71E9"/>
    <w:rsid w:val="000E7204"/>
    <w:rsid w:val="000E759A"/>
    <w:rsid w:val="000E78C7"/>
    <w:rsid w:val="000E7B3B"/>
    <w:rsid w:val="000F0044"/>
    <w:rsid w:val="000F00BA"/>
    <w:rsid w:val="000F035D"/>
    <w:rsid w:val="000F09D1"/>
    <w:rsid w:val="000F0AC3"/>
    <w:rsid w:val="000F0DFE"/>
    <w:rsid w:val="000F10A2"/>
    <w:rsid w:val="000F1757"/>
    <w:rsid w:val="000F1947"/>
    <w:rsid w:val="000F1B42"/>
    <w:rsid w:val="000F2421"/>
    <w:rsid w:val="000F24D8"/>
    <w:rsid w:val="000F24DE"/>
    <w:rsid w:val="000F2E04"/>
    <w:rsid w:val="000F316A"/>
    <w:rsid w:val="000F336B"/>
    <w:rsid w:val="000F3588"/>
    <w:rsid w:val="000F3610"/>
    <w:rsid w:val="000F397F"/>
    <w:rsid w:val="000F3AB5"/>
    <w:rsid w:val="000F3ABD"/>
    <w:rsid w:val="000F3B56"/>
    <w:rsid w:val="000F3C74"/>
    <w:rsid w:val="000F3CD7"/>
    <w:rsid w:val="000F3DA8"/>
    <w:rsid w:val="000F3FA0"/>
    <w:rsid w:val="000F4974"/>
    <w:rsid w:val="000F4986"/>
    <w:rsid w:val="000F4BB8"/>
    <w:rsid w:val="000F4E1E"/>
    <w:rsid w:val="000F4F7C"/>
    <w:rsid w:val="000F4FA9"/>
    <w:rsid w:val="000F53FB"/>
    <w:rsid w:val="000F561B"/>
    <w:rsid w:val="000F5681"/>
    <w:rsid w:val="000F5AFD"/>
    <w:rsid w:val="000F5B50"/>
    <w:rsid w:val="000F6714"/>
    <w:rsid w:val="000F67E0"/>
    <w:rsid w:val="000F6CC4"/>
    <w:rsid w:val="000F6DD8"/>
    <w:rsid w:val="000F7127"/>
    <w:rsid w:val="000F7184"/>
    <w:rsid w:val="000F7AD9"/>
    <w:rsid w:val="000F7B54"/>
    <w:rsid w:val="000F7BFB"/>
    <w:rsid w:val="000F7FE7"/>
    <w:rsid w:val="001000B3"/>
    <w:rsid w:val="001000D2"/>
    <w:rsid w:val="00100148"/>
    <w:rsid w:val="00100189"/>
    <w:rsid w:val="001003E1"/>
    <w:rsid w:val="001004ED"/>
    <w:rsid w:val="001006AE"/>
    <w:rsid w:val="00100DB3"/>
    <w:rsid w:val="00100E66"/>
    <w:rsid w:val="00100F8A"/>
    <w:rsid w:val="0010108A"/>
    <w:rsid w:val="00101C1A"/>
    <w:rsid w:val="00101EF0"/>
    <w:rsid w:val="00102B3E"/>
    <w:rsid w:val="00102F15"/>
    <w:rsid w:val="00103198"/>
    <w:rsid w:val="00103517"/>
    <w:rsid w:val="0010386C"/>
    <w:rsid w:val="0010452E"/>
    <w:rsid w:val="001046D0"/>
    <w:rsid w:val="00104A2E"/>
    <w:rsid w:val="0010524F"/>
    <w:rsid w:val="0010528C"/>
    <w:rsid w:val="001052E6"/>
    <w:rsid w:val="00105407"/>
    <w:rsid w:val="00105527"/>
    <w:rsid w:val="00105666"/>
    <w:rsid w:val="00105930"/>
    <w:rsid w:val="00105AE2"/>
    <w:rsid w:val="00105B03"/>
    <w:rsid w:val="00105C5C"/>
    <w:rsid w:val="001060A2"/>
    <w:rsid w:val="001060C6"/>
    <w:rsid w:val="001064BF"/>
    <w:rsid w:val="00106888"/>
    <w:rsid w:val="00106AD6"/>
    <w:rsid w:val="00106B80"/>
    <w:rsid w:val="00106C7B"/>
    <w:rsid w:val="00106D4C"/>
    <w:rsid w:val="00106ED9"/>
    <w:rsid w:val="00107795"/>
    <w:rsid w:val="00107913"/>
    <w:rsid w:val="00107E79"/>
    <w:rsid w:val="00107F59"/>
    <w:rsid w:val="00107F73"/>
    <w:rsid w:val="001101B4"/>
    <w:rsid w:val="00110227"/>
    <w:rsid w:val="0011032E"/>
    <w:rsid w:val="001105F5"/>
    <w:rsid w:val="00110619"/>
    <w:rsid w:val="00110948"/>
    <w:rsid w:val="00110AD4"/>
    <w:rsid w:val="00110F65"/>
    <w:rsid w:val="00110FED"/>
    <w:rsid w:val="00111274"/>
    <w:rsid w:val="00111318"/>
    <w:rsid w:val="001116A3"/>
    <w:rsid w:val="00111C36"/>
    <w:rsid w:val="001121F1"/>
    <w:rsid w:val="001126DF"/>
    <w:rsid w:val="0011280A"/>
    <w:rsid w:val="00112D01"/>
    <w:rsid w:val="0011302C"/>
    <w:rsid w:val="0011303C"/>
    <w:rsid w:val="0011339B"/>
    <w:rsid w:val="001133DA"/>
    <w:rsid w:val="0011348B"/>
    <w:rsid w:val="001134A1"/>
    <w:rsid w:val="001134D8"/>
    <w:rsid w:val="00113A96"/>
    <w:rsid w:val="00113E8A"/>
    <w:rsid w:val="00114400"/>
    <w:rsid w:val="0011443B"/>
    <w:rsid w:val="00114635"/>
    <w:rsid w:val="00114943"/>
    <w:rsid w:val="0011499D"/>
    <w:rsid w:val="00114A1A"/>
    <w:rsid w:val="001155C5"/>
    <w:rsid w:val="00115982"/>
    <w:rsid w:val="00115A82"/>
    <w:rsid w:val="00115AC2"/>
    <w:rsid w:val="00115C56"/>
    <w:rsid w:val="00115C9F"/>
    <w:rsid w:val="00115D25"/>
    <w:rsid w:val="00116587"/>
    <w:rsid w:val="00116607"/>
    <w:rsid w:val="001166BC"/>
    <w:rsid w:val="0011672E"/>
    <w:rsid w:val="00116C53"/>
    <w:rsid w:val="0011732F"/>
    <w:rsid w:val="00117840"/>
    <w:rsid w:val="001179F5"/>
    <w:rsid w:val="00117BF6"/>
    <w:rsid w:val="00117CBB"/>
    <w:rsid w:val="00117F5A"/>
    <w:rsid w:val="0012004B"/>
    <w:rsid w:val="001202EE"/>
    <w:rsid w:val="00120414"/>
    <w:rsid w:val="0012055C"/>
    <w:rsid w:val="00120690"/>
    <w:rsid w:val="00120ADB"/>
    <w:rsid w:val="00120BA6"/>
    <w:rsid w:val="00120DCD"/>
    <w:rsid w:val="00120F62"/>
    <w:rsid w:val="001212D3"/>
    <w:rsid w:val="0012152A"/>
    <w:rsid w:val="00121799"/>
    <w:rsid w:val="00121A2E"/>
    <w:rsid w:val="00121EA6"/>
    <w:rsid w:val="00121FA0"/>
    <w:rsid w:val="00122285"/>
    <w:rsid w:val="001222FC"/>
    <w:rsid w:val="001223EB"/>
    <w:rsid w:val="0012298F"/>
    <w:rsid w:val="00122E99"/>
    <w:rsid w:val="001231CE"/>
    <w:rsid w:val="001234BE"/>
    <w:rsid w:val="00123902"/>
    <w:rsid w:val="001239C8"/>
    <w:rsid w:val="00123EDE"/>
    <w:rsid w:val="0012479E"/>
    <w:rsid w:val="00124A51"/>
    <w:rsid w:val="00124B3A"/>
    <w:rsid w:val="00125036"/>
    <w:rsid w:val="00125225"/>
    <w:rsid w:val="00125248"/>
    <w:rsid w:val="0012529F"/>
    <w:rsid w:val="0012553A"/>
    <w:rsid w:val="001255DA"/>
    <w:rsid w:val="001256AB"/>
    <w:rsid w:val="00125A67"/>
    <w:rsid w:val="00125AAE"/>
    <w:rsid w:val="00125DCD"/>
    <w:rsid w:val="00126164"/>
    <w:rsid w:val="00126621"/>
    <w:rsid w:val="00126851"/>
    <w:rsid w:val="00126936"/>
    <w:rsid w:val="00126B1D"/>
    <w:rsid w:val="00126DCA"/>
    <w:rsid w:val="00126F40"/>
    <w:rsid w:val="00126FE3"/>
    <w:rsid w:val="00127154"/>
    <w:rsid w:val="001272A1"/>
    <w:rsid w:val="00127479"/>
    <w:rsid w:val="0012798E"/>
    <w:rsid w:val="00127A47"/>
    <w:rsid w:val="00127D96"/>
    <w:rsid w:val="001301E9"/>
    <w:rsid w:val="0013118D"/>
    <w:rsid w:val="0013130D"/>
    <w:rsid w:val="001313B5"/>
    <w:rsid w:val="00131A55"/>
    <w:rsid w:val="00131C2C"/>
    <w:rsid w:val="00131D82"/>
    <w:rsid w:val="00132399"/>
    <w:rsid w:val="001325AF"/>
    <w:rsid w:val="00132B22"/>
    <w:rsid w:val="00132BEF"/>
    <w:rsid w:val="00133195"/>
    <w:rsid w:val="00133CD2"/>
    <w:rsid w:val="00133D36"/>
    <w:rsid w:val="00133E65"/>
    <w:rsid w:val="0013404E"/>
    <w:rsid w:val="0013409B"/>
    <w:rsid w:val="00134200"/>
    <w:rsid w:val="00134598"/>
    <w:rsid w:val="0013470C"/>
    <w:rsid w:val="001349B2"/>
    <w:rsid w:val="00134D88"/>
    <w:rsid w:val="001353B6"/>
    <w:rsid w:val="001353EB"/>
    <w:rsid w:val="001353F7"/>
    <w:rsid w:val="00135DD1"/>
    <w:rsid w:val="00135F1C"/>
    <w:rsid w:val="0013601A"/>
    <w:rsid w:val="0013623C"/>
    <w:rsid w:val="00136596"/>
    <w:rsid w:val="00136990"/>
    <w:rsid w:val="00136B65"/>
    <w:rsid w:val="00136D4B"/>
    <w:rsid w:val="00136DBF"/>
    <w:rsid w:val="00137645"/>
    <w:rsid w:val="00137C12"/>
    <w:rsid w:val="00137F00"/>
    <w:rsid w:val="0014015A"/>
    <w:rsid w:val="00140172"/>
    <w:rsid w:val="00140785"/>
    <w:rsid w:val="00140871"/>
    <w:rsid w:val="00140CAD"/>
    <w:rsid w:val="00140E99"/>
    <w:rsid w:val="0014120F"/>
    <w:rsid w:val="001412F0"/>
    <w:rsid w:val="00141BF1"/>
    <w:rsid w:val="00141E1C"/>
    <w:rsid w:val="00142169"/>
    <w:rsid w:val="001422A0"/>
    <w:rsid w:val="001422F1"/>
    <w:rsid w:val="0014353B"/>
    <w:rsid w:val="00143789"/>
    <w:rsid w:val="00143EC9"/>
    <w:rsid w:val="00143F67"/>
    <w:rsid w:val="001443DD"/>
    <w:rsid w:val="00144809"/>
    <w:rsid w:val="00144AB1"/>
    <w:rsid w:val="00144F76"/>
    <w:rsid w:val="00145037"/>
    <w:rsid w:val="00145234"/>
    <w:rsid w:val="00145540"/>
    <w:rsid w:val="001456B0"/>
    <w:rsid w:val="00145A8E"/>
    <w:rsid w:val="00145DC2"/>
    <w:rsid w:val="00145DF0"/>
    <w:rsid w:val="00145F26"/>
    <w:rsid w:val="001467E8"/>
    <w:rsid w:val="00146B5B"/>
    <w:rsid w:val="00146D64"/>
    <w:rsid w:val="00146FA2"/>
    <w:rsid w:val="00147B3C"/>
    <w:rsid w:val="00147C7F"/>
    <w:rsid w:val="00147EE8"/>
    <w:rsid w:val="00147FE6"/>
    <w:rsid w:val="001501F5"/>
    <w:rsid w:val="00150342"/>
    <w:rsid w:val="00150928"/>
    <w:rsid w:val="001509EA"/>
    <w:rsid w:val="00150E43"/>
    <w:rsid w:val="00150F53"/>
    <w:rsid w:val="00150FB7"/>
    <w:rsid w:val="001513FA"/>
    <w:rsid w:val="00151478"/>
    <w:rsid w:val="001516A8"/>
    <w:rsid w:val="0015196C"/>
    <w:rsid w:val="00151A85"/>
    <w:rsid w:val="00152AA9"/>
    <w:rsid w:val="00152AE9"/>
    <w:rsid w:val="00152F8C"/>
    <w:rsid w:val="001535AF"/>
    <w:rsid w:val="00153BCB"/>
    <w:rsid w:val="00153CC7"/>
    <w:rsid w:val="0015449F"/>
    <w:rsid w:val="00154674"/>
    <w:rsid w:val="001547AB"/>
    <w:rsid w:val="00154A2D"/>
    <w:rsid w:val="00154C5B"/>
    <w:rsid w:val="0015511F"/>
    <w:rsid w:val="00155220"/>
    <w:rsid w:val="00155473"/>
    <w:rsid w:val="00155ACB"/>
    <w:rsid w:val="00155EAC"/>
    <w:rsid w:val="00155EFA"/>
    <w:rsid w:val="00155F58"/>
    <w:rsid w:val="00156119"/>
    <w:rsid w:val="00156182"/>
    <w:rsid w:val="00156248"/>
    <w:rsid w:val="001565D9"/>
    <w:rsid w:val="0015672E"/>
    <w:rsid w:val="00156E78"/>
    <w:rsid w:val="00156EFE"/>
    <w:rsid w:val="00156F8F"/>
    <w:rsid w:val="00157130"/>
    <w:rsid w:val="00157653"/>
    <w:rsid w:val="001576B1"/>
    <w:rsid w:val="00157AA4"/>
    <w:rsid w:val="0016047B"/>
    <w:rsid w:val="00160778"/>
    <w:rsid w:val="00160A4C"/>
    <w:rsid w:val="00160CFE"/>
    <w:rsid w:val="001610AA"/>
    <w:rsid w:val="00161C14"/>
    <w:rsid w:val="0016226B"/>
    <w:rsid w:val="0016237E"/>
    <w:rsid w:val="00162465"/>
    <w:rsid w:val="00162913"/>
    <w:rsid w:val="001629D7"/>
    <w:rsid w:val="00162BEE"/>
    <w:rsid w:val="00162D9D"/>
    <w:rsid w:val="00162F92"/>
    <w:rsid w:val="001634B5"/>
    <w:rsid w:val="00163DE1"/>
    <w:rsid w:val="00163EFF"/>
    <w:rsid w:val="00163F66"/>
    <w:rsid w:val="00163FD9"/>
    <w:rsid w:val="0016428F"/>
    <w:rsid w:val="001644C4"/>
    <w:rsid w:val="00164590"/>
    <w:rsid w:val="0016478E"/>
    <w:rsid w:val="0016482F"/>
    <w:rsid w:val="00164C21"/>
    <w:rsid w:val="00164D2F"/>
    <w:rsid w:val="001655C5"/>
    <w:rsid w:val="00165858"/>
    <w:rsid w:val="001659B1"/>
    <w:rsid w:val="00165A21"/>
    <w:rsid w:val="00165EA7"/>
    <w:rsid w:val="00165EC4"/>
    <w:rsid w:val="00165EE4"/>
    <w:rsid w:val="00165FB5"/>
    <w:rsid w:val="001661FB"/>
    <w:rsid w:val="001664AC"/>
    <w:rsid w:val="00166536"/>
    <w:rsid w:val="001666D3"/>
    <w:rsid w:val="0016691D"/>
    <w:rsid w:val="0016699E"/>
    <w:rsid w:val="00166C33"/>
    <w:rsid w:val="00166E18"/>
    <w:rsid w:val="00166F3B"/>
    <w:rsid w:val="00167035"/>
    <w:rsid w:val="001671A0"/>
    <w:rsid w:val="00167354"/>
    <w:rsid w:val="001673E7"/>
    <w:rsid w:val="0016767F"/>
    <w:rsid w:val="001678AE"/>
    <w:rsid w:val="00167F67"/>
    <w:rsid w:val="001708FF"/>
    <w:rsid w:val="00170A0F"/>
    <w:rsid w:val="001710C0"/>
    <w:rsid w:val="001713DE"/>
    <w:rsid w:val="001717DF"/>
    <w:rsid w:val="001718CC"/>
    <w:rsid w:val="00171B5B"/>
    <w:rsid w:val="00171C61"/>
    <w:rsid w:val="0017231A"/>
    <w:rsid w:val="00172427"/>
    <w:rsid w:val="00172A1E"/>
    <w:rsid w:val="00172CB6"/>
    <w:rsid w:val="0017347A"/>
    <w:rsid w:val="00173565"/>
    <w:rsid w:val="00173AC6"/>
    <w:rsid w:val="00173ACE"/>
    <w:rsid w:val="00173B07"/>
    <w:rsid w:val="00173DB1"/>
    <w:rsid w:val="0017497A"/>
    <w:rsid w:val="00174C10"/>
    <w:rsid w:val="00174CD6"/>
    <w:rsid w:val="00174D4C"/>
    <w:rsid w:val="001751FA"/>
    <w:rsid w:val="00175522"/>
    <w:rsid w:val="00176034"/>
    <w:rsid w:val="00176320"/>
    <w:rsid w:val="001765D4"/>
    <w:rsid w:val="001765F0"/>
    <w:rsid w:val="001768A4"/>
    <w:rsid w:val="00176991"/>
    <w:rsid w:val="001769E8"/>
    <w:rsid w:val="00176A9B"/>
    <w:rsid w:val="00176B7C"/>
    <w:rsid w:val="00176E43"/>
    <w:rsid w:val="00176E52"/>
    <w:rsid w:val="00176F4A"/>
    <w:rsid w:val="0017708F"/>
    <w:rsid w:val="00177457"/>
    <w:rsid w:val="0017775C"/>
    <w:rsid w:val="00177D8D"/>
    <w:rsid w:val="00177FA4"/>
    <w:rsid w:val="001800CF"/>
    <w:rsid w:val="0018057B"/>
    <w:rsid w:val="001806AC"/>
    <w:rsid w:val="001806CD"/>
    <w:rsid w:val="001807AC"/>
    <w:rsid w:val="00180866"/>
    <w:rsid w:val="00180D33"/>
    <w:rsid w:val="00180E11"/>
    <w:rsid w:val="00181C10"/>
    <w:rsid w:val="00181D9C"/>
    <w:rsid w:val="00182643"/>
    <w:rsid w:val="00182AC1"/>
    <w:rsid w:val="00182C1E"/>
    <w:rsid w:val="00182E7D"/>
    <w:rsid w:val="00182F06"/>
    <w:rsid w:val="00183765"/>
    <w:rsid w:val="001837FF"/>
    <w:rsid w:val="00183DD0"/>
    <w:rsid w:val="00183DDC"/>
    <w:rsid w:val="00183F35"/>
    <w:rsid w:val="00184600"/>
    <w:rsid w:val="00184B0E"/>
    <w:rsid w:val="00184BA0"/>
    <w:rsid w:val="00185828"/>
    <w:rsid w:val="00185897"/>
    <w:rsid w:val="001858B8"/>
    <w:rsid w:val="00185915"/>
    <w:rsid w:val="00185A36"/>
    <w:rsid w:val="00185BD9"/>
    <w:rsid w:val="0018615B"/>
    <w:rsid w:val="00186163"/>
    <w:rsid w:val="001861F6"/>
    <w:rsid w:val="00186546"/>
    <w:rsid w:val="001868BC"/>
    <w:rsid w:val="00186922"/>
    <w:rsid w:val="0018752F"/>
    <w:rsid w:val="00187D99"/>
    <w:rsid w:val="00187F28"/>
    <w:rsid w:val="00190009"/>
    <w:rsid w:val="001906B4"/>
    <w:rsid w:val="0019072B"/>
    <w:rsid w:val="001911C3"/>
    <w:rsid w:val="00192623"/>
    <w:rsid w:val="00192853"/>
    <w:rsid w:val="00192A35"/>
    <w:rsid w:val="00192B6A"/>
    <w:rsid w:val="00192C24"/>
    <w:rsid w:val="00193405"/>
    <w:rsid w:val="00193462"/>
    <w:rsid w:val="00193838"/>
    <w:rsid w:val="00193A45"/>
    <w:rsid w:val="00193D22"/>
    <w:rsid w:val="00193F6A"/>
    <w:rsid w:val="0019412F"/>
    <w:rsid w:val="001944E3"/>
    <w:rsid w:val="00194718"/>
    <w:rsid w:val="00194735"/>
    <w:rsid w:val="00194779"/>
    <w:rsid w:val="00194814"/>
    <w:rsid w:val="0019495A"/>
    <w:rsid w:val="00194AD8"/>
    <w:rsid w:val="00194BA0"/>
    <w:rsid w:val="00194E96"/>
    <w:rsid w:val="00195222"/>
    <w:rsid w:val="001952FC"/>
    <w:rsid w:val="0019533A"/>
    <w:rsid w:val="00195452"/>
    <w:rsid w:val="00195585"/>
    <w:rsid w:val="0019561E"/>
    <w:rsid w:val="001959A8"/>
    <w:rsid w:val="00195CE9"/>
    <w:rsid w:val="001962BE"/>
    <w:rsid w:val="00197484"/>
    <w:rsid w:val="001975D8"/>
    <w:rsid w:val="00197638"/>
    <w:rsid w:val="001976FA"/>
    <w:rsid w:val="001977E8"/>
    <w:rsid w:val="001979DB"/>
    <w:rsid w:val="00197D2A"/>
    <w:rsid w:val="00197F94"/>
    <w:rsid w:val="001A0251"/>
    <w:rsid w:val="001A03C6"/>
    <w:rsid w:val="001A0B19"/>
    <w:rsid w:val="001A0B24"/>
    <w:rsid w:val="001A0D7E"/>
    <w:rsid w:val="001A0E95"/>
    <w:rsid w:val="001A0FF1"/>
    <w:rsid w:val="001A13FA"/>
    <w:rsid w:val="001A171E"/>
    <w:rsid w:val="001A1773"/>
    <w:rsid w:val="001A178E"/>
    <w:rsid w:val="001A1BAA"/>
    <w:rsid w:val="001A2248"/>
    <w:rsid w:val="001A2A8D"/>
    <w:rsid w:val="001A2ABD"/>
    <w:rsid w:val="001A2CB8"/>
    <w:rsid w:val="001A2CDE"/>
    <w:rsid w:val="001A2E40"/>
    <w:rsid w:val="001A38D1"/>
    <w:rsid w:val="001A3CB8"/>
    <w:rsid w:val="001A3F36"/>
    <w:rsid w:val="001A405E"/>
    <w:rsid w:val="001A407F"/>
    <w:rsid w:val="001A41FB"/>
    <w:rsid w:val="001A4215"/>
    <w:rsid w:val="001A43BD"/>
    <w:rsid w:val="001A43FA"/>
    <w:rsid w:val="001A4547"/>
    <w:rsid w:val="001A47C5"/>
    <w:rsid w:val="001A4885"/>
    <w:rsid w:val="001A50D7"/>
    <w:rsid w:val="001A54F7"/>
    <w:rsid w:val="001A5881"/>
    <w:rsid w:val="001A59FB"/>
    <w:rsid w:val="001A5A9B"/>
    <w:rsid w:val="001A5E14"/>
    <w:rsid w:val="001A5E9E"/>
    <w:rsid w:val="001A5F09"/>
    <w:rsid w:val="001A6354"/>
    <w:rsid w:val="001A6366"/>
    <w:rsid w:val="001A7001"/>
    <w:rsid w:val="001A70EE"/>
    <w:rsid w:val="001A72E4"/>
    <w:rsid w:val="001A79FD"/>
    <w:rsid w:val="001A7AE8"/>
    <w:rsid w:val="001B0078"/>
    <w:rsid w:val="001B05F2"/>
    <w:rsid w:val="001B0A8F"/>
    <w:rsid w:val="001B0B45"/>
    <w:rsid w:val="001B0C40"/>
    <w:rsid w:val="001B0E10"/>
    <w:rsid w:val="001B130B"/>
    <w:rsid w:val="001B1CB4"/>
    <w:rsid w:val="001B204E"/>
    <w:rsid w:val="001B2316"/>
    <w:rsid w:val="001B2372"/>
    <w:rsid w:val="001B2AE3"/>
    <w:rsid w:val="001B2DB7"/>
    <w:rsid w:val="001B2DEE"/>
    <w:rsid w:val="001B2FC6"/>
    <w:rsid w:val="001B3443"/>
    <w:rsid w:val="001B3BDF"/>
    <w:rsid w:val="001B3F0C"/>
    <w:rsid w:val="001B405F"/>
    <w:rsid w:val="001B4151"/>
    <w:rsid w:val="001B4655"/>
    <w:rsid w:val="001B4660"/>
    <w:rsid w:val="001B4773"/>
    <w:rsid w:val="001B48E1"/>
    <w:rsid w:val="001B4D20"/>
    <w:rsid w:val="001B4E44"/>
    <w:rsid w:val="001B5471"/>
    <w:rsid w:val="001B5B0F"/>
    <w:rsid w:val="001B5FA3"/>
    <w:rsid w:val="001B6A18"/>
    <w:rsid w:val="001B7185"/>
    <w:rsid w:val="001B71BD"/>
    <w:rsid w:val="001B73B5"/>
    <w:rsid w:val="001B7DB4"/>
    <w:rsid w:val="001B7F84"/>
    <w:rsid w:val="001C0275"/>
    <w:rsid w:val="001C02AC"/>
    <w:rsid w:val="001C035D"/>
    <w:rsid w:val="001C0437"/>
    <w:rsid w:val="001C0755"/>
    <w:rsid w:val="001C0E32"/>
    <w:rsid w:val="001C0E6B"/>
    <w:rsid w:val="001C112E"/>
    <w:rsid w:val="001C11CB"/>
    <w:rsid w:val="001C147C"/>
    <w:rsid w:val="001C2509"/>
    <w:rsid w:val="001C26A5"/>
    <w:rsid w:val="001C2919"/>
    <w:rsid w:val="001C2A9B"/>
    <w:rsid w:val="001C2B5B"/>
    <w:rsid w:val="001C2CAD"/>
    <w:rsid w:val="001C2F8B"/>
    <w:rsid w:val="001C39BC"/>
    <w:rsid w:val="001C3BD1"/>
    <w:rsid w:val="001C3D80"/>
    <w:rsid w:val="001C3DD6"/>
    <w:rsid w:val="001C4272"/>
    <w:rsid w:val="001C4299"/>
    <w:rsid w:val="001C4308"/>
    <w:rsid w:val="001C45DF"/>
    <w:rsid w:val="001C4874"/>
    <w:rsid w:val="001C4A3F"/>
    <w:rsid w:val="001C4DC0"/>
    <w:rsid w:val="001C4E34"/>
    <w:rsid w:val="001C50FA"/>
    <w:rsid w:val="001C513A"/>
    <w:rsid w:val="001C5370"/>
    <w:rsid w:val="001C5772"/>
    <w:rsid w:val="001C5D02"/>
    <w:rsid w:val="001C5D45"/>
    <w:rsid w:val="001C5F36"/>
    <w:rsid w:val="001C5F94"/>
    <w:rsid w:val="001C60CD"/>
    <w:rsid w:val="001C6883"/>
    <w:rsid w:val="001C6A68"/>
    <w:rsid w:val="001C6B55"/>
    <w:rsid w:val="001C6B81"/>
    <w:rsid w:val="001C6BB0"/>
    <w:rsid w:val="001C6CDC"/>
    <w:rsid w:val="001C6E56"/>
    <w:rsid w:val="001C6E66"/>
    <w:rsid w:val="001C6F53"/>
    <w:rsid w:val="001C6FCB"/>
    <w:rsid w:val="001C7009"/>
    <w:rsid w:val="001C751B"/>
    <w:rsid w:val="001C7954"/>
    <w:rsid w:val="001C7B51"/>
    <w:rsid w:val="001C7D02"/>
    <w:rsid w:val="001C7F50"/>
    <w:rsid w:val="001C7FEF"/>
    <w:rsid w:val="001D00B5"/>
    <w:rsid w:val="001D05F8"/>
    <w:rsid w:val="001D07C8"/>
    <w:rsid w:val="001D0A88"/>
    <w:rsid w:val="001D0AD0"/>
    <w:rsid w:val="001D0AD5"/>
    <w:rsid w:val="001D0C2C"/>
    <w:rsid w:val="001D0FA1"/>
    <w:rsid w:val="001D1100"/>
    <w:rsid w:val="001D12B7"/>
    <w:rsid w:val="001D12C8"/>
    <w:rsid w:val="001D1391"/>
    <w:rsid w:val="001D15AA"/>
    <w:rsid w:val="001D1776"/>
    <w:rsid w:val="001D1922"/>
    <w:rsid w:val="001D1A8C"/>
    <w:rsid w:val="001D2129"/>
    <w:rsid w:val="001D2143"/>
    <w:rsid w:val="001D21D5"/>
    <w:rsid w:val="001D2243"/>
    <w:rsid w:val="001D25D7"/>
    <w:rsid w:val="001D273F"/>
    <w:rsid w:val="001D2B58"/>
    <w:rsid w:val="001D2BE5"/>
    <w:rsid w:val="001D2C9E"/>
    <w:rsid w:val="001D3331"/>
    <w:rsid w:val="001D3434"/>
    <w:rsid w:val="001D36EF"/>
    <w:rsid w:val="001D38B2"/>
    <w:rsid w:val="001D3A49"/>
    <w:rsid w:val="001D3C20"/>
    <w:rsid w:val="001D3C2A"/>
    <w:rsid w:val="001D3F8C"/>
    <w:rsid w:val="001D4221"/>
    <w:rsid w:val="001D4859"/>
    <w:rsid w:val="001D4C3A"/>
    <w:rsid w:val="001D4D33"/>
    <w:rsid w:val="001D4D7F"/>
    <w:rsid w:val="001D502E"/>
    <w:rsid w:val="001D50B2"/>
    <w:rsid w:val="001D51CF"/>
    <w:rsid w:val="001D5A32"/>
    <w:rsid w:val="001D5BBF"/>
    <w:rsid w:val="001D5BC9"/>
    <w:rsid w:val="001D6092"/>
    <w:rsid w:val="001D6504"/>
    <w:rsid w:val="001D6634"/>
    <w:rsid w:val="001D6CC0"/>
    <w:rsid w:val="001D71F4"/>
    <w:rsid w:val="001D7355"/>
    <w:rsid w:val="001D7645"/>
    <w:rsid w:val="001D7977"/>
    <w:rsid w:val="001D798F"/>
    <w:rsid w:val="001D7BF5"/>
    <w:rsid w:val="001D7DB8"/>
    <w:rsid w:val="001D7E6B"/>
    <w:rsid w:val="001E0524"/>
    <w:rsid w:val="001E0667"/>
    <w:rsid w:val="001E0AB0"/>
    <w:rsid w:val="001E0CCB"/>
    <w:rsid w:val="001E0EF2"/>
    <w:rsid w:val="001E16C8"/>
    <w:rsid w:val="001E16C9"/>
    <w:rsid w:val="001E187D"/>
    <w:rsid w:val="001E18B7"/>
    <w:rsid w:val="001E1AC5"/>
    <w:rsid w:val="001E1CC5"/>
    <w:rsid w:val="001E1E06"/>
    <w:rsid w:val="001E1E86"/>
    <w:rsid w:val="001E1EB6"/>
    <w:rsid w:val="001E238E"/>
    <w:rsid w:val="001E243F"/>
    <w:rsid w:val="001E2483"/>
    <w:rsid w:val="001E28DD"/>
    <w:rsid w:val="001E2B1E"/>
    <w:rsid w:val="001E2BC6"/>
    <w:rsid w:val="001E2CFF"/>
    <w:rsid w:val="001E2F24"/>
    <w:rsid w:val="001E30D4"/>
    <w:rsid w:val="001E33E9"/>
    <w:rsid w:val="001E34DF"/>
    <w:rsid w:val="001E3503"/>
    <w:rsid w:val="001E350D"/>
    <w:rsid w:val="001E3CEA"/>
    <w:rsid w:val="001E4282"/>
    <w:rsid w:val="001E46CC"/>
    <w:rsid w:val="001E48F9"/>
    <w:rsid w:val="001E4A3A"/>
    <w:rsid w:val="001E52EB"/>
    <w:rsid w:val="001E5450"/>
    <w:rsid w:val="001E54B7"/>
    <w:rsid w:val="001E5581"/>
    <w:rsid w:val="001E5F48"/>
    <w:rsid w:val="001E61D2"/>
    <w:rsid w:val="001E647D"/>
    <w:rsid w:val="001E658D"/>
    <w:rsid w:val="001E661E"/>
    <w:rsid w:val="001E6793"/>
    <w:rsid w:val="001E6A31"/>
    <w:rsid w:val="001E7007"/>
    <w:rsid w:val="001E7121"/>
    <w:rsid w:val="001E740C"/>
    <w:rsid w:val="001E7591"/>
    <w:rsid w:val="001E7A36"/>
    <w:rsid w:val="001E7EE4"/>
    <w:rsid w:val="001F0252"/>
    <w:rsid w:val="001F0501"/>
    <w:rsid w:val="001F1235"/>
    <w:rsid w:val="001F144D"/>
    <w:rsid w:val="001F19BA"/>
    <w:rsid w:val="001F1AD6"/>
    <w:rsid w:val="001F1CB3"/>
    <w:rsid w:val="001F1CF3"/>
    <w:rsid w:val="001F20B3"/>
    <w:rsid w:val="001F2A5C"/>
    <w:rsid w:val="001F2BE4"/>
    <w:rsid w:val="001F2E5A"/>
    <w:rsid w:val="001F2EE8"/>
    <w:rsid w:val="001F312F"/>
    <w:rsid w:val="001F324F"/>
    <w:rsid w:val="001F3618"/>
    <w:rsid w:val="001F38B5"/>
    <w:rsid w:val="001F3BC5"/>
    <w:rsid w:val="001F4063"/>
    <w:rsid w:val="001F4081"/>
    <w:rsid w:val="001F43E0"/>
    <w:rsid w:val="001F45CB"/>
    <w:rsid w:val="001F4AFE"/>
    <w:rsid w:val="001F51E8"/>
    <w:rsid w:val="001F56E8"/>
    <w:rsid w:val="001F57C6"/>
    <w:rsid w:val="001F5BD3"/>
    <w:rsid w:val="001F69B6"/>
    <w:rsid w:val="001F6D5D"/>
    <w:rsid w:val="001F6EE7"/>
    <w:rsid w:val="001F709D"/>
    <w:rsid w:val="001F712C"/>
    <w:rsid w:val="001F714D"/>
    <w:rsid w:val="001F71E2"/>
    <w:rsid w:val="001F72FB"/>
    <w:rsid w:val="001F7361"/>
    <w:rsid w:val="001F7AB0"/>
    <w:rsid w:val="001F7AF4"/>
    <w:rsid w:val="001F7D68"/>
    <w:rsid w:val="001F7DD4"/>
    <w:rsid w:val="00200011"/>
    <w:rsid w:val="00200859"/>
    <w:rsid w:val="00200B40"/>
    <w:rsid w:val="00200B6A"/>
    <w:rsid w:val="00200B98"/>
    <w:rsid w:val="00200F0D"/>
    <w:rsid w:val="00201158"/>
    <w:rsid w:val="002011B0"/>
    <w:rsid w:val="00201500"/>
    <w:rsid w:val="002015B3"/>
    <w:rsid w:val="002017B9"/>
    <w:rsid w:val="00201EB3"/>
    <w:rsid w:val="00201EEC"/>
    <w:rsid w:val="00201EF7"/>
    <w:rsid w:val="00201FA1"/>
    <w:rsid w:val="00201FB1"/>
    <w:rsid w:val="0020207D"/>
    <w:rsid w:val="00202235"/>
    <w:rsid w:val="00202FA9"/>
    <w:rsid w:val="00203033"/>
    <w:rsid w:val="00203181"/>
    <w:rsid w:val="00203783"/>
    <w:rsid w:val="0020385F"/>
    <w:rsid w:val="002038EB"/>
    <w:rsid w:val="00203D2E"/>
    <w:rsid w:val="00203D9C"/>
    <w:rsid w:val="00203F85"/>
    <w:rsid w:val="00204044"/>
    <w:rsid w:val="00204286"/>
    <w:rsid w:val="0020434B"/>
    <w:rsid w:val="00204528"/>
    <w:rsid w:val="00204921"/>
    <w:rsid w:val="002049B2"/>
    <w:rsid w:val="00204C96"/>
    <w:rsid w:val="00204DD8"/>
    <w:rsid w:val="00204EF6"/>
    <w:rsid w:val="00204F24"/>
    <w:rsid w:val="002050B8"/>
    <w:rsid w:val="00205807"/>
    <w:rsid w:val="00205955"/>
    <w:rsid w:val="00205AFD"/>
    <w:rsid w:val="00205E1E"/>
    <w:rsid w:val="00205EBA"/>
    <w:rsid w:val="00205F87"/>
    <w:rsid w:val="0020608E"/>
    <w:rsid w:val="002061BE"/>
    <w:rsid w:val="002067A8"/>
    <w:rsid w:val="002067D7"/>
    <w:rsid w:val="002068A0"/>
    <w:rsid w:val="00207021"/>
    <w:rsid w:val="002072E9"/>
    <w:rsid w:val="0020732F"/>
    <w:rsid w:val="00207347"/>
    <w:rsid w:val="00207393"/>
    <w:rsid w:val="0020741D"/>
    <w:rsid w:val="002076E3"/>
    <w:rsid w:val="00207D00"/>
    <w:rsid w:val="00207E26"/>
    <w:rsid w:val="00210141"/>
    <w:rsid w:val="002102D9"/>
    <w:rsid w:val="002104E7"/>
    <w:rsid w:val="002105C1"/>
    <w:rsid w:val="00210A94"/>
    <w:rsid w:val="00210B9E"/>
    <w:rsid w:val="00211156"/>
    <w:rsid w:val="00211360"/>
    <w:rsid w:val="00211388"/>
    <w:rsid w:val="00211436"/>
    <w:rsid w:val="002116FD"/>
    <w:rsid w:val="0021199E"/>
    <w:rsid w:val="00211A42"/>
    <w:rsid w:val="00211D0C"/>
    <w:rsid w:val="00211DAD"/>
    <w:rsid w:val="00211DE1"/>
    <w:rsid w:val="00211F69"/>
    <w:rsid w:val="002123A0"/>
    <w:rsid w:val="0021253B"/>
    <w:rsid w:val="00212AAA"/>
    <w:rsid w:val="00212CF8"/>
    <w:rsid w:val="00212D2B"/>
    <w:rsid w:val="00212D31"/>
    <w:rsid w:val="00212E9E"/>
    <w:rsid w:val="002136D1"/>
    <w:rsid w:val="00213838"/>
    <w:rsid w:val="00213886"/>
    <w:rsid w:val="00213DB7"/>
    <w:rsid w:val="00213E62"/>
    <w:rsid w:val="00213E8F"/>
    <w:rsid w:val="00213E92"/>
    <w:rsid w:val="00213EF5"/>
    <w:rsid w:val="00213F3B"/>
    <w:rsid w:val="0021433C"/>
    <w:rsid w:val="002144CB"/>
    <w:rsid w:val="00214786"/>
    <w:rsid w:val="00214F84"/>
    <w:rsid w:val="002151B6"/>
    <w:rsid w:val="00215570"/>
    <w:rsid w:val="002156EB"/>
    <w:rsid w:val="00215BB3"/>
    <w:rsid w:val="00215E06"/>
    <w:rsid w:val="00215F5B"/>
    <w:rsid w:val="002162EF"/>
    <w:rsid w:val="00216583"/>
    <w:rsid w:val="00216862"/>
    <w:rsid w:val="00216930"/>
    <w:rsid w:val="00216B52"/>
    <w:rsid w:val="00216BDB"/>
    <w:rsid w:val="00216BF5"/>
    <w:rsid w:val="00216DE4"/>
    <w:rsid w:val="002174A8"/>
    <w:rsid w:val="00217817"/>
    <w:rsid w:val="002179F8"/>
    <w:rsid w:val="00217D60"/>
    <w:rsid w:val="0022070B"/>
    <w:rsid w:val="00220EAA"/>
    <w:rsid w:val="0022112A"/>
    <w:rsid w:val="00221206"/>
    <w:rsid w:val="002213C2"/>
    <w:rsid w:val="00221439"/>
    <w:rsid w:val="002214DD"/>
    <w:rsid w:val="002219FA"/>
    <w:rsid w:val="00221C8B"/>
    <w:rsid w:val="00221E02"/>
    <w:rsid w:val="00221F38"/>
    <w:rsid w:val="00222184"/>
    <w:rsid w:val="00222318"/>
    <w:rsid w:val="002225EA"/>
    <w:rsid w:val="00222689"/>
    <w:rsid w:val="00222979"/>
    <w:rsid w:val="00223129"/>
    <w:rsid w:val="0022322E"/>
    <w:rsid w:val="002233E1"/>
    <w:rsid w:val="00223709"/>
    <w:rsid w:val="002238F3"/>
    <w:rsid w:val="0022399F"/>
    <w:rsid w:val="00223A99"/>
    <w:rsid w:val="00223B49"/>
    <w:rsid w:val="00223C7A"/>
    <w:rsid w:val="00223CFC"/>
    <w:rsid w:val="00223D5A"/>
    <w:rsid w:val="0022415C"/>
    <w:rsid w:val="002241E0"/>
    <w:rsid w:val="00224BF7"/>
    <w:rsid w:val="00224DD4"/>
    <w:rsid w:val="00225646"/>
    <w:rsid w:val="00225BED"/>
    <w:rsid w:val="0022609D"/>
    <w:rsid w:val="0022662A"/>
    <w:rsid w:val="0022692D"/>
    <w:rsid w:val="0022706D"/>
    <w:rsid w:val="0022762F"/>
    <w:rsid w:val="00227855"/>
    <w:rsid w:val="00227882"/>
    <w:rsid w:val="002278A0"/>
    <w:rsid w:val="00227998"/>
    <w:rsid w:val="0022799B"/>
    <w:rsid w:val="00227D44"/>
    <w:rsid w:val="002304B6"/>
    <w:rsid w:val="00230567"/>
    <w:rsid w:val="002308AC"/>
    <w:rsid w:val="002309CC"/>
    <w:rsid w:val="00230A49"/>
    <w:rsid w:val="00230B9C"/>
    <w:rsid w:val="00230CDC"/>
    <w:rsid w:val="00230F0D"/>
    <w:rsid w:val="002313C7"/>
    <w:rsid w:val="002316C6"/>
    <w:rsid w:val="00231BA9"/>
    <w:rsid w:val="0023209F"/>
    <w:rsid w:val="002326AA"/>
    <w:rsid w:val="00232B94"/>
    <w:rsid w:val="0023328C"/>
    <w:rsid w:val="0023348C"/>
    <w:rsid w:val="00233A5E"/>
    <w:rsid w:val="00233C01"/>
    <w:rsid w:val="00233E23"/>
    <w:rsid w:val="002340F4"/>
    <w:rsid w:val="0023413C"/>
    <w:rsid w:val="002343C9"/>
    <w:rsid w:val="00234551"/>
    <w:rsid w:val="002346F0"/>
    <w:rsid w:val="00234971"/>
    <w:rsid w:val="00234E56"/>
    <w:rsid w:val="0023524F"/>
    <w:rsid w:val="0023557E"/>
    <w:rsid w:val="0023581E"/>
    <w:rsid w:val="002359E7"/>
    <w:rsid w:val="0023629D"/>
    <w:rsid w:val="0023670B"/>
    <w:rsid w:val="00236767"/>
    <w:rsid w:val="00236971"/>
    <w:rsid w:val="00237255"/>
    <w:rsid w:val="00237372"/>
    <w:rsid w:val="00237655"/>
    <w:rsid w:val="002376FB"/>
    <w:rsid w:val="00237809"/>
    <w:rsid w:val="00237993"/>
    <w:rsid w:val="00237C16"/>
    <w:rsid w:val="00237C17"/>
    <w:rsid w:val="00237CFE"/>
    <w:rsid w:val="00237D0B"/>
    <w:rsid w:val="00237D3C"/>
    <w:rsid w:val="002402B3"/>
    <w:rsid w:val="002402E9"/>
    <w:rsid w:val="00240356"/>
    <w:rsid w:val="00240538"/>
    <w:rsid w:val="0024063E"/>
    <w:rsid w:val="0024079B"/>
    <w:rsid w:val="00240B17"/>
    <w:rsid w:val="00240D5E"/>
    <w:rsid w:val="00240D7C"/>
    <w:rsid w:val="00240EE2"/>
    <w:rsid w:val="00241489"/>
    <w:rsid w:val="00241786"/>
    <w:rsid w:val="002417D8"/>
    <w:rsid w:val="00241E0E"/>
    <w:rsid w:val="002424AF"/>
    <w:rsid w:val="00242531"/>
    <w:rsid w:val="00242854"/>
    <w:rsid w:val="00242A29"/>
    <w:rsid w:val="00242B6F"/>
    <w:rsid w:val="00242CF1"/>
    <w:rsid w:val="00242E1C"/>
    <w:rsid w:val="002432C5"/>
    <w:rsid w:val="002439DC"/>
    <w:rsid w:val="00243B09"/>
    <w:rsid w:val="00243B6D"/>
    <w:rsid w:val="00243C3D"/>
    <w:rsid w:val="002441D2"/>
    <w:rsid w:val="002442EF"/>
    <w:rsid w:val="00244640"/>
    <w:rsid w:val="00244864"/>
    <w:rsid w:val="00244928"/>
    <w:rsid w:val="00244C57"/>
    <w:rsid w:val="00244DC8"/>
    <w:rsid w:val="0024554C"/>
    <w:rsid w:val="00245752"/>
    <w:rsid w:val="002458BA"/>
    <w:rsid w:val="00245CE9"/>
    <w:rsid w:val="00245D6E"/>
    <w:rsid w:val="0024636C"/>
    <w:rsid w:val="00246723"/>
    <w:rsid w:val="00247387"/>
    <w:rsid w:val="002478DD"/>
    <w:rsid w:val="00247901"/>
    <w:rsid w:val="00247925"/>
    <w:rsid w:val="00247BF6"/>
    <w:rsid w:val="00247D1F"/>
    <w:rsid w:val="00247E67"/>
    <w:rsid w:val="00250089"/>
    <w:rsid w:val="00250134"/>
    <w:rsid w:val="00250149"/>
    <w:rsid w:val="0025028F"/>
    <w:rsid w:val="0025060C"/>
    <w:rsid w:val="00250700"/>
    <w:rsid w:val="00250AB2"/>
    <w:rsid w:val="00250B58"/>
    <w:rsid w:val="00250D71"/>
    <w:rsid w:val="00250EBB"/>
    <w:rsid w:val="00251006"/>
    <w:rsid w:val="00251273"/>
    <w:rsid w:val="002518FC"/>
    <w:rsid w:val="002524D5"/>
    <w:rsid w:val="002526F1"/>
    <w:rsid w:val="00252B67"/>
    <w:rsid w:val="00253165"/>
    <w:rsid w:val="002531BD"/>
    <w:rsid w:val="00253247"/>
    <w:rsid w:val="00253256"/>
    <w:rsid w:val="002534D7"/>
    <w:rsid w:val="002535C8"/>
    <w:rsid w:val="002535F5"/>
    <w:rsid w:val="00253B1D"/>
    <w:rsid w:val="0025403B"/>
    <w:rsid w:val="002540AE"/>
    <w:rsid w:val="002540C0"/>
    <w:rsid w:val="002543CE"/>
    <w:rsid w:val="0025445A"/>
    <w:rsid w:val="0025445B"/>
    <w:rsid w:val="00254502"/>
    <w:rsid w:val="00254DCF"/>
    <w:rsid w:val="002550EB"/>
    <w:rsid w:val="00255129"/>
    <w:rsid w:val="002551AF"/>
    <w:rsid w:val="002552F8"/>
    <w:rsid w:val="0025534B"/>
    <w:rsid w:val="00255A30"/>
    <w:rsid w:val="00255A40"/>
    <w:rsid w:val="00255BB7"/>
    <w:rsid w:val="00255F46"/>
    <w:rsid w:val="00256BDA"/>
    <w:rsid w:val="00256DD8"/>
    <w:rsid w:val="00257092"/>
    <w:rsid w:val="00257541"/>
    <w:rsid w:val="00257889"/>
    <w:rsid w:val="00257A39"/>
    <w:rsid w:val="00257AC4"/>
    <w:rsid w:val="00257BBE"/>
    <w:rsid w:val="00257E43"/>
    <w:rsid w:val="00260083"/>
    <w:rsid w:val="0026034C"/>
    <w:rsid w:val="00260BA6"/>
    <w:rsid w:val="00260EEE"/>
    <w:rsid w:val="00260FAC"/>
    <w:rsid w:val="0026103A"/>
    <w:rsid w:val="00261382"/>
    <w:rsid w:val="00261436"/>
    <w:rsid w:val="00261AA3"/>
    <w:rsid w:val="00261EEF"/>
    <w:rsid w:val="00261F86"/>
    <w:rsid w:val="0026238B"/>
    <w:rsid w:val="00262515"/>
    <w:rsid w:val="002625FA"/>
    <w:rsid w:val="002627B3"/>
    <w:rsid w:val="00262A1A"/>
    <w:rsid w:val="00262A87"/>
    <w:rsid w:val="00262BA1"/>
    <w:rsid w:val="00262D27"/>
    <w:rsid w:val="00262EE0"/>
    <w:rsid w:val="0026310B"/>
    <w:rsid w:val="002633F0"/>
    <w:rsid w:val="00263BCA"/>
    <w:rsid w:val="00263C01"/>
    <w:rsid w:val="00263F47"/>
    <w:rsid w:val="00263FF1"/>
    <w:rsid w:val="002641B2"/>
    <w:rsid w:val="002646A3"/>
    <w:rsid w:val="002646E5"/>
    <w:rsid w:val="00264AAF"/>
    <w:rsid w:val="00264ADE"/>
    <w:rsid w:val="00264B30"/>
    <w:rsid w:val="00264D26"/>
    <w:rsid w:val="0026563C"/>
    <w:rsid w:val="00265F7B"/>
    <w:rsid w:val="00266363"/>
    <w:rsid w:val="00266967"/>
    <w:rsid w:val="00266CA0"/>
    <w:rsid w:val="002671D4"/>
    <w:rsid w:val="002675BD"/>
    <w:rsid w:val="00267642"/>
    <w:rsid w:val="00267AEA"/>
    <w:rsid w:val="00267E4B"/>
    <w:rsid w:val="00270002"/>
    <w:rsid w:val="002700E6"/>
    <w:rsid w:val="00270883"/>
    <w:rsid w:val="00270AA4"/>
    <w:rsid w:val="00270FDA"/>
    <w:rsid w:val="002718BF"/>
    <w:rsid w:val="00271ECF"/>
    <w:rsid w:val="0027213F"/>
    <w:rsid w:val="00272348"/>
    <w:rsid w:val="002726BC"/>
    <w:rsid w:val="0027294B"/>
    <w:rsid w:val="00272D26"/>
    <w:rsid w:val="00272F2E"/>
    <w:rsid w:val="00273085"/>
    <w:rsid w:val="00273183"/>
    <w:rsid w:val="00273313"/>
    <w:rsid w:val="0027373D"/>
    <w:rsid w:val="00273A3A"/>
    <w:rsid w:val="00273A5A"/>
    <w:rsid w:val="00273B9E"/>
    <w:rsid w:val="00273E42"/>
    <w:rsid w:val="00273EB4"/>
    <w:rsid w:val="00274682"/>
    <w:rsid w:val="0027487F"/>
    <w:rsid w:val="002749A6"/>
    <w:rsid w:val="00274A0A"/>
    <w:rsid w:val="00274D1E"/>
    <w:rsid w:val="00274FB5"/>
    <w:rsid w:val="00275004"/>
    <w:rsid w:val="002750D0"/>
    <w:rsid w:val="00275158"/>
    <w:rsid w:val="0027543E"/>
    <w:rsid w:val="002754A2"/>
    <w:rsid w:val="002755E6"/>
    <w:rsid w:val="00275749"/>
    <w:rsid w:val="00275758"/>
    <w:rsid w:val="00275C5A"/>
    <w:rsid w:val="00275EA8"/>
    <w:rsid w:val="00275EAC"/>
    <w:rsid w:val="0027607E"/>
    <w:rsid w:val="0027611B"/>
    <w:rsid w:val="002767DC"/>
    <w:rsid w:val="00276A88"/>
    <w:rsid w:val="00276AAF"/>
    <w:rsid w:val="00276C3D"/>
    <w:rsid w:val="00276DA4"/>
    <w:rsid w:val="00276DC2"/>
    <w:rsid w:val="00276FEC"/>
    <w:rsid w:val="00277BBA"/>
    <w:rsid w:val="00277DD8"/>
    <w:rsid w:val="0028010A"/>
    <w:rsid w:val="00280CBA"/>
    <w:rsid w:val="00281014"/>
    <w:rsid w:val="00281261"/>
    <w:rsid w:val="00281476"/>
    <w:rsid w:val="0028194E"/>
    <w:rsid w:val="00281B10"/>
    <w:rsid w:val="00281D72"/>
    <w:rsid w:val="00281F68"/>
    <w:rsid w:val="00282537"/>
    <w:rsid w:val="00282A85"/>
    <w:rsid w:val="00282C35"/>
    <w:rsid w:val="00283344"/>
    <w:rsid w:val="00283F51"/>
    <w:rsid w:val="002842CE"/>
    <w:rsid w:val="002846A6"/>
    <w:rsid w:val="00284F29"/>
    <w:rsid w:val="00284F3B"/>
    <w:rsid w:val="00284FFC"/>
    <w:rsid w:val="00285BCE"/>
    <w:rsid w:val="00285EA8"/>
    <w:rsid w:val="00285F60"/>
    <w:rsid w:val="0028621E"/>
    <w:rsid w:val="00286277"/>
    <w:rsid w:val="0028648A"/>
    <w:rsid w:val="0028665D"/>
    <w:rsid w:val="00286B45"/>
    <w:rsid w:val="00286B61"/>
    <w:rsid w:val="0028751C"/>
    <w:rsid w:val="00287542"/>
    <w:rsid w:val="00287A19"/>
    <w:rsid w:val="00287E4F"/>
    <w:rsid w:val="00290109"/>
    <w:rsid w:val="0029017D"/>
    <w:rsid w:val="00290C41"/>
    <w:rsid w:val="00291568"/>
    <w:rsid w:val="00291CFC"/>
    <w:rsid w:val="00292040"/>
    <w:rsid w:val="00292293"/>
    <w:rsid w:val="002929F3"/>
    <w:rsid w:val="00292B3C"/>
    <w:rsid w:val="00293346"/>
    <w:rsid w:val="002933A2"/>
    <w:rsid w:val="00293898"/>
    <w:rsid w:val="002939F2"/>
    <w:rsid w:val="002939FE"/>
    <w:rsid w:val="00294A23"/>
    <w:rsid w:val="00294DC2"/>
    <w:rsid w:val="00295053"/>
    <w:rsid w:val="002950CA"/>
    <w:rsid w:val="00295544"/>
    <w:rsid w:val="00295670"/>
    <w:rsid w:val="00296015"/>
    <w:rsid w:val="00296189"/>
    <w:rsid w:val="0029618D"/>
    <w:rsid w:val="002963A2"/>
    <w:rsid w:val="002964D0"/>
    <w:rsid w:val="0029666E"/>
    <w:rsid w:val="002966D5"/>
    <w:rsid w:val="00296797"/>
    <w:rsid w:val="00297169"/>
    <w:rsid w:val="00297330"/>
    <w:rsid w:val="002973EE"/>
    <w:rsid w:val="0029764C"/>
    <w:rsid w:val="00297AF2"/>
    <w:rsid w:val="00297D95"/>
    <w:rsid w:val="00297E3C"/>
    <w:rsid w:val="00297F23"/>
    <w:rsid w:val="00297F62"/>
    <w:rsid w:val="002A0BCA"/>
    <w:rsid w:val="002A0D5D"/>
    <w:rsid w:val="002A0D92"/>
    <w:rsid w:val="002A14AB"/>
    <w:rsid w:val="002A15FA"/>
    <w:rsid w:val="002A1856"/>
    <w:rsid w:val="002A212C"/>
    <w:rsid w:val="002A279A"/>
    <w:rsid w:val="002A2ADE"/>
    <w:rsid w:val="002A2B09"/>
    <w:rsid w:val="002A2E03"/>
    <w:rsid w:val="002A2F50"/>
    <w:rsid w:val="002A3044"/>
    <w:rsid w:val="002A3064"/>
    <w:rsid w:val="002A3078"/>
    <w:rsid w:val="002A396D"/>
    <w:rsid w:val="002A39A1"/>
    <w:rsid w:val="002A3BFA"/>
    <w:rsid w:val="002A3E25"/>
    <w:rsid w:val="002A40BC"/>
    <w:rsid w:val="002A480D"/>
    <w:rsid w:val="002A4A2B"/>
    <w:rsid w:val="002A4B6A"/>
    <w:rsid w:val="002A50C5"/>
    <w:rsid w:val="002A5366"/>
    <w:rsid w:val="002A5512"/>
    <w:rsid w:val="002A554C"/>
    <w:rsid w:val="002A60EF"/>
    <w:rsid w:val="002A6923"/>
    <w:rsid w:val="002A7245"/>
    <w:rsid w:val="002A760E"/>
    <w:rsid w:val="002A7943"/>
    <w:rsid w:val="002B0454"/>
    <w:rsid w:val="002B04F1"/>
    <w:rsid w:val="002B05A1"/>
    <w:rsid w:val="002B066D"/>
    <w:rsid w:val="002B09A4"/>
    <w:rsid w:val="002B1404"/>
    <w:rsid w:val="002B15CB"/>
    <w:rsid w:val="002B1BDB"/>
    <w:rsid w:val="002B1C1F"/>
    <w:rsid w:val="002B1C6F"/>
    <w:rsid w:val="002B1DDF"/>
    <w:rsid w:val="002B1F1D"/>
    <w:rsid w:val="002B1F7E"/>
    <w:rsid w:val="002B20B9"/>
    <w:rsid w:val="002B2518"/>
    <w:rsid w:val="002B27F4"/>
    <w:rsid w:val="002B2947"/>
    <w:rsid w:val="002B2A07"/>
    <w:rsid w:val="002B2F53"/>
    <w:rsid w:val="002B3172"/>
    <w:rsid w:val="002B3398"/>
    <w:rsid w:val="002B3524"/>
    <w:rsid w:val="002B3B75"/>
    <w:rsid w:val="002B3E61"/>
    <w:rsid w:val="002B432F"/>
    <w:rsid w:val="002B4479"/>
    <w:rsid w:val="002B475D"/>
    <w:rsid w:val="002B479C"/>
    <w:rsid w:val="002B48AD"/>
    <w:rsid w:val="002B48C5"/>
    <w:rsid w:val="002B51B8"/>
    <w:rsid w:val="002B534B"/>
    <w:rsid w:val="002B5728"/>
    <w:rsid w:val="002B5968"/>
    <w:rsid w:val="002B5EA4"/>
    <w:rsid w:val="002B62B3"/>
    <w:rsid w:val="002B63D5"/>
    <w:rsid w:val="002B64C1"/>
    <w:rsid w:val="002B64E5"/>
    <w:rsid w:val="002B6754"/>
    <w:rsid w:val="002B6804"/>
    <w:rsid w:val="002B6AC0"/>
    <w:rsid w:val="002B6CCE"/>
    <w:rsid w:val="002C0580"/>
    <w:rsid w:val="002C0A56"/>
    <w:rsid w:val="002C0AB8"/>
    <w:rsid w:val="002C0D37"/>
    <w:rsid w:val="002C15E3"/>
    <w:rsid w:val="002C1887"/>
    <w:rsid w:val="002C18BB"/>
    <w:rsid w:val="002C1A9F"/>
    <w:rsid w:val="002C2168"/>
    <w:rsid w:val="002C2510"/>
    <w:rsid w:val="002C26DB"/>
    <w:rsid w:val="002C2775"/>
    <w:rsid w:val="002C27C1"/>
    <w:rsid w:val="002C2A16"/>
    <w:rsid w:val="002C2BA5"/>
    <w:rsid w:val="002C2EAE"/>
    <w:rsid w:val="002C3104"/>
    <w:rsid w:val="002C360F"/>
    <w:rsid w:val="002C36E3"/>
    <w:rsid w:val="002C3759"/>
    <w:rsid w:val="002C3B66"/>
    <w:rsid w:val="002C3BDD"/>
    <w:rsid w:val="002C3C2A"/>
    <w:rsid w:val="002C3E78"/>
    <w:rsid w:val="002C443C"/>
    <w:rsid w:val="002C4569"/>
    <w:rsid w:val="002C46FF"/>
    <w:rsid w:val="002C4E55"/>
    <w:rsid w:val="002C5099"/>
    <w:rsid w:val="002C527D"/>
    <w:rsid w:val="002C5889"/>
    <w:rsid w:val="002C589B"/>
    <w:rsid w:val="002C59BC"/>
    <w:rsid w:val="002C5A2D"/>
    <w:rsid w:val="002C5AA9"/>
    <w:rsid w:val="002C629C"/>
    <w:rsid w:val="002C635A"/>
    <w:rsid w:val="002C63E9"/>
    <w:rsid w:val="002C63FE"/>
    <w:rsid w:val="002C654F"/>
    <w:rsid w:val="002C66E7"/>
    <w:rsid w:val="002C6753"/>
    <w:rsid w:val="002C6CF1"/>
    <w:rsid w:val="002C6E2E"/>
    <w:rsid w:val="002C6FEA"/>
    <w:rsid w:val="002C71CE"/>
    <w:rsid w:val="002C7695"/>
    <w:rsid w:val="002C7A81"/>
    <w:rsid w:val="002D06AA"/>
    <w:rsid w:val="002D0864"/>
    <w:rsid w:val="002D08AE"/>
    <w:rsid w:val="002D08F8"/>
    <w:rsid w:val="002D09FB"/>
    <w:rsid w:val="002D0B4D"/>
    <w:rsid w:val="002D0D0C"/>
    <w:rsid w:val="002D0D56"/>
    <w:rsid w:val="002D10F8"/>
    <w:rsid w:val="002D13DC"/>
    <w:rsid w:val="002D1507"/>
    <w:rsid w:val="002D16F0"/>
    <w:rsid w:val="002D1916"/>
    <w:rsid w:val="002D20D6"/>
    <w:rsid w:val="002D20F1"/>
    <w:rsid w:val="002D22F3"/>
    <w:rsid w:val="002D2A63"/>
    <w:rsid w:val="002D319E"/>
    <w:rsid w:val="002D3284"/>
    <w:rsid w:val="002D3951"/>
    <w:rsid w:val="002D3DB5"/>
    <w:rsid w:val="002D3E85"/>
    <w:rsid w:val="002D4457"/>
    <w:rsid w:val="002D4656"/>
    <w:rsid w:val="002D4A37"/>
    <w:rsid w:val="002D577C"/>
    <w:rsid w:val="002D5C4E"/>
    <w:rsid w:val="002D5E33"/>
    <w:rsid w:val="002D64C2"/>
    <w:rsid w:val="002D65A1"/>
    <w:rsid w:val="002D6BAE"/>
    <w:rsid w:val="002D6C3C"/>
    <w:rsid w:val="002D6F9B"/>
    <w:rsid w:val="002D755C"/>
    <w:rsid w:val="002D75D1"/>
    <w:rsid w:val="002D7832"/>
    <w:rsid w:val="002D7CF4"/>
    <w:rsid w:val="002E029B"/>
    <w:rsid w:val="002E0B22"/>
    <w:rsid w:val="002E1071"/>
    <w:rsid w:val="002E1332"/>
    <w:rsid w:val="002E15B9"/>
    <w:rsid w:val="002E1D71"/>
    <w:rsid w:val="002E2158"/>
    <w:rsid w:val="002E2275"/>
    <w:rsid w:val="002E22ED"/>
    <w:rsid w:val="002E239E"/>
    <w:rsid w:val="002E2566"/>
    <w:rsid w:val="002E2804"/>
    <w:rsid w:val="002E3051"/>
    <w:rsid w:val="002E30C2"/>
    <w:rsid w:val="002E33EC"/>
    <w:rsid w:val="002E343A"/>
    <w:rsid w:val="002E356A"/>
    <w:rsid w:val="002E38FE"/>
    <w:rsid w:val="002E3A4C"/>
    <w:rsid w:val="002E4251"/>
    <w:rsid w:val="002E4490"/>
    <w:rsid w:val="002E4843"/>
    <w:rsid w:val="002E4985"/>
    <w:rsid w:val="002E4A87"/>
    <w:rsid w:val="002E4EC9"/>
    <w:rsid w:val="002E4F02"/>
    <w:rsid w:val="002E4F5A"/>
    <w:rsid w:val="002E5100"/>
    <w:rsid w:val="002E5199"/>
    <w:rsid w:val="002E5237"/>
    <w:rsid w:val="002E5341"/>
    <w:rsid w:val="002E55E8"/>
    <w:rsid w:val="002E5BB4"/>
    <w:rsid w:val="002E5E22"/>
    <w:rsid w:val="002E5E85"/>
    <w:rsid w:val="002E5FB4"/>
    <w:rsid w:val="002E6016"/>
    <w:rsid w:val="002E60F5"/>
    <w:rsid w:val="002E6356"/>
    <w:rsid w:val="002E6768"/>
    <w:rsid w:val="002E6D36"/>
    <w:rsid w:val="002E75C9"/>
    <w:rsid w:val="002E76E7"/>
    <w:rsid w:val="002E7722"/>
    <w:rsid w:val="002E7E28"/>
    <w:rsid w:val="002F0166"/>
    <w:rsid w:val="002F0789"/>
    <w:rsid w:val="002F07BA"/>
    <w:rsid w:val="002F0DA9"/>
    <w:rsid w:val="002F1014"/>
    <w:rsid w:val="002F1321"/>
    <w:rsid w:val="002F134D"/>
    <w:rsid w:val="002F141E"/>
    <w:rsid w:val="002F16F2"/>
    <w:rsid w:val="002F1CC4"/>
    <w:rsid w:val="002F1D77"/>
    <w:rsid w:val="002F1E3B"/>
    <w:rsid w:val="002F203C"/>
    <w:rsid w:val="002F26DA"/>
    <w:rsid w:val="002F2956"/>
    <w:rsid w:val="002F29C3"/>
    <w:rsid w:val="002F2B21"/>
    <w:rsid w:val="002F2F91"/>
    <w:rsid w:val="002F3041"/>
    <w:rsid w:val="002F30A7"/>
    <w:rsid w:val="002F3213"/>
    <w:rsid w:val="002F3475"/>
    <w:rsid w:val="002F3801"/>
    <w:rsid w:val="002F3C26"/>
    <w:rsid w:val="002F3FE9"/>
    <w:rsid w:val="002F46DE"/>
    <w:rsid w:val="002F48F4"/>
    <w:rsid w:val="002F5241"/>
    <w:rsid w:val="002F52FE"/>
    <w:rsid w:val="002F555E"/>
    <w:rsid w:val="002F5621"/>
    <w:rsid w:val="002F58DB"/>
    <w:rsid w:val="002F5AE4"/>
    <w:rsid w:val="002F5C96"/>
    <w:rsid w:val="002F5CC9"/>
    <w:rsid w:val="002F61C9"/>
    <w:rsid w:val="002F643C"/>
    <w:rsid w:val="002F659B"/>
    <w:rsid w:val="002F6643"/>
    <w:rsid w:val="002F6784"/>
    <w:rsid w:val="002F6905"/>
    <w:rsid w:val="002F6FCC"/>
    <w:rsid w:val="002F71C0"/>
    <w:rsid w:val="002F73FD"/>
    <w:rsid w:val="002F74F1"/>
    <w:rsid w:val="002F77F2"/>
    <w:rsid w:val="003000C5"/>
    <w:rsid w:val="003002F6"/>
    <w:rsid w:val="003007DA"/>
    <w:rsid w:val="00300DCC"/>
    <w:rsid w:val="00300EA0"/>
    <w:rsid w:val="00301017"/>
    <w:rsid w:val="0030122D"/>
    <w:rsid w:val="0030155F"/>
    <w:rsid w:val="00301AD2"/>
    <w:rsid w:val="00301ED7"/>
    <w:rsid w:val="00301FAC"/>
    <w:rsid w:val="003021D3"/>
    <w:rsid w:val="00302357"/>
    <w:rsid w:val="003026A0"/>
    <w:rsid w:val="00302A86"/>
    <w:rsid w:val="00303188"/>
    <w:rsid w:val="003035FA"/>
    <w:rsid w:val="00303758"/>
    <w:rsid w:val="0030393C"/>
    <w:rsid w:val="00303C4A"/>
    <w:rsid w:val="00303C61"/>
    <w:rsid w:val="00303D8B"/>
    <w:rsid w:val="00303FD1"/>
    <w:rsid w:val="003044FF"/>
    <w:rsid w:val="0030477C"/>
    <w:rsid w:val="00304785"/>
    <w:rsid w:val="00304959"/>
    <w:rsid w:val="00304C4A"/>
    <w:rsid w:val="00305043"/>
    <w:rsid w:val="003050C2"/>
    <w:rsid w:val="0030582D"/>
    <w:rsid w:val="0030587B"/>
    <w:rsid w:val="003058CC"/>
    <w:rsid w:val="0030678A"/>
    <w:rsid w:val="00306D98"/>
    <w:rsid w:val="00307482"/>
    <w:rsid w:val="0030786C"/>
    <w:rsid w:val="00307AD6"/>
    <w:rsid w:val="00307B7D"/>
    <w:rsid w:val="00307E8F"/>
    <w:rsid w:val="00310048"/>
    <w:rsid w:val="0031031A"/>
    <w:rsid w:val="00310461"/>
    <w:rsid w:val="00310513"/>
    <w:rsid w:val="0031073C"/>
    <w:rsid w:val="00310981"/>
    <w:rsid w:val="00310A81"/>
    <w:rsid w:val="00310B13"/>
    <w:rsid w:val="003119F7"/>
    <w:rsid w:val="00311D9B"/>
    <w:rsid w:val="0031216B"/>
    <w:rsid w:val="00312275"/>
    <w:rsid w:val="00312472"/>
    <w:rsid w:val="003124D9"/>
    <w:rsid w:val="00312594"/>
    <w:rsid w:val="003127D6"/>
    <w:rsid w:val="00312C76"/>
    <w:rsid w:val="00312D67"/>
    <w:rsid w:val="00312E25"/>
    <w:rsid w:val="003135C7"/>
    <w:rsid w:val="00313619"/>
    <w:rsid w:val="00313643"/>
    <w:rsid w:val="003136D9"/>
    <w:rsid w:val="00313A33"/>
    <w:rsid w:val="00313CD3"/>
    <w:rsid w:val="00314160"/>
    <w:rsid w:val="003141CF"/>
    <w:rsid w:val="003144F0"/>
    <w:rsid w:val="003147F8"/>
    <w:rsid w:val="00314985"/>
    <w:rsid w:val="00314F1D"/>
    <w:rsid w:val="0031522B"/>
    <w:rsid w:val="00315498"/>
    <w:rsid w:val="003155D3"/>
    <w:rsid w:val="00315CD5"/>
    <w:rsid w:val="00315E58"/>
    <w:rsid w:val="00315EC2"/>
    <w:rsid w:val="00316474"/>
    <w:rsid w:val="00316AEC"/>
    <w:rsid w:val="00316BA7"/>
    <w:rsid w:val="00316D40"/>
    <w:rsid w:val="00316ED6"/>
    <w:rsid w:val="00316FAC"/>
    <w:rsid w:val="003171EA"/>
    <w:rsid w:val="00317B87"/>
    <w:rsid w:val="00317E25"/>
    <w:rsid w:val="0032005A"/>
    <w:rsid w:val="00320193"/>
    <w:rsid w:val="003206E5"/>
    <w:rsid w:val="0032080C"/>
    <w:rsid w:val="0032087D"/>
    <w:rsid w:val="00320E5D"/>
    <w:rsid w:val="0032106E"/>
    <w:rsid w:val="00321295"/>
    <w:rsid w:val="00321AE7"/>
    <w:rsid w:val="00322107"/>
    <w:rsid w:val="003221F0"/>
    <w:rsid w:val="00322355"/>
    <w:rsid w:val="00322846"/>
    <w:rsid w:val="00322B41"/>
    <w:rsid w:val="00322E12"/>
    <w:rsid w:val="00322EBD"/>
    <w:rsid w:val="00323397"/>
    <w:rsid w:val="00323449"/>
    <w:rsid w:val="0032365F"/>
    <w:rsid w:val="003239D6"/>
    <w:rsid w:val="00323EA9"/>
    <w:rsid w:val="0032429D"/>
    <w:rsid w:val="00324AC8"/>
    <w:rsid w:val="00324B92"/>
    <w:rsid w:val="00324C83"/>
    <w:rsid w:val="00325126"/>
    <w:rsid w:val="003255D7"/>
    <w:rsid w:val="00325A9D"/>
    <w:rsid w:val="00325C6C"/>
    <w:rsid w:val="00326164"/>
    <w:rsid w:val="00326554"/>
    <w:rsid w:val="003268C9"/>
    <w:rsid w:val="00326DA7"/>
    <w:rsid w:val="003270E4"/>
    <w:rsid w:val="003274DA"/>
    <w:rsid w:val="003279D2"/>
    <w:rsid w:val="00327A75"/>
    <w:rsid w:val="00327A9F"/>
    <w:rsid w:val="00327B45"/>
    <w:rsid w:val="00327CC2"/>
    <w:rsid w:val="003301FC"/>
    <w:rsid w:val="00330579"/>
    <w:rsid w:val="00330B94"/>
    <w:rsid w:val="00330DAA"/>
    <w:rsid w:val="00330DE1"/>
    <w:rsid w:val="00330F5C"/>
    <w:rsid w:val="003311BC"/>
    <w:rsid w:val="003314AF"/>
    <w:rsid w:val="003317F8"/>
    <w:rsid w:val="003319EC"/>
    <w:rsid w:val="00331A1F"/>
    <w:rsid w:val="00331D08"/>
    <w:rsid w:val="00332710"/>
    <w:rsid w:val="00332838"/>
    <w:rsid w:val="00332B79"/>
    <w:rsid w:val="00333015"/>
    <w:rsid w:val="003334C9"/>
    <w:rsid w:val="003336FF"/>
    <w:rsid w:val="00333ED5"/>
    <w:rsid w:val="0033423D"/>
    <w:rsid w:val="0033433B"/>
    <w:rsid w:val="003343C6"/>
    <w:rsid w:val="003343FA"/>
    <w:rsid w:val="00334935"/>
    <w:rsid w:val="003349AC"/>
    <w:rsid w:val="00334A9D"/>
    <w:rsid w:val="00334EB7"/>
    <w:rsid w:val="003351A9"/>
    <w:rsid w:val="003355EF"/>
    <w:rsid w:val="00335E75"/>
    <w:rsid w:val="00336146"/>
    <w:rsid w:val="003364C3"/>
    <w:rsid w:val="003365E8"/>
    <w:rsid w:val="003366C9"/>
    <w:rsid w:val="00336715"/>
    <w:rsid w:val="003367A4"/>
    <w:rsid w:val="00336D6C"/>
    <w:rsid w:val="003371B0"/>
    <w:rsid w:val="003373CE"/>
    <w:rsid w:val="003374CE"/>
    <w:rsid w:val="003378BB"/>
    <w:rsid w:val="003379B1"/>
    <w:rsid w:val="003379DD"/>
    <w:rsid w:val="00337DC7"/>
    <w:rsid w:val="0034025B"/>
    <w:rsid w:val="00340BA5"/>
    <w:rsid w:val="00340BC1"/>
    <w:rsid w:val="00340C84"/>
    <w:rsid w:val="00340DF1"/>
    <w:rsid w:val="00341013"/>
    <w:rsid w:val="00341024"/>
    <w:rsid w:val="00341621"/>
    <w:rsid w:val="00341795"/>
    <w:rsid w:val="00341EAB"/>
    <w:rsid w:val="00341F5B"/>
    <w:rsid w:val="00342070"/>
    <w:rsid w:val="00342240"/>
    <w:rsid w:val="00342570"/>
    <w:rsid w:val="00342827"/>
    <w:rsid w:val="00342C7B"/>
    <w:rsid w:val="00342F6D"/>
    <w:rsid w:val="00343897"/>
    <w:rsid w:val="00343AF0"/>
    <w:rsid w:val="00343B36"/>
    <w:rsid w:val="00343BBA"/>
    <w:rsid w:val="00343C4C"/>
    <w:rsid w:val="00343E49"/>
    <w:rsid w:val="00343F47"/>
    <w:rsid w:val="00344373"/>
    <w:rsid w:val="00344586"/>
    <w:rsid w:val="003445D8"/>
    <w:rsid w:val="003446CC"/>
    <w:rsid w:val="00344ABB"/>
    <w:rsid w:val="00344CB9"/>
    <w:rsid w:val="00344E46"/>
    <w:rsid w:val="00345477"/>
    <w:rsid w:val="003458DF"/>
    <w:rsid w:val="00345BE3"/>
    <w:rsid w:val="00345CD9"/>
    <w:rsid w:val="0034617F"/>
    <w:rsid w:val="00346275"/>
    <w:rsid w:val="00346CBE"/>
    <w:rsid w:val="003475FA"/>
    <w:rsid w:val="0034785E"/>
    <w:rsid w:val="00347AB0"/>
    <w:rsid w:val="00350374"/>
    <w:rsid w:val="00350440"/>
    <w:rsid w:val="003507B8"/>
    <w:rsid w:val="00350DA3"/>
    <w:rsid w:val="00350E42"/>
    <w:rsid w:val="003511DB"/>
    <w:rsid w:val="0035169F"/>
    <w:rsid w:val="00351758"/>
    <w:rsid w:val="003517F9"/>
    <w:rsid w:val="0035189F"/>
    <w:rsid w:val="00351AA4"/>
    <w:rsid w:val="00351AE2"/>
    <w:rsid w:val="00351BA9"/>
    <w:rsid w:val="00351C70"/>
    <w:rsid w:val="00352022"/>
    <w:rsid w:val="00352223"/>
    <w:rsid w:val="00352226"/>
    <w:rsid w:val="0035227A"/>
    <w:rsid w:val="0035268E"/>
    <w:rsid w:val="00352C8D"/>
    <w:rsid w:val="00352FA2"/>
    <w:rsid w:val="00353034"/>
    <w:rsid w:val="00353123"/>
    <w:rsid w:val="0035313E"/>
    <w:rsid w:val="003534BD"/>
    <w:rsid w:val="003535A0"/>
    <w:rsid w:val="00353750"/>
    <w:rsid w:val="0035379B"/>
    <w:rsid w:val="00353977"/>
    <w:rsid w:val="00353AAD"/>
    <w:rsid w:val="00354010"/>
    <w:rsid w:val="003540D3"/>
    <w:rsid w:val="003542C8"/>
    <w:rsid w:val="003542E9"/>
    <w:rsid w:val="003544AE"/>
    <w:rsid w:val="00354866"/>
    <w:rsid w:val="00354A88"/>
    <w:rsid w:val="00354BDA"/>
    <w:rsid w:val="00354E07"/>
    <w:rsid w:val="00354ED2"/>
    <w:rsid w:val="00354F64"/>
    <w:rsid w:val="0035535B"/>
    <w:rsid w:val="0035574E"/>
    <w:rsid w:val="00355766"/>
    <w:rsid w:val="0035594E"/>
    <w:rsid w:val="0035620E"/>
    <w:rsid w:val="00356653"/>
    <w:rsid w:val="00357022"/>
    <w:rsid w:val="003574C2"/>
    <w:rsid w:val="003575BE"/>
    <w:rsid w:val="00357717"/>
    <w:rsid w:val="00357734"/>
    <w:rsid w:val="003579A2"/>
    <w:rsid w:val="00357E4B"/>
    <w:rsid w:val="00360345"/>
    <w:rsid w:val="0036058B"/>
    <w:rsid w:val="003605FC"/>
    <w:rsid w:val="003607C2"/>
    <w:rsid w:val="00360870"/>
    <w:rsid w:val="00360A2A"/>
    <w:rsid w:val="00361140"/>
    <w:rsid w:val="00361481"/>
    <w:rsid w:val="003614DF"/>
    <w:rsid w:val="0036155F"/>
    <w:rsid w:val="003616EF"/>
    <w:rsid w:val="003616F2"/>
    <w:rsid w:val="00361A05"/>
    <w:rsid w:val="00361B9B"/>
    <w:rsid w:val="00362318"/>
    <w:rsid w:val="00362368"/>
    <w:rsid w:val="003624C4"/>
    <w:rsid w:val="00362650"/>
    <w:rsid w:val="00362AF8"/>
    <w:rsid w:val="00362C49"/>
    <w:rsid w:val="003631D4"/>
    <w:rsid w:val="0036364A"/>
    <w:rsid w:val="00363911"/>
    <w:rsid w:val="00363B00"/>
    <w:rsid w:val="00363F2A"/>
    <w:rsid w:val="00363F9B"/>
    <w:rsid w:val="00364346"/>
    <w:rsid w:val="00364618"/>
    <w:rsid w:val="0036514D"/>
    <w:rsid w:val="00365381"/>
    <w:rsid w:val="003653AC"/>
    <w:rsid w:val="003654AB"/>
    <w:rsid w:val="003654AC"/>
    <w:rsid w:val="003658AD"/>
    <w:rsid w:val="00365B5B"/>
    <w:rsid w:val="0036615C"/>
    <w:rsid w:val="003663F8"/>
    <w:rsid w:val="003664F9"/>
    <w:rsid w:val="00366D0E"/>
    <w:rsid w:val="00366F14"/>
    <w:rsid w:val="00367195"/>
    <w:rsid w:val="00367361"/>
    <w:rsid w:val="0036767A"/>
    <w:rsid w:val="00367A79"/>
    <w:rsid w:val="00367E60"/>
    <w:rsid w:val="00367F70"/>
    <w:rsid w:val="00367F71"/>
    <w:rsid w:val="00370485"/>
    <w:rsid w:val="003707B3"/>
    <w:rsid w:val="00370D3F"/>
    <w:rsid w:val="003710CF"/>
    <w:rsid w:val="00371235"/>
    <w:rsid w:val="00371931"/>
    <w:rsid w:val="003719DE"/>
    <w:rsid w:val="00371A7C"/>
    <w:rsid w:val="00371F9F"/>
    <w:rsid w:val="00371FCB"/>
    <w:rsid w:val="0037202E"/>
    <w:rsid w:val="003731E6"/>
    <w:rsid w:val="0037358A"/>
    <w:rsid w:val="00373B07"/>
    <w:rsid w:val="00374913"/>
    <w:rsid w:val="00374AAF"/>
    <w:rsid w:val="00374DCB"/>
    <w:rsid w:val="00374FBC"/>
    <w:rsid w:val="003750F6"/>
    <w:rsid w:val="003755F1"/>
    <w:rsid w:val="0037578F"/>
    <w:rsid w:val="00375BB9"/>
    <w:rsid w:val="003760FC"/>
    <w:rsid w:val="00376466"/>
    <w:rsid w:val="00376954"/>
    <w:rsid w:val="00376BBB"/>
    <w:rsid w:val="00376F70"/>
    <w:rsid w:val="00377122"/>
    <w:rsid w:val="003773B8"/>
    <w:rsid w:val="00377463"/>
    <w:rsid w:val="00377526"/>
    <w:rsid w:val="00377DB7"/>
    <w:rsid w:val="00380118"/>
    <w:rsid w:val="00380126"/>
    <w:rsid w:val="00380201"/>
    <w:rsid w:val="003802C7"/>
    <w:rsid w:val="0038034D"/>
    <w:rsid w:val="00380487"/>
    <w:rsid w:val="003808A2"/>
    <w:rsid w:val="00380A13"/>
    <w:rsid w:val="00380AB9"/>
    <w:rsid w:val="00380B4C"/>
    <w:rsid w:val="00380C05"/>
    <w:rsid w:val="00380C09"/>
    <w:rsid w:val="00381CEE"/>
    <w:rsid w:val="0038208F"/>
    <w:rsid w:val="00382581"/>
    <w:rsid w:val="00382C9E"/>
    <w:rsid w:val="0038365C"/>
    <w:rsid w:val="0038369B"/>
    <w:rsid w:val="00383B0C"/>
    <w:rsid w:val="00383B78"/>
    <w:rsid w:val="00383BC2"/>
    <w:rsid w:val="00383D34"/>
    <w:rsid w:val="00384601"/>
    <w:rsid w:val="00384C7F"/>
    <w:rsid w:val="00384E8E"/>
    <w:rsid w:val="003852D9"/>
    <w:rsid w:val="00385587"/>
    <w:rsid w:val="00385793"/>
    <w:rsid w:val="00385A9D"/>
    <w:rsid w:val="00385CD2"/>
    <w:rsid w:val="0038655A"/>
    <w:rsid w:val="00386DDE"/>
    <w:rsid w:val="00387121"/>
    <w:rsid w:val="003874B5"/>
    <w:rsid w:val="003879D6"/>
    <w:rsid w:val="003902B1"/>
    <w:rsid w:val="003904B3"/>
    <w:rsid w:val="003904EB"/>
    <w:rsid w:val="0039051F"/>
    <w:rsid w:val="0039076F"/>
    <w:rsid w:val="00390B49"/>
    <w:rsid w:val="00390C5E"/>
    <w:rsid w:val="00390D0B"/>
    <w:rsid w:val="00390EF0"/>
    <w:rsid w:val="00390EF5"/>
    <w:rsid w:val="0039121C"/>
    <w:rsid w:val="00391381"/>
    <w:rsid w:val="003913A2"/>
    <w:rsid w:val="003913D7"/>
    <w:rsid w:val="00391488"/>
    <w:rsid w:val="0039179C"/>
    <w:rsid w:val="003917CA"/>
    <w:rsid w:val="00391882"/>
    <w:rsid w:val="00391B83"/>
    <w:rsid w:val="00391B98"/>
    <w:rsid w:val="0039204C"/>
    <w:rsid w:val="00392354"/>
    <w:rsid w:val="00392A17"/>
    <w:rsid w:val="00392A7D"/>
    <w:rsid w:val="00392AAB"/>
    <w:rsid w:val="00392BAB"/>
    <w:rsid w:val="00392BE1"/>
    <w:rsid w:val="00392BFD"/>
    <w:rsid w:val="00393858"/>
    <w:rsid w:val="003938EA"/>
    <w:rsid w:val="00393EA4"/>
    <w:rsid w:val="00394B28"/>
    <w:rsid w:val="00394CFD"/>
    <w:rsid w:val="003952FD"/>
    <w:rsid w:val="00395430"/>
    <w:rsid w:val="0039549A"/>
    <w:rsid w:val="003956FA"/>
    <w:rsid w:val="0039595D"/>
    <w:rsid w:val="00395BA8"/>
    <w:rsid w:val="00395E0E"/>
    <w:rsid w:val="00396704"/>
    <w:rsid w:val="00396896"/>
    <w:rsid w:val="00396C63"/>
    <w:rsid w:val="00396CAE"/>
    <w:rsid w:val="00396F0D"/>
    <w:rsid w:val="00396FA5"/>
    <w:rsid w:val="00396FD0"/>
    <w:rsid w:val="00397301"/>
    <w:rsid w:val="00397809"/>
    <w:rsid w:val="0039790B"/>
    <w:rsid w:val="00397946"/>
    <w:rsid w:val="00397CB1"/>
    <w:rsid w:val="003A017D"/>
    <w:rsid w:val="003A1048"/>
    <w:rsid w:val="003A16A3"/>
    <w:rsid w:val="003A1A7A"/>
    <w:rsid w:val="003A1A87"/>
    <w:rsid w:val="003A2392"/>
    <w:rsid w:val="003A251A"/>
    <w:rsid w:val="003A2831"/>
    <w:rsid w:val="003A2B32"/>
    <w:rsid w:val="003A2CA8"/>
    <w:rsid w:val="003A3282"/>
    <w:rsid w:val="003A3523"/>
    <w:rsid w:val="003A3CB6"/>
    <w:rsid w:val="003A3ED1"/>
    <w:rsid w:val="003A412E"/>
    <w:rsid w:val="003A44DB"/>
    <w:rsid w:val="003A4780"/>
    <w:rsid w:val="003A4BFA"/>
    <w:rsid w:val="003A4C14"/>
    <w:rsid w:val="003A4DD4"/>
    <w:rsid w:val="003A4DDB"/>
    <w:rsid w:val="003A57DF"/>
    <w:rsid w:val="003A5B06"/>
    <w:rsid w:val="003A5C99"/>
    <w:rsid w:val="003A5D8A"/>
    <w:rsid w:val="003A609C"/>
    <w:rsid w:val="003A6225"/>
    <w:rsid w:val="003A657F"/>
    <w:rsid w:val="003A6B42"/>
    <w:rsid w:val="003A6CFF"/>
    <w:rsid w:val="003A6D3E"/>
    <w:rsid w:val="003A79D3"/>
    <w:rsid w:val="003A7C32"/>
    <w:rsid w:val="003A7C37"/>
    <w:rsid w:val="003A7D10"/>
    <w:rsid w:val="003B0263"/>
    <w:rsid w:val="003B0349"/>
    <w:rsid w:val="003B07CA"/>
    <w:rsid w:val="003B122C"/>
    <w:rsid w:val="003B1235"/>
    <w:rsid w:val="003B1273"/>
    <w:rsid w:val="003B13AE"/>
    <w:rsid w:val="003B1756"/>
    <w:rsid w:val="003B1846"/>
    <w:rsid w:val="003B1B4E"/>
    <w:rsid w:val="003B1BEA"/>
    <w:rsid w:val="003B1F5A"/>
    <w:rsid w:val="003B209F"/>
    <w:rsid w:val="003B20E7"/>
    <w:rsid w:val="003B23DF"/>
    <w:rsid w:val="003B2564"/>
    <w:rsid w:val="003B27B6"/>
    <w:rsid w:val="003B3971"/>
    <w:rsid w:val="003B3A45"/>
    <w:rsid w:val="003B3C0A"/>
    <w:rsid w:val="003B3E0E"/>
    <w:rsid w:val="003B3F66"/>
    <w:rsid w:val="003B4818"/>
    <w:rsid w:val="003B4FCC"/>
    <w:rsid w:val="003B5204"/>
    <w:rsid w:val="003B528F"/>
    <w:rsid w:val="003B541F"/>
    <w:rsid w:val="003B5447"/>
    <w:rsid w:val="003B55D1"/>
    <w:rsid w:val="003B55F9"/>
    <w:rsid w:val="003B5671"/>
    <w:rsid w:val="003B58EF"/>
    <w:rsid w:val="003B5B61"/>
    <w:rsid w:val="003B60D3"/>
    <w:rsid w:val="003B61F7"/>
    <w:rsid w:val="003B689E"/>
    <w:rsid w:val="003B7B2C"/>
    <w:rsid w:val="003B7BB0"/>
    <w:rsid w:val="003B7FA4"/>
    <w:rsid w:val="003C019C"/>
    <w:rsid w:val="003C05F7"/>
    <w:rsid w:val="003C07BF"/>
    <w:rsid w:val="003C0857"/>
    <w:rsid w:val="003C0A6B"/>
    <w:rsid w:val="003C0AC9"/>
    <w:rsid w:val="003C0B17"/>
    <w:rsid w:val="003C0C33"/>
    <w:rsid w:val="003C1654"/>
    <w:rsid w:val="003C16C1"/>
    <w:rsid w:val="003C18A5"/>
    <w:rsid w:val="003C22F9"/>
    <w:rsid w:val="003C24B5"/>
    <w:rsid w:val="003C2724"/>
    <w:rsid w:val="003C28C2"/>
    <w:rsid w:val="003C2990"/>
    <w:rsid w:val="003C3AC3"/>
    <w:rsid w:val="003C3DF6"/>
    <w:rsid w:val="003C4787"/>
    <w:rsid w:val="003C4F66"/>
    <w:rsid w:val="003C5060"/>
    <w:rsid w:val="003C50FA"/>
    <w:rsid w:val="003C518D"/>
    <w:rsid w:val="003C5542"/>
    <w:rsid w:val="003C57DD"/>
    <w:rsid w:val="003C5AE4"/>
    <w:rsid w:val="003C6A0C"/>
    <w:rsid w:val="003C6BB3"/>
    <w:rsid w:val="003C7248"/>
    <w:rsid w:val="003C730D"/>
    <w:rsid w:val="003C76BC"/>
    <w:rsid w:val="003C7C15"/>
    <w:rsid w:val="003C7C7F"/>
    <w:rsid w:val="003C7D19"/>
    <w:rsid w:val="003C7D2F"/>
    <w:rsid w:val="003C7D36"/>
    <w:rsid w:val="003D032B"/>
    <w:rsid w:val="003D06E5"/>
    <w:rsid w:val="003D0BF9"/>
    <w:rsid w:val="003D0C5A"/>
    <w:rsid w:val="003D0EA5"/>
    <w:rsid w:val="003D10D5"/>
    <w:rsid w:val="003D1828"/>
    <w:rsid w:val="003D1DE4"/>
    <w:rsid w:val="003D1E9A"/>
    <w:rsid w:val="003D1EDD"/>
    <w:rsid w:val="003D21EF"/>
    <w:rsid w:val="003D2422"/>
    <w:rsid w:val="003D295D"/>
    <w:rsid w:val="003D29F5"/>
    <w:rsid w:val="003D2E9F"/>
    <w:rsid w:val="003D388B"/>
    <w:rsid w:val="003D39A1"/>
    <w:rsid w:val="003D3D9D"/>
    <w:rsid w:val="003D3FBF"/>
    <w:rsid w:val="003D42CD"/>
    <w:rsid w:val="003D4334"/>
    <w:rsid w:val="003D4A30"/>
    <w:rsid w:val="003D4E75"/>
    <w:rsid w:val="003D5754"/>
    <w:rsid w:val="003D590D"/>
    <w:rsid w:val="003D5EDF"/>
    <w:rsid w:val="003D698F"/>
    <w:rsid w:val="003D7176"/>
    <w:rsid w:val="003D7452"/>
    <w:rsid w:val="003D749C"/>
    <w:rsid w:val="003D7640"/>
    <w:rsid w:val="003D76E0"/>
    <w:rsid w:val="003D7840"/>
    <w:rsid w:val="003D7866"/>
    <w:rsid w:val="003D79BB"/>
    <w:rsid w:val="003D7C98"/>
    <w:rsid w:val="003D7CF7"/>
    <w:rsid w:val="003D7D7B"/>
    <w:rsid w:val="003D7D9D"/>
    <w:rsid w:val="003D7DDA"/>
    <w:rsid w:val="003E00C3"/>
    <w:rsid w:val="003E013E"/>
    <w:rsid w:val="003E04D5"/>
    <w:rsid w:val="003E0543"/>
    <w:rsid w:val="003E0960"/>
    <w:rsid w:val="003E0C83"/>
    <w:rsid w:val="003E0DD0"/>
    <w:rsid w:val="003E0F50"/>
    <w:rsid w:val="003E1670"/>
    <w:rsid w:val="003E1914"/>
    <w:rsid w:val="003E192A"/>
    <w:rsid w:val="003E192B"/>
    <w:rsid w:val="003E1970"/>
    <w:rsid w:val="003E1A0E"/>
    <w:rsid w:val="003E1CC5"/>
    <w:rsid w:val="003E235D"/>
    <w:rsid w:val="003E235E"/>
    <w:rsid w:val="003E258C"/>
    <w:rsid w:val="003E2A60"/>
    <w:rsid w:val="003E2A62"/>
    <w:rsid w:val="003E2B74"/>
    <w:rsid w:val="003E2F2E"/>
    <w:rsid w:val="003E2F98"/>
    <w:rsid w:val="003E33DB"/>
    <w:rsid w:val="003E36C8"/>
    <w:rsid w:val="003E394F"/>
    <w:rsid w:val="003E3B5F"/>
    <w:rsid w:val="003E470C"/>
    <w:rsid w:val="003E48ED"/>
    <w:rsid w:val="003E4C9C"/>
    <w:rsid w:val="003E4F0F"/>
    <w:rsid w:val="003E4FDD"/>
    <w:rsid w:val="003E5057"/>
    <w:rsid w:val="003E52B1"/>
    <w:rsid w:val="003E55A5"/>
    <w:rsid w:val="003E5603"/>
    <w:rsid w:val="003E5973"/>
    <w:rsid w:val="003E59AA"/>
    <w:rsid w:val="003E5B08"/>
    <w:rsid w:val="003E5E06"/>
    <w:rsid w:val="003E5F24"/>
    <w:rsid w:val="003E5FCA"/>
    <w:rsid w:val="003E63B6"/>
    <w:rsid w:val="003E674E"/>
    <w:rsid w:val="003E709D"/>
    <w:rsid w:val="003E7166"/>
    <w:rsid w:val="003E7284"/>
    <w:rsid w:val="003E749E"/>
    <w:rsid w:val="003E759B"/>
    <w:rsid w:val="003E7A25"/>
    <w:rsid w:val="003E7E62"/>
    <w:rsid w:val="003F029F"/>
    <w:rsid w:val="003F0393"/>
    <w:rsid w:val="003F0596"/>
    <w:rsid w:val="003F068A"/>
    <w:rsid w:val="003F0B87"/>
    <w:rsid w:val="003F0F46"/>
    <w:rsid w:val="003F0FE4"/>
    <w:rsid w:val="003F1102"/>
    <w:rsid w:val="003F160C"/>
    <w:rsid w:val="003F163F"/>
    <w:rsid w:val="003F1650"/>
    <w:rsid w:val="003F26BD"/>
    <w:rsid w:val="003F2A3A"/>
    <w:rsid w:val="003F3045"/>
    <w:rsid w:val="003F316E"/>
    <w:rsid w:val="003F32CE"/>
    <w:rsid w:val="003F33BA"/>
    <w:rsid w:val="003F365D"/>
    <w:rsid w:val="003F3864"/>
    <w:rsid w:val="003F3A1F"/>
    <w:rsid w:val="003F3F66"/>
    <w:rsid w:val="003F4061"/>
    <w:rsid w:val="003F4156"/>
    <w:rsid w:val="003F44A3"/>
    <w:rsid w:val="003F46D3"/>
    <w:rsid w:val="003F50C8"/>
    <w:rsid w:val="003F5138"/>
    <w:rsid w:val="003F5264"/>
    <w:rsid w:val="003F52A4"/>
    <w:rsid w:val="003F5325"/>
    <w:rsid w:val="003F536D"/>
    <w:rsid w:val="003F5496"/>
    <w:rsid w:val="003F5577"/>
    <w:rsid w:val="003F5687"/>
    <w:rsid w:val="003F5ADF"/>
    <w:rsid w:val="003F5CC5"/>
    <w:rsid w:val="003F5CF8"/>
    <w:rsid w:val="003F5E18"/>
    <w:rsid w:val="003F5E96"/>
    <w:rsid w:val="003F6A3E"/>
    <w:rsid w:val="003F75AB"/>
    <w:rsid w:val="003F76BA"/>
    <w:rsid w:val="003F7938"/>
    <w:rsid w:val="003F79EE"/>
    <w:rsid w:val="003F7A68"/>
    <w:rsid w:val="00400B29"/>
    <w:rsid w:val="0040134A"/>
    <w:rsid w:val="004014CE"/>
    <w:rsid w:val="004014FC"/>
    <w:rsid w:val="0040167E"/>
    <w:rsid w:val="004017EB"/>
    <w:rsid w:val="00401847"/>
    <w:rsid w:val="00401B0C"/>
    <w:rsid w:val="004020D7"/>
    <w:rsid w:val="0040239A"/>
    <w:rsid w:val="004023AC"/>
    <w:rsid w:val="00402406"/>
    <w:rsid w:val="004027AB"/>
    <w:rsid w:val="00402812"/>
    <w:rsid w:val="00402AFD"/>
    <w:rsid w:val="00402E00"/>
    <w:rsid w:val="0040360F"/>
    <w:rsid w:val="00403953"/>
    <w:rsid w:val="00403F58"/>
    <w:rsid w:val="00404218"/>
    <w:rsid w:val="0040443A"/>
    <w:rsid w:val="004046C6"/>
    <w:rsid w:val="00404DE3"/>
    <w:rsid w:val="0040504B"/>
    <w:rsid w:val="00405071"/>
    <w:rsid w:val="004053CF"/>
    <w:rsid w:val="00405721"/>
    <w:rsid w:val="0040589B"/>
    <w:rsid w:val="004058F7"/>
    <w:rsid w:val="004059F4"/>
    <w:rsid w:val="00405E44"/>
    <w:rsid w:val="004064CB"/>
    <w:rsid w:val="0040666E"/>
    <w:rsid w:val="00406684"/>
    <w:rsid w:val="0040697E"/>
    <w:rsid w:val="004070D5"/>
    <w:rsid w:val="004074DD"/>
    <w:rsid w:val="004077BE"/>
    <w:rsid w:val="00407890"/>
    <w:rsid w:val="004079BA"/>
    <w:rsid w:val="00407FE5"/>
    <w:rsid w:val="00407FEB"/>
    <w:rsid w:val="004101B0"/>
    <w:rsid w:val="004101BE"/>
    <w:rsid w:val="00410212"/>
    <w:rsid w:val="0041025E"/>
    <w:rsid w:val="00410326"/>
    <w:rsid w:val="00410708"/>
    <w:rsid w:val="00410792"/>
    <w:rsid w:val="00410A72"/>
    <w:rsid w:val="00410B38"/>
    <w:rsid w:val="00410E83"/>
    <w:rsid w:val="00410E97"/>
    <w:rsid w:val="00410EC7"/>
    <w:rsid w:val="004113B1"/>
    <w:rsid w:val="004114BF"/>
    <w:rsid w:val="00411556"/>
    <w:rsid w:val="00411AB2"/>
    <w:rsid w:val="00411B39"/>
    <w:rsid w:val="00412010"/>
    <w:rsid w:val="0041277F"/>
    <w:rsid w:val="004127A7"/>
    <w:rsid w:val="00412837"/>
    <w:rsid w:val="00412D9E"/>
    <w:rsid w:val="00412E5F"/>
    <w:rsid w:val="00412F7E"/>
    <w:rsid w:val="0041317C"/>
    <w:rsid w:val="004133FA"/>
    <w:rsid w:val="00413669"/>
    <w:rsid w:val="00413A1E"/>
    <w:rsid w:val="00413EC0"/>
    <w:rsid w:val="00413F48"/>
    <w:rsid w:val="00414476"/>
    <w:rsid w:val="004147CD"/>
    <w:rsid w:val="004149EB"/>
    <w:rsid w:val="00414AF2"/>
    <w:rsid w:val="00414C2E"/>
    <w:rsid w:val="00415162"/>
    <w:rsid w:val="004151CF"/>
    <w:rsid w:val="004154EA"/>
    <w:rsid w:val="00415E39"/>
    <w:rsid w:val="00415E59"/>
    <w:rsid w:val="00415E7A"/>
    <w:rsid w:val="00415FE8"/>
    <w:rsid w:val="00416364"/>
    <w:rsid w:val="00416707"/>
    <w:rsid w:val="00416721"/>
    <w:rsid w:val="004167EA"/>
    <w:rsid w:val="00416868"/>
    <w:rsid w:val="004169B1"/>
    <w:rsid w:val="00416AB7"/>
    <w:rsid w:val="00417458"/>
    <w:rsid w:val="00417A4E"/>
    <w:rsid w:val="00417DC1"/>
    <w:rsid w:val="0042047F"/>
    <w:rsid w:val="0042072A"/>
    <w:rsid w:val="00420AA6"/>
    <w:rsid w:val="00420B9F"/>
    <w:rsid w:val="00420CA8"/>
    <w:rsid w:val="00420ECA"/>
    <w:rsid w:val="00421772"/>
    <w:rsid w:val="0042192C"/>
    <w:rsid w:val="00421AE5"/>
    <w:rsid w:val="00421B4A"/>
    <w:rsid w:val="00421D81"/>
    <w:rsid w:val="00422002"/>
    <w:rsid w:val="00422225"/>
    <w:rsid w:val="00422260"/>
    <w:rsid w:val="00422856"/>
    <w:rsid w:val="00422981"/>
    <w:rsid w:val="004229C9"/>
    <w:rsid w:val="00423558"/>
    <w:rsid w:val="00423664"/>
    <w:rsid w:val="00423EEF"/>
    <w:rsid w:val="0042413F"/>
    <w:rsid w:val="004243FF"/>
    <w:rsid w:val="004246CF"/>
    <w:rsid w:val="00424B65"/>
    <w:rsid w:val="00424C73"/>
    <w:rsid w:val="00424CAD"/>
    <w:rsid w:val="0042604B"/>
    <w:rsid w:val="00426093"/>
    <w:rsid w:val="0042623F"/>
    <w:rsid w:val="004266B7"/>
    <w:rsid w:val="0042679D"/>
    <w:rsid w:val="0042696F"/>
    <w:rsid w:val="00426AB2"/>
    <w:rsid w:val="004277DF"/>
    <w:rsid w:val="00427F2B"/>
    <w:rsid w:val="004305B0"/>
    <w:rsid w:val="004306B8"/>
    <w:rsid w:val="0043076F"/>
    <w:rsid w:val="0043112E"/>
    <w:rsid w:val="00431510"/>
    <w:rsid w:val="004319F8"/>
    <w:rsid w:val="00431B0C"/>
    <w:rsid w:val="00431E55"/>
    <w:rsid w:val="004321F6"/>
    <w:rsid w:val="00432371"/>
    <w:rsid w:val="004323A1"/>
    <w:rsid w:val="004327DB"/>
    <w:rsid w:val="00432C31"/>
    <w:rsid w:val="00433044"/>
    <w:rsid w:val="00433216"/>
    <w:rsid w:val="004332F2"/>
    <w:rsid w:val="004335DF"/>
    <w:rsid w:val="00433764"/>
    <w:rsid w:val="0043388E"/>
    <w:rsid w:val="00433BB1"/>
    <w:rsid w:val="00433D80"/>
    <w:rsid w:val="00434088"/>
    <w:rsid w:val="00434314"/>
    <w:rsid w:val="00434572"/>
    <w:rsid w:val="00434ADC"/>
    <w:rsid w:val="00434C7C"/>
    <w:rsid w:val="00434C99"/>
    <w:rsid w:val="00435A54"/>
    <w:rsid w:val="00435BF6"/>
    <w:rsid w:val="00435E56"/>
    <w:rsid w:val="00436060"/>
    <w:rsid w:val="0043653A"/>
    <w:rsid w:val="004368B8"/>
    <w:rsid w:val="00436D00"/>
    <w:rsid w:val="00436E74"/>
    <w:rsid w:val="004375B9"/>
    <w:rsid w:val="0043763F"/>
    <w:rsid w:val="00437679"/>
    <w:rsid w:val="00437901"/>
    <w:rsid w:val="004379E4"/>
    <w:rsid w:val="00437AFC"/>
    <w:rsid w:val="004405D9"/>
    <w:rsid w:val="0044063E"/>
    <w:rsid w:val="00440924"/>
    <w:rsid w:val="00440C61"/>
    <w:rsid w:val="00440F77"/>
    <w:rsid w:val="00441000"/>
    <w:rsid w:val="004410F0"/>
    <w:rsid w:val="0044183B"/>
    <w:rsid w:val="00441D9F"/>
    <w:rsid w:val="00441DFE"/>
    <w:rsid w:val="004428D0"/>
    <w:rsid w:val="004429DA"/>
    <w:rsid w:val="00442DC5"/>
    <w:rsid w:val="00442F55"/>
    <w:rsid w:val="00442F9F"/>
    <w:rsid w:val="00442FBF"/>
    <w:rsid w:val="00443120"/>
    <w:rsid w:val="004433EE"/>
    <w:rsid w:val="004435D3"/>
    <w:rsid w:val="004436BA"/>
    <w:rsid w:val="004436EA"/>
    <w:rsid w:val="00443C91"/>
    <w:rsid w:val="00443F4C"/>
    <w:rsid w:val="0044406C"/>
    <w:rsid w:val="00444185"/>
    <w:rsid w:val="004443A7"/>
    <w:rsid w:val="0044442C"/>
    <w:rsid w:val="004446BA"/>
    <w:rsid w:val="004448A8"/>
    <w:rsid w:val="00444A30"/>
    <w:rsid w:val="00444BEA"/>
    <w:rsid w:val="00445168"/>
    <w:rsid w:val="004451CD"/>
    <w:rsid w:val="004453BD"/>
    <w:rsid w:val="00445941"/>
    <w:rsid w:val="00445E22"/>
    <w:rsid w:val="00445EC8"/>
    <w:rsid w:val="00445FB5"/>
    <w:rsid w:val="004464EB"/>
    <w:rsid w:val="004465AF"/>
    <w:rsid w:val="00446B4E"/>
    <w:rsid w:val="00446C8A"/>
    <w:rsid w:val="00446D5C"/>
    <w:rsid w:val="00446FDF"/>
    <w:rsid w:val="00447D26"/>
    <w:rsid w:val="00447DFC"/>
    <w:rsid w:val="0045084F"/>
    <w:rsid w:val="00450854"/>
    <w:rsid w:val="00450956"/>
    <w:rsid w:val="00450F80"/>
    <w:rsid w:val="0045111F"/>
    <w:rsid w:val="0045138A"/>
    <w:rsid w:val="00451C14"/>
    <w:rsid w:val="00452482"/>
    <w:rsid w:val="00452534"/>
    <w:rsid w:val="004527A2"/>
    <w:rsid w:val="00452C3B"/>
    <w:rsid w:val="00452EAB"/>
    <w:rsid w:val="0045306F"/>
    <w:rsid w:val="00453247"/>
    <w:rsid w:val="0045360E"/>
    <w:rsid w:val="0045361A"/>
    <w:rsid w:val="00453733"/>
    <w:rsid w:val="004542BF"/>
    <w:rsid w:val="004545A0"/>
    <w:rsid w:val="00454E4A"/>
    <w:rsid w:val="00454FBC"/>
    <w:rsid w:val="004555CA"/>
    <w:rsid w:val="0045592D"/>
    <w:rsid w:val="00455D45"/>
    <w:rsid w:val="00456310"/>
    <w:rsid w:val="0045649B"/>
    <w:rsid w:val="00456501"/>
    <w:rsid w:val="0045727B"/>
    <w:rsid w:val="004573A8"/>
    <w:rsid w:val="00457894"/>
    <w:rsid w:val="00457D4F"/>
    <w:rsid w:val="00457FD9"/>
    <w:rsid w:val="004600B8"/>
    <w:rsid w:val="0046058B"/>
    <w:rsid w:val="00460590"/>
    <w:rsid w:val="004605E3"/>
    <w:rsid w:val="0046069F"/>
    <w:rsid w:val="0046095E"/>
    <w:rsid w:val="00460F43"/>
    <w:rsid w:val="00461161"/>
    <w:rsid w:val="00461304"/>
    <w:rsid w:val="00461486"/>
    <w:rsid w:val="0046172D"/>
    <w:rsid w:val="004618B8"/>
    <w:rsid w:val="00461C88"/>
    <w:rsid w:val="00461D68"/>
    <w:rsid w:val="00462112"/>
    <w:rsid w:val="0046215E"/>
    <w:rsid w:val="0046253A"/>
    <w:rsid w:val="00462582"/>
    <w:rsid w:val="00463233"/>
    <w:rsid w:val="0046328C"/>
    <w:rsid w:val="00463887"/>
    <w:rsid w:val="00463A6C"/>
    <w:rsid w:val="00463BC0"/>
    <w:rsid w:val="00463CA7"/>
    <w:rsid w:val="0046414E"/>
    <w:rsid w:val="004641BF"/>
    <w:rsid w:val="00464337"/>
    <w:rsid w:val="00464595"/>
    <w:rsid w:val="00464F98"/>
    <w:rsid w:val="00465062"/>
    <w:rsid w:val="004653C8"/>
    <w:rsid w:val="00465479"/>
    <w:rsid w:val="00465580"/>
    <w:rsid w:val="004655F3"/>
    <w:rsid w:val="004658B5"/>
    <w:rsid w:val="00466164"/>
    <w:rsid w:val="00466234"/>
    <w:rsid w:val="004666E8"/>
    <w:rsid w:val="0046691E"/>
    <w:rsid w:val="00466FCA"/>
    <w:rsid w:val="004674E8"/>
    <w:rsid w:val="00467AD1"/>
    <w:rsid w:val="00467B73"/>
    <w:rsid w:val="00467C6A"/>
    <w:rsid w:val="00467F3C"/>
    <w:rsid w:val="0047024E"/>
    <w:rsid w:val="004706B5"/>
    <w:rsid w:val="004709D4"/>
    <w:rsid w:val="00470D50"/>
    <w:rsid w:val="00471216"/>
    <w:rsid w:val="00471240"/>
    <w:rsid w:val="00471685"/>
    <w:rsid w:val="00471EA5"/>
    <w:rsid w:val="0047213F"/>
    <w:rsid w:val="004722DB"/>
    <w:rsid w:val="004722FB"/>
    <w:rsid w:val="004725ED"/>
    <w:rsid w:val="0047297A"/>
    <w:rsid w:val="00472A2D"/>
    <w:rsid w:val="00472A79"/>
    <w:rsid w:val="00473465"/>
    <w:rsid w:val="0047358C"/>
    <w:rsid w:val="0047384F"/>
    <w:rsid w:val="004738F6"/>
    <w:rsid w:val="00473BC7"/>
    <w:rsid w:val="00473DED"/>
    <w:rsid w:val="00473F19"/>
    <w:rsid w:val="004745EE"/>
    <w:rsid w:val="00474663"/>
    <w:rsid w:val="004747A6"/>
    <w:rsid w:val="004748EC"/>
    <w:rsid w:val="00474BC5"/>
    <w:rsid w:val="00474C63"/>
    <w:rsid w:val="00474D59"/>
    <w:rsid w:val="004750FA"/>
    <w:rsid w:val="00475398"/>
    <w:rsid w:val="00475655"/>
    <w:rsid w:val="0047576D"/>
    <w:rsid w:val="004759E5"/>
    <w:rsid w:val="00475C47"/>
    <w:rsid w:val="00475E22"/>
    <w:rsid w:val="00476034"/>
    <w:rsid w:val="004763B6"/>
    <w:rsid w:val="004768A0"/>
    <w:rsid w:val="00477077"/>
    <w:rsid w:val="004771BF"/>
    <w:rsid w:val="0047723B"/>
    <w:rsid w:val="00477336"/>
    <w:rsid w:val="00477CC7"/>
    <w:rsid w:val="00477E7F"/>
    <w:rsid w:val="00477F99"/>
    <w:rsid w:val="0048027A"/>
    <w:rsid w:val="004804BC"/>
    <w:rsid w:val="004805B2"/>
    <w:rsid w:val="004806EA"/>
    <w:rsid w:val="0048088E"/>
    <w:rsid w:val="00480990"/>
    <w:rsid w:val="00480AF9"/>
    <w:rsid w:val="00480EA0"/>
    <w:rsid w:val="00480F2B"/>
    <w:rsid w:val="00480FC0"/>
    <w:rsid w:val="0048132B"/>
    <w:rsid w:val="0048185A"/>
    <w:rsid w:val="004818A3"/>
    <w:rsid w:val="00481F89"/>
    <w:rsid w:val="00482119"/>
    <w:rsid w:val="0048222E"/>
    <w:rsid w:val="0048226F"/>
    <w:rsid w:val="00482403"/>
    <w:rsid w:val="00482571"/>
    <w:rsid w:val="00482720"/>
    <w:rsid w:val="004828CA"/>
    <w:rsid w:val="00482C11"/>
    <w:rsid w:val="00482E34"/>
    <w:rsid w:val="00482F1B"/>
    <w:rsid w:val="004830D8"/>
    <w:rsid w:val="00483174"/>
    <w:rsid w:val="00483491"/>
    <w:rsid w:val="004835E7"/>
    <w:rsid w:val="00483692"/>
    <w:rsid w:val="004839B0"/>
    <w:rsid w:val="00483D1B"/>
    <w:rsid w:val="00483EA7"/>
    <w:rsid w:val="00483EBC"/>
    <w:rsid w:val="00484B06"/>
    <w:rsid w:val="00484C95"/>
    <w:rsid w:val="00485071"/>
    <w:rsid w:val="0048547B"/>
    <w:rsid w:val="00485749"/>
    <w:rsid w:val="00485764"/>
    <w:rsid w:val="004859E1"/>
    <w:rsid w:val="00485E45"/>
    <w:rsid w:val="00485E4E"/>
    <w:rsid w:val="004864D4"/>
    <w:rsid w:val="00486792"/>
    <w:rsid w:val="004867E2"/>
    <w:rsid w:val="00486B59"/>
    <w:rsid w:val="00486FBF"/>
    <w:rsid w:val="004870BD"/>
    <w:rsid w:val="004870D9"/>
    <w:rsid w:val="0048728C"/>
    <w:rsid w:val="00487D54"/>
    <w:rsid w:val="0049015E"/>
    <w:rsid w:val="004904C4"/>
    <w:rsid w:val="004906BE"/>
    <w:rsid w:val="00490B17"/>
    <w:rsid w:val="00490CE7"/>
    <w:rsid w:val="00490FF9"/>
    <w:rsid w:val="00491014"/>
    <w:rsid w:val="00491204"/>
    <w:rsid w:val="004912EF"/>
    <w:rsid w:val="00491311"/>
    <w:rsid w:val="0049151B"/>
    <w:rsid w:val="00491636"/>
    <w:rsid w:val="00491641"/>
    <w:rsid w:val="00491691"/>
    <w:rsid w:val="004917E6"/>
    <w:rsid w:val="00491927"/>
    <w:rsid w:val="00491B3A"/>
    <w:rsid w:val="0049204A"/>
    <w:rsid w:val="00492060"/>
    <w:rsid w:val="00492278"/>
    <w:rsid w:val="00492645"/>
    <w:rsid w:val="004926B8"/>
    <w:rsid w:val="0049275B"/>
    <w:rsid w:val="004927DD"/>
    <w:rsid w:val="00492C4E"/>
    <w:rsid w:val="00492CFD"/>
    <w:rsid w:val="00492E28"/>
    <w:rsid w:val="00493090"/>
    <w:rsid w:val="00493382"/>
    <w:rsid w:val="00493388"/>
    <w:rsid w:val="004935F8"/>
    <w:rsid w:val="00493BA1"/>
    <w:rsid w:val="004940AA"/>
    <w:rsid w:val="00494207"/>
    <w:rsid w:val="00494264"/>
    <w:rsid w:val="004949DB"/>
    <w:rsid w:val="00494A47"/>
    <w:rsid w:val="00494B8B"/>
    <w:rsid w:val="00494BFD"/>
    <w:rsid w:val="00494DD5"/>
    <w:rsid w:val="00494E3D"/>
    <w:rsid w:val="0049541C"/>
    <w:rsid w:val="00495B1C"/>
    <w:rsid w:val="00496079"/>
    <w:rsid w:val="0049624C"/>
    <w:rsid w:val="004962D2"/>
    <w:rsid w:val="0049672D"/>
    <w:rsid w:val="00496BE1"/>
    <w:rsid w:val="00496E05"/>
    <w:rsid w:val="00496EE2"/>
    <w:rsid w:val="0049722A"/>
    <w:rsid w:val="0049751E"/>
    <w:rsid w:val="00497767"/>
    <w:rsid w:val="00497918"/>
    <w:rsid w:val="00497930"/>
    <w:rsid w:val="00497E47"/>
    <w:rsid w:val="00497EE6"/>
    <w:rsid w:val="004A0514"/>
    <w:rsid w:val="004A096E"/>
    <w:rsid w:val="004A0A3D"/>
    <w:rsid w:val="004A0AC0"/>
    <w:rsid w:val="004A0D5D"/>
    <w:rsid w:val="004A0DA1"/>
    <w:rsid w:val="004A1225"/>
    <w:rsid w:val="004A13D6"/>
    <w:rsid w:val="004A198A"/>
    <w:rsid w:val="004A1D9C"/>
    <w:rsid w:val="004A1F54"/>
    <w:rsid w:val="004A2509"/>
    <w:rsid w:val="004A323C"/>
    <w:rsid w:val="004A3AF6"/>
    <w:rsid w:val="004A46DE"/>
    <w:rsid w:val="004A4775"/>
    <w:rsid w:val="004A50ED"/>
    <w:rsid w:val="004A5287"/>
    <w:rsid w:val="004A52E9"/>
    <w:rsid w:val="004A53CE"/>
    <w:rsid w:val="004A560F"/>
    <w:rsid w:val="004A5846"/>
    <w:rsid w:val="004A596B"/>
    <w:rsid w:val="004A6040"/>
    <w:rsid w:val="004A6278"/>
    <w:rsid w:val="004A649F"/>
    <w:rsid w:val="004A6597"/>
    <w:rsid w:val="004A664A"/>
    <w:rsid w:val="004A6C56"/>
    <w:rsid w:val="004A6D09"/>
    <w:rsid w:val="004A7355"/>
    <w:rsid w:val="004A7672"/>
    <w:rsid w:val="004A7688"/>
    <w:rsid w:val="004A7848"/>
    <w:rsid w:val="004A793B"/>
    <w:rsid w:val="004A7AAC"/>
    <w:rsid w:val="004A7CF3"/>
    <w:rsid w:val="004A7E5C"/>
    <w:rsid w:val="004A7F27"/>
    <w:rsid w:val="004A7F94"/>
    <w:rsid w:val="004B02DE"/>
    <w:rsid w:val="004B0513"/>
    <w:rsid w:val="004B16EB"/>
    <w:rsid w:val="004B1860"/>
    <w:rsid w:val="004B1880"/>
    <w:rsid w:val="004B19D7"/>
    <w:rsid w:val="004B1BB3"/>
    <w:rsid w:val="004B1CB4"/>
    <w:rsid w:val="004B1EFC"/>
    <w:rsid w:val="004B2374"/>
    <w:rsid w:val="004B2662"/>
    <w:rsid w:val="004B26E9"/>
    <w:rsid w:val="004B29E4"/>
    <w:rsid w:val="004B2A87"/>
    <w:rsid w:val="004B2AEF"/>
    <w:rsid w:val="004B2F18"/>
    <w:rsid w:val="004B3490"/>
    <w:rsid w:val="004B37B5"/>
    <w:rsid w:val="004B3884"/>
    <w:rsid w:val="004B3DDB"/>
    <w:rsid w:val="004B3FBB"/>
    <w:rsid w:val="004B4092"/>
    <w:rsid w:val="004B414E"/>
    <w:rsid w:val="004B41C9"/>
    <w:rsid w:val="004B44FD"/>
    <w:rsid w:val="004B47B0"/>
    <w:rsid w:val="004B4BB8"/>
    <w:rsid w:val="004B4EBE"/>
    <w:rsid w:val="004B500E"/>
    <w:rsid w:val="004B5423"/>
    <w:rsid w:val="004B5BB5"/>
    <w:rsid w:val="004B5BF9"/>
    <w:rsid w:val="004B5C29"/>
    <w:rsid w:val="004B5CFC"/>
    <w:rsid w:val="004B5EB1"/>
    <w:rsid w:val="004B634B"/>
    <w:rsid w:val="004B6DFC"/>
    <w:rsid w:val="004B6F79"/>
    <w:rsid w:val="004B72E7"/>
    <w:rsid w:val="004B774D"/>
    <w:rsid w:val="004B7D63"/>
    <w:rsid w:val="004C0117"/>
    <w:rsid w:val="004C0130"/>
    <w:rsid w:val="004C02DE"/>
    <w:rsid w:val="004C03DF"/>
    <w:rsid w:val="004C0416"/>
    <w:rsid w:val="004C0493"/>
    <w:rsid w:val="004C0B60"/>
    <w:rsid w:val="004C126F"/>
    <w:rsid w:val="004C14FF"/>
    <w:rsid w:val="004C1910"/>
    <w:rsid w:val="004C197F"/>
    <w:rsid w:val="004C1B1A"/>
    <w:rsid w:val="004C1F38"/>
    <w:rsid w:val="004C20B4"/>
    <w:rsid w:val="004C2500"/>
    <w:rsid w:val="004C2AC2"/>
    <w:rsid w:val="004C2D18"/>
    <w:rsid w:val="004C2EC6"/>
    <w:rsid w:val="004C2F9E"/>
    <w:rsid w:val="004C3273"/>
    <w:rsid w:val="004C384B"/>
    <w:rsid w:val="004C3B02"/>
    <w:rsid w:val="004C3BB4"/>
    <w:rsid w:val="004C4AED"/>
    <w:rsid w:val="004C4B31"/>
    <w:rsid w:val="004C4B35"/>
    <w:rsid w:val="004C4B86"/>
    <w:rsid w:val="004C4BD9"/>
    <w:rsid w:val="004C4EF4"/>
    <w:rsid w:val="004C531C"/>
    <w:rsid w:val="004C5520"/>
    <w:rsid w:val="004C5D08"/>
    <w:rsid w:val="004C5EEF"/>
    <w:rsid w:val="004C5F75"/>
    <w:rsid w:val="004C63CA"/>
    <w:rsid w:val="004C63E6"/>
    <w:rsid w:val="004C6E29"/>
    <w:rsid w:val="004C708A"/>
    <w:rsid w:val="004C78A5"/>
    <w:rsid w:val="004C79BC"/>
    <w:rsid w:val="004C7CC8"/>
    <w:rsid w:val="004D0320"/>
    <w:rsid w:val="004D036F"/>
    <w:rsid w:val="004D0BC8"/>
    <w:rsid w:val="004D0DD9"/>
    <w:rsid w:val="004D128A"/>
    <w:rsid w:val="004D148F"/>
    <w:rsid w:val="004D1662"/>
    <w:rsid w:val="004D21C3"/>
    <w:rsid w:val="004D26EE"/>
    <w:rsid w:val="004D2828"/>
    <w:rsid w:val="004D2B62"/>
    <w:rsid w:val="004D2B6C"/>
    <w:rsid w:val="004D2C2D"/>
    <w:rsid w:val="004D3308"/>
    <w:rsid w:val="004D34B9"/>
    <w:rsid w:val="004D35A8"/>
    <w:rsid w:val="004D39E6"/>
    <w:rsid w:val="004D3DE4"/>
    <w:rsid w:val="004D3F4D"/>
    <w:rsid w:val="004D3FB4"/>
    <w:rsid w:val="004D400D"/>
    <w:rsid w:val="004D5185"/>
    <w:rsid w:val="004D5915"/>
    <w:rsid w:val="004D5D2F"/>
    <w:rsid w:val="004D5FE7"/>
    <w:rsid w:val="004D60EB"/>
    <w:rsid w:val="004D6113"/>
    <w:rsid w:val="004D6243"/>
    <w:rsid w:val="004D6285"/>
    <w:rsid w:val="004D62AC"/>
    <w:rsid w:val="004D69B5"/>
    <w:rsid w:val="004D6BA3"/>
    <w:rsid w:val="004D6C7B"/>
    <w:rsid w:val="004D6D64"/>
    <w:rsid w:val="004D7227"/>
    <w:rsid w:val="004D72D9"/>
    <w:rsid w:val="004D72DC"/>
    <w:rsid w:val="004D7476"/>
    <w:rsid w:val="004D74E5"/>
    <w:rsid w:val="004D752D"/>
    <w:rsid w:val="004D76DC"/>
    <w:rsid w:val="004D7767"/>
    <w:rsid w:val="004D7954"/>
    <w:rsid w:val="004D7B5E"/>
    <w:rsid w:val="004D7DB7"/>
    <w:rsid w:val="004E00EE"/>
    <w:rsid w:val="004E0430"/>
    <w:rsid w:val="004E08D4"/>
    <w:rsid w:val="004E09DF"/>
    <w:rsid w:val="004E0BFD"/>
    <w:rsid w:val="004E0E7F"/>
    <w:rsid w:val="004E0EB8"/>
    <w:rsid w:val="004E1360"/>
    <w:rsid w:val="004E138C"/>
    <w:rsid w:val="004E18E9"/>
    <w:rsid w:val="004E19E7"/>
    <w:rsid w:val="004E1E9B"/>
    <w:rsid w:val="004E20CD"/>
    <w:rsid w:val="004E2139"/>
    <w:rsid w:val="004E24A6"/>
    <w:rsid w:val="004E2ADC"/>
    <w:rsid w:val="004E3373"/>
    <w:rsid w:val="004E3867"/>
    <w:rsid w:val="004E38D6"/>
    <w:rsid w:val="004E3A64"/>
    <w:rsid w:val="004E4089"/>
    <w:rsid w:val="004E4393"/>
    <w:rsid w:val="004E43B2"/>
    <w:rsid w:val="004E4408"/>
    <w:rsid w:val="004E5063"/>
    <w:rsid w:val="004E50CA"/>
    <w:rsid w:val="004E50E9"/>
    <w:rsid w:val="004E518C"/>
    <w:rsid w:val="004E521E"/>
    <w:rsid w:val="004E5826"/>
    <w:rsid w:val="004E5A79"/>
    <w:rsid w:val="004E5C35"/>
    <w:rsid w:val="004E5C41"/>
    <w:rsid w:val="004E5F6F"/>
    <w:rsid w:val="004E631C"/>
    <w:rsid w:val="004E63B7"/>
    <w:rsid w:val="004E66BA"/>
    <w:rsid w:val="004E66F8"/>
    <w:rsid w:val="004E69B5"/>
    <w:rsid w:val="004E6E1D"/>
    <w:rsid w:val="004E6EB9"/>
    <w:rsid w:val="004E70E6"/>
    <w:rsid w:val="004E742D"/>
    <w:rsid w:val="004E756F"/>
    <w:rsid w:val="004E7D83"/>
    <w:rsid w:val="004E7E85"/>
    <w:rsid w:val="004E7EAF"/>
    <w:rsid w:val="004F00BE"/>
    <w:rsid w:val="004F04CB"/>
    <w:rsid w:val="004F0613"/>
    <w:rsid w:val="004F0C40"/>
    <w:rsid w:val="004F0CE0"/>
    <w:rsid w:val="004F0E03"/>
    <w:rsid w:val="004F0E26"/>
    <w:rsid w:val="004F101B"/>
    <w:rsid w:val="004F1125"/>
    <w:rsid w:val="004F17C0"/>
    <w:rsid w:val="004F1A01"/>
    <w:rsid w:val="004F1D02"/>
    <w:rsid w:val="004F1F50"/>
    <w:rsid w:val="004F23C9"/>
    <w:rsid w:val="004F256F"/>
    <w:rsid w:val="004F2679"/>
    <w:rsid w:val="004F2717"/>
    <w:rsid w:val="004F2735"/>
    <w:rsid w:val="004F295C"/>
    <w:rsid w:val="004F2B0F"/>
    <w:rsid w:val="004F2B29"/>
    <w:rsid w:val="004F2EAC"/>
    <w:rsid w:val="004F2F21"/>
    <w:rsid w:val="004F3682"/>
    <w:rsid w:val="004F3CA7"/>
    <w:rsid w:val="004F3DE5"/>
    <w:rsid w:val="004F41A5"/>
    <w:rsid w:val="004F4535"/>
    <w:rsid w:val="004F45B0"/>
    <w:rsid w:val="004F48CA"/>
    <w:rsid w:val="004F4D84"/>
    <w:rsid w:val="004F50CE"/>
    <w:rsid w:val="004F5335"/>
    <w:rsid w:val="004F5559"/>
    <w:rsid w:val="004F556B"/>
    <w:rsid w:val="004F563E"/>
    <w:rsid w:val="004F56A9"/>
    <w:rsid w:val="004F56CE"/>
    <w:rsid w:val="004F57A5"/>
    <w:rsid w:val="004F57FA"/>
    <w:rsid w:val="004F588B"/>
    <w:rsid w:val="004F662B"/>
    <w:rsid w:val="004F66B1"/>
    <w:rsid w:val="004F6913"/>
    <w:rsid w:val="004F69FC"/>
    <w:rsid w:val="004F6AFD"/>
    <w:rsid w:val="004F6CFD"/>
    <w:rsid w:val="004F6E36"/>
    <w:rsid w:val="004F76A2"/>
    <w:rsid w:val="004F77DF"/>
    <w:rsid w:val="004F7865"/>
    <w:rsid w:val="004F78D7"/>
    <w:rsid w:val="004F7A5D"/>
    <w:rsid w:val="004F7B6D"/>
    <w:rsid w:val="004F7EB0"/>
    <w:rsid w:val="004F7FE2"/>
    <w:rsid w:val="005003B2"/>
    <w:rsid w:val="005006C2"/>
    <w:rsid w:val="00500E2E"/>
    <w:rsid w:val="00500FE4"/>
    <w:rsid w:val="00501661"/>
    <w:rsid w:val="0050174E"/>
    <w:rsid w:val="00501772"/>
    <w:rsid w:val="00501854"/>
    <w:rsid w:val="0050219B"/>
    <w:rsid w:val="00502257"/>
    <w:rsid w:val="005023F7"/>
    <w:rsid w:val="0050283C"/>
    <w:rsid w:val="00502A65"/>
    <w:rsid w:val="00502C82"/>
    <w:rsid w:val="00503025"/>
    <w:rsid w:val="005038A7"/>
    <w:rsid w:val="00503BD6"/>
    <w:rsid w:val="00503D88"/>
    <w:rsid w:val="00503F17"/>
    <w:rsid w:val="00503F3A"/>
    <w:rsid w:val="00504059"/>
    <w:rsid w:val="00504242"/>
    <w:rsid w:val="00504711"/>
    <w:rsid w:val="00504AC4"/>
    <w:rsid w:val="00504DD1"/>
    <w:rsid w:val="0050519E"/>
    <w:rsid w:val="0050556C"/>
    <w:rsid w:val="0050568B"/>
    <w:rsid w:val="00505844"/>
    <w:rsid w:val="00505A55"/>
    <w:rsid w:val="00505AE4"/>
    <w:rsid w:val="00505D0B"/>
    <w:rsid w:val="00506156"/>
    <w:rsid w:val="00506199"/>
    <w:rsid w:val="0050651E"/>
    <w:rsid w:val="005066B4"/>
    <w:rsid w:val="00506928"/>
    <w:rsid w:val="00506B26"/>
    <w:rsid w:val="00506D98"/>
    <w:rsid w:val="00506F0F"/>
    <w:rsid w:val="0050724B"/>
    <w:rsid w:val="00507271"/>
    <w:rsid w:val="00507703"/>
    <w:rsid w:val="005077EF"/>
    <w:rsid w:val="00507CCF"/>
    <w:rsid w:val="00507E95"/>
    <w:rsid w:val="00510E35"/>
    <w:rsid w:val="005111E3"/>
    <w:rsid w:val="00511AD5"/>
    <w:rsid w:val="00511DC7"/>
    <w:rsid w:val="005122E8"/>
    <w:rsid w:val="005123D8"/>
    <w:rsid w:val="00512FF8"/>
    <w:rsid w:val="0051334A"/>
    <w:rsid w:val="00513532"/>
    <w:rsid w:val="005138A8"/>
    <w:rsid w:val="00513B8A"/>
    <w:rsid w:val="00513D34"/>
    <w:rsid w:val="005140D4"/>
    <w:rsid w:val="005142C5"/>
    <w:rsid w:val="00514460"/>
    <w:rsid w:val="00514963"/>
    <w:rsid w:val="00514E1F"/>
    <w:rsid w:val="0051501B"/>
    <w:rsid w:val="005152B5"/>
    <w:rsid w:val="00515553"/>
    <w:rsid w:val="005156D1"/>
    <w:rsid w:val="005157BF"/>
    <w:rsid w:val="00515886"/>
    <w:rsid w:val="00515B18"/>
    <w:rsid w:val="00515D3E"/>
    <w:rsid w:val="00515D49"/>
    <w:rsid w:val="00515EDF"/>
    <w:rsid w:val="005160BA"/>
    <w:rsid w:val="00516A1B"/>
    <w:rsid w:val="00516B1F"/>
    <w:rsid w:val="00516F48"/>
    <w:rsid w:val="005171D4"/>
    <w:rsid w:val="00517A39"/>
    <w:rsid w:val="00517D4A"/>
    <w:rsid w:val="00520506"/>
    <w:rsid w:val="00520592"/>
    <w:rsid w:val="00520A07"/>
    <w:rsid w:val="00520C64"/>
    <w:rsid w:val="00520EEB"/>
    <w:rsid w:val="0052123C"/>
    <w:rsid w:val="00521319"/>
    <w:rsid w:val="00521345"/>
    <w:rsid w:val="0052176F"/>
    <w:rsid w:val="0052178C"/>
    <w:rsid w:val="00521C08"/>
    <w:rsid w:val="00521E67"/>
    <w:rsid w:val="00522016"/>
    <w:rsid w:val="00522A25"/>
    <w:rsid w:val="00522BC8"/>
    <w:rsid w:val="00522D29"/>
    <w:rsid w:val="00522E14"/>
    <w:rsid w:val="005230BD"/>
    <w:rsid w:val="00523138"/>
    <w:rsid w:val="00523849"/>
    <w:rsid w:val="00523AEE"/>
    <w:rsid w:val="00523BC4"/>
    <w:rsid w:val="00523C28"/>
    <w:rsid w:val="00523CD3"/>
    <w:rsid w:val="00523D20"/>
    <w:rsid w:val="005240CF"/>
    <w:rsid w:val="005242A1"/>
    <w:rsid w:val="00525045"/>
    <w:rsid w:val="00525874"/>
    <w:rsid w:val="00525C4C"/>
    <w:rsid w:val="0052626E"/>
    <w:rsid w:val="0052666E"/>
    <w:rsid w:val="00526B99"/>
    <w:rsid w:val="00526C5A"/>
    <w:rsid w:val="00526CE1"/>
    <w:rsid w:val="0052719A"/>
    <w:rsid w:val="005271B6"/>
    <w:rsid w:val="005271FF"/>
    <w:rsid w:val="005273E0"/>
    <w:rsid w:val="00527486"/>
    <w:rsid w:val="0052752A"/>
    <w:rsid w:val="00527559"/>
    <w:rsid w:val="005278E5"/>
    <w:rsid w:val="00527ECE"/>
    <w:rsid w:val="0053001C"/>
    <w:rsid w:val="00530959"/>
    <w:rsid w:val="005309EC"/>
    <w:rsid w:val="00530C7F"/>
    <w:rsid w:val="00530D58"/>
    <w:rsid w:val="00531224"/>
    <w:rsid w:val="005313C6"/>
    <w:rsid w:val="0053158F"/>
    <w:rsid w:val="00531705"/>
    <w:rsid w:val="0053176B"/>
    <w:rsid w:val="005317A7"/>
    <w:rsid w:val="0053196A"/>
    <w:rsid w:val="00531B0A"/>
    <w:rsid w:val="00531D92"/>
    <w:rsid w:val="00532C8B"/>
    <w:rsid w:val="00533235"/>
    <w:rsid w:val="00533FF0"/>
    <w:rsid w:val="005341B3"/>
    <w:rsid w:val="00534921"/>
    <w:rsid w:val="005353ED"/>
    <w:rsid w:val="005354FE"/>
    <w:rsid w:val="00535887"/>
    <w:rsid w:val="0053596D"/>
    <w:rsid w:val="005359C9"/>
    <w:rsid w:val="00535D96"/>
    <w:rsid w:val="005366B8"/>
    <w:rsid w:val="00536F42"/>
    <w:rsid w:val="005370AF"/>
    <w:rsid w:val="005370E1"/>
    <w:rsid w:val="00537182"/>
    <w:rsid w:val="0053728F"/>
    <w:rsid w:val="00537359"/>
    <w:rsid w:val="00537372"/>
    <w:rsid w:val="005375D7"/>
    <w:rsid w:val="0053791E"/>
    <w:rsid w:val="005379E2"/>
    <w:rsid w:val="00537C5A"/>
    <w:rsid w:val="00537FB2"/>
    <w:rsid w:val="00540738"/>
    <w:rsid w:val="00540C7C"/>
    <w:rsid w:val="00541097"/>
    <w:rsid w:val="00541185"/>
    <w:rsid w:val="00541856"/>
    <w:rsid w:val="005418B6"/>
    <w:rsid w:val="00541A81"/>
    <w:rsid w:val="00541EDD"/>
    <w:rsid w:val="00541FD0"/>
    <w:rsid w:val="00542743"/>
    <w:rsid w:val="00542A6D"/>
    <w:rsid w:val="00542C2D"/>
    <w:rsid w:val="00542DB9"/>
    <w:rsid w:val="00542E1C"/>
    <w:rsid w:val="00543086"/>
    <w:rsid w:val="0054314D"/>
    <w:rsid w:val="0054362E"/>
    <w:rsid w:val="005444D6"/>
    <w:rsid w:val="00544806"/>
    <w:rsid w:val="005450D2"/>
    <w:rsid w:val="00545A8E"/>
    <w:rsid w:val="00545D98"/>
    <w:rsid w:val="0054607D"/>
    <w:rsid w:val="00546152"/>
    <w:rsid w:val="0054615C"/>
    <w:rsid w:val="005463D8"/>
    <w:rsid w:val="005464D9"/>
    <w:rsid w:val="005469B2"/>
    <w:rsid w:val="00546E87"/>
    <w:rsid w:val="005473A3"/>
    <w:rsid w:val="00547400"/>
    <w:rsid w:val="0054746E"/>
    <w:rsid w:val="00547663"/>
    <w:rsid w:val="005478BD"/>
    <w:rsid w:val="00547941"/>
    <w:rsid w:val="005479E3"/>
    <w:rsid w:val="00547F59"/>
    <w:rsid w:val="005509A1"/>
    <w:rsid w:val="005509BB"/>
    <w:rsid w:val="00550B4B"/>
    <w:rsid w:val="0055103B"/>
    <w:rsid w:val="0055104B"/>
    <w:rsid w:val="0055156B"/>
    <w:rsid w:val="00551574"/>
    <w:rsid w:val="005515A6"/>
    <w:rsid w:val="005515CD"/>
    <w:rsid w:val="00551883"/>
    <w:rsid w:val="00551892"/>
    <w:rsid w:val="00551985"/>
    <w:rsid w:val="00551BD6"/>
    <w:rsid w:val="00551C2E"/>
    <w:rsid w:val="00551CEE"/>
    <w:rsid w:val="005521EE"/>
    <w:rsid w:val="00552379"/>
    <w:rsid w:val="00552A4B"/>
    <w:rsid w:val="00552B79"/>
    <w:rsid w:val="00552BD3"/>
    <w:rsid w:val="00552F0B"/>
    <w:rsid w:val="00552F9E"/>
    <w:rsid w:val="005532A0"/>
    <w:rsid w:val="00553415"/>
    <w:rsid w:val="0055343B"/>
    <w:rsid w:val="0055361F"/>
    <w:rsid w:val="00553F6E"/>
    <w:rsid w:val="005541DE"/>
    <w:rsid w:val="00554261"/>
    <w:rsid w:val="005542CA"/>
    <w:rsid w:val="005547CC"/>
    <w:rsid w:val="005547E7"/>
    <w:rsid w:val="00554A09"/>
    <w:rsid w:val="00555109"/>
    <w:rsid w:val="0055512F"/>
    <w:rsid w:val="00555459"/>
    <w:rsid w:val="00555510"/>
    <w:rsid w:val="005555A1"/>
    <w:rsid w:val="005555D7"/>
    <w:rsid w:val="00555A7B"/>
    <w:rsid w:val="00555B9B"/>
    <w:rsid w:val="00556209"/>
    <w:rsid w:val="0055626B"/>
    <w:rsid w:val="00556522"/>
    <w:rsid w:val="0055655F"/>
    <w:rsid w:val="005565A9"/>
    <w:rsid w:val="005567A8"/>
    <w:rsid w:val="00556894"/>
    <w:rsid w:val="0055692C"/>
    <w:rsid w:val="00556B35"/>
    <w:rsid w:val="00556E9A"/>
    <w:rsid w:val="00556F65"/>
    <w:rsid w:val="0055737F"/>
    <w:rsid w:val="0055738E"/>
    <w:rsid w:val="0055741A"/>
    <w:rsid w:val="00557B66"/>
    <w:rsid w:val="00557C6B"/>
    <w:rsid w:val="00557D6C"/>
    <w:rsid w:val="0056017E"/>
    <w:rsid w:val="0056020F"/>
    <w:rsid w:val="005602A3"/>
    <w:rsid w:val="00560323"/>
    <w:rsid w:val="00560E5B"/>
    <w:rsid w:val="00561054"/>
    <w:rsid w:val="005610FD"/>
    <w:rsid w:val="005611B7"/>
    <w:rsid w:val="005612C1"/>
    <w:rsid w:val="005612D8"/>
    <w:rsid w:val="00561442"/>
    <w:rsid w:val="00561697"/>
    <w:rsid w:val="00561751"/>
    <w:rsid w:val="005618D4"/>
    <w:rsid w:val="00561EBC"/>
    <w:rsid w:val="00562307"/>
    <w:rsid w:val="0056235B"/>
    <w:rsid w:val="00562629"/>
    <w:rsid w:val="00562B73"/>
    <w:rsid w:val="00562D2B"/>
    <w:rsid w:val="0056346F"/>
    <w:rsid w:val="005637DA"/>
    <w:rsid w:val="00563AE2"/>
    <w:rsid w:val="00563CAA"/>
    <w:rsid w:val="00564158"/>
    <w:rsid w:val="00564768"/>
    <w:rsid w:val="00564867"/>
    <w:rsid w:val="00565242"/>
    <w:rsid w:val="00565296"/>
    <w:rsid w:val="0056533A"/>
    <w:rsid w:val="005658FE"/>
    <w:rsid w:val="0056593A"/>
    <w:rsid w:val="00565C79"/>
    <w:rsid w:val="00565DF0"/>
    <w:rsid w:val="00566363"/>
    <w:rsid w:val="0056696F"/>
    <w:rsid w:val="00566BC4"/>
    <w:rsid w:val="00566C9F"/>
    <w:rsid w:val="0056707D"/>
    <w:rsid w:val="00567891"/>
    <w:rsid w:val="00567AD7"/>
    <w:rsid w:val="005705EC"/>
    <w:rsid w:val="00570722"/>
    <w:rsid w:val="00570D7F"/>
    <w:rsid w:val="005716CF"/>
    <w:rsid w:val="00571BAB"/>
    <w:rsid w:val="00571E04"/>
    <w:rsid w:val="00571EAF"/>
    <w:rsid w:val="00572269"/>
    <w:rsid w:val="005722D9"/>
    <w:rsid w:val="0057244A"/>
    <w:rsid w:val="00572665"/>
    <w:rsid w:val="005728D8"/>
    <w:rsid w:val="00572B70"/>
    <w:rsid w:val="00572B79"/>
    <w:rsid w:val="00572F26"/>
    <w:rsid w:val="005737BC"/>
    <w:rsid w:val="00573AC7"/>
    <w:rsid w:val="00573D01"/>
    <w:rsid w:val="00573EC6"/>
    <w:rsid w:val="005743BD"/>
    <w:rsid w:val="0057451A"/>
    <w:rsid w:val="005745D1"/>
    <w:rsid w:val="005750C5"/>
    <w:rsid w:val="005752A3"/>
    <w:rsid w:val="005752DE"/>
    <w:rsid w:val="00575409"/>
    <w:rsid w:val="0057547D"/>
    <w:rsid w:val="00575753"/>
    <w:rsid w:val="00575842"/>
    <w:rsid w:val="00575D60"/>
    <w:rsid w:val="00575D8D"/>
    <w:rsid w:val="00575EF5"/>
    <w:rsid w:val="0057614B"/>
    <w:rsid w:val="005764E7"/>
    <w:rsid w:val="00576626"/>
    <w:rsid w:val="0057680A"/>
    <w:rsid w:val="00576972"/>
    <w:rsid w:val="00576CD8"/>
    <w:rsid w:val="00576E6E"/>
    <w:rsid w:val="00577248"/>
    <w:rsid w:val="005775A2"/>
    <w:rsid w:val="005778E3"/>
    <w:rsid w:val="00577A09"/>
    <w:rsid w:val="00577A36"/>
    <w:rsid w:val="00577C10"/>
    <w:rsid w:val="00580148"/>
    <w:rsid w:val="0058015D"/>
    <w:rsid w:val="00580359"/>
    <w:rsid w:val="00580449"/>
    <w:rsid w:val="00580483"/>
    <w:rsid w:val="00580A5C"/>
    <w:rsid w:val="00580A93"/>
    <w:rsid w:val="00580B9A"/>
    <w:rsid w:val="00580E15"/>
    <w:rsid w:val="00580EE7"/>
    <w:rsid w:val="00580F71"/>
    <w:rsid w:val="00580FB9"/>
    <w:rsid w:val="005813C8"/>
    <w:rsid w:val="0058164C"/>
    <w:rsid w:val="005817DF"/>
    <w:rsid w:val="0058182D"/>
    <w:rsid w:val="00581915"/>
    <w:rsid w:val="00581967"/>
    <w:rsid w:val="005819EF"/>
    <w:rsid w:val="00581B1A"/>
    <w:rsid w:val="00581DAE"/>
    <w:rsid w:val="00581F02"/>
    <w:rsid w:val="005825C8"/>
    <w:rsid w:val="00582D3C"/>
    <w:rsid w:val="00583699"/>
    <w:rsid w:val="00583A6F"/>
    <w:rsid w:val="00583A9A"/>
    <w:rsid w:val="00583B3B"/>
    <w:rsid w:val="00583C61"/>
    <w:rsid w:val="00583FCA"/>
    <w:rsid w:val="005844F9"/>
    <w:rsid w:val="00584749"/>
    <w:rsid w:val="005847B7"/>
    <w:rsid w:val="00584AA3"/>
    <w:rsid w:val="00584AA6"/>
    <w:rsid w:val="00584DA3"/>
    <w:rsid w:val="0058514E"/>
    <w:rsid w:val="005854DA"/>
    <w:rsid w:val="00585519"/>
    <w:rsid w:val="00585B47"/>
    <w:rsid w:val="00585CDD"/>
    <w:rsid w:val="00585D28"/>
    <w:rsid w:val="00585D77"/>
    <w:rsid w:val="0058616D"/>
    <w:rsid w:val="00586485"/>
    <w:rsid w:val="005867B3"/>
    <w:rsid w:val="00586933"/>
    <w:rsid w:val="00586A34"/>
    <w:rsid w:val="00586F52"/>
    <w:rsid w:val="00587058"/>
    <w:rsid w:val="00587184"/>
    <w:rsid w:val="005872BB"/>
    <w:rsid w:val="00587A22"/>
    <w:rsid w:val="00587AB5"/>
    <w:rsid w:val="00587E84"/>
    <w:rsid w:val="00587FEB"/>
    <w:rsid w:val="005901C8"/>
    <w:rsid w:val="00590444"/>
    <w:rsid w:val="00590AE2"/>
    <w:rsid w:val="005913A0"/>
    <w:rsid w:val="00591551"/>
    <w:rsid w:val="0059184E"/>
    <w:rsid w:val="00591957"/>
    <w:rsid w:val="00591CA0"/>
    <w:rsid w:val="00591E54"/>
    <w:rsid w:val="00592405"/>
    <w:rsid w:val="0059244A"/>
    <w:rsid w:val="00592524"/>
    <w:rsid w:val="00593076"/>
    <w:rsid w:val="005932AC"/>
    <w:rsid w:val="005932DC"/>
    <w:rsid w:val="005934EE"/>
    <w:rsid w:val="00593685"/>
    <w:rsid w:val="005945EF"/>
    <w:rsid w:val="00594759"/>
    <w:rsid w:val="005953ED"/>
    <w:rsid w:val="00595564"/>
    <w:rsid w:val="00595C6E"/>
    <w:rsid w:val="00595D44"/>
    <w:rsid w:val="00596203"/>
    <w:rsid w:val="005962B8"/>
    <w:rsid w:val="0059664D"/>
    <w:rsid w:val="00596FD7"/>
    <w:rsid w:val="005974F2"/>
    <w:rsid w:val="00597580"/>
    <w:rsid w:val="00597968"/>
    <w:rsid w:val="00597BF9"/>
    <w:rsid w:val="00597CD4"/>
    <w:rsid w:val="005A01B0"/>
    <w:rsid w:val="005A01DC"/>
    <w:rsid w:val="005A0943"/>
    <w:rsid w:val="005A096F"/>
    <w:rsid w:val="005A0A85"/>
    <w:rsid w:val="005A0B3B"/>
    <w:rsid w:val="005A0C11"/>
    <w:rsid w:val="005A0C6F"/>
    <w:rsid w:val="005A1092"/>
    <w:rsid w:val="005A1196"/>
    <w:rsid w:val="005A14A2"/>
    <w:rsid w:val="005A158B"/>
    <w:rsid w:val="005A1758"/>
    <w:rsid w:val="005A1892"/>
    <w:rsid w:val="005A1B75"/>
    <w:rsid w:val="005A1E5C"/>
    <w:rsid w:val="005A1FD1"/>
    <w:rsid w:val="005A24C4"/>
    <w:rsid w:val="005A276A"/>
    <w:rsid w:val="005A2DE7"/>
    <w:rsid w:val="005A309A"/>
    <w:rsid w:val="005A3333"/>
    <w:rsid w:val="005A3442"/>
    <w:rsid w:val="005A373D"/>
    <w:rsid w:val="005A39B1"/>
    <w:rsid w:val="005A3B73"/>
    <w:rsid w:val="005A3DD7"/>
    <w:rsid w:val="005A428D"/>
    <w:rsid w:val="005A45C9"/>
    <w:rsid w:val="005A4D7C"/>
    <w:rsid w:val="005A54D0"/>
    <w:rsid w:val="005A5AD8"/>
    <w:rsid w:val="005A5DC7"/>
    <w:rsid w:val="005A5EBA"/>
    <w:rsid w:val="005A6BF4"/>
    <w:rsid w:val="005A6E48"/>
    <w:rsid w:val="005A6EFC"/>
    <w:rsid w:val="005A71A9"/>
    <w:rsid w:val="005A71B5"/>
    <w:rsid w:val="005A7264"/>
    <w:rsid w:val="005A73C5"/>
    <w:rsid w:val="005A78D8"/>
    <w:rsid w:val="005A7B76"/>
    <w:rsid w:val="005A7D85"/>
    <w:rsid w:val="005A7DC1"/>
    <w:rsid w:val="005B002A"/>
    <w:rsid w:val="005B0307"/>
    <w:rsid w:val="005B0479"/>
    <w:rsid w:val="005B05C5"/>
    <w:rsid w:val="005B0B58"/>
    <w:rsid w:val="005B0BD6"/>
    <w:rsid w:val="005B0F22"/>
    <w:rsid w:val="005B1206"/>
    <w:rsid w:val="005B14B3"/>
    <w:rsid w:val="005B17E9"/>
    <w:rsid w:val="005B1E5E"/>
    <w:rsid w:val="005B1E60"/>
    <w:rsid w:val="005B209F"/>
    <w:rsid w:val="005B213F"/>
    <w:rsid w:val="005B2517"/>
    <w:rsid w:val="005B2864"/>
    <w:rsid w:val="005B28A9"/>
    <w:rsid w:val="005B331E"/>
    <w:rsid w:val="005B3590"/>
    <w:rsid w:val="005B3E13"/>
    <w:rsid w:val="005B3FE7"/>
    <w:rsid w:val="005B44C6"/>
    <w:rsid w:val="005B44DD"/>
    <w:rsid w:val="005B463A"/>
    <w:rsid w:val="005B47A6"/>
    <w:rsid w:val="005B47DE"/>
    <w:rsid w:val="005B494E"/>
    <w:rsid w:val="005B4E53"/>
    <w:rsid w:val="005B4FE0"/>
    <w:rsid w:val="005B57B4"/>
    <w:rsid w:val="005B5857"/>
    <w:rsid w:val="005B5D9D"/>
    <w:rsid w:val="005B5E37"/>
    <w:rsid w:val="005B5FE3"/>
    <w:rsid w:val="005B6640"/>
    <w:rsid w:val="005B666A"/>
    <w:rsid w:val="005B690C"/>
    <w:rsid w:val="005B711F"/>
    <w:rsid w:val="005B7336"/>
    <w:rsid w:val="005B784E"/>
    <w:rsid w:val="005B7AB1"/>
    <w:rsid w:val="005C03D8"/>
    <w:rsid w:val="005C0509"/>
    <w:rsid w:val="005C05BD"/>
    <w:rsid w:val="005C08A8"/>
    <w:rsid w:val="005C0E4C"/>
    <w:rsid w:val="005C0EE1"/>
    <w:rsid w:val="005C1418"/>
    <w:rsid w:val="005C1702"/>
    <w:rsid w:val="005C174C"/>
    <w:rsid w:val="005C19C4"/>
    <w:rsid w:val="005C1B83"/>
    <w:rsid w:val="005C2164"/>
    <w:rsid w:val="005C2345"/>
    <w:rsid w:val="005C23EF"/>
    <w:rsid w:val="005C25FF"/>
    <w:rsid w:val="005C2D55"/>
    <w:rsid w:val="005C3324"/>
    <w:rsid w:val="005C33B3"/>
    <w:rsid w:val="005C346B"/>
    <w:rsid w:val="005C3FFC"/>
    <w:rsid w:val="005C442B"/>
    <w:rsid w:val="005C4572"/>
    <w:rsid w:val="005C4980"/>
    <w:rsid w:val="005C4C1E"/>
    <w:rsid w:val="005C520C"/>
    <w:rsid w:val="005C53DF"/>
    <w:rsid w:val="005C5573"/>
    <w:rsid w:val="005C56DC"/>
    <w:rsid w:val="005C5927"/>
    <w:rsid w:val="005C5ABC"/>
    <w:rsid w:val="005C5B14"/>
    <w:rsid w:val="005C5BEB"/>
    <w:rsid w:val="005C5F7E"/>
    <w:rsid w:val="005C63AB"/>
    <w:rsid w:val="005C679D"/>
    <w:rsid w:val="005C6C8B"/>
    <w:rsid w:val="005C70A9"/>
    <w:rsid w:val="005C7142"/>
    <w:rsid w:val="005C723C"/>
    <w:rsid w:val="005C7268"/>
    <w:rsid w:val="005C7292"/>
    <w:rsid w:val="005C73E0"/>
    <w:rsid w:val="005C77DD"/>
    <w:rsid w:val="005C7E00"/>
    <w:rsid w:val="005D025F"/>
    <w:rsid w:val="005D044D"/>
    <w:rsid w:val="005D08E7"/>
    <w:rsid w:val="005D097F"/>
    <w:rsid w:val="005D0ABD"/>
    <w:rsid w:val="005D0C6E"/>
    <w:rsid w:val="005D1437"/>
    <w:rsid w:val="005D15C0"/>
    <w:rsid w:val="005D1648"/>
    <w:rsid w:val="005D18AD"/>
    <w:rsid w:val="005D18BF"/>
    <w:rsid w:val="005D1A07"/>
    <w:rsid w:val="005D1DCF"/>
    <w:rsid w:val="005D207D"/>
    <w:rsid w:val="005D2126"/>
    <w:rsid w:val="005D2569"/>
    <w:rsid w:val="005D2575"/>
    <w:rsid w:val="005D261F"/>
    <w:rsid w:val="005D26B4"/>
    <w:rsid w:val="005D26DD"/>
    <w:rsid w:val="005D2A5B"/>
    <w:rsid w:val="005D2BF8"/>
    <w:rsid w:val="005D2D0A"/>
    <w:rsid w:val="005D2E10"/>
    <w:rsid w:val="005D33B7"/>
    <w:rsid w:val="005D37B2"/>
    <w:rsid w:val="005D3A0A"/>
    <w:rsid w:val="005D3EFA"/>
    <w:rsid w:val="005D4672"/>
    <w:rsid w:val="005D4AFB"/>
    <w:rsid w:val="005D4B6A"/>
    <w:rsid w:val="005D506B"/>
    <w:rsid w:val="005D5346"/>
    <w:rsid w:val="005D54E7"/>
    <w:rsid w:val="005D55B3"/>
    <w:rsid w:val="005D5768"/>
    <w:rsid w:val="005D6411"/>
    <w:rsid w:val="005D6484"/>
    <w:rsid w:val="005D64CB"/>
    <w:rsid w:val="005D6A4A"/>
    <w:rsid w:val="005D6B71"/>
    <w:rsid w:val="005D6F75"/>
    <w:rsid w:val="005D738A"/>
    <w:rsid w:val="005D7486"/>
    <w:rsid w:val="005D7BF6"/>
    <w:rsid w:val="005E05A3"/>
    <w:rsid w:val="005E0914"/>
    <w:rsid w:val="005E0B1B"/>
    <w:rsid w:val="005E0B5A"/>
    <w:rsid w:val="005E0B82"/>
    <w:rsid w:val="005E0CBC"/>
    <w:rsid w:val="005E0E23"/>
    <w:rsid w:val="005E1295"/>
    <w:rsid w:val="005E1685"/>
    <w:rsid w:val="005E17B1"/>
    <w:rsid w:val="005E1995"/>
    <w:rsid w:val="005E1B73"/>
    <w:rsid w:val="005E1CED"/>
    <w:rsid w:val="005E1D84"/>
    <w:rsid w:val="005E1E98"/>
    <w:rsid w:val="005E21A7"/>
    <w:rsid w:val="005E23E5"/>
    <w:rsid w:val="005E25EB"/>
    <w:rsid w:val="005E3C07"/>
    <w:rsid w:val="005E3D9D"/>
    <w:rsid w:val="005E420C"/>
    <w:rsid w:val="005E454E"/>
    <w:rsid w:val="005E4A2F"/>
    <w:rsid w:val="005E4AB3"/>
    <w:rsid w:val="005E4BF3"/>
    <w:rsid w:val="005E4C84"/>
    <w:rsid w:val="005E5013"/>
    <w:rsid w:val="005E5333"/>
    <w:rsid w:val="005E53CB"/>
    <w:rsid w:val="005E5913"/>
    <w:rsid w:val="005E5B7D"/>
    <w:rsid w:val="005E5D3B"/>
    <w:rsid w:val="005E6200"/>
    <w:rsid w:val="005E62C1"/>
    <w:rsid w:val="005E63F3"/>
    <w:rsid w:val="005E65DA"/>
    <w:rsid w:val="005E6CBC"/>
    <w:rsid w:val="005E6D16"/>
    <w:rsid w:val="005E6F12"/>
    <w:rsid w:val="005E72F0"/>
    <w:rsid w:val="005E72FF"/>
    <w:rsid w:val="005E734B"/>
    <w:rsid w:val="005E73C0"/>
    <w:rsid w:val="005E7599"/>
    <w:rsid w:val="005E7C42"/>
    <w:rsid w:val="005F01AE"/>
    <w:rsid w:val="005F07BD"/>
    <w:rsid w:val="005F07E7"/>
    <w:rsid w:val="005F07ED"/>
    <w:rsid w:val="005F1A7E"/>
    <w:rsid w:val="005F1ED9"/>
    <w:rsid w:val="005F1F65"/>
    <w:rsid w:val="005F20A2"/>
    <w:rsid w:val="005F2283"/>
    <w:rsid w:val="005F2578"/>
    <w:rsid w:val="005F2706"/>
    <w:rsid w:val="005F2BBC"/>
    <w:rsid w:val="005F2DE5"/>
    <w:rsid w:val="005F2EAB"/>
    <w:rsid w:val="005F310D"/>
    <w:rsid w:val="005F31B2"/>
    <w:rsid w:val="005F3513"/>
    <w:rsid w:val="005F35B6"/>
    <w:rsid w:val="005F36C9"/>
    <w:rsid w:val="005F3A08"/>
    <w:rsid w:val="005F3B2C"/>
    <w:rsid w:val="005F41CB"/>
    <w:rsid w:val="005F424A"/>
    <w:rsid w:val="005F4694"/>
    <w:rsid w:val="005F48B3"/>
    <w:rsid w:val="005F4A57"/>
    <w:rsid w:val="005F4A6E"/>
    <w:rsid w:val="005F52FD"/>
    <w:rsid w:val="005F53CB"/>
    <w:rsid w:val="005F55F4"/>
    <w:rsid w:val="005F5BE0"/>
    <w:rsid w:val="005F5E1D"/>
    <w:rsid w:val="005F60F8"/>
    <w:rsid w:val="005F69A5"/>
    <w:rsid w:val="005F6A8F"/>
    <w:rsid w:val="005F6BA5"/>
    <w:rsid w:val="005F6BB7"/>
    <w:rsid w:val="005F6E26"/>
    <w:rsid w:val="005F6EDC"/>
    <w:rsid w:val="005F706B"/>
    <w:rsid w:val="005F71C9"/>
    <w:rsid w:val="005F7544"/>
    <w:rsid w:val="005F7588"/>
    <w:rsid w:val="005F7F56"/>
    <w:rsid w:val="00600044"/>
    <w:rsid w:val="0060094F"/>
    <w:rsid w:val="006010FD"/>
    <w:rsid w:val="0060173D"/>
    <w:rsid w:val="0060210B"/>
    <w:rsid w:val="00602210"/>
    <w:rsid w:val="006028D3"/>
    <w:rsid w:val="0060362B"/>
    <w:rsid w:val="006036C8"/>
    <w:rsid w:val="00603DB9"/>
    <w:rsid w:val="0060401B"/>
    <w:rsid w:val="0060431A"/>
    <w:rsid w:val="00604770"/>
    <w:rsid w:val="0060496C"/>
    <w:rsid w:val="006052B4"/>
    <w:rsid w:val="006053BB"/>
    <w:rsid w:val="00605833"/>
    <w:rsid w:val="00605D80"/>
    <w:rsid w:val="006061B7"/>
    <w:rsid w:val="00606610"/>
    <w:rsid w:val="0060687E"/>
    <w:rsid w:val="00606D76"/>
    <w:rsid w:val="00606DF9"/>
    <w:rsid w:val="00606FBA"/>
    <w:rsid w:val="00607235"/>
    <w:rsid w:val="00607669"/>
    <w:rsid w:val="006076F4"/>
    <w:rsid w:val="00607826"/>
    <w:rsid w:val="00607AFD"/>
    <w:rsid w:val="006103CD"/>
    <w:rsid w:val="00610603"/>
    <w:rsid w:val="00610C17"/>
    <w:rsid w:val="00610D06"/>
    <w:rsid w:val="00610E59"/>
    <w:rsid w:val="006115E7"/>
    <w:rsid w:val="006115F5"/>
    <w:rsid w:val="00611994"/>
    <w:rsid w:val="00611B12"/>
    <w:rsid w:val="00611E07"/>
    <w:rsid w:val="00612046"/>
    <w:rsid w:val="00612F97"/>
    <w:rsid w:val="0061345D"/>
    <w:rsid w:val="00613777"/>
    <w:rsid w:val="00613834"/>
    <w:rsid w:val="006140A8"/>
    <w:rsid w:val="006146F5"/>
    <w:rsid w:val="00614BE7"/>
    <w:rsid w:val="00615134"/>
    <w:rsid w:val="006151FC"/>
    <w:rsid w:val="00615409"/>
    <w:rsid w:val="0061549B"/>
    <w:rsid w:val="0061674F"/>
    <w:rsid w:val="00616802"/>
    <w:rsid w:val="00617484"/>
    <w:rsid w:val="006176F1"/>
    <w:rsid w:val="00617706"/>
    <w:rsid w:val="00617A62"/>
    <w:rsid w:val="00617CF3"/>
    <w:rsid w:val="00617E12"/>
    <w:rsid w:val="00617EAB"/>
    <w:rsid w:val="00617F7E"/>
    <w:rsid w:val="00620844"/>
    <w:rsid w:val="00620B7D"/>
    <w:rsid w:val="00620C25"/>
    <w:rsid w:val="00620DDF"/>
    <w:rsid w:val="00620EFD"/>
    <w:rsid w:val="00621049"/>
    <w:rsid w:val="00621477"/>
    <w:rsid w:val="0062158A"/>
    <w:rsid w:val="006219B3"/>
    <w:rsid w:val="00621ADA"/>
    <w:rsid w:val="00621CAE"/>
    <w:rsid w:val="00621DF3"/>
    <w:rsid w:val="006223F2"/>
    <w:rsid w:val="00622B6D"/>
    <w:rsid w:val="00622E59"/>
    <w:rsid w:val="0062332E"/>
    <w:rsid w:val="00623397"/>
    <w:rsid w:val="006234CF"/>
    <w:rsid w:val="00623832"/>
    <w:rsid w:val="00623C6C"/>
    <w:rsid w:val="00623CB1"/>
    <w:rsid w:val="00623DED"/>
    <w:rsid w:val="00623F7B"/>
    <w:rsid w:val="00624278"/>
    <w:rsid w:val="00624BD4"/>
    <w:rsid w:val="00624CA6"/>
    <w:rsid w:val="00624F3D"/>
    <w:rsid w:val="006251E2"/>
    <w:rsid w:val="006255DD"/>
    <w:rsid w:val="006260E4"/>
    <w:rsid w:val="00626315"/>
    <w:rsid w:val="006269DD"/>
    <w:rsid w:val="00626BB8"/>
    <w:rsid w:val="00626F4F"/>
    <w:rsid w:val="006270FC"/>
    <w:rsid w:val="006272A5"/>
    <w:rsid w:val="006272DA"/>
    <w:rsid w:val="006279F4"/>
    <w:rsid w:val="00627A81"/>
    <w:rsid w:val="00630225"/>
    <w:rsid w:val="0063057C"/>
    <w:rsid w:val="00631107"/>
    <w:rsid w:val="0063140D"/>
    <w:rsid w:val="0063158F"/>
    <w:rsid w:val="006315F1"/>
    <w:rsid w:val="00631A22"/>
    <w:rsid w:val="00631D6B"/>
    <w:rsid w:val="00631E7D"/>
    <w:rsid w:val="00632183"/>
    <w:rsid w:val="00632314"/>
    <w:rsid w:val="00632786"/>
    <w:rsid w:val="00632F48"/>
    <w:rsid w:val="006330A1"/>
    <w:rsid w:val="00633134"/>
    <w:rsid w:val="00633481"/>
    <w:rsid w:val="0063359F"/>
    <w:rsid w:val="0063385F"/>
    <w:rsid w:val="00633AA1"/>
    <w:rsid w:val="00633C27"/>
    <w:rsid w:val="00633F43"/>
    <w:rsid w:val="006345A0"/>
    <w:rsid w:val="00634603"/>
    <w:rsid w:val="0063479F"/>
    <w:rsid w:val="0063484D"/>
    <w:rsid w:val="006349D2"/>
    <w:rsid w:val="00634CBF"/>
    <w:rsid w:val="006353F0"/>
    <w:rsid w:val="0063552A"/>
    <w:rsid w:val="0063560B"/>
    <w:rsid w:val="00635723"/>
    <w:rsid w:val="0063578C"/>
    <w:rsid w:val="006357B5"/>
    <w:rsid w:val="00635888"/>
    <w:rsid w:val="006360D1"/>
    <w:rsid w:val="006364A1"/>
    <w:rsid w:val="0063678E"/>
    <w:rsid w:val="00637036"/>
    <w:rsid w:val="0063717A"/>
    <w:rsid w:val="006372A2"/>
    <w:rsid w:val="006372C1"/>
    <w:rsid w:val="00637BFD"/>
    <w:rsid w:val="00637C16"/>
    <w:rsid w:val="00637C5C"/>
    <w:rsid w:val="00637CE9"/>
    <w:rsid w:val="00637D0F"/>
    <w:rsid w:val="00637E1E"/>
    <w:rsid w:val="00640186"/>
    <w:rsid w:val="00640468"/>
    <w:rsid w:val="00640C7C"/>
    <w:rsid w:val="0064112C"/>
    <w:rsid w:val="00641242"/>
    <w:rsid w:val="00641A3A"/>
    <w:rsid w:val="00641C4E"/>
    <w:rsid w:val="00641EEB"/>
    <w:rsid w:val="00641FB3"/>
    <w:rsid w:val="00642333"/>
    <w:rsid w:val="00642357"/>
    <w:rsid w:val="00642660"/>
    <w:rsid w:val="00642821"/>
    <w:rsid w:val="006430E2"/>
    <w:rsid w:val="0064394C"/>
    <w:rsid w:val="00643A68"/>
    <w:rsid w:val="00643F85"/>
    <w:rsid w:val="0064434C"/>
    <w:rsid w:val="00644615"/>
    <w:rsid w:val="0064474E"/>
    <w:rsid w:val="0064493B"/>
    <w:rsid w:val="0064635A"/>
    <w:rsid w:val="00646574"/>
    <w:rsid w:val="0064660A"/>
    <w:rsid w:val="00646791"/>
    <w:rsid w:val="006467E6"/>
    <w:rsid w:val="00646A68"/>
    <w:rsid w:val="00646EC1"/>
    <w:rsid w:val="00647179"/>
    <w:rsid w:val="006471CC"/>
    <w:rsid w:val="00647207"/>
    <w:rsid w:val="006472FE"/>
    <w:rsid w:val="006478C4"/>
    <w:rsid w:val="00647A29"/>
    <w:rsid w:val="00647E83"/>
    <w:rsid w:val="00647EE0"/>
    <w:rsid w:val="00647F0F"/>
    <w:rsid w:val="0065004D"/>
    <w:rsid w:val="00650483"/>
    <w:rsid w:val="0065079F"/>
    <w:rsid w:val="006508F5"/>
    <w:rsid w:val="00650BC3"/>
    <w:rsid w:val="00651482"/>
    <w:rsid w:val="00651A4C"/>
    <w:rsid w:val="00651D04"/>
    <w:rsid w:val="00651FA0"/>
    <w:rsid w:val="00652345"/>
    <w:rsid w:val="00652868"/>
    <w:rsid w:val="00652991"/>
    <w:rsid w:val="006529C9"/>
    <w:rsid w:val="006529E0"/>
    <w:rsid w:val="00652A28"/>
    <w:rsid w:val="00652C85"/>
    <w:rsid w:val="0065364B"/>
    <w:rsid w:val="0065379F"/>
    <w:rsid w:val="006540E9"/>
    <w:rsid w:val="00654149"/>
    <w:rsid w:val="00654272"/>
    <w:rsid w:val="00654A38"/>
    <w:rsid w:val="00654AA2"/>
    <w:rsid w:val="00654AFD"/>
    <w:rsid w:val="00654CD9"/>
    <w:rsid w:val="00655060"/>
    <w:rsid w:val="00655298"/>
    <w:rsid w:val="00655F93"/>
    <w:rsid w:val="00656188"/>
    <w:rsid w:val="00656246"/>
    <w:rsid w:val="006562F6"/>
    <w:rsid w:val="0065630F"/>
    <w:rsid w:val="0065631E"/>
    <w:rsid w:val="00656C3A"/>
    <w:rsid w:val="00656D10"/>
    <w:rsid w:val="0065715A"/>
    <w:rsid w:val="006571D8"/>
    <w:rsid w:val="00657247"/>
    <w:rsid w:val="006577E2"/>
    <w:rsid w:val="00657929"/>
    <w:rsid w:val="0066034D"/>
    <w:rsid w:val="00660451"/>
    <w:rsid w:val="00660A58"/>
    <w:rsid w:val="00660D7B"/>
    <w:rsid w:val="006610F1"/>
    <w:rsid w:val="00661237"/>
    <w:rsid w:val="006612B7"/>
    <w:rsid w:val="006615BD"/>
    <w:rsid w:val="006616B0"/>
    <w:rsid w:val="00661741"/>
    <w:rsid w:val="0066188C"/>
    <w:rsid w:val="00661C6B"/>
    <w:rsid w:val="00661CA6"/>
    <w:rsid w:val="00662D3E"/>
    <w:rsid w:val="00662D49"/>
    <w:rsid w:val="00663194"/>
    <w:rsid w:val="00663B41"/>
    <w:rsid w:val="00663CC2"/>
    <w:rsid w:val="00663E4D"/>
    <w:rsid w:val="006644A2"/>
    <w:rsid w:val="00664579"/>
    <w:rsid w:val="00664E72"/>
    <w:rsid w:val="00664EBE"/>
    <w:rsid w:val="00665607"/>
    <w:rsid w:val="006656E4"/>
    <w:rsid w:val="0066584E"/>
    <w:rsid w:val="00665E59"/>
    <w:rsid w:val="006661A2"/>
    <w:rsid w:val="00666AD8"/>
    <w:rsid w:val="00666AEA"/>
    <w:rsid w:val="00666E52"/>
    <w:rsid w:val="00666E7E"/>
    <w:rsid w:val="0066732F"/>
    <w:rsid w:val="00667862"/>
    <w:rsid w:val="0066797F"/>
    <w:rsid w:val="00667BE3"/>
    <w:rsid w:val="00667DA0"/>
    <w:rsid w:val="00667E00"/>
    <w:rsid w:val="00667E59"/>
    <w:rsid w:val="00667EAB"/>
    <w:rsid w:val="006708C9"/>
    <w:rsid w:val="00671004"/>
    <w:rsid w:val="0067147E"/>
    <w:rsid w:val="00671606"/>
    <w:rsid w:val="0067184D"/>
    <w:rsid w:val="00671BF2"/>
    <w:rsid w:val="00671D83"/>
    <w:rsid w:val="00671E91"/>
    <w:rsid w:val="0067215E"/>
    <w:rsid w:val="006723AB"/>
    <w:rsid w:val="00672646"/>
    <w:rsid w:val="00672A09"/>
    <w:rsid w:val="00672A72"/>
    <w:rsid w:val="00672B64"/>
    <w:rsid w:val="00672B6C"/>
    <w:rsid w:val="00672FBC"/>
    <w:rsid w:val="00673069"/>
    <w:rsid w:val="006736C3"/>
    <w:rsid w:val="00673786"/>
    <w:rsid w:val="006738DC"/>
    <w:rsid w:val="006747D1"/>
    <w:rsid w:val="006749AF"/>
    <w:rsid w:val="00674C19"/>
    <w:rsid w:val="00674CB8"/>
    <w:rsid w:val="00674CD9"/>
    <w:rsid w:val="00674E1D"/>
    <w:rsid w:val="00674E42"/>
    <w:rsid w:val="00674E82"/>
    <w:rsid w:val="00674FA5"/>
    <w:rsid w:val="00675048"/>
    <w:rsid w:val="0067536C"/>
    <w:rsid w:val="0067537F"/>
    <w:rsid w:val="00675814"/>
    <w:rsid w:val="00675AD5"/>
    <w:rsid w:val="00675CD3"/>
    <w:rsid w:val="0067629E"/>
    <w:rsid w:val="00676320"/>
    <w:rsid w:val="00676563"/>
    <w:rsid w:val="00676B5A"/>
    <w:rsid w:val="00676BC4"/>
    <w:rsid w:val="00676C56"/>
    <w:rsid w:val="00676CD0"/>
    <w:rsid w:val="00676F39"/>
    <w:rsid w:val="00677127"/>
    <w:rsid w:val="006775A4"/>
    <w:rsid w:val="0067780D"/>
    <w:rsid w:val="006802D7"/>
    <w:rsid w:val="00680337"/>
    <w:rsid w:val="00680363"/>
    <w:rsid w:val="006809DB"/>
    <w:rsid w:val="00680EDA"/>
    <w:rsid w:val="0068111D"/>
    <w:rsid w:val="006811E9"/>
    <w:rsid w:val="006812CD"/>
    <w:rsid w:val="006813F8"/>
    <w:rsid w:val="00681911"/>
    <w:rsid w:val="00681B59"/>
    <w:rsid w:val="00682112"/>
    <w:rsid w:val="00682A73"/>
    <w:rsid w:val="00682BA6"/>
    <w:rsid w:val="00682E25"/>
    <w:rsid w:val="006832AF"/>
    <w:rsid w:val="0068346B"/>
    <w:rsid w:val="00683812"/>
    <w:rsid w:val="0068382C"/>
    <w:rsid w:val="00683DF3"/>
    <w:rsid w:val="006844A4"/>
    <w:rsid w:val="00684D0F"/>
    <w:rsid w:val="00686526"/>
    <w:rsid w:val="00686945"/>
    <w:rsid w:val="00686957"/>
    <w:rsid w:val="00686DC8"/>
    <w:rsid w:val="00686ECE"/>
    <w:rsid w:val="006872BA"/>
    <w:rsid w:val="006872CB"/>
    <w:rsid w:val="00687B41"/>
    <w:rsid w:val="00687DBF"/>
    <w:rsid w:val="00687ED6"/>
    <w:rsid w:val="006901E5"/>
    <w:rsid w:val="00690331"/>
    <w:rsid w:val="00690560"/>
    <w:rsid w:val="006905F1"/>
    <w:rsid w:val="00690795"/>
    <w:rsid w:val="006907DD"/>
    <w:rsid w:val="006909F5"/>
    <w:rsid w:val="00690F84"/>
    <w:rsid w:val="00691059"/>
    <w:rsid w:val="006910E1"/>
    <w:rsid w:val="00691648"/>
    <w:rsid w:val="00691669"/>
    <w:rsid w:val="006917D7"/>
    <w:rsid w:val="00691D59"/>
    <w:rsid w:val="00691D9F"/>
    <w:rsid w:val="00692014"/>
    <w:rsid w:val="00692395"/>
    <w:rsid w:val="00692AB5"/>
    <w:rsid w:val="0069310B"/>
    <w:rsid w:val="00693693"/>
    <w:rsid w:val="006936B8"/>
    <w:rsid w:val="00693B2D"/>
    <w:rsid w:val="0069414D"/>
    <w:rsid w:val="006941A8"/>
    <w:rsid w:val="006941F3"/>
    <w:rsid w:val="0069434C"/>
    <w:rsid w:val="00694833"/>
    <w:rsid w:val="00694885"/>
    <w:rsid w:val="00694F44"/>
    <w:rsid w:val="006952FE"/>
    <w:rsid w:val="00695492"/>
    <w:rsid w:val="006957E3"/>
    <w:rsid w:val="006958C4"/>
    <w:rsid w:val="00695DDC"/>
    <w:rsid w:val="00696491"/>
    <w:rsid w:val="00696EF9"/>
    <w:rsid w:val="00696F51"/>
    <w:rsid w:val="00697099"/>
    <w:rsid w:val="00697263"/>
    <w:rsid w:val="00697732"/>
    <w:rsid w:val="0069775E"/>
    <w:rsid w:val="00697893"/>
    <w:rsid w:val="006979A5"/>
    <w:rsid w:val="00697B68"/>
    <w:rsid w:val="006A0137"/>
    <w:rsid w:val="006A016F"/>
    <w:rsid w:val="006A02F4"/>
    <w:rsid w:val="006A052D"/>
    <w:rsid w:val="006A0A4D"/>
    <w:rsid w:val="006A0DF7"/>
    <w:rsid w:val="006A14D0"/>
    <w:rsid w:val="006A1651"/>
    <w:rsid w:val="006A16AC"/>
    <w:rsid w:val="006A20FC"/>
    <w:rsid w:val="006A21E8"/>
    <w:rsid w:val="006A24F4"/>
    <w:rsid w:val="006A2526"/>
    <w:rsid w:val="006A2553"/>
    <w:rsid w:val="006A2734"/>
    <w:rsid w:val="006A2AE2"/>
    <w:rsid w:val="006A2DDF"/>
    <w:rsid w:val="006A3118"/>
    <w:rsid w:val="006A3503"/>
    <w:rsid w:val="006A3FD1"/>
    <w:rsid w:val="006A4321"/>
    <w:rsid w:val="006A43D9"/>
    <w:rsid w:val="006A459D"/>
    <w:rsid w:val="006A4CFD"/>
    <w:rsid w:val="006A4DDB"/>
    <w:rsid w:val="006A5081"/>
    <w:rsid w:val="006A50F1"/>
    <w:rsid w:val="006A524D"/>
    <w:rsid w:val="006A525D"/>
    <w:rsid w:val="006A5348"/>
    <w:rsid w:val="006A592E"/>
    <w:rsid w:val="006A5962"/>
    <w:rsid w:val="006A5C5C"/>
    <w:rsid w:val="006A627E"/>
    <w:rsid w:val="006A69E8"/>
    <w:rsid w:val="006A6A12"/>
    <w:rsid w:val="006A6B99"/>
    <w:rsid w:val="006A6FBF"/>
    <w:rsid w:val="006A7249"/>
    <w:rsid w:val="006A73EB"/>
    <w:rsid w:val="006A7D25"/>
    <w:rsid w:val="006A7E48"/>
    <w:rsid w:val="006A7E5F"/>
    <w:rsid w:val="006B0660"/>
    <w:rsid w:val="006B09A8"/>
    <w:rsid w:val="006B0CAE"/>
    <w:rsid w:val="006B0E77"/>
    <w:rsid w:val="006B0F16"/>
    <w:rsid w:val="006B1517"/>
    <w:rsid w:val="006B1A20"/>
    <w:rsid w:val="006B1A54"/>
    <w:rsid w:val="006B1BFD"/>
    <w:rsid w:val="006B1DCE"/>
    <w:rsid w:val="006B2404"/>
    <w:rsid w:val="006B25A6"/>
    <w:rsid w:val="006B261B"/>
    <w:rsid w:val="006B2A49"/>
    <w:rsid w:val="006B2C90"/>
    <w:rsid w:val="006B2E8A"/>
    <w:rsid w:val="006B32CF"/>
    <w:rsid w:val="006B33DE"/>
    <w:rsid w:val="006B35E6"/>
    <w:rsid w:val="006B3612"/>
    <w:rsid w:val="006B3A69"/>
    <w:rsid w:val="006B3D0E"/>
    <w:rsid w:val="006B3D26"/>
    <w:rsid w:val="006B4418"/>
    <w:rsid w:val="006B443C"/>
    <w:rsid w:val="006B4487"/>
    <w:rsid w:val="006B465A"/>
    <w:rsid w:val="006B47FE"/>
    <w:rsid w:val="006B4BB1"/>
    <w:rsid w:val="006B4D3E"/>
    <w:rsid w:val="006B4F25"/>
    <w:rsid w:val="006B4F9B"/>
    <w:rsid w:val="006B50A3"/>
    <w:rsid w:val="006B5204"/>
    <w:rsid w:val="006B525A"/>
    <w:rsid w:val="006B5501"/>
    <w:rsid w:val="006B5548"/>
    <w:rsid w:val="006B5D47"/>
    <w:rsid w:val="006B60E4"/>
    <w:rsid w:val="006B6378"/>
    <w:rsid w:val="006B64B1"/>
    <w:rsid w:val="006B6DD0"/>
    <w:rsid w:val="006B6E05"/>
    <w:rsid w:val="006B6E2E"/>
    <w:rsid w:val="006B701B"/>
    <w:rsid w:val="006B76E7"/>
    <w:rsid w:val="006B76ED"/>
    <w:rsid w:val="006B7ACD"/>
    <w:rsid w:val="006B7AD6"/>
    <w:rsid w:val="006B7CCD"/>
    <w:rsid w:val="006B7DAD"/>
    <w:rsid w:val="006B7E34"/>
    <w:rsid w:val="006C0159"/>
    <w:rsid w:val="006C019D"/>
    <w:rsid w:val="006C033A"/>
    <w:rsid w:val="006C0399"/>
    <w:rsid w:val="006C0470"/>
    <w:rsid w:val="006C07C5"/>
    <w:rsid w:val="006C0833"/>
    <w:rsid w:val="006C0870"/>
    <w:rsid w:val="006C1344"/>
    <w:rsid w:val="006C16B4"/>
    <w:rsid w:val="006C1796"/>
    <w:rsid w:val="006C19FF"/>
    <w:rsid w:val="006C2158"/>
    <w:rsid w:val="006C2A8E"/>
    <w:rsid w:val="006C2E2D"/>
    <w:rsid w:val="006C3086"/>
    <w:rsid w:val="006C3255"/>
    <w:rsid w:val="006C376E"/>
    <w:rsid w:val="006C3877"/>
    <w:rsid w:val="006C3A0A"/>
    <w:rsid w:val="006C3F26"/>
    <w:rsid w:val="006C43BF"/>
    <w:rsid w:val="006C4846"/>
    <w:rsid w:val="006C4911"/>
    <w:rsid w:val="006C54E8"/>
    <w:rsid w:val="006C56FD"/>
    <w:rsid w:val="006C5B71"/>
    <w:rsid w:val="006C5D8D"/>
    <w:rsid w:val="006C5EB1"/>
    <w:rsid w:val="006C609C"/>
    <w:rsid w:val="006C64A1"/>
    <w:rsid w:val="006C66BE"/>
    <w:rsid w:val="006C6CDB"/>
    <w:rsid w:val="006C7662"/>
    <w:rsid w:val="006C76AB"/>
    <w:rsid w:val="006C7765"/>
    <w:rsid w:val="006C7B63"/>
    <w:rsid w:val="006D0B69"/>
    <w:rsid w:val="006D0D17"/>
    <w:rsid w:val="006D0DDD"/>
    <w:rsid w:val="006D1173"/>
    <w:rsid w:val="006D126A"/>
    <w:rsid w:val="006D137A"/>
    <w:rsid w:val="006D1486"/>
    <w:rsid w:val="006D14DB"/>
    <w:rsid w:val="006D1500"/>
    <w:rsid w:val="006D179A"/>
    <w:rsid w:val="006D17FF"/>
    <w:rsid w:val="006D2016"/>
    <w:rsid w:val="006D2045"/>
    <w:rsid w:val="006D2119"/>
    <w:rsid w:val="006D25EC"/>
    <w:rsid w:val="006D297E"/>
    <w:rsid w:val="006D2C74"/>
    <w:rsid w:val="006D2E8A"/>
    <w:rsid w:val="006D3066"/>
    <w:rsid w:val="006D30FE"/>
    <w:rsid w:val="006D3524"/>
    <w:rsid w:val="006D358F"/>
    <w:rsid w:val="006D3C7D"/>
    <w:rsid w:val="006D3CD1"/>
    <w:rsid w:val="006D3F52"/>
    <w:rsid w:val="006D3FDE"/>
    <w:rsid w:val="006D403C"/>
    <w:rsid w:val="006D4659"/>
    <w:rsid w:val="006D5110"/>
    <w:rsid w:val="006D5BAB"/>
    <w:rsid w:val="006D5C09"/>
    <w:rsid w:val="006D5C8D"/>
    <w:rsid w:val="006D5D57"/>
    <w:rsid w:val="006D5D5F"/>
    <w:rsid w:val="006D5D60"/>
    <w:rsid w:val="006D5E79"/>
    <w:rsid w:val="006D620E"/>
    <w:rsid w:val="006D632D"/>
    <w:rsid w:val="006D6439"/>
    <w:rsid w:val="006D68FB"/>
    <w:rsid w:val="006D6934"/>
    <w:rsid w:val="006D710F"/>
    <w:rsid w:val="006D751C"/>
    <w:rsid w:val="006D7604"/>
    <w:rsid w:val="006D7A59"/>
    <w:rsid w:val="006D7D97"/>
    <w:rsid w:val="006E00A7"/>
    <w:rsid w:val="006E0118"/>
    <w:rsid w:val="006E027F"/>
    <w:rsid w:val="006E02C7"/>
    <w:rsid w:val="006E0819"/>
    <w:rsid w:val="006E0880"/>
    <w:rsid w:val="006E0AC5"/>
    <w:rsid w:val="006E119D"/>
    <w:rsid w:val="006E138D"/>
    <w:rsid w:val="006E1D06"/>
    <w:rsid w:val="006E20CE"/>
    <w:rsid w:val="006E2114"/>
    <w:rsid w:val="006E211A"/>
    <w:rsid w:val="006E2413"/>
    <w:rsid w:val="006E27D8"/>
    <w:rsid w:val="006E2868"/>
    <w:rsid w:val="006E2F40"/>
    <w:rsid w:val="006E3BC2"/>
    <w:rsid w:val="006E3E29"/>
    <w:rsid w:val="006E423C"/>
    <w:rsid w:val="006E43C7"/>
    <w:rsid w:val="006E4777"/>
    <w:rsid w:val="006E5887"/>
    <w:rsid w:val="006E5961"/>
    <w:rsid w:val="006E5B8B"/>
    <w:rsid w:val="006E5F2C"/>
    <w:rsid w:val="006E5F9F"/>
    <w:rsid w:val="006E6665"/>
    <w:rsid w:val="006E66CF"/>
    <w:rsid w:val="006E67E4"/>
    <w:rsid w:val="006E6A12"/>
    <w:rsid w:val="006E6A7C"/>
    <w:rsid w:val="006E6B5B"/>
    <w:rsid w:val="006E6BD9"/>
    <w:rsid w:val="006E6D66"/>
    <w:rsid w:val="006E6E36"/>
    <w:rsid w:val="006E6EA7"/>
    <w:rsid w:val="006E7173"/>
    <w:rsid w:val="006E76B7"/>
    <w:rsid w:val="006E771E"/>
    <w:rsid w:val="006E7849"/>
    <w:rsid w:val="006E7873"/>
    <w:rsid w:val="006E79B7"/>
    <w:rsid w:val="006E7DFE"/>
    <w:rsid w:val="006F0376"/>
    <w:rsid w:val="006F0379"/>
    <w:rsid w:val="006F0A84"/>
    <w:rsid w:val="006F0B67"/>
    <w:rsid w:val="006F0C65"/>
    <w:rsid w:val="006F12D0"/>
    <w:rsid w:val="006F1DA8"/>
    <w:rsid w:val="006F2222"/>
    <w:rsid w:val="006F23AB"/>
    <w:rsid w:val="006F2739"/>
    <w:rsid w:val="006F29E7"/>
    <w:rsid w:val="006F2C94"/>
    <w:rsid w:val="006F2FFA"/>
    <w:rsid w:val="006F306C"/>
    <w:rsid w:val="006F339B"/>
    <w:rsid w:val="006F3BAE"/>
    <w:rsid w:val="006F3DF7"/>
    <w:rsid w:val="006F3EDE"/>
    <w:rsid w:val="006F3EED"/>
    <w:rsid w:val="006F4474"/>
    <w:rsid w:val="006F4593"/>
    <w:rsid w:val="006F49EC"/>
    <w:rsid w:val="006F4A8C"/>
    <w:rsid w:val="006F4C2A"/>
    <w:rsid w:val="006F4FC7"/>
    <w:rsid w:val="006F5066"/>
    <w:rsid w:val="006F51E8"/>
    <w:rsid w:val="006F541F"/>
    <w:rsid w:val="006F5609"/>
    <w:rsid w:val="006F566D"/>
    <w:rsid w:val="006F5E27"/>
    <w:rsid w:val="006F63A5"/>
    <w:rsid w:val="006F65E4"/>
    <w:rsid w:val="006F685B"/>
    <w:rsid w:val="006F6BBF"/>
    <w:rsid w:val="006F7B22"/>
    <w:rsid w:val="006F7BAC"/>
    <w:rsid w:val="006F7C9B"/>
    <w:rsid w:val="006F7D9A"/>
    <w:rsid w:val="0070009E"/>
    <w:rsid w:val="007000FA"/>
    <w:rsid w:val="00700232"/>
    <w:rsid w:val="00700637"/>
    <w:rsid w:val="00700A9E"/>
    <w:rsid w:val="0070142B"/>
    <w:rsid w:val="00701752"/>
    <w:rsid w:val="0070181D"/>
    <w:rsid w:val="00701879"/>
    <w:rsid w:val="007019B9"/>
    <w:rsid w:val="00701A03"/>
    <w:rsid w:val="00701AB8"/>
    <w:rsid w:val="00701B93"/>
    <w:rsid w:val="00701D32"/>
    <w:rsid w:val="00701E62"/>
    <w:rsid w:val="00701EE3"/>
    <w:rsid w:val="007024F2"/>
    <w:rsid w:val="0070276E"/>
    <w:rsid w:val="00702DD4"/>
    <w:rsid w:val="00702F06"/>
    <w:rsid w:val="00702F8F"/>
    <w:rsid w:val="007035AA"/>
    <w:rsid w:val="00703644"/>
    <w:rsid w:val="0070367D"/>
    <w:rsid w:val="00703A2E"/>
    <w:rsid w:val="00703A64"/>
    <w:rsid w:val="00703AAD"/>
    <w:rsid w:val="00703C45"/>
    <w:rsid w:val="00703CF3"/>
    <w:rsid w:val="00703FEB"/>
    <w:rsid w:val="007042B9"/>
    <w:rsid w:val="00704631"/>
    <w:rsid w:val="007048A9"/>
    <w:rsid w:val="00704A3D"/>
    <w:rsid w:val="00704B85"/>
    <w:rsid w:val="0070553B"/>
    <w:rsid w:val="0070558B"/>
    <w:rsid w:val="00705A58"/>
    <w:rsid w:val="00705EDE"/>
    <w:rsid w:val="00706347"/>
    <w:rsid w:val="00706960"/>
    <w:rsid w:val="0070718F"/>
    <w:rsid w:val="007074B9"/>
    <w:rsid w:val="00707926"/>
    <w:rsid w:val="007079FC"/>
    <w:rsid w:val="00707A5C"/>
    <w:rsid w:val="00707E1C"/>
    <w:rsid w:val="00710360"/>
    <w:rsid w:val="00710372"/>
    <w:rsid w:val="00710447"/>
    <w:rsid w:val="007105BA"/>
    <w:rsid w:val="00710AF2"/>
    <w:rsid w:val="00710DF5"/>
    <w:rsid w:val="007110E1"/>
    <w:rsid w:val="00711179"/>
    <w:rsid w:val="0071142D"/>
    <w:rsid w:val="00711A36"/>
    <w:rsid w:val="00712031"/>
    <w:rsid w:val="007125D3"/>
    <w:rsid w:val="00712B78"/>
    <w:rsid w:val="00712D07"/>
    <w:rsid w:val="00712FC2"/>
    <w:rsid w:val="00713154"/>
    <w:rsid w:val="007131C3"/>
    <w:rsid w:val="00713583"/>
    <w:rsid w:val="00713895"/>
    <w:rsid w:val="00713B6E"/>
    <w:rsid w:val="00713BB4"/>
    <w:rsid w:val="00713ED0"/>
    <w:rsid w:val="00714834"/>
    <w:rsid w:val="00714C26"/>
    <w:rsid w:val="00714FDA"/>
    <w:rsid w:val="0071529C"/>
    <w:rsid w:val="007156D5"/>
    <w:rsid w:val="00715875"/>
    <w:rsid w:val="00715C91"/>
    <w:rsid w:val="00715D01"/>
    <w:rsid w:val="00715FCE"/>
    <w:rsid w:val="00716901"/>
    <w:rsid w:val="00716A1F"/>
    <w:rsid w:val="00716A89"/>
    <w:rsid w:val="00716B60"/>
    <w:rsid w:val="007170B6"/>
    <w:rsid w:val="007170DA"/>
    <w:rsid w:val="007170E1"/>
    <w:rsid w:val="00717136"/>
    <w:rsid w:val="007172AD"/>
    <w:rsid w:val="00717546"/>
    <w:rsid w:val="007176EF"/>
    <w:rsid w:val="0071787A"/>
    <w:rsid w:val="00717CCD"/>
    <w:rsid w:val="00717DA6"/>
    <w:rsid w:val="00720143"/>
    <w:rsid w:val="007202B0"/>
    <w:rsid w:val="007204D4"/>
    <w:rsid w:val="00720801"/>
    <w:rsid w:val="00720919"/>
    <w:rsid w:val="00720D79"/>
    <w:rsid w:val="00720F14"/>
    <w:rsid w:val="0072108D"/>
    <w:rsid w:val="00721211"/>
    <w:rsid w:val="007213BA"/>
    <w:rsid w:val="00721467"/>
    <w:rsid w:val="0072163C"/>
    <w:rsid w:val="00721675"/>
    <w:rsid w:val="00722067"/>
    <w:rsid w:val="007221BF"/>
    <w:rsid w:val="007225BD"/>
    <w:rsid w:val="0072282E"/>
    <w:rsid w:val="00722A2F"/>
    <w:rsid w:val="00722B1B"/>
    <w:rsid w:val="00722C1E"/>
    <w:rsid w:val="00722E47"/>
    <w:rsid w:val="007237F1"/>
    <w:rsid w:val="00723889"/>
    <w:rsid w:val="0072416F"/>
    <w:rsid w:val="00724B56"/>
    <w:rsid w:val="00724BB7"/>
    <w:rsid w:val="007253D7"/>
    <w:rsid w:val="00725A48"/>
    <w:rsid w:val="00725ADE"/>
    <w:rsid w:val="00725DB1"/>
    <w:rsid w:val="00725E7B"/>
    <w:rsid w:val="00725F6D"/>
    <w:rsid w:val="00725FFD"/>
    <w:rsid w:val="007260AB"/>
    <w:rsid w:val="007260FB"/>
    <w:rsid w:val="00726C51"/>
    <w:rsid w:val="00726C5C"/>
    <w:rsid w:val="0072743F"/>
    <w:rsid w:val="007274D0"/>
    <w:rsid w:val="0072789F"/>
    <w:rsid w:val="00727ADF"/>
    <w:rsid w:val="00727C94"/>
    <w:rsid w:val="0073044A"/>
    <w:rsid w:val="00730542"/>
    <w:rsid w:val="00730595"/>
    <w:rsid w:val="00730875"/>
    <w:rsid w:val="00730DDA"/>
    <w:rsid w:val="0073132F"/>
    <w:rsid w:val="0073160E"/>
    <w:rsid w:val="00731B0A"/>
    <w:rsid w:val="00731EAE"/>
    <w:rsid w:val="00732575"/>
    <w:rsid w:val="00732778"/>
    <w:rsid w:val="00732AFB"/>
    <w:rsid w:val="00733073"/>
    <w:rsid w:val="00733350"/>
    <w:rsid w:val="0073368A"/>
    <w:rsid w:val="007337EC"/>
    <w:rsid w:val="00733BB7"/>
    <w:rsid w:val="00734052"/>
    <w:rsid w:val="0073412C"/>
    <w:rsid w:val="0073419A"/>
    <w:rsid w:val="007341F8"/>
    <w:rsid w:val="007343D7"/>
    <w:rsid w:val="00734548"/>
    <w:rsid w:val="00734560"/>
    <w:rsid w:val="00734650"/>
    <w:rsid w:val="0073479A"/>
    <w:rsid w:val="00734ADB"/>
    <w:rsid w:val="00734E85"/>
    <w:rsid w:val="00734FDE"/>
    <w:rsid w:val="00735033"/>
    <w:rsid w:val="00735328"/>
    <w:rsid w:val="007358F5"/>
    <w:rsid w:val="00736248"/>
    <w:rsid w:val="00736370"/>
    <w:rsid w:val="00736541"/>
    <w:rsid w:val="0073685B"/>
    <w:rsid w:val="00736E2A"/>
    <w:rsid w:val="00736E3F"/>
    <w:rsid w:val="00737725"/>
    <w:rsid w:val="00737A1D"/>
    <w:rsid w:val="00737C62"/>
    <w:rsid w:val="0074008E"/>
    <w:rsid w:val="0074017A"/>
    <w:rsid w:val="007402E0"/>
    <w:rsid w:val="007402EC"/>
    <w:rsid w:val="007402FC"/>
    <w:rsid w:val="007404EA"/>
    <w:rsid w:val="0074061C"/>
    <w:rsid w:val="007408F9"/>
    <w:rsid w:val="00740AA3"/>
    <w:rsid w:val="00740DFE"/>
    <w:rsid w:val="00741F75"/>
    <w:rsid w:val="00742194"/>
    <w:rsid w:val="0074267B"/>
    <w:rsid w:val="00742D50"/>
    <w:rsid w:val="00742D53"/>
    <w:rsid w:val="00743499"/>
    <w:rsid w:val="00743519"/>
    <w:rsid w:val="00743559"/>
    <w:rsid w:val="0074362F"/>
    <w:rsid w:val="007436BA"/>
    <w:rsid w:val="00743724"/>
    <w:rsid w:val="00743BCC"/>
    <w:rsid w:val="00743CFE"/>
    <w:rsid w:val="007444A1"/>
    <w:rsid w:val="0074469F"/>
    <w:rsid w:val="00744779"/>
    <w:rsid w:val="007449BF"/>
    <w:rsid w:val="007449D0"/>
    <w:rsid w:val="00744C1A"/>
    <w:rsid w:val="00744E42"/>
    <w:rsid w:val="00744F8B"/>
    <w:rsid w:val="007450B4"/>
    <w:rsid w:val="00745667"/>
    <w:rsid w:val="007456DA"/>
    <w:rsid w:val="00745F2E"/>
    <w:rsid w:val="00745FAF"/>
    <w:rsid w:val="007463FE"/>
    <w:rsid w:val="007465DC"/>
    <w:rsid w:val="00746BC0"/>
    <w:rsid w:val="00746C99"/>
    <w:rsid w:val="00746EFE"/>
    <w:rsid w:val="00746FF2"/>
    <w:rsid w:val="0075017A"/>
    <w:rsid w:val="007505E6"/>
    <w:rsid w:val="00750737"/>
    <w:rsid w:val="00750792"/>
    <w:rsid w:val="007509C4"/>
    <w:rsid w:val="00750ACC"/>
    <w:rsid w:val="00750E08"/>
    <w:rsid w:val="00750E32"/>
    <w:rsid w:val="007510B4"/>
    <w:rsid w:val="00751549"/>
    <w:rsid w:val="00751BD4"/>
    <w:rsid w:val="00751BDA"/>
    <w:rsid w:val="00751DDE"/>
    <w:rsid w:val="00752142"/>
    <w:rsid w:val="007523F9"/>
    <w:rsid w:val="0075247B"/>
    <w:rsid w:val="0075247D"/>
    <w:rsid w:val="0075273F"/>
    <w:rsid w:val="0075293D"/>
    <w:rsid w:val="00752A4E"/>
    <w:rsid w:val="00752B27"/>
    <w:rsid w:val="00752E13"/>
    <w:rsid w:val="0075357E"/>
    <w:rsid w:val="00753B29"/>
    <w:rsid w:val="00753F43"/>
    <w:rsid w:val="00753FB7"/>
    <w:rsid w:val="00753FBF"/>
    <w:rsid w:val="007545CD"/>
    <w:rsid w:val="00754AD4"/>
    <w:rsid w:val="00754D2B"/>
    <w:rsid w:val="00754EF5"/>
    <w:rsid w:val="00755271"/>
    <w:rsid w:val="007554B1"/>
    <w:rsid w:val="007554EA"/>
    <w:rsid w:val="007557FB"/>
    <w:rsid w:val="00755A1B"/>
    <w:rsid w:val="00755AEF"/>
    <w:rsid w:val="007562B7"/>
    <w:rsid w:val="00756548"/>
    <w:rsid w:val="007566FD"/>
    <w:rsid w:val="00756E2E"/>
    <w:rsid w:val="00756E49"/>
    <w:rsid w:val="007572E6"/>
    <w:rsid w:val="007572F7"/>
    <w:rsid w:val="00757301"/>
    <w:rsid w:val="007573E8"/>
    <w:rsid w:val="00757656"/>
    <w:rsid w:val="00757992"/>
    <w:rsid w:val="007579C9"/>
    <w:rsid w:val="00757C1B"/>
    <w:rsid w:val="00757C94"/>
    <w:rsid w:val="007602A1"/>
    <w:rsid w:val="007603D3"/>
    <w:rsid w:val="0076065F"/>
    <w:rsid w:val="00760845"/>
    <w:rsid w:val="00760C4E"/>
    <w:rsid w:val="00760D5C"/>
    <w:rsid w:val="00760F9E"/>
    <w:rsid w:val="007611D6"/>
    <w:rsid w:val="007615B8"/>
    <w:rsid w:val="007616E6"/>
    <w:rsid w:val="007618BF"/>
    <w:rsid w:val="00761A20"/>
    <w:rsid w:val="00761FCA"/>
    <w:rsid w:val="007621A2"/>
    <w:rsid w:val="007622B0"/>
    <w:rsid w:val="007625F3"/>
    <w:rsid w:val="007627BE"/>
    <w:rsid w:val="00762A87"/>
    <w:rsid w:val="00763430"/>
    <w:rsid w:val="0076364D"/>
    <w:rsid w:val="0076364E"/>
    <w:rsid w:val="00763820"/>
    <w:rsid w:val="00763CAD"/>
    <w:rsid w:val="00763D2E"/>
    <w:rsid w:val="00764089"/>
    <w:rsid w:val="00764346"/>
    <w:rsid w:val="007648C8"/>
    <w:rsid w:val="00764A2A"/>
    <w:rsid w:val="00764BD7"/>
    <w:rsid w:val="00764CE5"/>
    <w:rsid w:val="00764F03"/>
    <w:rsid w:val="00765452"/>
    <w:rsid w:val="0076561E"/>
    <w:rsid w:val="00765829"/>
    <w:rsid w:val="00765A18"/>
    <w:rsid w:val="00765B1A"/>
    <w:rsid w:val="00765D4B"/>
    <w:rsid w:val="00765DC1"/>
    <w:rsid w:val="00765FE9"/>
    <w:rsid w:val="00766259"/>
    <w:rsid w:val="0076678F"/>
    <w:rsid w:val="007668CA"/>
    <w:rsid w:val="00766A2B"/>
    <w:rsid w:val="00766A93"/>
    <w:rsid w:val="00766A9A"/>
    <w:rsid w:val="00766C54"/>
    <w:rsid w:val="0076723E"/>
    <w:rsid w:val="00767641"/>
    <w:rsid w:val="0076776F"/>
    <w:rsid w:val="00767C54"/>
    <w:rsid w:val="00767C65"/>
    <w:rsid w:val="00767FF0"/>
    <w:rsid w:val="0077012C"/>
    <w:rsid w:val="0077030A"/>
    <w:rsid w:val="007706B4"/>
    <w:rsid w:val="007709DC"/>
    <w:rsid w:val="00770A03"/>
    <w:rsid w:val="00770C37"/>
    <w:rsid w:val="00770C97"/>
    <w:rsid w:val="00771482"/>
    <w:rsid w:val="00771512"/>
    <w:rsid w:val="007715D4"/>
    <w:rsid w:val="0077169C"/>
    <w:rsid w:val="00772207"/>
    <w:rsid w:val="00772237"/>
    <w:rsid w:val="00772FF7"/>
    <w:rsid w:val="007732E6"/>
    <w:rsid w:val="00773444"/>
    <w:rsid w:val="007736CC"/>
    <w:rsid w:val="007737BD"/>
    <w:rsid w:val="007738E0"/>
    <w:rsid w:val="00773F84"/>
    <w:rsid w:val="0077419E"/>
    <w:rsid w:val="00774296"/>
    <w:rsid w:val="00774858"/>
    <w:rsid w:val="00774AD7"/>
    <w:rsid w:val="00774C8E"/>
    <w:rsid w:val="00775294"/>
    <w:rsid w:val="00775F80"/>
    <w:rsid w:val="0077633D"/>
    <w:rsid w:val="00776610"/>
    <w:rsid w:val="00776A29"/>
    <w:rsid w:val="00776CC2"/>
    <w:rsid w:val="00776F74"/>
    <w:rsid w:val="00777125"/>
    <w:rsid w:val="00777335"/>
    <w:rsid w:val="00777555"/>
    <w:rsid w:val="00780022"/>
    <w:rsid w:val="00780305"/>
    <w:rsid w:val="0078046F"/>
    <w:rsid w:val="00780529"/>
    <w:rsid w:val="00780568"/>
    <w:rsid w:val="00780A9F"/>
    <w:rsid w:val="00780B2D"/>
    <w:rsid w:val="00780FFE"/>
    <w:rsid w:val="007814B9"/>
    <w:rsid w:val="0078162A"/>
    <w:rsid w:val="007816A6"/>
    <w:rsid w:val="007820F8"/>
    <w:rsid w:val="007821EB"/>
    <w:rsid w:val="00782488"/>
    <w:rsid w:val="007828CE"/>
    <w:rsid w:val="00782973"/>
    <w:rsid w:val="00782C16"/>
    <w:rsid w:val="00783045"/>
    <w:rsid w:val="00783428"/>
    <w:rsid w:val="00783548"/>
    <w:rsid w:val="00783588"/>
    <w:rsid w:val="00783B3A"/>
    <w:rsid w:val="0078410E"/>
    <w:rsid w:val="007843F2"/>
    <w:rsid w:val="007846FA"/>
    <w:rsid w:val="0078474E"/>
    <w:rsid w:val="007847A5"/>
    <w:rsid w:val="00784A03"/>
    <w:rsid w:val="00784C8C"/>
    <w:rsid w:val="00785156"/>
    <w:rsid w:val="007851E0"/>
    <w:rsid w:val="00785215"/>
    <w:rsid w:val="00785241"/>
    <w:rsid w:val="007853FF"/>
    <w:rsid w:val="007859DD"/>
    <w:rsid w:val="00785A9F"/>
    <w:rsid w:val="007860C3"/>
    <w:rsid w:val="007861C3"/>
    <w:rsid w:val="007861DE"/>
    <w:rsid w:val="00786746"/>
    <w:rsid w:val="007873A5"/>
    <w:rsid w:val="007873CF"/>
    <w:rsid w:val="007874EC"/>
    <w:rsid w:val="007875B7"/>
    <w:rsid w:val="00787765"/>
    <w:rsid w:val="007879A0"/>
    <w:rsid w:val="00787E3B"/>
    <w:rsid w:val="00787E43"/>
    <w:rsid w:val="00790489"/>
    <w:rsid w:val="00790F9D"/>
    <w:rsid w:val="007910D5"/>
    <w:rsid w:val="00791186"/>
    <w:rsid w:val="0079158F"/>
    <w:rsid w:val="00791611"/>
    <w:rsid w:val="0079174D"/>
    <w:rsid w:val="00791B76"/>
    <w:rsid w:val="00791DA3"/>
    <w:rsid w:val="00791ECE"/>
    <w:rsid w:val="007925B2"/>
    <w:rsid w:val="007925DF"/>
    <w:rsid w:val="007928B8"/>
    <w:rsid w:val="007928F6"/>
    <w:rsid w:val="00792B1B"/>
    <w:rsid w:val="00792FEE"/>
    <w:rsid w:val="007939DC"/>
    <w:rsid w:val="00793AE6"/>
    <w:rsid w:val="00793EC4"/>
    <w:rsid w:val="007944C1"/>
    <w:rsid w:val="00794657"/>
    <w:rsid w:val="00794AFE"/>
    <w:rsid w:val="00795044"/>
    <w:rsid w:val="0079515D"/>
    <w:rsid w:val="007951B8"/>
    <w:rsid w:val="00795A56"/>
    <w:rsid w:val="00795E82"/>
    <w:rsid w:val="00795EEF"/>
    <w:rsid w:val="00795F12"/>
    <w:rsid w:val="007968EB"/>
    <w:rsid w:val="00796967"/>
    <w:rsid w:val="00796A82"/>
    <w:rsid w:val="00796E72"/>
    <w:rsid w:val="00797152"/>
    <w:rsid w:val="007971D3"/>
    <w:rsid w:val="007972FD"/>
    <w:rsid w:val="00797A7B"/>
    <w:rsid w:val="00797FD8"/>
    <w:rsid w:val="007A0021"/>
    <w:rsid w:val="007A0825"/>
    <w:rsid w:val="007A08AA"/>
    <w:rsid w:val="007A0A12"/>
    <w:rsid w:val="007A0B97"/>
    <w:rsid w:val="007A0FD5"/>
    <w:rsid w:val="007A11B0"/>
    <w:rsid w:val="007A132D"/>
    <w:rsid w:val="007A1345"/>
    <w:rsid w:val="007A165E"/>
    <w:rsid w:val="007A18CE"/>
    <w:rsid w:val="007A28A5"/>
    <w:rsid w:val="007A2DDB"/>
    <w:rsid w:val="007A311F"/>
    <w:rsid w:val="007A383A"/>
    <w:rsid w:val="007A384D"/>
    <w:rsid w:val="007A38E7"/>
    <w:rsid w:val="007A4249"/>
    <w:rsid w:val="007A4880"/>
    <w:rsid w:val="007A498A"/>
    <w:rsid w:val="007A4F1E"/>
    <w:rsid w:val="007A54B6"/>
    <w:rsid w:val="007A57D7"/>
    <w:rsid w:val="007A5E3F"/>
    <w:rsid w:val="007A5FC4"/>
    <w:rsid w:val="007A6233"/>
    <w:rsid w:val="007A6444"/>
    <w:rsid w:val="007A654E"/>
    <w:rsid w:val="007A6D23"/>
    <w:rsid w:val="007A6D70"/>
    <w:rsid w:val="007A6E31"/>
    <w:rsid w:val="007A70BA"/>
    <w:rsid w:val="007A7573"/>
    <w:rsid w:val="007A75ED"/>
    <w:rsid w:val="007A760B"/>
    <w:rsid w:val="007A76EE"/>
    <w:rsid w:val="007B017F"/>
    <w:rsid w:val="007B046E"/>
    <w:rsid w:val="007B0579"/>
    <w:rsid w:val="007B0746"/>
    <w:rsid w:val="007B08A6"/>
    <w:rsid w:val="007B08F2"/>
    <w:rsid w:val="007B0D68"/>
    <w:rsid w:val="007B0D89"/>
    <w:rsid w:val="007B0E14"/>
    <w:rsid w:val="007B14B3"/>
    <w:rsid w:val="007B200E"/>
    <w:rsid w:val="007B2483"/>
    <w:rsid w:val="007B251D"/>
    <w:rsid w:val="007B25FC"/>
    <w:rsid w:val="007B2A77"/>
    <w:rsid w:val="007B2F9E"/>
    <w:rsid w:val="007B3111"/>
    <w:rsid w:val="007B3165"/>
    <w:rsid w:val="007B323C"/>
    <w:rsid w:val="007B3533"/>
    <w:rsid w:val="007B37C8"/>
    <w:rsid w:val="007B3883"/>
    <w:rsid w:val="007B3A99"/>
    <w:rsid w:val="007B3D82"/>
    <w:rsid w:val="007B3E3F"/>
    <w:rsid w:val="007B3F62"/>
    <w:rsid w:val="007B404D"/>
    <w:rsid w:val="007B4294"/>
    <w:rsid w:val="007B43E0"/>
    <w:rsid w:val="007B45D5"/>
    <w:rsid w:val="007B4F58"/>
    <w:rsid w:val="007B4FF5"/>
    <w:rsid w:val="007B528D"/>
    <w:rsid w:val="007B53EF"/>
    <w:rsid w:val="007B55BA"/>
    <w:rsid w:val="007B58F6"/>
    <w:rsid w:val="007B5B4B"/>
    <w:rsid w:val="007B5D51"/>
    <w:rsid w:val="007B5E65"/>
    <w:rsid w:val="007B5F09"/>
    <w:rsid w:val="007B61EA"/>
    <w:rsid w:val="007B61FF"/>
    <w:rsid w:val="007B6352"/>
    <w:rsid w:val="007B63CA"/>
    <w:rsid w:val="007B659C"/>
    <w:rsid w:val="007B67B1"/>
    <w:rsid w:val="007B6B83"/>
    <w:rsid w:val="007B6FD1"/>
    <w:rsid w:val="007B7196"/>
    <w:rsid w:val="007B7284"/>
    <w:rsid w:val="007B7356"/>
    <w:rsid w:val="007B77D1"/>
    <w:rsid w:val="007B7E4E"/>
    <w:rsid w:val="007B7F02"/>
    <w:rsid w:val="007C0183"/>
    <w:rsid w:val="007C01E3"/>
    <w:rsid w:val="007C07C7"/>
    <w:rsid w:val="007C085B"/>
    <w:rsid w:val="007C08A6"/>
    <w:rsid w:val="007C0952"/>
    <w:rsid w:val="007C0CB0"/>
    <w:rsid w:val="007C1473"/>
    <w:rsid w:val="007C1541"/>
    <w:rsid w:val="007C1747"/>
    <w:rsid w:val="007C188F"/>
    <w:rsid w:val="007C1CD9"/>
    <w:rsid w:val="007C21EE"/>
    <w:rsid w:val="007C2289"/>
    <w:rsid w:val="007C2299"/>
    <w:rsid w:val="007C279C"/>
    <w:rsid w:val="007C27B8"/>
    <w:rsid w:val="007C27FD"/>
    <w:rsid w:val="007C2AE2"/>
    <w:rsid w:val="007C2B13"/>
    <w:rsid w:val="007C2DAE"/>
    <w:rsid w:val="007C312B"/>
    <w:rsid w:val="007C32A7"/>
    <w:rsid w:val="007C32EF"/>
    <w:rsid w:val="007C33C7"/>
    <w:rsid w:val="007C3593"/>
    <w:rsid w:val="007C361D"/>
    <w:rsid w:val="007C3A72"/>
    <w:rsid w:val="007C3BA3"/>
    <w:rsid w:val="007C3BED"/>
    <w:rsid w:val="007C3C20"/>
    <w:rsid w:val="007C3C8C"/>
    <w:rsid w:val="007C3DE5"/>
    <w:rsid w:val="007C3E9B"/>
    <w:rsid w:val="007C3FF3"/>
    <w:rsid w:val="007C4A16"/>
    <w:rsid w:val="007C4AED"/>
    <w:rsid w:val="007C4B84"/>
    <w:rsid w:val="007C4BA7"/>
    <w:rsid w:val="007C4E64"/>
    <w:rsid w:val="007C4F07"/>
    <w:rsid w:val="007C511D"/>
    <w:rsid w:val="007C5185"/>
    <w:rsid w:val="007C55E3"/>
    <w:rsid w:val="007C5993"/>
    <w:rsid w:val="007C6035"/>
    <w:rsid w:val="007C6768"/>
    <w:rsid w:val="007C6BAB"/>
    <w:rsid w:val="007C70FF"/>
    <w:rsid w:val="007C7662"/>
    <w:rsid w:val="007C776F"/>
    <w:rsid w:val="007C7852"/>
    <w:rsid w:val="007C7C25"/>
    <w:rsid w:val="007C7DCF"/>
    <w:rsid w:val="007C7DF8"/>
    <w:rsid w:val="007C7EFC"/>
    <w:rsid w:val="007C7F07"/>
    <w:rsid w:val="007D004F"/>
    <w:rsid w:val="007D00F9"/>
    <w:rsid w:val="007D0289"/>
    <w:rsid w:val="007D035F"/>
    <w:rsid w:val="007D06B2"/>
    <w:rsid w:val="007D09F5"/>
    <w:rsid w:val="007D0B38"/>
    <w:rsid w:val="007D1578"/>
    <w:rsid w:val="007D1718"/>
    <w:rsid w:val="007D18C9"/>
    <w:rsid w:val="007D1A6E"/>
    <w:rsid w:val="007D1BAA"/>
    <w:rsid w:val="007D1ED1"/>
    <w:rsid w:val="007D201F"/>
    <w:rsid w:val="007D26D4"/>
    <w:rsid w:val="007D2AF6"/>
    <w:rsid w:val="007D2C34"/>
    <w:rsid w:val="007D2D2D"/>
    <w:rsid w:val="007D2E43"/>
    <w:rsid w:val="007D32D8"/>
    <w:rsid w:val="007D32FB"/>
    <w:rsid w:val="007D3366"/>
    <w:rsid w:val="007D3551"/>
    <w:rsid w:val="007D367F"/>
    <w:rsid w:val="007D3B86"/>
    <w:rsid w:val="007D3C06"/>
    <w:rsid w:val="007D421C"/>
    <w:rsid w:val="007D4FCD"/>
    <w:rsid w:val="007D51D3"/>
    <w:rsid w:val="007D5440"/>
    <w:rsid w:val="007D5616"/>
    <w:rsid w:val="007D5D8E"/>
    <w:rsid w:val="007D5D9D"/>
    <w:rsid w:val="007D62A7"/>
    <w:rsid w:val="007D642A"/>
    <w:rsid w:val="007D649B"/>
    <w:rsid w:val="007D64AF"/>
    <w:rsid w:val="007D64EF"/>
    <w:rsid w:val="007D663F"/>
    <w:rsid w:val="007D66C6"/>
    <w:rsid w:val="007D66DF"/>
    <w:rsid w:val="007D67D1"/>
    <w:rsid w:val="007D69EB"/>
    <w:rsid w:val="007D6A6A"/>
    <w:rsid w:val="007D6DBD"/>
    <w:rsid w:val="007D6E82"/>
    <w:rsid w:val="007D7C06"/>
    <w:rsid w:val="007D7CD8"/>
    <w:rsid w:val="007E022F"/>
    <w:rsid w:val="007E0252"/>
    <w:rsid w:val="007E02EC"/>
    <w:rsid w:val="007E09E9"/>
    <w:rsid w:val="007E0A36"/>
    <w:rsid w:val="007E0EA8"/>
    <w:rsid w:val="007E0FC8"/>
    <w:rsid w:val="007E11FD"/>
    <w:rsid w:val="007E128F"/>
    <w:rsid w:val="007E191C"/>
    <w:rsid w:val="007E19B0"/>
    <w:rsid w:val="007E1A17"/>
    <w:rsid w:val="007E23A2"/>
    <w:rsid w:val="007E254A"/>
    <w:rsid w:val="007E26F5"/>
    <w:rsid w:val="007E2CB2"/>
    <w:rsid w:val="007E2D87"/>
    <w:rsid w:val="007E2FD4"/>
    <w:rsid w:val="007E2FEF"/>
    <w:rsid w:val="007E30A6"/>
    <w:rsid w:val="007E31D7"/>
    <w:rsid w:val="007E3B1B"/>
    <w:rsid w:val="007E3C0E"/>
    <w:rsid w:val="007E55DE"/>
    <w:rsid w:val="007E5B3E"/>
    <w:rsid w:val="007E5E9E"/>
    <w:rsid w:val="007E612C"/>
    <w:rsid w:val="007E6BE5"/>
    <w:rsid w:val="007E6BEA"/>
    <w:rsid w:val="007E706D"/>
    <w:rsid w:val="007E74EC"/>
    <w:rsid w:val="007E7698"/>
    <w:rsid w:val="007E7883"/>
    <w:rsid w:val="007E7AA5"/>
    <w:rsid w:val="007E7D74"/>
    <w:rsid w:val="007F05F5"/>
    <w:rsid w:val="007F05FD"/>
    <w:rsid w:val="007F0794"/>
    <w:rsid w:val="007F1017"/>
    <w:rsid w:val="007F10AD"/>
    <w:rsid w:val="007F1168"/>
    <w:rsid w:val="007F12D4"/>
    <w:rsid w:val="007F12F8"/>
    <w:rsid w:val="007F177C"/>
    <w:rsid w:val="007F1980"/>
    <w:rsid w:val="007F1E76"/>
    <w:rsid w:val="007F2653"/>
    <w:rsid w:val="007F26E1"/>
    <w:rsid w:val="007F2861"/>
    <w:rsid w:val="007F28D5"/>
    <w:rsid w:val="007F2A07"/>
    <w:rsid w:val="007F2CEA"/>
    <w:rsid w:val="007F2CF3"/>
    <w:rsid w:val="007F2E1B"/>
    <w:rsid w:val="007F2E98"/>
    <w:rsid w:val="007F30A7"/>
    <w:rsid w:val="007F334F"/>
    <w:rsid w:val="007F33B7"/>
    <w:rsid w:val="007F35DA"/>
    <w:rsid w:val="007F369D"/>
    <w:rsid w:val="007F37C1"/>
    <w:rsid w:val="007F382F"/>
    <w:rsid w:val="007F3C3D"/>
    <w:rsid w:val="007F3D7F"/>
    <w:rsid w:val="007F3FD1"/>
    <w:rsid w:val="007F43A7"/>
    <w:rsid w:val="007F44F6"/>
    <w:rsid w:val="007F4A3F"/>
    <w:rsid w:val="007F4A61"/>
    <w:rsid w:val="007F50F9"/>
    <w:rsid w:val="007F5111"/>
    <w:rsid w:val="007F5255"/>
    <w:rsid w:val="007F53C3"/>
    <w:rsid w:val="007F5585"/>
    <w:rsid w:val="007F56CC"/>
    <w:rsid w:val="007F57AB"/>
    <w:rsid w:val="007F58AA"/>
    <w:rsid w:val="007F5BCA"/>
    <w:rsid w:val="007F609A"/>
    <w:rsid w:val="007F61C2"/>
    <w:rsid w:val="007F6356"/>
    <w:rsid w:val="007F6527"/>
    <w:rsid w:val="007F683C"/>
    <w:rsid w:val="007F693C"/>
    <w:rsid w:val="007F698A"/>
    <w:rsid w:val="007F6E1F"/>
    <w:rsid w:val="007F720B"/>
    <w:rsid w:val="007F7695"/>
    <w:rsid w:val="007F7B9B"/>
    <w:rsid w:val="008007A4"/>
    <w:rsid w:val="008009DA"/>
    <w:rsid w:val="00801074"/>
    <w:rsid w:val="008010A1"/>
    <w:rsid w:val="008015CB"/>
    <w:rsid w:val="00801845"/>
    <w:rsid w:val="0080194B"/>
    <w:rsid w:val="00801C4D"/>
    <w:rsid w:val="00801F77"/>
    <w:rsid w:val="00802319"/>
    <w:rsid w:val="00802355"/>
    <w:rsid w:val="00802468"/>
    <w:rsid w:val="00802693"/>
    <w:rsid w:val="00803155"/>
    <w:rsid w:val="008031CA"/>
    <w:rsid w:val="008032E2"/>
    <w:rsid w:val="00803561"/>
    <w:rsid w:val="008042E7"/>
    <w:rsid w:val="008043D7"/>
    <w:rsid w:val="00804DCB"/>
    <w:rsid w:val="0080501E"/>
    <w:rsid w:val="00805142"/>
    <w:rsid w:val="0080566B"/>
    <w:rsid w:val="00805DB3"/>
    <w:rsid w:val="00805FCE"/>
    <w:rsid w:val="00805FF4"/>
    <w:rsid w:val="0080604E"/>
    <w:rsid w:val="008060A0"/>
    <w:rsid w:val="00806146"/>
    <w:rsid w:val="0080615E"/>
    <w:rsid w:val="008062E0"/>
    <w:rsid w:val="008067EB"/>
    <w:rsid w:val="00806ABA"/>
    <w:rsid w:val="00806F92"/>
    <w:rsid w:val="0080718A"/>
    <w:rsid w:val="008073D2"/>
    <w:rsid w:val="008074E7"/>
    <w:rsid w:val="00807A8B"/>
    <w:rsid w:val="00807B03"/>
    <w:rsid w:val="00807D13"/>
    <w:rsid w:val="00807E2E"/>
    <w:rsid w:val="00807E56"/>
    <w:rsid w:val="00810213"/>
    <w:rsid w:val="00810315"/>
    <w:rsid w:val="00810451"/>
    <w:rsid w:val="00810EE6"/>
    <w:rsid w:val="00811383"/>
    <w:rsid w:val="008113BA"/>
    <w:rsid w:val="00811616"/>
    <w:rsid w:val="00811A37"/>
    <w:rsid w:val="00811B9C"/>
    <w:rsid w:val="00811BB3"/>
    <w:rsid w:val="00811E6B"/>
    <w:rsid w:val="00812149"/>
    <w:rsid w:val="00812489"/>
    <w:rsid w:val="008126D0"/>
    <w:rsid w:val="00812C14"/>
    <w:rsid w:val="00812C5B"/>
    <w:rsid w:val="00812CAC"/>
    <w:rsid w:val="00812E87"/>
    <w:rsid w:val="00812FB0"/>
    <w:rsid w:val="0081369B"/>
    <w:rsid w:val="00813858"/>
    <w:rsid w:val="00813868"/>
    <w:rsid w:val="00813D22"/>
    <w:rsid w:val="00814024"/>
    <w:rsid w:val="008141B7"/>
    <w:rsid w:val="00814488"/>
    <w:rsid w:val="00814835"/>
    <w:rsid w:val="00814942"/>
    <w:rsid w:val="00814AB1"/>
    <w:rsid w:val="00814CB8"/>
    <w:rsid w:val="00814D9A"/>
    <w:rsid w:val="00814F65"/>
    <w:rsid w:val="008153A2"/>
    <w:rsid w:val="00815992"/>
    <w:rsid w:val="00815AA4"/>
    <w:rsid w:val="00815B0C"/>
    <w:rsid w:val="00815D84"/>
    <w:rsid w:val="00816170"/>
    <w:rsid w:val="00816361"/>
    <w:rsid w:val="00816408"/>
    <w:rsid w:val="0081649F"/>
    <w:rsid w:val="008166A2"/>
    <w:rsid w:val="008166EF"/>
    <w:rsid w:val="00816D9C"/>
    <w:rsid w:val="00816FEF"/>
    <w:rsid w:val="008174B1"/>
    <w:rsid w:val="008175F3"/>
    <w:rsid w:val="008176B8"/>
    <w:rsid w:val="00817EF5"/>
    <w:rsid w:val="00817F15"/>
    <w:rsid w:val="00817F52"/>
    <w:rsid w:val="00820365"/>
    <w:rsid w:val="008203D1"/>
    <w:rsid w:val="00820500"/>
    <w:rsid w:val="00820635"/>
    <w:rsid w:val="0082086F"/>
    <w:rsid w:val="00820A0B"/>
    <w:rsid w:val="00820A48"/>
    <w:rsid w:val="00820A8C"/>
    <w:rsid w:val="00820B71"/>
    <w:rsid w:val="00820BED"/>
    <w:rsid w:val="00820CC7"/>
    <w:rsid w:val="00821000"/>
    <w:rsid w:val="00821367"/>
    <w:rsid w:val="0082136B"/>
    <w:rsid w:val="008215FB"/>
    <w:rsid w:val="008220CC"/>
    <w:rsid w:val="00822EA8"/>
    <w:rsid w:val="0082300B"/>
    <w:rsid w:val="00823174"/>
    <w:rsid w:val="0082422F"/>
    <w:rsid w:val="0082444C"/>
    <w:rsid w:val="0082447D"/>
    <w:rsid w:val="00824523"/>
    <w:rsid w:val="00824626"/>
    <w:rsid w:val="00824A34"/>
    <w:rsid w:val="00824AC4"/>
    <w:rsid w:val="00824CC1"/>
    <w:rsid w:val="00824F26"/>
    <w:rsid w:val="0082503F"/>
    <w:rsid w:val="008252CB"/>
    <w:rsid w:val="00825751"/>
    <w:rsid w:val="00825BAA"/>
    <w:rsid w:val="00825EFA"/>
    <w:rsid w:val="0082608C"/>
    <w:rsid w:val="008264EB"/>
    <w:rsid w:val="008264F0"/>
    <w:rsid w:val="00826769"/>
    <w:rsid w:val="0082679B"/>
    <w:rsid w:val="008268CE"/>
    <w:rsid w:val="00826974"/>
    <w:rsid w:val="008269F1"/>
    <w:rsid w:val="008269FE"/>
    <w:rsid w:val="00827194"/>
    <w:rsid w:val="008271C0"/>
    <w:rsid w:val="00827AF0"/>
    <w:rsid w:val="00827B23"/>
    <w:rsid w:val="00827B8D"/>
    <w:rsid w:val="00827C23"/>
    <w:rsid w:val="00827C31"/>
    <w:rsid w:val="00827CA7"/>
    <w:rsid w:val="00827DA6"/>
    <w:rsid w:val="00827E4E"/>
    <w:rsid w:val="00830327"/>
    <w:rsid w:val="00830366"/>
    <w:rsid w:val="0083061B"/>
    <w:rsid w:val="00830936"/>
    <w:rsid w:val="00830C44"/>
    <w:rsid w:val="00831376"/>
    <w:rsid w:val="00831890"/>
    <w:rsid w:val="00833446"/>
    <w:rsid w:val="00833494"/>
    <w:rsid w:val="0083371C"/>
    <w:rsid w:val="00833B05"/>
    <w:rsid w:val="00833DBA"/>
    <w:rsid w:val="00833ED8"/>
    <w:rsid w:val="0083403B"/>
    <w:rsid w:val="00834087"/>
    <w:rsid w:val="00834175"/>
    <w:rsid w:val="008341D1"/>
    <w:rsid w:val="00834211"/>
    <w:rsid w:val="008343A9"/>
    <w:rsid w:val="00834C5C"/>
    <w:rsid w:val="008353E9"/>
    <w:rsid w:val="0083560C"/>
    <w:rsid w:val="0083573D"/>
    <w:rsid w:val="00835987"/>
    <w:rsid w:val="00835A59"/>
    <w:rsid w:val="00835FCF"/>
    <w:rsid w:val="00836077"/>
    <w:rsid w:val="00836145"/>
    <w:rsid w:val="0083616B"/>
    <w:rsid w:val="008362B4"/>
    <w:rsid w:val="0083654C"/>
    <w:rsid w:val="008369E3"/>
    <w:rsid w:val="00836A23"/>
    <w:rsid w:val="00836BBD"/>
    <w:rsid w:val="008370CA"/>
    <w:rsid w:val="008373E0"/>
    <w:rsid w:val="008377CC"/>
    <w:rsid w:val="00837A4D"/>
    <w:rsid w:val="00837F6F"/>
    <w:rsid w:val="0084013B"/>
    <w:rsid w:val="00840672"/>
    <w:rsid w:val="008408DD"/>
    <w:rsid w:val="0084095C"/>
    <w:rsid w:val="00840CA2"/>
    <w:rsid w:val="00840CAF"/>
    <w:rsid w:val="00841478"/>
    <w:rsid w:val="00841711"/>
    <w:rsid w:val="00841785"/>
    <w:rsid w:val="00841DCA"/>
    <w:rsid w:val="00842473"/>
    <w:rsid w:val="008425D1"/>
    <w:rsid w:val="008428AF"/>
    <w:rsid w:val="008431A7"/>
    <w:rsid w:val="0084374F"/>
    <w:rsid w:val="008437FC"/>
    <w:rsid w:val="00843F9B"/>
    <w:rsid w:val="008442C4"/>
    <w:rsid w:val="00844515"/>
    <w:rsid w:val="0084469E"/>
    <w:rsid w:val="008449CD"/>
    <w:rsid w:val="00844A22"/>
    <w:rsid w:val="008453F2"/>
    <w:rsid w:val="008455A5"/>
    <w:rsid w:val="008456E4"/>
    <w:rsid w:val="00845A35"/>
    <w:rsid w:val="00845A6A"/>
    <w:rsid w:val="00845BA4"/>
    <w:rsid w:val="00845CC2"/>
    <w:rsid w:val="00845E18"/>
    <w:rsid w:val="00845F66"/>
    <w:rsid w:val="008463FB"/>
    <w:rsid w:val="00846467"/>
    <w:rsid w:val="00846504"/>
    <w:rsid w:val="00846890"/>
    <w:rsid w:val="00846E9C"/>
    <w:rsid w:val="00846ECD"/>
    <w:rsid w:val="00847703"/>
    <w:rsid w:val="008477B4"/>
    <w:rsid w:val="0084790A"/>
    <w:rsid w:val="00847DF5"/>
    <w:rsid w:val="00847E3C"/>
    <w:rsid w:val="00847EF0"/>
    <w:rsid w:val="008500D2"/>
    <w:rsid w:val="00850118"/>
    <w:rsid w:val="0085096B"/>
    <w:rsid w:val="008509F4"/>
    <w:rsid w:val="00850ABC"/>
    <w:rsid w:val="00850AC2"/>
    <w:rsid w:val="00850E29"/>
    <w:rsid w:val="00851425"/>
    <w:rsid w:val="00851727"/>
    <w:rsid w:val="00851833"/>
    <w:rsid w:val="008519FC"/>
    <w:rsid w:val="00851BDE"/>
    <w:rsid w:val="00851D6F"/>
    <w:rsid w:val="008520F3"/>
    <w:rsid w:val="0085227D"/>
    <w:rsid w:val="0085235B"/>
    <w:rsid w:val="008528F2"/>
    <w:rsid w:val="00852AD2"/>
    <w:rsid w:val="00852B11"/>
    <w:rsid w:val="00852BB9"/>
    <w:rsid w:val="00852BEE"/>
    <w:rsid w:val="00852DF4"/>
    <w:rsid w:val="00852EF9"/>
    <w:rsid w:val="00852F27"/>
    <w:rsid w:val="0085309D"/>
    <w:rsid w:val="008533ED"/>
    <w:rsid w:val="0085340A"/>
    <w:rsid w:val="008534F1"/>
    <w:rsid w:val="00853C1F"/>
    <w:rsid w:val="00854019"/>
    <w:rsid w:val="008540C1"/>
    <w:rsid w:val="008542DC"/>
    <w:rsid w:val="0085434A"/>
    <w:rsid w:val="00854439"/>
    <w:rsid w:val="0085499D"/>
    <w:rsid w:val="008549CA"/>
    <w:rsid w:val="008549F9"/>
    <w:rsid w:val="00855103"/>
    <w:rsid w:val="00855356"/>
    <w:rsid w:val="0085566E"/>
    <w:rsid w:val="00855966"/>
    <w:rsid w:val="00855CBC"/>
    <w:rsid w:val="00855D15"/>
    <w:rsid w:val="00856474"/>
    <w:rsid w:val="00856601"/>
    <w:rsid w:val="00856897"/>
    <w:rsid w:val="00856984"/>
    <w:rsid w:val="00856E9A"/>
    <w:rsid w:val="008572B2"/>
    <w:rsid w:val="008573C5"/>
    <w:rsid w:val="008575A5"/>
    <w:rsid w:val="00857707"/>
    <w:rsid w:val="0086075D"/>
    <w:rsid w:val="0086081D"/>
    <w:rsid w:val="00860B26"/>
    <w:rsid w:val="00860B48"/>
    <w:rsid w:val="00860E6B"/>
    <w:rsid w:val="00860F0B"/>
    <w:rsid w:val="00861292"/>
    <w:rsid w:val="00861578"/>
    <w:rsid w:val="0086180D"/>
    <w:rsid w:val="008618CF"/>
    <w:rsid w:val="008619F4"/>
    <w:rsid w:val="00861A66"/>
    <w:rsid w:val="00861FAC"/>
    <w:rsid w:val="00862502"/>
    <w:rsid w:val="00862B63"/>
    <w:rsid w:val="00862CC1"/>
    <w:rsid w:val="00863313"/>
    <w:rsid w:val="0086359F"/>
    <w:rsid w:val="0086376D"/>
    <w:rsid w:val="00863971"/>
    <w:rsid w:val="00863C50"/>
    <w:rsid w:val="00863FB2"/>
    <w:rsid w:val="00863FFE"/>
    <w:rsid w:val="00864278"/>
    <w:rsid w:val="008642A7"/>
    <w:rsid w:val="0086436F"/>
    <w:rsid w:val="0086454D"/>
    <w:rsid w:val="008649D9"/>
    <w:rsid w:val="00865003"/>
    <w:rsid w:val="008651E0"/>
    <w:rsid w:val="00865691"/>
    <w:rsid w:val="00865C52"/>
    <w:rsid w:val="00865CB7"/>
    <w:rsid w:val="008660D4"/>
    <w:rsid w:val="0086615F"/>
    <w:rsid w:val="00866388"/>
    <w:rsid w:val="00866404"/>
    <w:rsid w:val="0086752E"/>
    <w:rsid w:val="00867B13"/>
    <w:rsid w:val="00867C95"/>
    <w:rsid w:val="00867D15"/>
    <w:rsid w:val="00870CED"/>
    <w:rsid w:val="00871328"/>
    <w:rsid w:val="00871811"/>
    <w:rsid w:val="00871B11"/>
    <w:rsid w:val="00871F4B"/>
    <w:rsid w:val="00871FA9"/>
    <w:rsid w:val="008728E9"/>
    <w:rsid w:val="008729A1"/>
    <w:rsid w:val="00872AF5"/>
    <w:rsid w:val="00872BCC"/>
    <w:rsid w:val="00872C2C"/>
    <w:rsid w:val="00872DC0"/>
    <w:rsid w:val="0087314F"/>
    <w:rsid w:val="0087337A"/>
    <w:rsid w:val="008734E5"/>
    <w:rsid w:val="008734F5"/>
    <w:rsid w:val="00873576"/>
    <w:rsid w:val="00873667"/>
    <w:rsid w:val="008737D6"/>
    <w:rsid w:val="00873CCA"/>
    <w:rsid w:val="00873D79"/>
    <w:rsid w:val="008742F4"/>
    <w:rsid w:val="008744E1"/>
    <w:rsid w:val="008744E7"/>
    <w:rsid w:val="00874A75"/>
    <w:rsid w:val="00874BD9"/>
    <w:rsid w:val="00874BFA"/>
    <w:rsid w:val="00874F1A"/>
    <w:rsid w:val="00874FB8"/>
    <w:rsid w:val="0087503A"/>
    <w:rsid w:val="00875483"/>
    <w:rsid w:val="00875D58"/>
    <w:rsid w:val="00876331"/>
    <w:rsid w:val="00876363"/>
    <w:rsid w:val="00876460"/>
    <w:rsid w:val="00876707"/>
    <w:rsid w:val="00876789"/>
    <w:rsid w:val="00876A0A"/>
    <w:rsid w:val="00876B0D"/>
    <w:rsid w:val="00876C92"/>
    <w:rsid w:val="00877462"/>
    <w:rsid w:val="00877A46"/>
    <w:rsid w:val="00877B4C"/>
    <w:rsid w:val="00877E41"/>
    <w:rsid w:val="00880654"/>
    <w:rsid w:val="00880996"/>
    <w:rsid w:val="00880D1E"/>
    <w:rsid w:val="008812CB"/>
    <w:rsid w:val="008818CB"/>
    <w:rsid w:val="00881A27"/>
    <w:rsid w:val="00881F62"/>
    <w:rsid w:val="00881FBF"/>
    <w:rsid w:val="0088211E"/>
    <w:rsid w:val="008824A7"/>
    <w:rsid w:val="00882500"/>
    <w:rsid w:val="00882518"/>
    <w:rsid w:val="00882585"/>
    <w:rsid w:val="00882874"/>
    <w:rsid w:val="00882BCA"/>
    <w:rsid w:val="00882CC1"/>
    <w:rsid w:val="00882E3C"/>
    <w:rsid w:val="00882E61"/>
    <w:rsid w:val="00882ECA"/>
    <w:rsid w:val="0088308A"/>
    <w:rsid w:val="008835CC"/>
    <w:rsid w:val="00883787"/>
    <w:rsid w:val="008837B9"/>
    <w:rsid w:val="00883990"/>
    <w:rsid w:val="00883BE1"/>
    <w:rsid w:val="00883C15"/>
    <w:rsid w:val="00884281"/>
    <w:rsid w:val="00884879"/>
    <w:rsid w:val="00884A6C"/>
    <w:rsid w:val="00884AF5"/>
    <w:rsid w:val="0088545E"/>
    <w:rsid w:val="008855E4"/>
    <w:rsid w:val="008855F6"/>
    <w:rsid w:val="008855FB"/>
    <w:rsid w:val="008858C6"/>
    <w:rsid w:val="00885951"/>
    <w:rsid w:val="00885B36"/>
    <w:rsid w:val="00885BE3"/>
    <w:rsid w:val="00885EB1"/>
    <w:rsid w:val="00885F01"/>
    <w:rsid w:val="0088623C"/>
    <w:rsid w:val="00886535"/>
    <w:rsid w:val="00886ABD"/>
    <w:rsid w:val="00886CD2"/>
    <w:rsid w:val="00887318"/>
    <w:rsid w:val="008873A5"/>
    <w:rsid w:val="0088758D"/>
    <w:rsid w:val="008877C9"/>
    <w:rsid w:val="00887B14"/>
    <w:rsid w:val="00887DF9"/>
    <w:rsid w:val="00890853"/>
    <w:rsid w:val="00890866"/>
    <w:rsid w:val="00890872"/>
    <w:rsid w:val="008909B9"/>
    <w:rsid w:val="00890C36"/>
    <w:rsid w:val="008912CE"/>
    <w:rsid w:val="008912D2"/>
    <w:rsid w:val="008912D9"/>
    <w:rsid w:val="008916A6"/>
    <w:rsid w:val="008917F7"/>
    <w:rsid w:val="00891ABD"/>
    <w:rsid w:val="00891CD0"/>
    <w:rsid w:val="00891E6F"/>
    <w:rsid w:val="00892637"/>
    <w:rsid w:val="0089275D"/>
    <w:rsid w:val="008929DD"/>
    <w:rsid w:val="00892A36"/>
    <w:rsid w:val="00892E86"/>
    <w:rsid w:val="00893239"/>
    <w:rsid w:val="00893694"/>
    <w:rsid w:val="008938DD"/>
    <w:rsid w:val="00893939"/>
    <w:rsid w:val="00893ADD"/>
    <w:rsid w:val="00893EBF"/>
    <w:rsid w:val="0089420E"/>
    <w:rsid w:val="0089424C"/>
    <w:rsid w:val="00894489"/>
    <w:rsid w:val="008945C9"/>
    <w:rsid w:val="00894CD6"/>
    <w:rsid w:val="00894FA5"/>
    <w:rsid w:val="008950EF"/>
    <w:rsid w:val="00895335"/>
    <w:rsid w:val="00895F57"/>
    <w:rsid w:val="008963A5"/>
    <w:rsid w:val="008963D1"/>
    <w:rsid w:val="00896508"/>
    <w:rsid w:val="0089693A"/>
    <w:rsid w:val="00896A46"/>
    <w:rsid w:val="00896D5D"/>
    <w:rsid w:val="00896E8A"/>
    <w:rsid w:val="00897173"/>
    <w:rsid w:val="0089727F"/>
    <w:rsid w:val="008974A1"/>
    <w:rsid w:val="0089754D"/>
    <w:rsid w:val="008978FD"/>
    <w:rsid w:val="00897D49"/>
    <w:rsid w:val="00897E1E"/>
    <w:rsid w:val="008A018C"/>
    <w:rsid w:val="008A01A8"/>
    <w:rsid w:val="008A09E4"/>
    <w:rsid w:val="008A0A92"/>
    <w:rsid w:val="008A10F5"/>
    <w:rsid w:val="008A128E"/>
    <w:rsid w:val="008A1427"/>
    <w:rsid w:val="008A179B"/>
    <w:rsid w:val="008A195A"/>
    <w:rsid w:val="008A1ACD"/>
    <w:rsid w:val="008A1B46"/>
    <w:rsid w:val="008A1C50"/>
    <w:rsid w:val="008A2D73"/>
    <w:rsid w:val="008A2ED7"/>
    <w:rsid w:val="008A3158"/>
    <w:rsid w:val="008A3363"/>
    <w:rsid w:val="008A3371"/>
    <w:rsid w:val="008A33F9"/>
    <w:rsid w:val="008A38C3"/>
    <w:rsid w:val="008A3C3E"/>
    <w:rsid w:val="008A3F95"/>
    <w:rsid w:val="008A4363"/>
    <w:rsid w:val="008A45AC"/>
    <w:rsid w:val="008A46DF"/>
    <w:rsid w:val="008A49F9"/>
    <w:rsid w:val="008A4C89"/>
    <w:rsid w:val="008A555C"/>
    <w:rsid w:val="008A59D2"/>
    <w:rsid w:val="008A5E1C"/>
    <w:rsid w:val="008A5E89"/>
    <w:rsid w:val="008A5F35"/>
    <w:rsid w:val="008A6189"/>
    <w:rsid w:val="008A633A"/>
    <w:rsid w:val="008A64BB"/>
    <w:rsid w:val="008A6503"/>
    <w:rsid w:val="008A6A6A"/>
    <w:rsid w:val="008A6D68"/>
    <w:rsid w:val="008A7000"/>
    <w:rsid w:val="008A720E"/>
    <w:rsid w:val="008A73ED"/>
    <w:rsid w:val="008A743B"/>
    <w:rsid w:val="008A77CA"/>
    <w:rsid w:val="008A796A"/>
    <w:rsid w:val="008A79DE"/>
    <w:rsid w:val="008A7B47"/>
    <w:rsid w:val="008B00EA"/>
    <w:rsid w:val="008B011A"/>
    <w:rsid w:val="008B063D"/>
    <w:rsid w:val="008B06B2"/>
    <w:rsid w:val="008B09D5"/>
    <w:rsid w:val="008B0FEC"/>
    <w:rsid w:val="008B0FFC"/>
    <w:rsid w:val="008B1086"/>
    <w:rsid w:val="008B15BC"/>
    <w:rsid w:val="008B1757"/>
    <w:rsid w:val="008B1A98"/>
    <w:rsid w:val="008B1C33"/>
    <w:rsid w:val="008B1CF6"/>
    <w:rsid w:val="008B20CD"/>
    <w:rsid w:val="008B2194"/>
    <w:rsid w:val="008B2B8A"/>
    <w:rsid w:val="008B2E3A"/>
    <w:rsid w:val="008B31A0"/>
    <w:rsid w:val="008B352B"/>
    <w:rsid w:val="008B3786"/>
    <w:rsid w:val="008B3AD3"/>
    <w:rsid w:val="008B3CA1"/>
    <w:rsid w:val="008B4849"/>
    <w:rsid w:val="008B4B6F"/>
    <w:rsid w:val="008B4DAF"/>
    <w:rsid w:val="008B4FEC"/>
    <w:rsid w:val="008B51C8"/>
    <w:rsid w:val="008B53A5"/>
    <w:rsid w:val="008B55F6"/>
    <w:rsid w:val="008B5C47"/>
    <w:rsid w:val="008B5D8E"/>
    <w:rsid w:val="008B61F0"/>
    <w:rsid w:val="008B65F5"/>
    <w:rsid w:val="008B755D"/>
    <w:rsid w:val="008B7992"/>
    <w:rsid w:val="008B7A9B"/>
    <w:rsid w:val="008B7D7E"/>
    <w:rsid w:val="008B7E34"/>
    <w:rsid w:val="008B7FDA"/>
    <w:rsid w:val="008C0155"/>
    <w:rsid w:val="008C04A7"/>
    <w:rsid w:val="008C055F"/>
    <w:rsid w:val="008C0757"/>
    <w:rsid w:val="008C0D53"/>
    <w:rsid w:val="008C0E45"/>
    <w:rsid w:val="008C1178"/>
    <w:rsid w:val="008C1361"/>
    <w:rsid w:val="008C197E"/>
    <w:rsid w:val="008C1C2D"/>
    <w:rsid w:val="008C28E7"/>
    <w:rsid w:val="008C2DCA"/>
    <w:rsid w:val="008C2F85"/>
    <w:rsid w:val="008C3360"/>
    <w:rsid w:val="008C3694"/>
    <w:rsid w:val="008C3754"/>
    <w:rsid w:val="008C37F2"/>
    <w:rsid w:val="008C3AE8"/>
    <w:rsid w:val="008C3E36"/>
    <w:rsid w:val="008C3F18"/>
    <w:rsid w:val="008C3FA3"/>
    <w:rsid w:val="008C4AB5"/>
    <w:rsid w:val="008C4AFC"/>
    <w:rsid w:val="008C4C4F"/>
    <w:rsid w:val="008C5005"/>
    <w:rsid w:val="008C5610"/>
    <w:rsid w:val="008C5739"/>
    <w:rsid w:val="008C5743"/>
    <w:rsid w:val="008C5E70"/>
    <w:rsid w:val="008C5FE1"/>
    <w:rsid w:val="008C652D"/>
    <w:rsid w:val="008C680D"/>
    <w:rsid w:val="008C6BF3"/>
    <w:rsid w:val="008C7282"/>
    <w:rsid w:val="008C7A4B"/>
    <w:rsid w:val="008C7D01"/>
    <w:rsid w:val="008C7DEE"/>
    <w:rsid w:val="008C7E47"/>
    <w:rsid w:val="008C7ECB"/>
    <w:rsid w:val="008D01BF"/>
    <w:rsid w:val="008D021B"/>
    <w:rsid w:val="008D024A"/>
    <w:rsid w:val="008D04E1"/>
    <w:rsid w:val="008D074D"/>
    <w:rsid w:val="008D09D5"/>
    <w:rsid w:val="008D0E92"/>
    <w:rsid w:val="008D0F99"/>
    <w:rsid w:val="008D107A"/>
    <w:rsid w:val="008D1441"/>
    <w:rsid w:val="008D1646"/>
    <w:rsid w:val="008D17F7"/>
    <w:rsid w:val="008D1976"/>
    <w:rsid w:val="008D22C0"/>
    <w:rsid w:val="008D2591"/>
    <w:rsid w:val="008D26B4"/>
    <w:rsid w:val="008D2835"/>
    <w:rsid w:val="008D319C"/>
    <w:rsid w:val="008D33C0"/>
    <w:rsid w:val="008D3531"/>
    <w:rsid w:val="008D3B86"/>
    <w:rsid w:val="008D3B8A"/>
    <w:rsid w:val="008D4033"/>
    <w:rsid w:val="008D431A"/>
    <w:rsid w:val="008D43FD"/>
    <w:rsid w:val="008D45FC"/>
    <w:rsid w:val="008D4755"/>
    <w:rsid w:val="008D4921"/>
    <w:rsid w:val="008D499C"/>
    <w:rsid w:val="008D4C3D"/>
    <w:rsid w:val="008D516D"/>
    <w:rsid w:val="008D528D"/>
    <w:rsid w:val="008D53C2"/>
    <w:rsid w:val="008D54CC"/>
    <w:rsid w:val="008D55F0"/>
    <w:rsid w:val="008D5990"/>
    <w:rsid w:val="008D59D5"/>
    <w:rsid w:val="008D5BB0"/>
    <w:rsid w:val="008D5D0F"/>
    <w:rsid w:val="008D5EA9"/>
    <w:rsid w:val="008D66CA"/>
    <w:rsid w:val="008D69FB"/>
    <w:rsid w:val="008D6A53"/>
    <w:rsid w:val="008D6EC7"/>
    <w:rsid w:val="008D6FAE"/>
    <w:rsid w:val="008D6FBA"/>
    <w:rsid w:val="008D7233"/>
    <w:rsid w:val="008D743C"/>
    <w:rsid w:val="008D7A1F"/>
    <w:rsid w:val="008D7C6A"/>
    <w:rsid w:val="008E01FD"/>
    <w:rsid w:val="008E0225"/>
    <w:rsid w:val="008E0891"/>
    <w:rsid w:val="008E08B1"/>
    <w:rsid w:val="008E0CFF"/>
    <w:rsid w:val="008E0D3C"/>
    <w:rsid w:val="008E12D5"/>
    <w:rsid w:val="008E148C"/>
    <w:rsid w:val="008E1993"/>
    <w:rsid w:val="008E1B9E"/>
    <w:rsid w:val="008E1E8A"/>
    <w:rsid w:val="008E1FA0"/>
    <w:rsid w:val="008E209E"/>
    <w:rsid w:val="008E217E"/>
    <w:rsid w:val="008E222B"/>
    <w:rsid w:val="008E27F3"/>
    <w:rsid w:val="008E2E3B"/>
    <w:rsid w:val="008E348F"/>
    <w:rsid w:val="008E34D3"/>
    <w:rsid w:val="008E3AF1"/>
    <w:rsid w:val="008E3F0A"/>
    <w:rsid w:val="008E4930"/>
    <w:rsid w:val="008E4BC1"/>
    <w:rsid w:val="008E4C34"/>
    <w:rsid w:val="008E4C64"/>
    <w:rsid w:val="008E4D12"/>
    <w:rsid w:val="008E5346"/>
    <w:rsid w:val="008E55AB"/>
    <w:rsid w:val="008E5ADC"/>
    <w:rsid w:val="008E6776"/>
    <w:rsid w:val="008E6885"/>
    <w:rsid w:val="008E6BF0"/>
    <w:rsid w:val="008E6EBE"/>
    <w:rsid w:val="008E719E"/>
    <w:rsid w:val="008E71BE"/>
    <w:rsid w:val="008E7406"/>
    <w:rsid w:val="008E7411"/>
    <w:rsid w:val="008E7AAC"/>
    <w:rsid w:val="008E7E3C"/>
    <w:rsid w:val="008F006C"/>
    <w:rsid w:val="008F00E4"/>
    <w:rsid w:val="008F032A"/>
    <w:rsid w:val="008F0778"/>
    <w:rsid w:val="008F120A"/>
    <w:rsid w:val="008F13EC"/>
    <w:rsid w:val="008F15AE"/>
    <w:rsid w:val="008F1E95"/>
    <w:rsid w:val="008F230A"/>
    <w:rsid w:val="008F27E0"/>
    <w:rsid w:val="008F286C"/>
    <w:rsid w:val="008F2D22"/>
    <w:rsid w:val="008F2F1F"/>
    <w:rsid w:val="008F32CE"/>
    <w:rsid w:val="008F357F"/>
    <w:rsid w:val="008F3CFE"/>
    <w:rsid w:val="008F4608"/>
    <w:rsid w:val="008F48EB"/>
    <w:rsid w:val="008F494C"/>
    <w:rsid w:val="008F4B77"/>
    <w:rsid w:val="008F4E1F"/>
    <w:rsid w:val="008F4F0B"/>
    <w:rsid w:val="008F4FC5"/>
    <w:rsid w:val="008F531B"/>
    <w:rsid w:val="008F5544"/>
    <w:rsid w:val="008F59F9"/>
    <w:rsid w:val="008F5CEA"/>
    <w:rsid w:val="008F6303"/>
    <w:rsid w:val="008F635F"/>
    <w:rsid w:val="008F6B42"/>
    <w:rsid w:val="008F6C07"/>
    <w:rsid w:val="008F6D22"/>
    <w:rsid w:val="008F6E6C"/>
    <w:rsid w:val="008F7649"/>
    <w:rsid w:val="008F7841"/>
    <w:rsid w:val="0090009B"/>
    <w:rsid w:val="0090035C"/>
    <w:rsid w:val="0090058E"/>
    <w:rsid w:val="009005D4"/>
    <w:rsid w:val="00900995"/>
    <w:rsid w:val="00900A47"/>
    <w:rsid w:val="00900C6C"/>
    <w:rsid w:val="00900C71"/>
    <w:rsid w:val="00900D05"/>
    <w:rsid w:val="00900DEB"/>
    <w:rsid w:val="00900F5F"/>
    <w:rsid w:val="009013B7"/>
    <w:rsid w:val="0090152A"/>
    <w:rsid w:val="009017B3"/>
    <w:rsid w:val="00901803"/>
    <w:rsid w:val="009020A2"/>
    <w:rsid w:val="00902275"/>
    <w:rsid w:val="00902433"/>
    <w:rsid w:val="0090245B"/>
    <w:rsid w:val="0090260C"/>
    <w:rsid w:val="00903397"/>
    <w:rsid w:val="00903496"/>
    <w:rsid w:val="0090397D"/>
    <w:rsid w:val="009046C4"/>
    <w:rsid w:val="009046CA"/>
    <w:rsid w:val="00904A5B"/>
    <w:rsid w:val="00904D66"/>
    <w:rsid w:val="009050E0"/>
    <w:rsid w:val="0090561B"/>
    <w:rsid w:val="009062A5"/>
    <w:rsid w:val="00906700"/>
    <w:rsid w:val="009069C9"/>
    <w:rsid w:val="00907210"/>
    <w:rsid w:val="009072DA"/>
    <w:rsid w:val="0090756A"/>
    <w:rsid w:val="00907642"/>
    <w:rsid w:val="00907699"/>
    <w:rsid w:val="00907D42"/>
    <w:rsid w:val="00907D73"/>
    <w:rsid w:val="00910073"/>
    <w:rsid w:val="00910255"/>
    <w:rsid w:val="0091030E"/>
    <w:rsid w:val="0091079C"/>
    <w:rsid w:val="00910877"/>
    <w:rsid w:val="009108AF"/>
    <w:rsid w:val="009109A0"/>
    <w:rsid w:val="00910A5A"/>
    <w:rsid w:val="00910AD7"/>
    <w:rsid w:val="00910FA7"/>
    <w:rsid w:val="009110DD"/>
    <w:rsid w:val="00911272"/>
    <w:rsid w:val="009112B6"/>
    <w:rsid w:val="009112D5"/>
    <w:rsid w:val="00911339"/>
    <w:rsid w:val="00911774"/>
    <w:rsid w:val="009118CC"/>
    <w:rsid w:val="00911DA4"/>
    <w:rsid w:val="00911F60"/>
    <w:rsid w:val="00912563"/>
    <w:rsid w:val="009135D6"/>
    <w:rsid w:val="0091384E"/>
    <w:rsid w:val="00913AA8"/>
    <w:rsid w:val="00913B72"/>
    <w:rsid w:val="00913D85"/>
    <w:rsid w:val="00914A09"/>
    <w:rsid w:val="00914A3A"/>
    <w:rsid w:val="00914C77"/>
    <w:rsid w:val="009151C3"/>
    <w:rsid w:val="009156FC"/>
    <w:rsid w:val="00915A32"/>
    <w:rsid w:val="00915BF4"/>
    <w:rsid w:val="00916086"/>
    <w:rsid w:val="0091609B"/>
    <w:rsid w:val="009160CE"/>
    <w:rsid w:val="009161D4"/>
    <w:rsid w:val="009165CA"/>
    <w:rsid w:val="00916602"/>
    <w:rsid w:val="009166D0"/>
    <w:rsid w:val="009169E0"/>
    <w:rsid w:val="00917277"/>
    <w:rsid w:val="0091765F"/>
    <w:rsid w:val="0091774D"/>
    <w:rsid w:val="0091782C"/>
    <w:rsid w:val="00917881"/>
    <w:rsid w:val="009178E1"/>
    <w:rsid w:val="009179C9"/>
    <w:rsid w:val="00917E3F"/>
    <w:rsid w:val="00917FEF"/>
    <w:rsid w:val="00920244"/>
    <w:rsid w:val="00920685"/>
    <w:rsid w:val="00920719"/>
    <w:rsid w:val="00920B56"/>
    <w:rsid w:val="00920BFD"/>
    <w:rsid w:val="00920F42"/>
    <w:rsid w:val="00920FE3"/>
    <w:rsid w:val="0092116F"/>
    <w:rsid w:val="00921181"/>
    <w:rsid w:val="009217B9"/>
    <w:rsid w:val="009219C6"/>
    <w:rsid w:val="00921ACB"/>
    <w:rsid w:val="00921CD9"/>
    <w:rsid w:val="0092218C"/>
    <w:rsid w:val="009221B8"/>
    <w:rsid w:val="0092280B"/>
    <w:rsid w:val="00922BFC"/>
    <w:rsid w:val="009231F8"/>
    <w:rsid w:val="00923464"/>
    <w:rsid w:val="0092349A"/>
    <w:rsid w:val="009234B6"/>
    <w:rsid w:val="0092369B"/>
    <w:rsid w:val="00923C14"/>
    <w:rsid w:val="00923E0C"/>
    <w:rsid w:val="009240F2"/>
    <w:rsid w:val="00924858"/>
    <w:rsid w:val="00924E82"/>
    <w:rsid w:val="0092503E"/>
    <w:rsid w:val="00925626"/>
    <w:rsid w:val="009257ED"/>
    <w:rsid w:val="00925A35"/>
    <w:rsid w:val="009265ED"/>
    <w:rsid w:val="009268EC"/>
    <w:rsid w:val="00926944"/>
    <w:rsid w:val="00926AB9"/>
    <w:rsid w:val="00926C86"/>
    <w:rsid w:val="00926C88"/>
    <w:rsid w:val="00926CD7"/>
    <w:rsid w:val="0092710A"/>
    <w:rsid w:val="009272DE"/>
    <w:rsid w:val="00927355"/>
    <w:rsid w:val="0092749D"/>
    <w:rsid w:val="00927A0A"/>
    <w:rsid w:val="00927D64"/>
    <w:rsid w:val="009303EF"/>
    <w:rsid w:val="00930BD2"/>
    <w:rsid w:val="00930EC6"/>
    <w:rsid w:val="00930EDE"/>
    <w:rsid w:val="00930F5D"/>
    <w:rsid w:val="00930FDE"/>
    <w:rsid w:val="0093115B"/>
    <w:rsid w:val="0093117B"/>
    <w:rsid w:val="0093199C"/>
    <w:rsid w:val="00931DE1"/>
    <w:rsid w:val="00932673"/>
    <w:rsid w:val="0093283A"/>
    <w:rsid w:val="00932BB4"/>
    <w:rsid w:val="00932D5A"/>
    <w:rsid w:val="00932FB7"/>
    <w:rsid w:val="00933485"/>
    <w:rsid w:val="009337F1"/>
    <w:rsid w:val="00933BA4"/>
    <w:rsid w:val="00933BF9"/>
    <w:rsid w:val="00933C01"/>
    <w:rsid w:val="00933CF0"/>
    <w:rsid w:val="00933D21"/>
    <w:rsid w:val="00933DE6"/>
    <w:rsid w:val="00934202"/>
    <w:rsid w:val="009345D5"/>
    <w:rsid w:val="0093485F"/>
    <w:rsid w:val="00934988"/>
    <w:rsid w:val="00934DF6"/>
    <w:rsid w:val="009355F3"/>
    <w:rsid w:val="00935B38"/>
    <w:rsid w:val="00935B83"/>
    <w:rsid w:val="0093605A"/>
    <w:rsid w:val="009360FB"/>
    <w:rsid w:val="0093618F"/>
    <w:rsid w:val="0093687F"/>
    <w:rsid w:val="009369C6"/>
    <w:rsid w:val="00936EAA"/>
    <w:rsid w:val="00937089"/>
    <w:rsid w:val="00937122"/>
    <w:rsid w:val="009372F2"/>
    <w:rsid w:val="009373BD"/>
    <w:rsid w:val="009376D5"/>
    <w:rsid w:val="00937B98"/>
    <w:rsid w:val="0094026D"/>
    <w:rsid w:val="009402E3"/>
    <w:rsid w:val="00940644"/>
    <w:rsid w:val="00940648"/>
    <w:rsid w:val="00940874"/>
    <w:rsid w:val="009410DA"/>
    <w:rsid w:val="009410FB"/>
    <w:rsid w:val="009417AD"/>
    <w:rsid w:val="009417D5"/>
    <w:rsid w:val="009419F1"/>
    <w:rsid w:val="00941BCD"/>
    <w:rsid w:val="00941D6F"/>
    <w:rsid w:val="00942097"/>
    <w:rsid w:val="00942224"/>
    <w:rsid w:val="00942606"/>
    <w:rsid w:val="00942803"/>
    <w:rsid w:val="00942BE2"/>
    <w:rsid w:val="00942C5F"/>
    <w:rsid w:val="00942FD0"/>
    <w:rsid w:val="00943055"/>
    <w:rsid w:val="009430FD"/>
    <w:rsid w:val="0094320A"/>
    <w:rsid w:val="00943697"/>
    <w:rsid w:val="00943AE4"/>
    <w:rsid w:val="00943EB1"/>
    <w:rsid w:val="009440D9"/>
    <w:rsid w:val="00944176"/>
    <w:rsid w:val="00944442"/>
    <w:rsid w:val="00944701"/>
    <w:rsid w:val="00944724"/>
    <w:rsid w:val="00944A21"/>
    <w:rsid w:val="00944F3F"/>
    <w:rsid w:val="00944F8A"/>
    <w:rsid w:val="0094530F"/>
    <w:rsid w:val="00945568"/>
    <w:rsid w:val="009462E9"/>
    <w:rsid w:val="00946A76"/>
    <w:rsid w:val="00946C11"/>
    <w:rsid w:val="00946D26"/>
    <w:rsid w:val="00946D31"/>
    <w:rsid w:val="00947462"/>
    <w:rsid w:val="00947A29"/>
    <w:rsid w:val="00947ABD"/>
    <w:rsid w:val="00947D6B"/>
    <w:rsid w:val="0095075C"/>
    <w:rsid w:val="009509C8"/>
    <w:rsid w:val="00950AB8"/>
    <w:rsid w:val="00950D9D"/>
    <w:rsid w:val="009510A2"/>
    <w:rsid w:val="009514B8"/>
    <w:rsid w:val="009516F4"/>
    <w:rsid w:val="0095174D"/>
    <w:rsid w:val="009517F0"/>
    <w:rsid w:val="00951EE0"/>
    <w:rsid w:val="00951F1E"/>
    <w:rsid w:val="00952171"/>
    <w:rsid w:val="00952342"/>
    <w:rsid w:val="00952485"/>
    <w:rsid w:val="009526C4"/>
    <w:rsid w:val="00953059"/>
    <w:rsid w:val="00953172"/>
    <w:rsid w:val="00953257"/>
    <w:rsid w:val="00953A0B"/>
    <w:rsid w:val="00953B9B"/>
    <w:rsid w:val="00953CC4"/>
    <w:rsid w:val="00953F50"/>
    <w:rsid w:val="00953F94"/>
    <w:rsid w:val="00953FE0"/>
    <w:rsid w:val="009541AB"/>
    <w:rsid w:val="00954387"/>
    <w:rsid w:val="00954504"/>
    <w:rsid w:val="009545EC"/>
    <w:rsid w:val="0095474C"/>
    <w:rsid w:val="0095493D"/>
    <w:rsid w:val="0095497C"/>
    <w:rsid w:val="00954D7C"/>
    <w:rsid w:val="009550F2"/>
    <w:rsid w:val="00955506"/>
    <w:rsid w:val="00955867"/>
    <w:rsid w:val="009558D0"/>
    <w:rsid w:val="00956592"/>
    <w:rsid w:val="00956713"/>
    <w:rsid w:val="00956775"/>
    <w:rsid w:val="00956E15"/>
    <w:rsid w:val="00956E36"/>
    <w:rsid w:val="0095707C"/>
    <w:rsid w:val="00957085"/>
    <w:rsid w:val="00957409"/>
    <w:rsid w:val="009575FF"/>
    <w:rsid w:val="0095776D"/>
    <w:rsid w:val="00957A88"/>
    <w:rsid w:val="00957D92"/>
    <w:rsid w:val="00960052"/>
    <w:rsid w:val="009605A4"/>
    <w:rsid w:val="00960610"/>
    <w:rsid w:val="00960A15"/>
    <w:rsid w:val="00960AA4"/>
    <w:rsid w:val="00960C18"/>
    <w:rsid w:val="00960C4E"/>
    <w:rsid w:val="00960E30"/>
    <w:rsid w:val="00960FC6"/>
    <w:rsid w:val="009612E5"/>
    <w:rsid w:val="009613DB"/>
    <w:rsid w:val="00961D48"/>
    <w:rsid w:val="00961DA9"/>
    <w:rsid w:val="00961F6B"/>
    <w:rsid w:val="00961FF4"/>
    <w:rsid w:val="00962CB9"/>
    <w:rsid w:val="00962D31"/>
    <w:rsid w:val="00963D53"/>
    <w:rsid w:val="00963F2A"/>
    <w:rsid w:val="00964131"/>
    <w:rsid w:val="009642B1"/>
    <w:rsid w:val="0096430C"/>
    <w:rsid w:val="00964312"/>
    <w:rsid w:val="00964789"/>
    <w:rsid w:val="00964939"/>
    <w:rsid w:val="0096559C"/>
    <w:rsid w:val="00965B8A"/>
    <w:rsid w:val="00966182"/>
    <w:rsid w:val="0096633A"/>
    <w:rsid w:val="009667DD"/>
    <w:rsid w:val="00966866"/>
    <w:rsid w:val="00966B74"/>
    <w:rsid w:val="00966DB3"/>
    <w:rsid w:val="00966F42"/>
    <w:rsid w:val="00967017"/>
    <w:rsid w:val="009671B6"/>
    <w:rsid w:val="009673A3"/>
    <w:rsid w:val="00967466"/>
    <w:rsid w:val="0096767A"/>
    <w:rsid w:val="0096775D"/>
    <w:rsid w:val="0096796D"/>
    <w:rsid w:val="00967D25"/>
    <w:rsid w:val="00967E87"/>
    <w:rsid w:val="00970007"/>
    <w:rsid w:val="0097071F"/>
    <w:rsid w:val="009707E3"/>
    <w:rsid w:val="00970B88"/>
    <w:rsid w:val="00970E59"/>
    <w:rsid w:val="009711C3"/>
    <w:rsid w:val="00971312"/>
    <w:rsid w:val="00971783"/>
    <w:rsid w:val="009717AC"/>
    <w:rsid w:val="009720B6"/>
    <w:rsid w:val="009722F3"/>
    <w:rsid w:val="00972834"/>
    <w:rsid w:val="009728CF"/>
    <w:rsid w:val="00972A61"/>
    <w:rsid w:val="00972E90"/>
    <w:rsid w:val="00972EF6"/>
    <w:rsid w:val="00973236"/>
    <w:rsid w:val="0097333B"/>
    <w:rsid w:val="0097336D"/>
    <w:rsid w:val="00973DD4"/>
    <w:rsid w:val="00974364"/>
    <w:rsid w:val="00974414"/>
    <w:rsid w:val="00974806"/>
    <w:rsid w:val="009751C1"/>
    <w:rsid w:val="00975208"/>
    <w:rsid w:val="00975239"/>
    <w:rsid w:val="0097548C"/>
    <w:rsid w:val="009754A8"/>
    <w:rsid w:val="009754AD"/>
    <w:rsid w:val="0097556B"/>
    <w:rsid w:val="00975ACF"/>
    <w:rsid w:val="00975D1E"/>
    <w:rsid w:val="0097685E"/>
    <w:rsid w:val="0097698D"/>
    <w:rsid w:val="00976BC5"/>
    <w:rsid w:val="00976BC6"/>
    <w:rsid w:val="00976F50"/>
    <w:rsid w:val="00977062"/>
    <w:rsid w:val="009770A9"/>
    <w:rsid w:val="00977383"/>
    <w:rsid w:val="009773D3"/>
    <w:rsid w:val="00977557"/>
    <w:rsid w:val="00977857"/>
    <w:rsid w:val="00977A9D"/>
    <w:rsid w:val="00977D96"/>
    <w:rsid w:val="0098038A"/>
    <w:rsid w:val="00980881"/>
    <w:rsid w:val="00980A98"/>
    <w:rsid w:val="00980BE1"/>
    <w:rsid w:val="009811F1"/>
    <w:rsid w:val="00981404"/>
    <w:rsid w:val="009825EE"/>
    <w:rsid w:val="0098262F"/>
    <w:rsid w:val="00982959"/>
    <w:rsid w:val="00982ED8"/>
    <w:rsid w:val="00982F98"/>
    <w:rsid w:val="00982FCC"/>
    <w:rsid w:val="009832E2"/>
    <w:rsid w:val="00983421"/>
    <w:rsid w:val="00983928"/>
    <w:rsid w:val="00983953"/>
    <w:rsid w:val="009839DD"/>
    <w:rsid w:val="00983C6B"/>
    <w:rsid w:val="00983E40"/>
    <w:rsid w:val="00983E57"/>
    <w:rsid w:val="00984283"/>
    <w:rsid w:val="00984674"/>
    <w:rsid w:val="00984C80"/>
    <w:rsid w:val="00984E60"/>
    <w:rsid w:val="0098513E"/>
    <w:rsid w:val="009853F0"/>
    <w:rsid w:val="009857DF"/>
    <w:rsid w:val="00985966"/>
    <w:rsid w:val="009859EE"/>
    <w:rsid w:val="00985D36"/>
    <w:rsid w:val="00985DE2"/>
    <w:rsid w:val="0098628F"/>
    <w:rsid w:val="009864AB"/>
    <w:rsid w:val="0098675D"/>
    <w:rsid w:val="00986AC1"/>
    <w:rsid w:val="00986D58"/>
    <w:rsid w:val="00987257"/>
    <w:rsid w:val="00987A3A"/>
    <w:rsid w:val="00987AFA"/>
    <w:rsid w:val="00987BA4"/>
    <w:rsid w:val="00987C45"/>
    <w:rsid w:val="00987CC2"/>
    <w:rsid w:val="00990072"/>
    <w:rsid w:val="009900D3"/>
    <w:rsid w:val="0099028C"/>
    <w:rsid w:val="00990410"/>
    <w:rsid w:val="00990551"/>
    <w:rsid w:val="009907E5"/>
    <w:rsid w:val="00990E0A"/>
    <w:rsid w:val="00990FB0"/>
    <w:rsid w:val="0099109A"/>
    <w:rsid w:val="00991657"/>
    <w:rsid w:val="00991921"/>
    <w:rsid w:val="00991F2C"/>
    <w:rsid w:val="00991FC6"/>
    <w:rsid w:val="009922C9"/>
    <w:rsid w:val="009926E0"/>
    <w:rsid w:val="00992BB2"/>
    <w:rsid w:val="00992DD4"/>
    <w:rsid w:val="0099300A"/>
    <w:rsid w:val="0099318A"/>
    <w:rsid w:val="00993637"/>
    <w:rsid w:val="00993645"/>
    <w:rsid w:val="00993B2F"/>
    <w:rsid w:val="009940D8"/>
    <w:rsid w:val="0099451E"/>
    <w:rsid w:val="00994611"/>
    <w:rsid w:val="00994ADB"/>
    <w:rsid w:val="00994D57"/>
    <w:rsid w:val="00994F04"/>
    <w:rsid w:val="00995084"/>
    <w:rsid w:val="009951AB"/>
    <w:rsid w:val="00995526"/>
    <w:rsid w:val="00995925"/>
    <w:rsid w:val="0099694F"/>
    <w:rsid w:val="00996A87"/>
    <w:rsid w:val="00996B1A"/>
    <w:rsid w:val="00996BAA"/>
    <w:rsid w:val="00996BE2"/>
    <w:rsid w:val="00996DDD"/>
    <w:rsid w:val="00997222"/>
    <w:rsid w:val="009975B2"/>
    <w:rsid w:val="009975BC"/>
    <w:rsid w:val="00997748"/>
    <w:rsid w:val="00997C22"/>
    <w:rsid w:val="009A0105"/>
    <w:rsid w:val="009A0702"/>
    <w:rsid w:val="009A0A10"/>
    <w:rsid w:val="009A1393"/>
    <w:rsid w:val="009A15BC"/>
    <w:rsid w:val="009A1642"/>
    <w:rsid w:val="009A1753"/>
    <w:rsid w:val="009A18F6"/>
    <w:rsid w:val="009A1A42"/>
    <w:rsid w:val="009A1EA8"/>
    <w:rsid w:val="009A2DCC"/>
    <w:rsid w:val="009A315F"/>
    <w:rsid w:val="009A341D"/>
    <w:rsid w:val="009A3E46"/>
    <w:rsid w:val="009A3FC1"/>
    <w:rsid w:val="009A400F"/>
    <w:rsid w:val="009A4314"/>
    <w:rsid w:val="009A4323"/>
    <w:rsid w:val="009A43A0"/>
    <w:rsid w:val="009A484B"/>
    <w:rsid w:val="009A4887"/>
    <w:rsid w:val="009A492A"/>
    <w:rsid w:val="009A4A93"/>
    <w:rsid w:val="009A4CC9"/>
    <w:rsid w:val="009A4F2B"/>
    <w:rsid w:val="009A5090"/>
    <w:rsid w:val="009A52EB"/>
    <w:rsid w:val="009A530C"/>
    <w:rsid w:val="009A5493"/>
    <w:rsid w:val="009A54F2"/>
    <w:rsid w:val="009A5ABC"/>
    <w:rsid w:val="009A6175"/>
    <w:rsid w:val="009A6433"/>
    <w:rsid w:val="009A6649"/>
    <w:rsid w:val="009A6665"/>
    <w:rsid w:val="009A6A31"/>
    <w:rsid w:val="009A6B8C"/>
    <w:rsid w:val="009A6EB8"/>
    <w:rsid w:val="009A74AB"/>
    <w:rsid w:val="009A75AD"/>
    <w:rsid w:val="009A791B"/>
    <w:rsid w:val="009A7CF0"/>
    <w:rsid w:val="009A7E3A"/>
    <w:rsid w:val="009A7F10"/>
    <w:rsid w:val="009B01F6"/>
    <w:rsid w:val="009B032D"/>
    <w:rsid w:val="009B0621"/>
    <w:rsid w:val="009B06E6"/>
    <w:rsid w:val="009B0FDD"/>
    <w:rsid w:val="009B13EE"/>
    <w:rsid w:val="009B14D0"/>
    <w:rsid w:val="009B1944"/>
    <w:rsid w:val="009B291F"/>
    <w:rsid w:val="009B29EF"/>
    <w:rsid w:val="009B3037"/>
    <w:rsid w:val="009B3404"/>
    <w:rsid w:val="009B3E26"/>
    <w:rsid w:val="009B3E5A"/>
    <w:rsid w:val="009B42CD"/>
    <w:rsid w:val="009B481E"/>
    <w:rsid w:val="009B4AC8"/>
    <w:rsid w:val="009B4D29"/>
    <w:rsid w:val="009B4F70"/>
    <w:rsid w:val="009B523E"/>
    <w:rsid w:val="009B52A0"/>
    <w:rsid w:val="009B54E2"/>
    <w:rsid w:val="009B5623"/>
    <w:rsid w:val="009B5753"/>
    <w:rsid w:val="009B5830"/>
    <w:rsid w:val="009B58DC"/>
    <w:rsid w:val="009B5965"/>
    <w:rsid w:val="009B5C57"/>
    <w:rsid w:val="009B5E4E"/>
    <w:rsid w:val="009B60DD"/>
    <w:rsid w:val="009B6200"/>
    <w:rsid w:val="009B6432"/>
    <w:rsid w:val="009B6D85"/>
    <w:rsid w:val="009B6E68"/>
    <w:rsid w:val="009B7AFC"/>
    <w:rsid w:val="009B7D19"/>
    <w:rsid w:val="009C008C"/>
    <w:rsid w:val="009C02F1"/>
    <w:rsid w:val="009C0443"/>
    <w:rsid w:val="009C0515"/>
    <w:rsid w:val="009C0643"/>
    <w:rsid w:val="009C0F5E"/>
    <w:rsid w:val="009C1271"/>
    <w:rsid w:val="009C15B8"/>
    <w:rsid w:val="009C1C96"/>
    <w:rsid w:val="009C1E6F"/>
    <w:rsid w:val="009C1FAE"/>
    <w:rsid w:val="009C2064"/>
    <w:rsid w:val="009C20F2"/>
    <w:rsid w:val="009C226A"/>
    <w:rsid w:val="009C2282"/>
    <w:rsid w:val="009C2904"/>
    <w:rsid w:val="009C2CE9"/>
    <w:rsid w:val="009C2DFA"/>
    <w:rsid w:val="009C2F63"/>
    <w:rsid w:val="009C32E1"/>
    <w:rsid w:val="009C33B6"/>
    <w:rsid w:val="009C3706"/>
    <w:rsid w:val="009C38BC"/>
    <w:rsid w:val="009C38E2"/>
    <w:rsid w:val="009C39DD"/>
    <w:rsid w:val="009C3A3A"/>
    <w:rsid w:val="009C3D55"/>
    <w:rsid w:val="009C3EC3"/>
    <w:rsid w:val="009C426B"/>
    <w:rsid w:val="009C43C7"/>
    <w:rsid w:val="009C46C0"/>
    <w:rsid w:val="009C49E7"/>
    <w:rsid w:val="009C507F"/>
    <w:rsid w:val="009C50C6"/>
    <w:rsid w:val="009C5360"/>
    <w:rsid w:val="009C53EE"/>
    <w:rsid w:val="009C55D0"/>
    <w:rsid w:val="009C5BFB"/>
    <w:rsid w:val="009C60B3"/>
    <w:rsid w:val="009C6967"/>
    <w:rsid w:val="009C6A63"/>
    <w:rsid w:val="009C6CEA"/>
    <w:rsid w:val="009C7136"/>
    <w:rsid w:val="009C720F"/>
    <w:rsid w:val="009C7697"/>
    <w:rsid w:val="009C79F1"/>
    <w:rsid w:val="009C7B85"/>
    <w:rsid w:val="009C7C2B"/>
    <w:rsid w:val="009C7D44"/>
    <w:rsid w:val="009D0014"/>
    <w:rsid w:val="009D00E7"/>
    <w:rsid w:val="009D00F8"/>
    <w:rsid w:val="009D01FC"/>
    <w:rsid w:val="009D0254"/>
    <w:rsid w:val="009D0315"/>
    <w:rsid w:val="009D061B"/>
    <w:rsid w:val="009D073E"/>
    <w:rsid w:val="009D0A3C"/>
    <w:rsid w:val="009D0F7A"/>
    <w:rsid w:val="009D195E"/>
    <w:rsid w:val="009D1A5C"/>
    <w:rsid w:val="009D1A64"/>
    <w:rsid w:val="009D1CC6"/>
    <w:rsid w:val="009D211E"/>
    <w:rsid w:val="009D214D"/>
    <w:rsid w:val="009D2327"/>
    <w:rsid w:val="009D2367"/>
    <w:rsid w:val="009D2722"/>
    <w:rsid w:val="009D27F9"/>
    <w:rsid w:val="009D2CB8"/>
    <w:rsid w:val="009D2F37"/>
    <w:rsid w:val="009D3261"/>
    <w:rsid w:val="009D35E6"/>
    <w:rsid w:val="009D3AE1"/>
    <w:rsid w:val="009D3C59"/>
    <w:rsid w:val="009D3D4B"/>
    <w:rsid w:val="009D3E3C"/>
    <w:rsid w:val="009D4020"/>
    <w:rsid w:val="009D4033"/>
    <w:rsid w:val="009D459C"/>
    <w:rsid w:val="009D4D52"/>
    <w:rsid w:val="009D4DC9"/>
    <w:rsid w:val="009D53AF"/>
    <w:rsid w:val="009D53F2"/>
    <w:rsid w:val="009D5587"/>
    <w:rsid w:val="009D574D"/>
    <w:rsid w:val="009D597C"/>
    <w:rsid w:val="009D5B02"/>
    <w:rsid w:val="009D5B91"/>
    <w:rsid w:val="009D62D0"/>
    <w:rsid w:val="009D6549"/>
    <w:rsid w:val="009D675B"/>
    <w:rsid w:val="009D6A98"/>
    <w:rsid w:val="009D6BC4"/>
    <w:rsid w:val="009D6D33"/>
    <w:rsid w:val="009D768B"/>
    <w:rsid w:val="009D77D9"/>
    <w:rsid w:val="009D792E"/>
    <w:rsid w:val="009D7949"/>
    <w:rsid w:val="009D7A50"/>
    <w:rsid w:val="009E0043"/>
    <w:rsid w:val="009E05BC"/>
    <w:rsid w:val="009E0860"/>
    <w:rsid w:val="009E0CDB"/>
    <w:rsid w:val="009E0DFE"/>
    <w:rsid w:val="009E19F4"/>
    <w:rsid w:val="009E1AE0"/>
    <w:rsid w:val="009E274A"/>
    <w:rsid w:val="009E2EFB"/>
    <w:rsid w:val="009E3052"/>
    <w:rsid w:val="009E31F6"/>
    <w:rsid w:val="009E33C1"/>
    <w:rsid w:val="009E367D"/>
    <w:rsid w:val="009E384A"/>
    <w:rsid w:val="009E395F"/>
    <w:rsid w:val="009E47D9"/>
    <w:rsid w:val="009E4A41"/>
    <w:rsid w:val="009E4C07"/>
    <w:rsid w:val="009E4C5C"/>
    <w:rsid w:val="009E4D4A"/>
    <w:rsid w:val="009E5277"/>
    <w:rsid w:val="009E574E"/>
    <w:rsid w:val="009E57C3"/>
    <w:rsid w:val="009E5981"/>
    <w:rsid w:val="009E5A62"/>
    <w:rsid w:val="009E5F15"/>
    <w:rsid w:val="009E5FEC"/>
    <w:rsid w:val="009E608B"/>
    <w:rsid w:val="009E6102"/>
    <w:rsid w:val="009E6423"/>
    <w:rsid w:val="009E653D"/>
    <w:rsid w:val="009E6743"/>
    <w:rsid w:val="009E6CDF"/>
    <w:rsid w:val="009E6E31"/>
    <w:rsid w:val="009E6EBD"/>
    <w:rsid w:val="009E7268"/>
    <w:rsid w:val="009E742C"/>
    <w:rsid w:val="009E7520"/>
    <w:rsid w:val="009E777F"/>
    <w:rsid w:val="009F0084"/>
    <w:rsid w:val="009F06FC"/>
    <w:rsid w:val="009F0801"/>
    <w:rsid w:val="009F0881"/>
    <w:rsid w:val="009F0DDC"/>
    <w:rsid w:val="009F1399"/>
    <w:rsid w:val="009F1627"/>
    <w:rsid w:val="009F1A0C"/>
    <w:rsid w:val="009F1B46"/>
    <w:rsid w:val="009F1C59"/>
    <w:rsid w:val="009F28F5"/>
    <w:rsid w:val="009F2D82"/>
    <w:rsid w:val="009F2D9F"/>
    <w:rsid w:val="009F3059"/>
    <w:rsid w:val="009F3ED9"/>
    <w:rsid w:val="009F4094"/>
    <w:rsid w:val="009F42E8"/>
    <w:rsid w:val="009F47AB"/>
    <w:rsid w:val="009F4C46"/>
    <w:rsid w:val="009F4CB9"/>
    <w:rsid w:val="009F53B4"/>
    <w:rsid w:val="009F572F"/>
    <w:rsid w:val="009F5AB0"/>
    <w:rsid w:val="009F5C24"/>
    <w:rsid w:val="009F5C5D"/>
    <w:rsid w:val="009F5D38"/>
    <w:rsid w:val="009F5F70"/>
    <w:rsid w:val="009F6120"/>
    <w:rsid w:val="009F65CE"/>
    <w:rsid w:val="009F67D2"/>
    <w:rsid w:val="009F6931"/>
    <w:rsid w:val="009F7592"/>
    <w:rsid w:val="009F7A13"/>
    <w:rsid w:val="009F7B8A"/>
    <w:rsid w:val="00A00477"/>
    <w:rsid w:val="00A005B8"/>
    <w:rsid w:val="00A00638"/>
    <w:rsid w:val="00A00865"/>
    <w:rsid w:val="00A008CB"/>
    <w:rsid w:val="00A0098D"/>
    <w:rsid w:val="00A00D76"/>
    <w:rsid w:val="00A00E88"/>
    <w:rsid w:val="00A00E8E"/>
    <w:rsid w:val="00A00ED8"/>
    <w:rsid w:val="00A01184"/>
    <w:rsid w:val="00A011A9"/>
    <w:rsid w:val="00A013B3"/>
    <w:rsid w:val="00A01449"/>
    <w:rsid w:val="00A015BA"/>
    <w:rsid w:val="00A019C7"/>
    <w:rsid w:val="00A01AF0"/>
    <w:rsid w:val="00A01B1A"/>
    <w:rsid w:val="00A01C85"/>
    <w:rsid w:val="00A01F95"/>
    <w:rsid w:val="00A01FDD"/>
    <w:rsid w:val="00A02054"/>
    <w:rsid w:val="00A02408"/>
    <w:rsid w:val="00A02670"/>
    <w:rsid w:val="00A0279F"/>
    <w:rsid w:val="00A02821"/>
    <w:rsid w:val="00A037C2"/>
    <w:rsid w:val="00A03B6D"/>
    <w:rsid w:val="00A03B92"/>
    <w:rsid w:val="00A03C8E"/>
    <w:rsid w:val="00A03D43"/>
    <w:rsid w:val="00A03EBE"/>
    <w:rsid w:val="00A04283"/>
    <w:rsid w:val="00A04380"/>
    <w:rsid w:val="00A04786"/>
    <w:rsid w:val="00A048F6"/>
    <w:rsid w:val="00A04CBD"/>
    <w:rsid w:val="00A04ED9"/>
    <w:rsid w:val="00A0539A"/>
    <w:rsid w:val="00A053BD"/>
    <w:rsid w:val="00A053CA"/>
    <w:rsid w:val="00A05472"/>
    <w:rsid w:val="00A055FC"/>
    <w:rsid w:val="00A05C32"/>
    <w:rsid w:val="00A05C7D"/>
    <w:rsid w:val="00A05F86"/>
    <w:rsid w:val="00A060BD"/>
    <w:rsid w:val="00A0653F"/>
    <w:rsid w:val="00A0656F"/>
    <w:rsid w:val="00A06759"/>
    <w:rsid w:val="00A0740B"/>
    <w:rsid w:val="00A074E9"/>
    <w:rsid w:val="00A076A0"/>
    <w:rsid w:val="00A07AF8"/>
    <w:rsid w:val="00A07E26"/>
    <w:rsid w:val="00A10100"/>
    <w:rsid w:val="00A114B1"/>
    <w:rsid w:val="00A116E5"/>
    <w:rsid w:val="00A11A78"/>
    <w:rsid w:val="00A11C99"/>
    <w:rsid w:val="00A11CD0"/>
    <w:rsid w:val="00A11DD0"/>
    <w:rsid w:val="00A122A3"/>
    <w:rsid w:val="00A126B7"/>
    <w:rsid w:val="00A12982"/>
    <w:rsid w:val="00A13527"/>
    <w:rsid w:val="00A135A3"/>
    <w:rsid w:val="00A136A9"/>
    <w:rsid w:val="00A13948"/>
    <w:rsid w:val="00A142B9"/>
    <w:rsid w:val="00A14337"/>
    <w:rsid w:val="00A14363"/>
    <w:rsid w:val="00A148AE"/>
    <w:rsid w:val="00A14944"/>
    <w:rsid w:val="00A14D5C"/>
    <w:rsid w:val="00A14E0D"/>
    <w:rsid w:val="00A14F5F"/>
    <w:rsid w:val="00A14FA8"/>
    <w:rsid w:val="00A150D9"/>
    <w:rsid w:val="00A154E4"/>
    <w:rsid w:val="00A1555B"/>
    <w:rsid w:val="00A155C5"/>
    <w:rsid w:val="00A15903"/>
    <w:rsid w:val="00A15F28"/>
    <w:rsid w:val="00A16296"/>
    <w:rsid w:val="00A16678"/>
    <w:rsid w:val="00A16AD8"/>
    <w:rsid w:val="00A16B31"/>
    <w:rsid w:val="00A16F55"/>
    <w:rsid w:val="00A16F9D"/>
    <w:rsid w:val="00A1719E"/>
    <w:rsid w:val="00A17C35"/>
    <w:rsid w:val="00A17D37"/>
    <w:rsid w:val="00A17DF7"/>
    <w:rsid w:val="00A2000E"/>
    <w:rsid w:val="00A201F4"/>
    <w:rsid w:val="00A2021E"/>
    <w:rsid w:val="00A20221"/>
    <w:rsid w:val="00A202F2"/>
    <w:rsid w:val="00A2128A"/>
    <w:rsid w:val="00A212F2"/>
    <w:rsid w:val="00A21422"/>
    <w:rsid w:val="00A21BB2"/>
    <w:rsid w:val="00A21C95"/>
    <w:rsid w:val="00A21CF3"/>
    <w:rsid w:val="00A21D2A"/>
    <w:rsid w:val="00A2201A"/>
    <w:rsid w:val="00A223C2"/>
    <w:rsid w:val="00A225FC"/>
    <w:rsid w:val="00A227AC"/>
    <w:rsid w:val="00A22A8A"/>
    <w:rsid w:val="00A22B2B"/>
    <w:rsid w:val="00A22D78"/>
    <w:rsid w:val="00A2328C"/>
    <w:rsid w:val="00A23521"/>
    <w:rsid w:val="00A239C1"/>
    <w:rsid w:val="00A23AB1"/>
    <w:rsid w:val="00A23B1D"/>
    <w:rsid w:val="00A23B4B"/>
    <w:rsid w:val="00A23DB0"/>
    <w:rsid w:val="00A244C7"/>
    <w:rsid w:val="00A245A2"/>
    <w:rsid w:val="00A24813"/>
    <w:rsid w:val="00A24B77"/>
    <w:rsid w:val="00A24E1F"/>
    <w:rsid w:val="00A250D8"/>
    <w:rsid w:val="00A2512B"/>
    <w:rsid w:val="00A2577F"/>
    <w:rsid w:val="00A25915"/>
    <w:rsid w:val="00A26087"/>
    <w:rsid w:val="00A26420"/>
    <w:rsid w:val="00A26855"/>
    <w:rsid w:val="00A26D06"/>
    <w:rsid w:val="00A26FAD"/>
    <w:rsid w:val="00A27265"/>
    <w:rsid w:val="00A27639"/>
    <w:rsid w:val="00A27699"/>
    <w:rsid w:val="00A27773"/>
    <w:rsid w:val="00A277C1"/>
    <w:rsid w:val="00A27AEC"/>
    <w:rsid w:val="00A27E73"/>
    <w:rsid w:val="00A30358"/>
    <w:rsid w:val="00A304A0"/>
    <w:rsid w:val="00A306AE"/>
    <w:rsid w:val="00A306CA"/>
    <w:rsid w:val="00A306D6"/>
    <w:rsid w:val="00A30702"/>
    <w:rsid w:val="00A30732"/>
    <w:rsid w:val="00A3090F"/>
    <w:rsid w:val="00A309A4"/>
    <w:rsid w:val="00A30C3A"/>
    <w:rsid w:val="00A30DF2"/>
    <w:rsid w:val="00A30EFF"/>
    <w:rsid w:val="00A3139D"/>
    <w:rsid w:val="00A31432"/>
    <w:rsid w:val="00A319F3"/>
    <w:rsid w:val="00A320DB"/>
    <w:rsid w:val="00A32703"/>
    <w:rsid w:val="00A32F3B"/>
    <w:rsid w:val="00A32FAD"/>
    <w:rsid w:val="00A33574"/>
    <w:rsid w:val="00A33641"/>
    <w:rsid w:val="00A3385B"/>
    <w:rsid w:val="00A339BC"/>
    <w:rsid w:val="00A339C6"/>
    <w:rsid w:val="00A33B0A"/>
    <w:rsid w:val="00A33B0E"/>
    <w:rsid w:val="00A33C23"/>
    <w:rsid w:val="00A33D9F"/>
    <w:rsid w:val="00A33E8F"/>
    <w:rsid w:val="00A33F61"/>
    <w:rsid w:val="00A34218"/>
    <w:rsid w:val="00A34244"/>
    <w:rsid w:val="00A34541"/>
    <w:rsid w:val="00A346B9"/>
    <w:rsid w:val="00A3482F"/>
    <w:rsid w:val="00A34BEA"/>
    <w:rsid w:val="00A34F35"/>
    <w:rsid w:val="00A3504B"/>
    <w:rsid w:val="00A354AA"/>
    <w:rsid w:val="00A3551A"/>
    <w:rsid w:val="00A35D16"/>
    <w:rsid w:val="00A365D2"/>
    <w:rsid w:val="00A3692A"/>
    <w:rsid w:val="00A369FC"/>
    <w:rsid w:val="00A37250"/>
    <w:rsid w:val="00A373BD"/>
    <w:rsid w:val="00A3756C"/>
    <w:rsid w:val="00A378DF"/>
    <w:rsid w:val="00A379CD"/>
    <w:rsid w:val="00A37BCD"/>
    <w:rsid w:val="00A37D3C"/>
    <w:rsid w:val="00A37D5C"/>
    <w:rsid w:val="00A37D91"/>
    <w:rsid w:val="00A37DAD"/>
    <w:rsid w:val="00A405E7"/>
    <w:rsid w:val="00A4083F"/>
    <w:rsid w:val="00A40E43"/>
    <w:rsid w:val="00A40F14"/>
    <w:rsid w:val="00A4111C"/>
    <w:rsid w:val="00A41291"/>
    <w:rsid w:val="00A415EC"/>
    <w:rsid w:val="00A41689"/>
    <w:rsid w:val="00A41A38"/>
    <w:rsid w:val="00A41A72"/>
    <w:rsid w:val="00A422D9"/>
    <w:rsid w:val="00A42517"/>
    <w:rsid w:val="00A42592"/>
    <w:rsid w:val="00A42594"/>
    <w:rsid w:val="00A42E36"/>
    <w:rsid w:val="00A42F53"/>
    <w:rsid w:val="00A4326C"/>
    <w:rsid w:val="00A43480"/>
    <w:rsid w:val="00A434C2"/>
    <w:rsid w:val="00A434F3"/>
    <w:rsid w:val="00A43A36"/>
    <w:rsid w:val="00A43C59"/>
    <w:rsid w:val="00A43EBD"/>
    <w:rsid w:val="00A44367"/>
    <w:rsid w:val="00A44394"/>
    <w:rsid w:val="00A452B3"/>
    <w:rsid w:val="00A45645"/>
    <w:rsid w:val="00A457CE"/>
    <w:rsid w:val="00A45B65"/>
    <w:rsid w:val="00A46D25"/>
    <w:rsid w:val="00A46D4B"/>
    <w:rsid w:val="00A47299"/>
    <w:rsid w:val="00A47537"/>
    <w:rsid w:val="00A4777A"/>
    <w:rsid w:val="00A478D1"/>
    <w:rsid w:val="00A47A44"/>
    <w:rsid w:val="00A47F09"/>
    <w:rsid w:val="00A47FF2"/>
    <w:rsid w:val="00A508D5"/>
    <w:rsid w:val="00A50AE2"/>
    <w:rsid w:val="00A50D24"/>
    <w:rsid w:val="00A50D2F"/>
    <w:rsid w:val="00A50ECD"/>
    <w:rsid w:val="00A510D6"/>
    <w:rsid w:val="00A51697"/>
    <w:rsid w:val="00A5184D"/>
    <w:rsid w:val="00A51899"/>
    <w:rsid w:val="00A518F3"/>
    <w:rsid w:val="00A51926"/>
    <w:rsid w:val="00A51A03"/>
    <w:rsid w:val="00A51D66"/>
    <w:rsid w:val="00A51F0A"/>
    <w:rsid w:val="00A51FC0"/>
    <w:rsid w:val="00A5224B"/>
    <w:rsid w:val="00A52434"/>
    <w:rsid w:val="00A5244C"/>
    <w:rsid w:val="00A5248F"/>
    <w:rsid w:val="00A52497"/>
    <w:rsid w:val="00A52666"/>
    <w:rsid w:val="00A526A2"/>
    <w:rsid w:val="00A52729"/>
    <w:rsid w:val="00A52D0B"/>
    <w:rsid w:val="00A530B8"/>
    <w:rsid w:val="00A530FE"/>
    <w:rsid w:val="00A5353A"/>
    <w:rsid w:val="00A53675"/>
    <w:rsid w:val="00A53D6B"/>
    <w:rsid w:val="00A541C1"/>
    <w:rsid w:val="00A542CE"/>
    <w:rsid w:val="00A54373"/>
    <w:rsid w:val="00A545B6"/>
    <w:rsid w:val="00A54622"/>
    <w:rsid w:val="00A5479B"/>
    <w:rsid w:val="00A54835"/>
    <w:rsid w:val="00A54A43"/>
    <w:rsid w:val="00A54D72"/>
    <w:rsid w:val="00A55335"/>
    <w:rsid w:val="00A5572C"/>
    <w:rsid w:val="00A55730"/>
    <w:rsid w:val="00A5583D"/>
    <w:rsid w:val="00A55BE5"/>
    <w:rsid w:val="00A560F0"/>
    <w:rsid w:val="00A561A0"/>
    <w:rsid w:val="00A564D7"/>
    <w:rsid w:val="00A56546"/>
    <w:rsid w:val="00A56A18"/>
    <w:rsid w:val="00A56AD2"/>
    <w:rsid w:val="00A56B6A"/>
    <w:rsid w:val="00A56BCF"/>
    <w:rsid w:val="00A56C6E"/>
    <w:rsid w:val="00A56CC5"/>
    <w:rsid w:val="00A575DF"/>
    <w:rsid w:val="00A576E3"/>
    <w:rsid w:val="00A578DC"/>
    <w:rsid w:val="00A578EF"/>
    <w:rsid w:val="00A57CA8"/>
    <w:rsid w:val="00A57F23"/>
    <w:rsid w:val="00A57FCF"/>
    <w:rsid w:val="00A601F6"/>
    <w:rsid w:val="00A6050F"/>
    <w:rsid w:val="00A60A93"/>
    <w:rsid w:val="00A60E0B"/>
    <w:rsid w:val="00A60EE0"/>
    <w:rsid w:val="00A60EF4"/>
    <w:rsid w:val="00A61B28"/>
    <w:rsid w:val="00A61E4A"/>
    <w:rsid w:val="00A6218A"/>
    <w:rsid w:val="00A62292"/>
    <w:rsid w:val="00A623FB"/>
    <w:rsid w:val="00A625E3"/>
    <w:rsid w:val="00A62A85"/>
    <w:rsid w:val="00A62B60"/>
    <w:rsid w:val="00A62BFC"/>
    <w:rsid w:val="00A634F0"/>
    <w:rsid w:val="00A638CF"/>
    <w:rsid w:val="00A63B3A"/>
    <w:rsid w:val="00A63C38"/>
    <w:rsid w:val="00A63F54"/>
    <w:rsid w:val="00A640E2"/>
    <w:rsid w:val="00A647DB"/>
    <w:rsid w:val="00A64A24"/>
    <w:rsid w:val="00A64A3D"/>
    <w:rsid w:val="00A64D61"/>
    <w:rsid w:val="00A64D65"/>
    <w:rsid w:val="00A64EFB"/>
    <w:rsid w:val="00A6508F"/>
    <w:rsid w:val="00A657BA"/>
    <w:rsid w:val="00A658BE"/>
    <w:rsid w:val="00A65B2A"/>
    <w:rsid w:val="00A65B72"/>
    <w:rsid w:val="00A65D3A"/>
    <w:rsid w:val="00A65D3C"/>
    <w:rsid w:val="00A663B2"/>
    <w:rsid w:val="00A6670D"/>
    <w:rsid w:val="00A66716"/>
    <w:rsid w:val="00A667CA"/>
    <w:rsid w:val="00A66A0B"/>
    <w:rsid w:val="00A67072"/>
    <w:rsid w:val="00A6725B"/>
    <w:rsid w:val="00A673E4"/>
    <w:rsid w:val="00A67931"/>
    <w:rsid w:val="00A67C0A"/>
    <w:rsid w:val="00A67C9E"/>
    <w:rsid w:val="00A7012C"/>
    <w:rsid w:val="00A70383"/>
    <w:rsid w:val="00A703E1"/>
    <w:rsid w:val="00A705FA"/>
    <w:rsid w:val="00A70605"/>
    <w:rsid w:val="00A70708"/>
    <w:rsid w:val="00A708DD"/>
    <w:rsid w:val="00A7116C"/>
    <w:rsid w:val="00A71702"/>
    <w:rsid w:val="00A719DD"/>
    <w:rsid w:val="00A71D75"/>
    <w:rsid w:val="00A71E63"/>
    <w:rsid w:val="00A71FA1"/>
    <w:rsid w:val="00A72089"/>
    <w:rsid w:val="00A724F5"/>
    <w:rsid w:val="00A72620"/>
    <w:rsid w:val="00A7266C"/>
    <w:rsid w:val="00A727C6"/>
    <w:rsid w:val="00A72D8F"/>
    <w:rsid w:val="00A73134"/>
    <w:rsid w:val="00A735E9"/>
    <w:rsid w:val="00A7365A"/>
    <w:rsid w:val="00A73672"/>
    <w:rsid w:val="00A73A84"/>
    <w:rsid w:val="00A73AE1"/>
    <w:rsid w:val="00A73D97"/>
    <w:rsid w:val="00A74094"/>
    <w:rsid w:val="00A741DA"/>
    <w:rsid w:val="00A74673"/>
    <w:rsid w:val="00A746E0"/>
    <w:rsid w:val="00A74729"/>
    <w:rsid w:val="00A74E67"/>
    <w:rsid w:val="00A75CAC"/>
    <w:rsid w:val="00A75FE1"/>
    <w:rsid w:val="00A76001"/>
    <w:rsid w:val="00A7612A"/>
    <w:rsid w:val="00A7633A"/>
    <w:rsid w:val="00A76E97"/>
    <w:rsid w:val="00A777B2"/>
    <w:rsid w:val="00A77BC3"/>
    <w:rsid w:val="00A80122"/>
    <w:rsid w:val="00A8021E"/>
    <w:rsid w:val="00A8081D"/>
    <w:rsid w:val="00A8081E"/>
    <w:rsid w:val="00A80AE5"/>
    <w:rsid w:val="00A81123"/>
    <w:rsid w:val="00A814F2"/>
    <w:rsid w:val="00A81583"/>
    <w:rsid w:val="00A81770"/>
    <w:rsid w:val="00A817A1"/>
    <w:rsid w:val="00A81A90"/>
    <w:rsid w:val="00A81B5D"/>
    <w:rsid w:val="00A81F1C"/>
    <w:rsid w:val="00A823CA"/>
    <w:rsid w:val="00A825D4"/>
    <w:rsid w:val="00A828F6"/>
    <w:rsid w:val="00A82A6C"/>
    <w:rsid w:val="00A82B73"/>
    <w:rsid w:val="00A82C71"/>
    <w:rsid w:val="00A8311B"/>
    <w:rsid w:val="00A83124"/>
    <w:rsid w:val="00A83171"/>
    <w:rsid w:val="00A833B4"/>
    <w:rsid w:val="00A83CEB"/>
    <w:rsid w:val="00A84249"/>
    <w:rsid w:val="00A84B05"/>
    <w:rsid w:val="00A84C00"/>
    <w:rsid w:val="00A84C32"/>
    <w:rsid w:val="00A84CD7"/>
    <w:rsid w:val="00A850E9"/>
    <w:rsid w:val="00A85679"/>
    <w:rsid w:val="00A856F4"/>
    <w:rsid w:val="00A8589F"/>
    <w:rsid w:val="00A85923"/>
    <w:rsid w:val="00A85E5C"/>
    <w:rsid w:val="00A862DF"/>
    <w:rsid w:val="00A86488"/>
    <w:rsid w:val="00A86687"/>
    <w:rsid w:val="00A8682A"/>
    <w:rsid w:val="00A86CCE"/>
    <w:rsid w:val="00A86E8B"/>
    <w:rsid w:val="00A87164"/>
    <w:rsid w:val="00A871A4"/>
    <w:rsid w:val="00A871A9"/>
    <w:rsid w:val="00A87358"/>
    <w:rsid w:val="00A873C1"/>
    <w:rsid w:val="00A878E9"/>
    <w:rsid w:val="00A87940"/>
    <w:rsid w:val="00A8794D"/>
    <w:rsid w:val="00A87978"/>
    <w:rsid w:val="00A879A8"/>
    <w:rsid w:val="00A87C07"/>
    <w:rsid w:val="00A87D03"/>
    <w:rsid w:val="00A87F8B"/>
    <w:rsid w:val="00A90F67"/>
    <w:rsid w:val="00A91559"/>
    <w:rsid w:val="00A9169E"/>
    <w:rsid w:val="00A91865"/>
    <w:rsid w:val="00A91958"/>
    <w:rsid w:val="00A91C4A"/>
    <w:rsid w:val="00A91DA3"/>
    <w:rsid w:val="00A91DC1"/>
    <w:rsid w:val="00A92144"/>
    <w:rsid w:val="00A9224B"/>
    <w:rsid w:val="00A92A98"/>
    <w:rsid w:val="00A93072"/>
    <w:rsid w:val="00A934AC"/>
    <w:rsid w:val="00A93561"/>
    <w:rsid w:val="00A93797"/>
    <w:rsid w:val="00A938BD"/>
    <w:rsid w:val="00A93953"/>
    <w:rsid w:val="00A93A3E"/>
    <w:rsid w:val="00A93D6D"/>
    <w:rsid w:val="00A93F1D"/>
    <w:rsid w:val="00A93FCD"/>
    <w:rsid w:val="00A942BF"/>
    <w:rsid w:val="00A9465F"/>
    <w:rsid w:val="00A946AC"/>
    <w:rsid w:val="00A94ECA"/>
    <w:rsid w:val="00A951C7"/>
    <w:rsid w:val="00A95696"/>
    <w:rsid w:val="00A95846"/>
    <w:rsid w:val="00A959D8"/>
    <w:rsid w:val="00A959FA"/>
    <w:rsid w:val="00A95AF3"/>
    <w:rsid w:val="00A95B48"/>
    <w:rsid w:val="00A95C33"/>
    <w:rsid w:val="00A95C7A"/>
    <w:rsid w:val="00A95EB0"/>
    <w:rsid w:val="00A96089"/>
    <w:rsid w:val="00A96D99"/>
    <w:rsid w:val="00A96E83"/>
    <w:rsid w:val="00A9704A"/>
    <w:rsid w:val="00A9714F"/>
    <w:rsid w:val="00A9716E"/>
    <w:rsid w:val="00A971FC"/>
    <w:rsid w:val="00A973FE"/>
    <w:rsid w:val="00A9794C"/>
    <w:rsid w:val="00A97A20"/>
    <w:rsid w:val="00AA012A"/>
    <w:rsid w:val="00AA033D"/>
    <w:rsid w:val="00AA0441"/>
    <w:rsid w:val="00AA0A4A"/>
    <w:rsid w:val="00AA0D62"/>
    <w:rsid w:val="00AA0DA0"/>
    <w:rsid w:val="00AA113D"/>
    <w:rsid w:val="00AA17EF"/>
    <w:rsid w:val="00AA23AE"/>
    <w:rsid w:val="00AA2AFD"/>
    <w:rsid w:val="00AA2C01"/>
    <w:rsid w:val="00AA2D2B"/>
    <w:rsid w:val="00AA2F19"/>
    <w:rsid w:val="00AA3261"/>
    <w:rsid w:val="00AA347A"/>
    <w:rsid w:val="00AA3887"/>
    <w:rsid w:val="00AA390B"/>
    <w:rsid w:val="00AA4B99"/>
    <w:rsid w:val="00AA5125"/>
    <w:rsid w:val="00AA516B"/>
    <w:rsid w:val="00AA5D3B"/>
    <w:rsid w:val="00AA6353"/>
    <w:rsid w:val="00AA6547"/>
    <w:rsid w:val="00AA6577"/>
    <w:rsid w:val="00AA6706"/>
    <w:rsid w:val="00AA6B20"/>
    <w:rsid w:val="00AA6BD5"/>
    <w:rsid w:val="00AA6BD8"/>
    <w:rsid w:val="00AA6C6D"/>
    <w:rsid w:val="00AA6C7D"/>
    <w:rsid w:val="00AA735A"/>
    <w:rsid w:val="00AA7B9C"/>
    <w:rsid w:val="00AA7FD6"/>
    <w:rsid w:val="00AB0359"/>
    <w:rsid w:val="00AB042A"/>
    <w:rsid w:val="00AB052A"/>
    <w:rsid w:val="00AB0A5C"/>
    <w:rsid w:val="00AB0B45"/>
    <w:rsid w:val="00AB0E48"/>
    <w:rsid w:val="00AB11AD"/>
    <w:rsid w:val="00AB1322"/>
    <w:rsid w:val="00AB13C1"/>
    <w:rsid w:val="00AB144E"/>
    <w:rsid w:val="00AB19EF"/>
    <w:rsid w:val="00AB1CDD"/>
    <w:rsid w:val="00AB21D2"/>
    <w:rsid w:val="00AB22E7"/>
    <w:rsid w:val="00AB23E0"/>
    <w:rsid w:val="00AB2495"/>
    <w:rsid w:val="00AB254F"/>
    <w:rsid w:val="00AB257F"/>
    <w:rsid w:val="00AB2CED"/>
    <w:rsid w:val="00AB2D34"/>
    <w:rsid w:val="00AB2E79"/>
    <w:rsid w:val="00AB304B"/>
    <w:rsid w:val="00AB3430"/>
    <w:rsid w:val="00AB37B9"/>
    <w:rsid w:val="00AB3D0B"/>
    <w:rsid w:val="00AB409A"/>
    <w:rsid w:val="00AB41A9"/>
    <w:rsid w:val="00AB41AC"/>
    <w:rsid w:val="00AB44CD"/>
    <w:rsid w:val="00AB4906"/>
    <w:rsid w:val="00AB4A12"/>
    <w:rsid w:val="00AB4AD1"/>
    <w:rsid w:val="00AB4FA6"/>
    <w:rsid w:val="00AB5E07"/>
    <w:rsid w:val="00AB6042"/>
    <w:rsid w:val="00AB6341"/>
    <w:rsid w:val="00AB7545"/>
    <w:rsid w:val="00AB78E9"/>
    <w:rsid w:val="00AB7CFA"/>
    <w:rsid w:val="00AC00AD"/>
    <w:rsid w:val="00AC06F9"/>
    <w:rsid w:val="00AC0787"/>
    <w:rsid w:val="00AC0F8B"/>
    <w:rsid w:val="00AC130D"/>
    <w:rsid w:val="00AC1882"/>
    <w:rsid w:val="00AC18B2"/>
    <w:rsid w:val="00AC1977"/>
    <w:rsid w:val="00AC2D8F"/>
    <w:rsid w:val="00AC2DA0"/>
    <w:rsid w:val="00AC2EE7"/>
    <w:rsid w:val="00AC325D"/>
    <w:rsid w:val="00AC35DA"/>
    <w:rsid w:val="00AC3620"/>
    <w:rsid w:val="00AC37A6"/>
    <w:rsid w:val="00AC3971"/>
    <w:rsid w:val="00AC41AA"/>
    <w:rsid w:val="00AC4256"/>
    <w:rsid w:val="00AC4918"/>
    <w:rsid w:val="00AC4FDF"/>
    <w:rsid w:val="00AC515B"/>
    <w:rsid w:val="00AC5405"/>
    <w:rsid w:val="00AC5748"/>
    <w:rsid w:val="00AC58B8"/>
    <w:rsid w:val="00AC5B42"/>
    <w:rsid w:val="00AC5B48"/>
    <w:rsid w:val="00AC5D02"/>
    <w:rsid w:val="00AC5D80"/>
    <w:rsid w:val="00AC5E4B"/>
    <w:rsid w:val="00AC5F73"/>
    <w:rsid w:val="00AC65A3"/>
    <w:rsid w:val="00AC6A90"/>
    <w:rsid w:val="00AC6D7C"/>
    <w:rsid w:val="00AC718C"/>
    <w:rsid w:val="00AC7321"/>
    <w:rsid w:val="00AC7481"/>
    <w:rsid w:val="00AC7B10"/>
    <w:rsid w:val="00AC7C46"/>
    <w:rsid w:val="00AC7C98"/>
    <w:rsid w:val="00AC7D44"/>
    <w:rsid w:val="00AD017F"/>
    <w:rsid w:val="00AD02BA"/>
    <w:rsid w:val="00AD0508"/>
    <w:rsid w:val="00AD07A5"/>
    <w:rsid w:val="00AD0DA8"/>
    <w:rsid w:val="00AD10CF"/>
    <w:rsid w:val="00AD140F"/>
    <w:rsid w:val="00AD1450"/>
    <w:rsid w:val="00AD150F"/>
    <w:rsid w:val="00AD15E8"/>
    <w:rsid w:val="00AD16AA"/>
    <w:rsid w:val="00AD1931"/>
    <w:rsid w:val="00AD1CC5"/>
    <w:rsid w:val="00AD2237"/>
    <w:rsid w:val="00AD270D"/>
    <w:rsid w:val="00AD30CE"/>
    <w:rsid w:val="00AD34E2"/>
    <w:rsid w:val="00AD356D"/>
    <w:rsid w:val="00AD3759"/>
    <w:rsid w:val="00AD39A7"/>
    <w:rsid w:val="00AD3CCA"/>
    <w:rsid w:val="00AD3F8B"/>
    <w:rsid w:val="00AD4298"/>
    <w:rsid w:val="00AD4312"/>
    <w:rsid w:val="00AD43F8"/>
    <w:rsid w:val="00AD461C"/>
    <w:rsid w:val="00AD4986"/>
    <w:rsid w:val="00AD5096"/>
    <w:rsid w:val="00AD56D9"/>
    <w:rsid w:val="00AD58EA"/>
    <w:rsid w:val="00AD5F85"/>
    <w:rsid w:val="00AD64C8"/>
    <w:rsid w:val="00AD6502"/>
    <w:rsid w:val="00AD6D9B"/>
    <w:rsid w:val="00AD72F5"/>
    <w:rsid w:val="00AD773E"/>
    <w:rsid w:val="00AD77E0"/>
    <w:rsid w:val="00AD7FA0"/>
    <w:rsid w:val="00AD7FFA"/>
    <w:rsid w:val="00AE0695"/>
    <w:rsid w:val="00AE0BAB"/>
    <w:rsid w:val="00AE0F96"/>
    <w:rsid w:val="00AE16CA"/>
    <w:rsid w:val="00AE1785"/>
    <w:rsid w:val="00AE2BF1"/>
    <w:rsid w:val="00AE2F0A"/>
    <w:rsid w:val="00AE348C"/>
    <w:rsid w:val="00AE376A"/>
    <w:rsid w:val="00AE3C5F"/>
    <w:rsid w:val="00AE3D04"/>
    <w:rsid w:val="00AE3E22"/>
    <w:rsid w:val="00AE3E7E"/>
    <w:rsid w:val="00AE4069"/>
    <w:rsid w:val="00AE4224"/>
    <w:rsid w:val="00AE426E"/>
    <w:rsid w:val="00AE4487"/>
    <w:rsid w:val="00AE45CF"/>
    <w:rsid w:val="00AE4FE1"/>
    <w:rsid w:val="00AE5226"/>
    <w:rsid w:val="00AE558F"/>
    <w:rsid w:val="00AE5B5E"/>
    <w:rsid w:val="00AE5DC1"/>
    <w:rsid w:val="00AE5FC9"/>
    <w:rsid w:val="00AE60A2"/>
    <w:rsid w:val="00AE68A9"/>
    <w:rsid w:val="00AE6BE7"/>
    <w:rsid w:val="00AE6D4C"/>
    <w:rsid w:val="00AE702C"/>
    <w:rsid w:val="00AE70EE"/>
    <w:rsid w:val="00AE7350"/>
    <w:rsid w:val="00AE735D"/>
    <w:rsid w:val="00AE7B94"/>
    <w:rsid w:val="00AE7B98"/>
    <w:rsid w:val="00AE7BDE"/>
    <w:rsid w:val="00AE7C32"/>
    <w:rsid w:val="00AE7E53"/>
    <w:rsid w:val="00AF0896"/>
    <w:rsid w:val="00AF0A24"/>
    <w:rsid w:val="00AF0BE2"/>
    <w:rsid w:val="00AF0D56"/>
    <w:rsid w:val="00AF0E7E"/>
    <w:rsid w:val="00AF1181"/>
    <w:rsid w:val="00AF1315"/>
    <w:rsid w:val="00AF1342"/>
    <w:rsid w:val="00AF1380"/>
    <w:rsid w:val="00AF19BF"/>
    <w:rsid w:val="00AF1B48"/>
    <w:rsid w:val="00AF1D0B"/>
    <w:rsid w:val="00AF26AA"/>
    <w:rsid w:val="00AF2C84"/>
    <w:rsid w:val="00AF2DC3"/>
    <w:rsid w:val="00AF2F11"/>
    <w:rsid w:val="00AF32CB"/>
    <w:rsid w:val="00AF3E49"/>
    <w:rsid w:val="00AF42B0"/>
    <w:rsid w:val="00AF430C"/>
    <w:rsid w:val="00AF494C"/>
    <w:rsid w:val="00AF5962"/>
    <w:rsid w:val="00AF5CB8"/>
    <w:rsid w:val="00AF5FF0"/>
    <w:rsid w:val="00AF672A"/>
    <w:rsid w:val="00AF6E99"/>
    <w:rsid w:val="00AF7A42"/>
    <w:rsid w:val="00AF7AD5"/>
    <w:rsid w:val="00AF7B74"/>
    <w:rsid w:val="00B0031A"/>
    <w:rsid w:val="00B0035F"/>
    <w:rsid w:val="00B00544"/>
    <w:rsid w:val="00B0090A"/>
    <w:rsid w:val="00B0092F"/>
    <w:rsid w:val="00B00DF4"/>
    <w:rsid w:val="00B00EBF"/>
    <w:rsid w:val="00B0124C"/>
    <w:rsid w:val="00B0148A"/>
    <w:rsid w:val="00B027E8"/>
    <w:rsid w:val="00B02884"/>
    <w:rsid w:val="00B02A44"/>
    <w:rsid w:val="00B02D1A"/>
    <w:rsid w:val="00B03395"/>
    <w:rsid w:val="00B033E5"/>
    <w:rsid w:val="00B03A63"/>
    <w:rsid w:val="00B0448B"/>
    <w:rsid w:val="00B047ED"/>
    <w:rsid w:val="00B04CAC"/>
    <w:rsid w:val="00B050C4"/>
    <w:rsid w:val="00B053C5"/>
    <w:rsid w:val="00B05412"/>
    <w:rsid w:val="00B055F2"/>
    <w:rsid w:val="00B05D94"/>
    <w:rsid w:val="00B05F67"/>
    <w:rsid w:val="00B061B5"/>
    <w:rsid w:val="00B06439"/>
    <w:rsid w:val="00B066BB"/>
    <w:rsid w:val="00B071CF"/>
    <w:rsid w:val="00B07551"/>
    <w:rsid w:val="00B0776A"/>
    <w:rsid w:val="00B079CA"/>
    <w:rsid w:val="00B07F7B"/>
    <w:rsid w:val="00B10057"/>
    <w:rsid w:val="00B1014A"/>
    <w:rsid w:val="00B103AD"/>
    <w:rsid w:val="00B1061A"/>
    <w:rsid w:val="00B10BF3"/>
    <w:rsid w:val="00B112F5"/>
    <w:rsid w:val="00B11324"/>
    <w:rsid w:val="00B1144C"/>
    <w:rsid w:val="00B11784"/>
    <w:rsid w:val="00B11E86"/>
    <w:rsid w:val="00B11F5E"/>
    <w:rsid w:val="00B12645"/>
    <w:rsid w:val="00B1264B"/>
    <w:rsid w:val="00B12725"/>
    <w:rsid w:val="00B129A2"/>
    <w:rsid w:val="00B129A4"/>
    <w:rsid w:val="00B130D6"/>
    <w:rsid w:val="00B132DB"/>
    <w:rsid w:val="00B1394E"/>
    <w:rsid w:val="00B1395E"/>
    <w:rsid w:val="00B13BA9"/>
    <w:rsid w:val="00B13BE6"/>
    <w:rsid w:val="00B13C29"/>
    <w:rsid w:val="00B14208"/>
    <w:rsid w:val="00B14347"/>
    <w:rsid w:val="00B1486A"/>
    <w:rsid w:val="00B14BC0"/>
    <w:rsid w:val="00B14BE4"/>
    <w:rsid w:val="00B14C06"/>
    <w:rsid w:val="00B14D82"/>
    <w:rsid w:val="00B156CF"/>
    <w:rsid w:val="00B15B42"/>
    <w:rsid w:val="00B16068"/>
    <w:rsid w:val="00B16230"/>
    <w:rsid w:val="00B164D1"/>
    <w:rsid w:val="00B1660B"/>
    <w:rsid w:val="00B1670C"/>
    <w:rsid w:val="00B16B12"/>
    <w:rsid w:val="00B16E8E"/>
    <w:rsid w:val="00B170AE"/>
    <w:rsid w:val="00B17250"/>
    <w:rsid w:val="00B17256"/>
    <w:rsid w:val="00B175ED"/>
    <w:rsid w:val="00B177F0"/>
    <w:rsid w:val="00B17EC4"/>
    <w:rsid w:val="00B201A4"/>
    <w:rsid w:val="00B201D1"/>
    <w:rsid w:val="00B20220"/>
    <w:rsid w:val="00B2083C"/>
    <w:rsid w:val="00B20EFA"/>
    <w:rsid w:val="00B20FA9"/>
    <w:rsid w:val="00B21281"/>
    <w:rsid w:val="00B213A6"/>
    <w:rsid w:val="00B21476"/>
    <w:rsid w:val="00B2157B"/>
    <w:rsid w:val="00B21D61"/>
    <w:rsid w:val="00B21D74"/>
    <w:rsid w:val="00B21DD1"/>
    <w:rsid w:val="00B22065"/>
    <w:rsid w:val="00B22D2E"/>
    <w:rsid w:val="00B22DEA"/>
    <w:rsid w:val="00B23114"/>
    <w:rsid w:val="00B235B0"/>
    <w:rsid w:val="00B2365E"/>
    <w:rsid w:val="00B242B9"/>
    <w:rsid w:val="00B2483D"/>
    <w:rsid w:val="00B24DF6"/>
    <w:rsid w:val="00B254F9"/>
    <w:rsid w:val="00B256D3"/>
    <w:rsid w:val="00B25947"/>
    <w:rsid w:val="00B25B05"/>
    <w:rsid w:val="00B25BD9"/>
    <w:rsid w:val="00B25C53"/>
    <w:rsid w:val="00B25F35"/>
    <w:rsid w:val="00B25F94"/>
    <w:rsid w:val="00B2621B"/>
    <w:rsid w:val="00B263E0"/>
    <w:rsid w:val="00B26B28"/>
    <w:rsid w:val="00B26B46"/>
    <w:rsid w:val="00B27091"/>
    <w:rsid w:val="00B273FB"/>
    <w:rsid w:val="00B27572"/>
    <w:rsid w:val="00B27A61"/>
    <w:rsid w:val="00B27C7C"/>
    <w:rsid w:val="00B27E3D"/>
    <w:rsid w:val="00B302AE"/>
    <w:rsid w:val="00B30718"/>
    <w:rsid w:val="00B30AC7"/>
    <w:rsid w:val="00B30C1C"/>
    <w:rsid w:val="00B3109E"/>
    <w:rsid w:val="00B312B3"/>
    <w:rsid w:val="00B315C6"/>
    <w:rsid w:val="00B31614"/>
    <w:rsid w:val="00B3222B"/>
    <w:rsid w:val="00B329C6"/>
    <w:rsid w:val="00B32A2F"/>
    <w:rsid w:val="00B32AC4"/>
    <w:rsid w:val="00B33843"/>
    <w:rsid w:val="00B33A2C"/>
    <w:rsid w:val="00B33BBB"/>
    <w:rsid w:val="00B33BBE"/>
    <w:rsid w:val="00B33DFC"/>
    <w:rsid w:val="00B33E45"/>
    <w:rsid w:val="00B3409D"/>
    <w:rsid w:val="00B3436C"/>
    <w:rsid w:val="00B34428"/>
    <w:rsid w:val="00B344AF"/>
    <w:rsid w:val="00B348AE"/>
    <w:rsid w:val="00B34FE2"/>
    <w:rsid w:val="00B3510D"/>
    <w:rsid w:val="00B35166"/>
    <w:rsid w:val="00B35286"/>
    <w:rsid w:val="00B3562F"/>
    <w:rsid w:val="00B356B5"/>
    <w:rsid w:val="00B3572B"/>
    <w:rsid w:val="00B357D8"/>
    <w:rsid w:val="00B35AEC"/>
    <w:rsid w:val="00B360F4"/>
    <w:rsid w:val="00B36531"/>
    <w:rsid w:val="00B366C9"/>
    <w:rsid w:val="00B369A2"/>
    <w:rsid w:val="00B36A00"/>
    <w:rsid w:val="00B36B5F"/>
    <w:rsid w:val="00B36B88"/>
    <w:rsid w:val="00B36C8A"/>
    <w:rsid w:val="00B371E0"/>
    <w:rsid w:val="00B37770"/>
    <w:rsid w:val="00B3792B"/>
    <w:rsid w:val="00B37BFC"/>
    <w:rsid w:val="00B40094"/>
    <w:rsid w:val="00B40200"/>
    <w:rsid w:val="00B4020D"/>
    <w:rsid w:val="00B40358"/>
    <w:rsid w:val="00B403CA"/>
    <w:rsid w:val="00B40844"/>
    <w:rsid w:val="00B40993"/>
    <w:rsid w:val="00B40F5B"/>
    <w:rsid w:val="00B41028"/>
    <w:rsid w:val="00B41614"/>
    <w:rsid w:val="00B41799"/>
    <w:rsid w:val="00B41D44"/>
    <w:rsid w:val="00B41E1C"/>
    <w:rsid w:val="00B42134"/>
    <w:rsid w:val="00B424BA"/>
    <w:rsid w:val="00B42851"/>
    <w:rsid w:val="00B428E0"/>
    <w:rsid w:val="00B42AC5"/>
    <w:rsid w:val="00B42F80"/>
    <w:rsid w:val="00B43208"/>
    <w:rsid w:val="00B434F3"/>
    <w:rsid w:val="00B435CB"/>
    <w:rsid w:val="00B43751"/>
    <w:rsid w:val="00B43812"/>
    <w:rsid w:val="00B4399A"/>
    <w:rsid w:val="00B43DC7"/>
    <w:rsid w:val="00B43E06"/>
    <w:rsid w:val="00B441DF"/>
    <w:rsid w:val="00B4508A"/>
    <w:rsid w:val="00B45187"/>
    <w:rsid w:val="00B45701"/>
    <w:rsid w:val="00B457E1"/>
    <w:rsid w:val="00B45FB5"/>
    <w:rsid w:val="00B46266"/>
    <w:rsid w:val="00B465EC"/>
    <w:rsid w:val="00B4675E"/>
    <w:rsid w:val="00B469E3"/>
    <w:rsid w:val="00B46CBA"/>
    <w:rsid w:val="00B47033"/>
    <w:rsid w:val="00B47202"/>
    <w:rsid w:val="00B4733A"/>
    <w:rsid w:val="00B47934"/>
    <w:rsid w:val="00B47F5D"/>
    <w:rsid w:val="00B505C8"/>
    <w:rsid w:val="00B508A5"/>
    <w:rsid w:val="00B509EE"/>
    <w:rsid w:val="00B50DB8"/>
    <w:rsid w:val="00B512C5"/>
    <w:rsid w:val="00B51B7D"/>
    <w:rsid w:val="00B51C67"/>
    <w:rsid w:val="00B51D4D"/>
    <w:rsid w:val="00B523DD"/>
    <w:rsid w:val="00B5272D"/>
    <w:rsid w:val="00B52868"/>
    <w:rsid w:val="00B52925"/>
    <w:rsid w:val="00B52B7A"/>
    <w:rsid w:val="00B53104"/>
    <w:rsid w:val="00B53423"/>
    <w:rsid w:val="00B53654"/>
    <w:rsid w:val="00B53905"/>
    <w:rsid w:val="00B53CC3"/>
    <w:rsid w:val="00B53CD8"/>
    <w:rsid w:val="00B54103"/>
    <w:rsid w:val="00B5446B"/>
    <w:rsid w:val="00B54561"/>
    <w:rsid w:val="00B54577"/>
    <w:rsid w:val="00B546DB"/>
    <w:rsid w:val="00B54877"/>
    <w:rsid w:val="00B54A77"/>
    <w:rsid w:val="00B54B5B"/>
    <w:rsid w:val="00B54BF9"/>
    <w:rsid w:val="00B54D48"/>
    <w:rsid w:val="00B5562E"/>
    <w:rsid w:val="00B557F3"/>
    <w:rsid w:val="00B55862"/>
    <w:rsid w:val="00B55935"/>
    <w:rsid w:val="00B55C12"/>
    <w:rsid w:val="00B55D65"/>
    <w:rsid w:val="00B55DDC"/>
    <w:rsid w:val="00B55DDD"/>
    <w:rsid w:val="00B55E17"/>
    <w:rsid w:val="00B56019"/>
    <w:rsid w:val="00B560A9"/>
    <w:rsid w:val="00B56305"/>
    <w:rsid w:val="00B568C9"/>
    <w:rsid w:val="00B56BCF"/>
    <w:rsid w:val="00B56EC3"/>
    <w:rsid w:val="00B56FB3"/>
    <w:rsid w:val="00B57000"/>
    <w:rsid w:val="00B57311"/>
    <w:rsid w:val="00B57697"/>
    <w:rsid w:val="00B57E24"/>
    <w:rsid w:val="00B57E91"/>
    <w:rsid w:val="00B6014B"/>
    <w:rsid w:val="00B60624"/>
    <w:rsid w:val="00B608CB"/>
    <w:rsid w:val="00B60939"/>
    <w:rsid w:val="00B60AFD"/>
    <w:rsid w:val="00B60CA4"/>
    <w:rsid w:val="00B60ED3"/>
    <w:rsid w:val="00B60F01"/>
    <w:rsid w:val="00B61812"/>
    <w:rsid w:val="00B6182A"/>
    <w:rsid w:val="00B61950"/>
    <w:rsid w:val="00B61C83"/>
    <w:rsid w:val="00B61D2A"/>
    <w:rsid w:val="00B61E9C"/>
    <w:rsid w:val="00B62057"/>
    <w:rsid w:val="00B6213B"/>
    <w:rsid w:val="00B62277"/>
    <w:rsid w:val="00B62715"/>
    <w:rsid w:val="00B62871"/>
    <w:rsid w:val="00B62889"/>
    <w:rsid w:val="00B63171"/>
    <w:rsid w:val="00B633BD"/>
    <w:rsid w:val="00B63883"/>
    <w:rsid w:val="00B63CBC"/>
    <w:rsid w:val="00B63F65"/>
    <w:rsid w:val="00B641DC"/>
    <w:rsid w:val="00B642A7"/>
    <w:rsid w:val="00B64600"/>
    <w:rsid w:val="00B64AF4"/>
    <w:rsid w:val="00B64C54"/>
    <w:rsid w:val="00B64CCD"/>
    <w:rsid w:val="00B64E42"/>
    <w:rsid w:val="00B64EA6"/>
    <w:rsid w:val="00B64F41"/>
    <w:rsid w:val="00B64FF2"/>
    <w:rsid w:val="00B65611"/>
    <w:rsid w:val="00B6574A"/>
    <w:rsid w:val="00B65750"/>
    <w:rsid w:val="00B659C0"/>
    <w:rsid w:val="00B65AF1"/>
    <w:rsid w:val="00B65B16"/>
    <w:rsid w:val="00B65BC3"/>
    <w:rsid w:val="00B66762"/>
    <w:rsid w:val="00B6711B"/>
    <w:rsid w:val="00B672B3"/>
    <w:rsid w:val="00B673F2"/>
    <w:rsid w:val="00B67890"/>
    <w:rsid w:val="00B67C94"/>
    <w:rsid w:val="00B67EB3"/>
    <w:rsid w:val="00B70108"/>
    <w:rsid w:val="00B7017A"/>
    <w:rsid w:val="00B7019F"/>
    <w:rsid w:val="00B701D3"/>
    <w:rsid w:val="00B705B0"/>
    <w:rsid w:val="00B70E8E"/>
    <w:rsid w:val="00B71194"/>
    <w:rsid w:val="00B7131C"/>
    <w:rsid w:val="00B71370"/>
    <w:rsid w:val="00B71B59"/>
    <w:rsid w:val="00B71B5F"/>
    <w:rsid w:val="00B71FFF"/>
    <w:rsid w:val="00B729DB"/>
    <w:rsid w:val="00B72CB1"/>
    <w:rsid w:val="00B72E50"/>
    <w:rsid w:val="00B731A9"/>
    <w:rsid w:val="00B734A1"/>
    <w:rsid w:val="00B737D2"/>
    <w:rsid w:val="00B738CD"/>
    <w:rsid w:val="00B738EA"/>
    <w:rsid w:val="00B73C19"/>
    <w:rsid w:val="00B73C80"/>
    <w:rsid w:val="00B73D96"/>
    <w:rsid w:val="00B740D5"/>
    <w:rsid w:val="00B7429F"/>
    <w:rsid w:val="00B743B3"/>
    <w:rsid w:val="00B7472F"/>
    <w:rsid w:val="00B74D0F"/>
    <w:rsid w:val="00B75D5E"/>
    <w:rsid w:val="00B75E47"/>
    <w:rsid w:val="00B76057"/>
    <w:rsid w:val="00B76138"/>
    <w:rsid w:val="00B76C92"/>
    <w:rsid w:val="00B773DC"/>
    <w:rsid w:val="00B77E77"/>
    <w:rsid w:val="00B77F4C"/>
    <w:rsid w:val="00B8079C"/>
    <w:rsid w:val="00B80EFD"/>
    <w:rsid w:val="00B8134A"/>
    <w:rsid w:val="00B81849"/>
    <w:rsid w:val="00B818A4"/>
    <w:rsid w:val="00B818AF"/>
    <w:rsid w:val="00B81E1D"/>
    <w:rsid w:val="00B81F04"/>
    <w:rsid w:val="00B82146"/>
    <w:rsid w:val="00B82281"/>
    <w:rsid w:val="00B82389"/>
    <w:rsid w:val="00B8275E"/>
    <w:rsid w:val="00B8282D"/>
    <w:rsid w:val="00B82ADC"/>
    <w:rsid w:val="00B82AF1"/>
    <w:rsid w:val="00B82BBE"/>
    <w:rsid w:val="00B82D14"/>
    <w:rsid w:val="00B82EC6"/>
    <w:rsid w:val="00B8321B"/>
    <w:rsid w:val="00B832C1"/>
    <w:rsid w:val="00B8366C"/>
    <w:rsid w:val="00B83739"/>
    <w:rsid w:val="00B838E7"/>
    <w:rsid w:val="00B839DC"/>
    <w:rsid w:val="00B83CEB"/>
    <w:rsid w:val="00B840DE"/>
    <w:rsid w:val="00B84117"/>
    <w:rsid w:val="00B84260"/>
    <w:rsid w:val="00B842B6"/>
    <w:rsid w:val="00B843F3"/>
    <w:rsid w:val="00B84680"/>
    <w:rsid w:val="00B84904"/>
    <w:rsid w:val="00B84A6B"/>
    <w:rsid w:val="00B84CA0"/>
    <w:rsid w:val="00B84CAF"/>
    <w:rsid w:val="00B84E9C"/>
    <w:rsid w:val="00B84FD5"/>
    <w:rsid w:val="00B85432"/>
    <w:rsid w:val="00B85476"/>
    <w:rsid w:val="00B85809"/>
    <w:rsid w:val="00B858F0"/>
    <w:rsid w:val="00B85AA2"/>
    <w:rsid w:val="00B862CF"/>
    <w:rsid w:val="00B8649C"/>
    <w:rsid w:val="00B86777"/>
    <w:rsid w:val="00B8695D"/>
    <w:rsid w:val="00B86981"/>
    <w:rsid w:val="00B869C6"/>
    <w:rsid w:val="00B86B0A"/>
    <w:rsid w:val="00B870CD"/>
    <w:rsid w:val="00B87134"/>
    <w:rsid w:val="00B877CB"/>
    <w:rsid w:val="00B87F0A"/>
    <w:rsid w:val="00B87FF7"/>
    <w:rsid w:val="00B90398"/>
    <w:rsid w:val="00B90A92"/>
    <w:rsid w:val="00B90BED"/>
    <w:rsid w:val="00B91330"/>
    <w:rsid w:val="00B9170F"/>
    <w:rsid w:val="00B91B58"/>
    <w:rsid w:val="00B920DB"/>
    <w:rsid w:val="00B92178"/>
    <w:rsid w:val="00B9225A"/>
    <w:rsid w:val="00B9230F"/>
    <w:rsid w:val="00B92442"/>
    <w:rsid w:val="00B92574"/>
    <w:rsid w:val="00B928B3"/>
    <w:rsid w:val="00B92B8B"/>
    <w:rsid w:val="00B92BBD"/>
    <w:rsid w:val="00B92D0B"/>
    <w:rsid w:val="00B92DF9"/>
    <w:rsid w:val="00B930A6"/>
    <w:rsid w:val="00B93835"/>
    <w:rsid w:val="00B939FB"/>
    <w:rsid w:val="00B93B65"/>
    <w:rsid w:val="00B94046"/>
    <w:rsid w:val="00B9410B"/>
    <w:rsid w:val="00B94945"/>
    <w:rsid w:val="00B94DD6"/>
    <w:rsid w:val="00B95129"/>
    <w:rsid w:val="00B95553"/>
    <w:rsid w:val="00B955C5"/>
    <w:rsid w:val="00B95C29"/>
    <w:rsid w:val="00B95D35"/>
    <w:rsid w:val="00B9614B"/>
    <w:rsid w:val="00B96512"/>
    <w:rsid w:val="00B9663D"/>
    <w:rsid w:val="00B96B0A"/>
    <w:rsid w:val="00B96E20"/>
    <w:rsid w:val="00B96FA5"/>
    <w:rsid w:val="00B97AE7"/>
    <w:rsid w:val="00BA03E8"/>
    <w:rsid w:val="00BA0525"/>
    <w:rsid w:val="00BA085C"/>
    <w:rsid w:val="00BA12D4"/>
    <w:rsid w:val="00BA13F7"/>
    <w:rsid w:val="00BA148A"/>
    <w:rsid w:val="00BA1C0C"/>
    <w:rsid w:val="00BA1D98"/>
    <w:rsid w:val="00BA2223"/>
    <w:rsid w:val="00BA26C8"/>
    <w:rsid w:val="00BA2B80"/>
    <w:rsid w:val="00BA2E3A"/>
    <w:rsid w:val="00BA322D"/>
    <w:rsid w:val="00BA34C1"/>
    <w:rsid w:val="00BA3753"/>
    <w:rsid w:val="00BA3CFF"/>
    <w:rsid w:val="00BA42F2"/>
    <w:rsid w:val="00BA46BE"/>
    <w:rsid w:val="00BA4CFA"/>
    <w:rsid w:val="00BA5112"/>
    <w:rsid w:val="00BA538C"/>
    <w:rsid w:val="00BA5D9E"/>
    <w:rsid w:val="00BA5E01"/>
    <w:rsid w:val="00BA5FCF"/>
    <w:rsid w:val="00BA61AE"/>
    <w:rsid w:val="00BA62AA"/>
    <w:rsid w:val="00BA6357"/>
    <w:rsid w:val="00BA63EC"/>
    <w:rsid w:val="00BA63FA"/>
    <w:rsid w:val="00BA64F7"/>
    <w:rsid w:val="00BA680C"/>
    <w:rsid w:val="00BA68D8"/>
    <w:rsid w:val="00BA6B85"/>
    <w:rsid w:val="00BA6BCD"/>
    <w:rsid w:val="00BA6CCA"/>
    <w:rsid w:val="00BA6DA8"/>
    <w:rsid w:val="00BA6E18"/>
    <w:rsid w:val="00BA76A9"/>
    <w:rsid w:val="00BA798D"/>
    <w:rsid w:val="00BA7A50"/>
    <w:rsid w:val="00BA7C69"/>
    <w:rsid w:val="00BA7C6B"/>
    <w:rsid w:val="00BA7D66"/>
    <w:rsid w:val="00BA7DD7"/>
    <w:rsid w:val="00BA7F78"/>
    <w:rsid w:val="00BB00B3"/>
    <w:rsid w:val="00BB0BDD"/>
    <w:rsid w:val="00BB0F75"/>
    <w:rsid w:val="00BB1359"/>
    <w:rsid w:val="00BB176C"/>
    <w:rsid w:val="00BB1DCC"/>
    <w:rsid w:val="00BB2294"/>
    <w:rsid w:val="00BB24CA"/>
    <w:rsid w:val="00BB272C"/>
    <w:rsid w:val="00BB2966"/>
    <w:rsid w:val="00BB2A73"/>
    <w:rsid w:val="00BB3407"/>
    <w:rsid w:val="00BB3A45"/>
    <w:rsid w:val="00BB3BED"/>
    <w:rsid w:val="00BB3C5B"/>
    <w:rsid w:val="00BB4542"/>
    <w:rsid w:val="00BB45F4"/>
    <w:rsid w:val="00BB47C1"/>
    <w:rsid w:val="00BB4ACC"/>
    <w:rsid w:val="00BB4CFF"/>
    <w:rsid w:val="00BB4FE0"/>
    <w:rsid w:val="00BB53B3"/>
    <w:rsid w:val="00BB5645"/>
    <w:rsid w:val="00BB5C10"/>
    <w:rsid w:val="00BB5C17"/>
    <w:rsid w:val="00BB5F7A"/>
    <w:rsid w:val="00BB6028"/>
    <w:rsid w:val="00BB68A3"/>
    <w:rsid w:val="00BB6993"/>
    <w:rsid w:val="00BB703E"/>
    <w:rsid w:val="00BB7318"/>
    <w:rsid w:val="00BB732D"/>
    <w:rsid w:val="00BB7405"/>
    <w:rsid w:val="00BB7C85"/>
    <w:rsid w:val="00BC01D4"/>
    <w:rsid w:val="00BC05D5"/>
    <w:rsid w:val="00BC0C9D"/>
    <w:rsid w:val="00BC0DC5"/>
    <w:rsid w:val="00BC13AE"/>
    <w:rsid w:val="00BC15A7"/>
    <w:rsid w:val="00BC1D21"/>
    <w:rsid w:val="00BC1DE5"/>
    <w:rsid w:val="00BC1E11"/>
    <w:rsid w:val="00BC1FE7"/>
    <w:rsid w:val="00BC2196"/>
    <w:rsid w:val="00BC2689"/>
    <w:rsid w:val="00BC268A"/>
    <w:rsid w:val="00BC2A8D"/>
    <w:rsid w:val="00BC2C63"/>
    <w:rsid w:val="00BC2F03"/>
    <w:rsid w:val="00BC2F48"/>
    <w:rsid w:val="00BC2F68"/>
    <w:rsid w:val="00BC345C"/>
    <w:rsid w:val="00BC3631"/>
    <w:rsid w:val="00BC3A17"/>
    <w:rsid w:val="00BC3AB1"/>
    <w:rsid w:val="00BC3B7B"/>
    <w:rsid w:val="00BC3C43"/>
    <w:rsid w:val="00BC3F5D"/>
    <w:rsid w:val="00BC4121"/>
    <w:rsid w:val="00BC42C2"/>
    <w:rsid w:val="00BC4703"/>
    <w:rsid w:val="00BC4895"/>
    <w:rsid w:val="00BC49A4"/>
    <w:rsid w:val="00BC50E2"/>
    <w:rsid w:val="00BC5249"/>
    <w:rsid w:val="00BC52E8"/>
    <w:rsid w:val="00BC5559"/>
    <w:rsid w:val="00BC55CF"/>
    <w:rsid w:val="00BC591F"/>
    <w:rsid w:val="00BC592D"/>
    <w:rsid w:val="00BC5B7F"/>
    <w:rsid w:val="00BC5DF9"/>
    <w:rsid w:val="00BC6368"/>
    <w:rsid w:val="00BC637F"/>
    <w:rsid w:val="00BC63BA"/>
    <w:rsid w:val="00BC6764"/>
    <w:rsid w:val="00BC68F5"/>
    <w:rsid w:val="00BC6BE8"/>
    <w:rsid w:val="00BC74E1"/>
    <w:rsid w:val="00BC78E0"/>
    <w:rsid w:val="00BC7918"/>
    <w:rsid w:val="00BC7D6D"/>
    <w:rsid w:val="00BD0886"/>
    <w:rsid w:val="00BD1A21"/>
    <w:rsid w:val="00BD2108"/>
    <w:rsid w:val="00BD2910"/>
    <w:rsid w:val="00BD2ED7"/>
    <w:rsid w:val="00BD372D"/>
    <w:rsid w:val="00BD394A"/>
    <w:rsid w:val="00BD3EE4"/>
    <w:rsid w:val="00BD42B5"/>
    <w:rsid w:val="00BD4654"/>
    <w:rsid w:val="00BD49A7"/>
    <w:rsid w:val="00BD4F9C"/>
    <w:rsid w:val="00BD50EA"/>
    <w:rsid w:val="00BD528E"/>
    <w:rsid w:val="00BD54E2"/>
    <w:rsid w:val="00BD5C96"/>
    <w:rsid w:val="00BD5DF7"/>
    <w:rsid w:val="00BD5F40"/>
    <w:rsid w:val="00BD6239"/>
    <w:rsid w:val="00BD636F"/>
    <w:rsid w:val="00BD654D"/>
    <w:rsid w:val="00BD668E"/>
    <w:rsid w:val="00BD67C9"/>
    <w:rsid w:val="00BD68A3"/>
    <w:rsid w:val="00BD6938"/>
    <w:rsid w:val="00BD6B00"/>
    <w:rsid w:val="00BD6CF3"/>
    <w:rsid w:val="00BD75AC"/>
    <w:rsid w:val="00BD76B8"/>
    <w:rsid w:val="00BD77FB"/>
    <w:rsid w:val="00BD79AF"/>
    <w:rsid w:val="00BD7A5A"/>
    <w:rsid w:val="00BD7C62"/>
    <w:rsid w:val="00BD7F72"/>
    <w:rsid w:val="00BD7FBC"/>
    <w:rsid w:val="00BE0168"/>
    <w:rsid w:val="00BE0315"/>
    <w:rsid w:val="00BE0A36"/>
    <w:rsid w:val="00BE0ECA"/>
    <w:rsid w:val="00BE146B"/>
    <w:rsid w:val="00BE158A"/>
    <w:rsid w:val="00BE1720"/>
    <w:rsid w:val="00BE1850"/>
    <w:rsid w:val="00BE1AED"/>
    <w:rsid w:val="00BE1BEE"/>
    <w:rsid w:val="00BE1CF0"/>
    <w:rsid w:val="00BE2069"/>
    <w:rsid w:val="00BE2124"/>
    <w:rsid w:val="00BE217E"/>
    <w:rsid w:val="00BE2180"/>
    <w:rsid w:val="00BE219A"/>
    <w:rsid w:val="00BE21F2"/>
    <w:rsid w:val="00BE246F"/>
    <w:rsid w:val="00BE25B6"/>
    <w:rsid w:val="00BE28C4"/>
    <w:rsid w:val="00BE3201"/>
    <w:rsid w:val="00BE33D1"/>
    <w:rsid w:val="00BE37D4"/>
    <w:rsid w:val="00BE3A9A"/>
    <w:rsid w:val="00BE3F6D"/>
    <w:rsid w:val="00BE4275"/>
    <w:rsid w:val="00BE4290"/>
    <w:rsid w:val="00BE46BB"/>
    <w:rsid w:val="00BE4C05"/>
    <w:rsid w:val="00BE4CC7"/>
    <w:rsid w:val="00BE5E14"/>
    <w:rsid w:val="00BE5FF9"/>
    <w:rsid w:val="00BE604A"/>
    <w:rsid w:val="00BE6373"/>
    <w:rsid w:val="00BE64DA"/>
    <w:rsid w:val="00BE68CD"/>
    <w:rsid w:val="00BE6958"/>
    <w:rsid w:val="00BE6ABA"/>
    <w:rsid w:val="00BE6C27"/>
    <w:rsid w:val="00BE6CA6"/>
    <w:rsid w:val="00BE6DA1"/>
    <w:rsid w:val="00BE6F2E"/>
    <w:rsid w:val="00BE7151"/>
    <w:rsid w:val="00BF04CC"/>
    <w:rsid w:val="00BF062E"/>
    <w:rsid w:val="00BF0692"/>
    <w:rsid w:val="00BF06AE"/>
    <w:rsid w:val="00BF0CEA"/>
    <w:rsid w:val="00BF0EC5"/>
    <w:rsid w:val="00BF0F95"/>
    <w:rsid w:val="00BF10F3"/>
    <w:rsid w:val="00BF1128"/>
    <w:rsid w:val="00BF1517"/>
    <w:rsid w:val="00BF1686"/>
    <w:rsid w:val="00BF22AB"/>
    <w:rsid w:val="00BF22F9"/>
    <w:rsid w:val="00BF2433"/>
    <w:rsid w:val="00BF24BA"/>
    <w:rsid w:val="00BF24EB"/>
    <w:rsid w:val="00BF2711"/>
    <w:rsid w:val="00BF2A0B"/>
    <w:rsid w:val="00BF2B7B"/>
    <w:rsid w:val="00BF2CBD"/>
    <w:rsid w:val="00BF2E6E"/>
    <w:rsid w:val="00BF337F"/>
    <w:rsid w:val="00BF3468"/>
    <w:rsid w:val="00BF3529"/>
    <w:rsid w:val="00BF3729"/>
    <w:rsid w:val="00BF3970"/>
    <w:rsid w:val="00BF3C58"/>
    <w:rsid w:val="00BF3CAF"/>
    <w:rsid w:val="00BF3D30"/>
    <w:rsid w:val="00BF3EE2"/>
    <w:rsid w:val="00BF404C"/>
    <w:rsid w:val="00BF4405"/>
    <w:rsid w:val="00BF489E"/>
    <w:rsid w:val="00BF4986"/>
    <w:rsid w:val="00BF4D06"/>
    <w:rsid w:val="00BF5CED"/>
    <w:rsid w:val="00BF5DCE"/>
    <w:rsid w:val="00BF5F05"/>
    <w:rsid w:val="00BF5F57"/>
    <w:rsid w:val="00BF61C9"/>
    <w:rsid w:val="00BF621F"/>
    <w:rsid w:val="00BF6403"/>
    <w:rsid w:val="00BF6929"/>
    <w:rsid w:val="00BF6C94"/>
    <w:rsid w:val="00BF6D75"/>
    <w:rsid w:val="00BF6EF5"/>
    <w:rsid w:val="00BF6F2B"/>
    <w:rsid w:val="00BF7196"/>
    <w:rsid w:val="00BF750C"/>
    <w:rsid w:val="00BF7931"/>
    <w:rsid w:val="00BF7FE8"/>
    <w:rsid w:val="00C00424"/>
    <w:rsid w:val="00C00BB0"/>
    <w:rsid w:val="00C0102B"/>
    <w:rsid w:val="00C010FD"/>
    <w:rsid w:val="00C0198D"/>
    <w:rsid w:val="00C01A92"/>
    <w:rsid w:val="00C01F4A"/>
    <w:rsid w:val="00C01FE9"/>
    <w:rsid w:val="00C02057"/>
    <w:rsid w:val="00C023D7"/>
    <w:rsid w:val="00C03A53"/>
    <w:rsid w:val="00C046AA"/>
    <w:rsid w:val="00C04D71"/>
    <w:rsid w:val="00C04FB4"/>
    <w:rsid w:val="00C056BB"/>
    <w:rsid w:val="00C05910"/>
    <w:rsid w:val="00C05B2E"/>
    <w:rsid w:val="00C05C23"/>
    <w:rsid w:val="00C05CD5"/>
    <w:rsid w:val="00C05E0E"/>
    <w:rsid w:val="00C06551"/>
    <w:rsid w:val="00C065C8"/>
    <w:rsid w:val="00C0687D"/>
    <w:rsid w:val="00C06E93"/>
    <w:rsid w:val="00C075D1"/>
    <w:rsid w:val="00C075F0"/>
    <w:rsid w:val="00C07FE4"/>
    <w:rsid w:val="00C101FF"/>
    <w:rsid w:val="00C10758"/>
    <w:rsid w:val="00C10852"/>
    <w:rsid w:val="00C108FE"/>
    <w:rsid w:val="00C10C3F"/>
    <w:rsid w:val="00C10D08"/>
    <w:rsid w:val="00C10EE9"/>
    <w:rsid w:val="00C1108B"/>
    <w:rsid w:val="00C11196"/>
    <w:rsid w:val="00C11611"/>
    <w:rsid w:val="00C1179F"/>
    <w:rsid w:val="00C11918"/>
    <w:rsid w:val="00C11B25"/>
    <w:rsid w:val="00C12102"/>
    <w:rsid w:val="00C12400"/>
    <w:rsid w:val="00C12565"/>
    <w:rsid w:val="00C1272A"/>
    <w:rsid w:val="00C127B0"/>
    <w:rsid w:val="00C127B9"/>
    <w:rsid w:val="00C128FA"/>
    <w:rsid w:val="00C12917"/>
    <w:rsid w:val="00C12C14"/>
    <w:rsid w:val="00C1326B"/>
    <w:rsid w:val="00C1362F"/>
    <w:rsid w:val="00C13A03"/>
    <w:rsid w:val="00C13D7B"/>
    <w:rsid w:val="00C14150"/>
    <w:rsid w:val="00C1485A"/>
    <w:rsid w:val="00C15089"/>
    <w:rsid w:val="00C150E6"/>
    <w:rsid w:val="00C151E9"/>
    <w:rsid w:val="00C15818"/>
    <w:rsid w:val="00C15CC3"/>
    <w:rsid w:val="00C15D84"/>
    <w:rsid w:val="00C15E16"/>
    <w:rsid w:val="00C15F04"/>
    <w:rsid w:val="00C16268"/>
    <w:rsid w:val="00C164CF"/>
    <w:rsid w:val="00C166F5"/>
    <w:rsid w:val="00C1683A"/>
    <w:rsid w:val="00C16A34"/>
    <w:rsid w:val="00C16D7F"/>
    <w:rsid w:val="00C16EC4"/>
    <w:rsid w:val="00C16FC8"/>
    <w:rsid w:val="00C17571"/>
    <w:rsid w:val="00C179B3"/>
    <w:rsid w:val="00C17A39"/>
    <w:rsid w:val="00C17BC1"/>
    <w:rsid w:val="00C17E3F"/>
    <w:rsid w:val="00C17EDB"/>
    <w:rsid w:val="00C200AA"/>
    <w:rsid w:val="00C2034F"/>
    <w:rsid w:val="00C20439"/>
    <w:rsid w:val="00C20E51"/>
    <w:rsid w:val="00C20FF4"/>
    <w:rsid w:val="00C21157"/>
    <w:rsid w:val="00C2133A"/>
    <w:rsid w:val="00C215B3"/>
    <w:rsid w:val="00C21AAE"/>
    <w:rsid w:val="00C21CF5"/>
    <w:rsid w:val="00C22038"/>
    <w:rsid w:val="00C22119"/>
    <w:rsid w:val="00C22578"/>
    <w:rsid w:val="00C22908"/>
    <w:rsid w:val="00C22C44"/>
    <w:rsid w:val="00C22E9C"/>
    <w:rsid w:val="00C2318E"/>
    <w:rsid w:val="00C2325D"/>
    <w:rsid w:val="00C234A6"/>
    <w:rsid w:val="00C237ED"/>
    <w:rsid w:val="00C2399E"/>
    <w:rsid w:val="00C240C0"/>
    <w:rsid w:val="00C243FC"/>
    <w:rsid w:val="00C24632"/>
    <w:rsid w:val="00C24756"/>
    <w:rsid w:val="00C24A50"/>
    <w:rsid w:val="00C24A78"/>
    <w:rsid w:val="00C24C5F"/>
    <w:rsid w:val="00C25418"/>
    <w:rsid w:val="00C255B9"/>
    <w:rsid w:val="00C256F5"/>
    <w:rsid w:val="00C25778"/>
    <w:rsid w:val="00C25ABE"/>
    <w:rsid w:val="00C25D9C"/>
    <w:rsid w:val="00C25DA0"/>
    <w:rsid w:val="00C25E30"/>
    <w:rsid w:val="00C26515"/>
    <w:rsid w:val="00C26773"/>
    <w:rsid w:val="00C26827"/>
    <w:rsid w:val="00C2689C"/>
    <w:rsid w:val="00C26F0F"/>
    <w:rsid w:val="00C27203"/>
    <w:rsid w:val="00C273FB"/>
    <w:rsid w:val="00C2778B"/>
    <w:rsid w:val="00C27C97"/>
    <w:rsid w:val="00C302E7"/>
    <w:rsid w:val="00C3084F"/>
    <w:rsid w:val="00C30A2A"/>
    <w:rsid w:val="00C3107D"/>
    <w:rsid w:val="00C313ED"/>
    <w:rsid w:val="00C31649"/>
    <w:rsid w:val="00C316C6"/>
    <w:rsid w:val="00C31754"/>
    <w:rsid w:val="00C31A16"/>
    <w:rsid w:val="00C322D1"/>
    <w:rsid w:val="00C32626"/>
    <w:rsid w:val="00C32946"/>
    <w:rsid w:val="00C32975"/>
    <w:rsid w:val="00C33013"/>
    <w:rsid w:val="00C33092"/>
    <w:rsid w:val="00C3340F"/>
    <w:rsid w:val="00C334AA"/>
    <w:rsid w:val="00C3396C"/>
    <w:rsid w:val="00C33A96"/>
    <w:rsid w:val="00C33B4D"/>
    <w:rsid w:val="00C33E52"/>
    <w:rsid w:val="00C33FC5"/>
    <w:rsid w:val="00C34300"/>
    <w:rsid w:val="00C3434C"/>
    <w:rsid w:val="00C343DD"/>
    <w:rsid w:val="00C345EF"/>
    <w:rsid w:val="00C34784"/>
    <w:rsid w:val="00C34AD7"/>
    <w:rsid w:val="00C34B33"/>
    <w:rsid w:val="00C34C39"/>
    <w:rsid w:val="00C353A7"/>
    <w:rsid w:val="00C35A69"/>
    <w:rsid w:val="00C36096"/>
    <w:rsid w:val="00C3651B"/>
    <w:rsid w:val="00C367BD"/>
    <w:rsid w:val="00C36CB1"/>
    <w:rsid w:val="00C36EA1"/>
    <w:rsid w:val="00C37345"/>
    <w:rsid w:val="00C375FD"/>
    <w:rsid w:val="00C37773"/>
    <w:rsid w:val="00C377FB"/>
    <w:rsid w:val="00C379F7"/>
    <w:rsid w:val="00C37F10"/>
    <w:rsid w:val="00C400D7"/>
    <w:rsid w:val="00C40385"/>
    <w:rsid w:val="00C4068B"/>
    <w:rsid w:val="00C40879"/>
    <w:rsid w:val="00C40B2D"/>
    <w:rsid w:val="00C40BE3"/>
    <w:rsid w:val="00C40C50"/>
    <w:rsid w:val="00C40FF1"/>
    <w:rsid w:val="00C41768"/>
    <w:rsid w:val="00C41C04"/>
    <w:rsid w:val="00C41FC8"/>
    <w:rsid w:val="00C421F4"/>
    <w:rsid w:val="00C4221B"/>
    <w:rsid w:val="00C42BE7"/>
    <w:rsid w:val="00C43080"/>
    <w:rsid w:val="00C430C5"/>
    <w:rsid w:val="00C432DB"/>
    <w:rsid w:val="00C43352"/>
    <w:rsid w:val="00C433CC"/>
    <w:rsid w:val="00C4382C"/>
    <w:rsid w:val="00C43B3E"/>
    <w:rsid w:val="00C43D28"/>
    <w:rsid w:val="00C43D32"/>
    <w:rsid w:val="00C43D55"/>
    <w:rsid w:val="00C43EF5"/>
    <w:rsid w:val="00C44100"/>
    <w:rsid w:val="00C44451"/>
    <w:rsid w:val="00C445CA"/>
    <w:rsid w:val="00C447CF"/>
    <w:rsid w:val="00C447EE"/>
    <w:rsid w:val="00C44820"/>
    <w:rsid w:val="00C45073"/>
    <w:rsid w:val="00C45580"/>
    <w:rsid w:val="00C4592F"/>
    <w:rsid w:val="00C45A1C"/>
    <w:rsid w:val="00C46215"/>
    <w:rsid w:val="00C462D1"/>
    <w:rsid w:val="00C468DC"/>
    <w:rsid w:val="00C469B9"/>
    <w:rsid w:val="00C46E26"/>
    <w:rsid w:val="00C46E74"/>
    <w:rsid w:val="00C47089"/>
    <w:rsid w:val="00C47477"/>
    <w:rsid w:val="00C475AA"/>
    <w:rsid w:val="00C47705"/>
    <w:rsid w:val="00C47AD9"/>
    <w:rsid w:val="00C47BA3"/>
    <w:rsid w:val="00C47BC9"/>
    <w:rsid w:val="00C47D83"/>
    <w:rsid w:val="00C47E30"/>
    <w:rsid w:val="00C5001E"/>
    <w:rsid w:val="00C501FF"/>
    <w:rsid w:val="00C5021C"/>
    <w:rsid w:val="00C503DE"/>
    <w:rsid w:val="00C50507"/>
    <w:rsid w:val="00C509E5"/>
    <w:rsid w:val="00C50BCD"/>
    <w:rsid w:val="00C50C8C"/>
    <w:rsid w:val="00C50D2A"/>
    <w:rsid w:val="00C51211"/>
    <w:rsid w:val="00C515FC"/>
    <w:rsid w:val="00C520C8"/>
    <w:rsid w:val="00C523D2"/>
    <w:rsid w:val="00C523E1"/>
    <w:rsid w:val="00C52779"/>
    <w:rsid w:val="00C527C7"/>
    <w:rsid w:val="00C53503"/>
    <w:rsid w:val="00C535B8"/>
    <w:rsid w:val="00C53BD1"/>
    <w:rsid w:val="00C53C98"/>
    <w:rsid w:val="00C53D00"/>
    <w:rsid w:val="00C542C8"/>
    <w:rsid w:val="00C54605"/>
    <w:rsid w:val="00C54749"/>
    <w:rsid w:val="00C54B37"/>
    <w:rsid w:val="00C55203"/>
    <w:rsid w:val="00C55615"/>
    <w:rsid w:val="00C5574F"/>
    <w:rsid w:val="00C55A5F"/>
    <w:rsid w:val="00C561C2"/>
    <w:rsid w:val="00C56364"/>
    <w:rsid w:val="00C565A3"/>
    <w:rsid w:val="00C565F0"/>
    <w:rsid w:val="00C56F47"/>
    <w:rsid w:val="00C56FCF"/>
    <w:rsid w:val="00C57010"/>
    <w:rsid w:val="00C572F6"/>
    <w:rsid w:val="00C573F1"/>
    <w:rsid w:val="00C574EB"/>
    <w:rsid w:val="00C57B6C"/>
    <w:rsid w:val="00C57BC3"/>
    <w:rsid w:val="00C57E6E"/>
    <w:rsid w:val="00C57F9B"/>
    <w:rsid w:val="00C6044E"/>
    <w:rsid w:val="00C6157A"/>
    <w:rsid w:val="00C61A59"/>
    <w:rsid w:val="00C61CD1"/>
    <w:rsid w:val="00C61DAC"/>
    <w:rsid w:val="00C61F71"/>
    <w:rsid w:val="00C62101"/>
    <w:rsid w:val="00C62407"/>
    <w:rsid w:val="00C6259D"/>
    <w:rsid w:val="00C628A6"/>
    <w:rsid w:val="00C62DAA"/>
    <w:rsid w:val="00C62F29"/>
    <w:rsid w:val="00C631AD"/>
    <w:rsid w:val="00C63298"/>
    <w:rsid w:val="00C636B7"/>
    <w:rsid w:val="00C637B8"/>
    <w:rsid w:val="00C63862"/>
    <w:rsid w:val="00C6387E"/>
    <w:rsid w:val="00C63C61"/>
    <w:rsid w:val="00C64344"/>
    <w:rsid w:val="00C6435D"/>
    <w:rsid w:val="00C6484F"/>
    <w:rsid w:val="00C64DD6"/>
    <w:rsid w:val="00C64F80"/>
    <w:rsid w:val="00C65108"/>
    <w:rsid w:val="00C65576"/>
    <w:rsid w:val="00C6571D"/>
    <w:rsid w:val="00C65E28"/>
    <w:rsid w:val="00C660E1"/>
    <w:rsid w:val="00C66165"/>
    <w:rsid w:val="00C6627F"/>
    <w:rsid w:val="00C662D3"/>
    <w:rsid w:val="00C66A30"/>
    <w:rsid w:val="00C66DBA"/>
    <w:rsid w:val="00C6701B"/>
    <w:rsid w:val="00C672E2"/>
    <w:rsid w:val="00C672F6"/>
    <w:rsid w:val="00C67751"/>
    <w:rsid w:val="00C677A4"/>
    <w:rsid w:val="00C67902"/>
    <w:rsid w:val="00C67A24"/>
    <w:rsid w:val="00C67CBC"/>
    <w:rsid w:val="00C67FD8"/>
    <w:rsid w:val="00C701AF"/>
    <w:rsid w:val="00C701C8"/>
    <w:rsid w:val="00C70310"/>
    <w:rsid w:val="00C7060A"/>
    <w:rsid w:val="00C709B0"/>
    <w:rsid w:val="00C70EAB"/>
    <w:rsid w:val="00C71138"/>
    <w:rsid w:val="00C71436"/>
    <w:rsid w:val="00C7151A"/>
    <w:rsid w:val="00C717E3"/>
    <w:rsid w:val="00C7184C"/>
    <w:rsid w:val="00C71899"/>
    <w:rsid w:val="00C71BBC"/>
    <w:rsid w:val="00C71F60"/>
    <w:rsid w:val="00C71F89"/>
    <w:rsid w:val="00C71FB3"/>
    <w:rsid w:val="00C7213D"/>
    <w:rsid w:val="00C72241"/>
    <w:rsid w:val="00C72303"/>
    <w:rsid w:val="00C725B0"/>
    <w:rsid w:val="00C7287D"/>
    <w:rsid w:val="00C7296E"/>
    <w:rsid w:val="00C72F53"/>
    <w:rsid w:val="00C72FD6"/>
    <w:rsid w:val="00C731E2"/>
    <w:rsid w:val="00C734CC"/>
    <w:rsid w:val="00C7425A"/>
    <w:rsid w:val="00C742AD"/>
    <w:rsid w:val="00C744B1"/>
    <w:rsid w:val="00C74530"/>
    <w:rsid w:val="00C74A64"/>
    <w:rsid w:val="00C74D76"/>
    <w:rsid w:val="00C750C8"/>
    <w:rsid w:val="00C7560F"/>
    <w:rsid w:val="00C7577E"/>
    <w:rsid w:val="00C759A9"/>
    <w:rsid w:val="00C75F02"/>
    <w:rsid w:val="00C7615C"/>
    <w:rsid w:val="00C76197"/>
    <w:rsid w:val="00C764A2"/>
    <w:rsid w:val="00C764D3"/>
    <w:rsid w:val="00C76AD9"/>
    <w:rsid w:val="00C76BDB"/>
    <w:rsid w:val="00C76DD2"/>
    <w:rsid w:val="00C77270"/>
    <w:rsid w:val="00C776AF"/>
    <w:rsid w:val="00C778F4"/>
    <w:rsid w:val="00C7799F"/>
    <w:rsid w:val="00C77DFD"/>
    <w:rsid w:val="00C804AC"/>
    <w:rsid w:val="00C805AD"/>
    <w:rsid w:val="00C80927"/>
    <w:rsid w:val="00C80A0E"/>
    <w:rsid w:val="00C80D14"/>
    <w:rsid w:val="00C81016"/>
    <w:rsid w:val="00C8126C"/>
    <w:rsid w:val="00C81448"/>
    <w:rsid w:val="00C8189D"/>
    <w:rsid w:val="00C81B76"/>
    <w:rsid w:val="00C81BC4"/>
    <w:rsid w:val="00C81C09"/>
    <w:rsid w:val="00C8213F"/>
    <w:rsid w:val="00C824A8"/>
    <w:rsid w:val="00C8255D"/>
    <w:rsid w:val="00C8303F"/>
    <w:rsid w:val="00C83766"/>
    <w:rsid w:val="00C83930"/>
    <w:rsid w:val="00C83934"/>
    <w:rsid w:val="00C8406A"/>
    <w:rsid w:val="00C8466B"/>
    <w:rsid w:val="00C84771"/>
    <w:rsid w:val="00C84943"/>
    <w:rsid w:val="00C84B3C"/>
    <w:rsid w:val="00C84B42"/>
    <w:rsid w:val="00C84E17"/>
    <w:rsid w:val="00C85154"/>
    <w:rsid w:val="00C85297"/>
    <w:rsid w:val="00C853F6"/>
    <w:rsid w:val="00C85570"/>
    <w:rsid w:val="00C8558E"/>
    <w:rsid w:val="00C8564B"/>
    <w:rsid w:val="00C8572F"/>
    <w:rsid w:val="00C85842"/>
    <w:rsid w:val="00C85A70"/>
    <w:rsid w:val="00C85B9C"/>
    <w:rsid w:val="00C860F9"/>
    <w:rsid w:val="00C86BB8"/>
    <w:rsid w:val="00C86D37"/>
    <w:rsid w:val="00C872CC"/>
    <w:rsid w:val="00C87342"/>
    <w:rsid w:val="00C873D7"/>
    <w:rsid w:val="00C87470"/>
    <w:rsid w:val="00C8797A"/>
    <w:rsid w:val="00C900B8"/>
    <w:rsid w:val="00C90147"/>
    <w:rsid w:val="00C90197"/>
    <w:rsid w:val="00C903DB"/>
    <w:rsid w:val="00C90A17"/>
    <w:rsid w:val="00C90C2A"/>
    <w:rsid w:val="00C90C71"/>
    <w:rsid w:val="00C90C9E"/>
    <w:rsid w:val="00C90D0E"/>
    <w:rsid w:val="00C90E2A"/>
    <w:rsid w:val="00C90E6C"/>
    <w:rsid w:val="00C91031"/>
    <w:rsid w:val="00C910FB"/>
    <w:rsid w:val="00C9115C"/>
    <w:rsid w:val="00C91B6C"/>
    <w:rsid w:val="00C91F6A"/>
    <w:rsid w:val="00C91FA9"/>
    <w:rsid w:val="00C91FD1"/>
    <w:rsid w:val="00C9239A"/>
    <w:rsid w:val="00C92902"/>
    <w:rsid w:val="00C92BDB"/>
    <w:rsid w:val="00C92F14"/>
    <w:rsid w:val="00C92FED"/>
    <w:rsid w:val="00C93173"/>
    <w:rsid w:val="00C931CF"/>
    <w:rsid w:val="00C937DC"/>
    <w:rsid w:val="00C9389F"/>
    <w:rsid w:val="00C938CF"/>
    <w:rsid w:val="00C94053"/>
    <w:rsid w:val="00C9481D"/>
    <w:rsid w:val="00C94921"/>
    <w:rsid w:val="00C94A77"/>
    <w:rsid w:val="00C94B20"/>
    <w:rsid w:val="00C951ED"/>
    <w:rsid w:val="00C95439"/>
    <w:rsid w:val="00C955AF"/>
    <w:rsid w:val="00C955C1"/>
    <w:rsid w:val="00C959FC"/>
    <w:rsid w:val="00C9624D"/>
    <w:rsid w:val="00C9638B"/>
    <w:rsid w:val="00C969A7"/>
    <w:rsid w:val="00C969DA"/>
    <w:rsid w:val="00C96C9C"/>
    <w:rsid w:val="00C9714D"/>
    <w:rsid w:val="00C97668"/>
    <w:rsid w:val="00C97CE3"/>
    <w:rsid w:val="00CA0062"/>
    <w:rsid w:val="00CA05FA"/>
    <w:rsid w:val="00CA1203"/>
    <w:rsid w:val="00CA1956"/>
    <w:rsid w:val="00CA1A68"/>
    <w:rsid w:val="00CA2447"/>
    <w:rsid w:val="00CA2C77"/>
    <w:rsid w:val="00CA2C91"/>
    <w:rsid w:val="00CA2E1C"/>
    <w:rsid w:val="00CA3022"/>
    <w:rsid w:val="00CA3087"/>
    <w:rsid w:val="00CA3126"/>
    <w:rsid w:val="00CA32FC"/>
    <w:rsid w:val="00CA34EF"/>
    <w:rsid w:val="00CA36DC"/>
    <w:rsid w:val="00CA379C"/>
    <w:rsid w:val="00CA3AF7"/>
    <w:rsid w:val="00CA3B51"/>
    <w:rsid w:val="00CA3D1A"/>
    <w:rsid w:val="00CA3D74"/>
    <w:rsid w:val="00CA3EE0"/>
    <w:rsid w:val="00CA40E6"/>
    <w:rsid w:val="00CA444F"/>
    <w:rsid w:val="00CA4577"/>
    <w:rsid w:val="00CA458D"/>
    <w:rsid w:val="00CA4B45"/>
    <w:rsid w:val="00CA4B4B"/>
    <w:rsid w:val="00CA4B52"/>
    <w:rsid w:val="00CA5245"/>
    <w:rsid w:val="00CA5504"/>
    <w:rsid w:val="00CA556D"/>
    <w:rsid w:val="00CA55D5"/>
    <w:rsid w:val="00CA5B0F"/>
    <w:rsid w:val="00CA60E0"/>
    <w:rsid w:val="00CA60F0"/>
    <w:rsid w:val="00CA6489"/>
    <w:rsid w:val="00CA6BDE"/>
    <w:rsid w:val="00CA6C05"/>
    <w:rsid w:val="00CA7125"/>
    <w:rsid w:val="00CA71F4"/>
    <w:rsid w:val="00CA7222"/>
    <w:rsid w:val="00CA7290"/>
    <w:rsid w:val="00CA72EC"/>
    <w:rsid w:val="00CA7434"/>
    <w:rsid w:val="00CA7463"/>
    <w:rsid w:val="00CA7533"/>
    <w:rsid w:val="00CA7A19"/>
    <w:rsid w:val="00CA7A88"/>
    <w:rsid w:val="00CA7A95"/>
    <w:rsid w:val="00CA7B09"/>
    <w:rsid w:val="00CA7B78"/>
    <w:rsid w:val="00CB013C"/>
    <w:rsid w:val="00CB1003"/>
    <w:rsid w:val="00CB12A5"/>
    <w:rsid w:val="00CB151D"/>
    <w:rsid w:val="00CB1593"/>
    <w:rsid w:val="00CB16F1"/>
    <w:rsid w:val="00CB1794"/>
    <w:rsid w:val="00CB180D"/>
    <w:rsid w:val="00CB1832"/>
    <w:rsid w:val="00CB1880"/>
    <w:rsid w:val="00CB1905"/>
    <w:rsid w:val="00CB1CAC"/>
    <w:rsid w:val="00CB2121"/>
    <w:rsid w:val="00CB260B"/>
    <w:rsid w:val="00CB2A67"/>
    <w:rsid w:val="00CB2F2A"/>
    <w:rsid w:val="00CB2FAE"/>
    <w:rsid w:val="00CB37D3"/>
    <w:rsid w:val="00CB38CC"/>
    <w:rsid w:val="00CB3AAB"/>
    <w:rsid w:val="00CB3AD3"/>
    <w:rsid w:val="00CB3CDB"/>
    <w:rsid w:val="00CB3D88"/>
    <w:rsid w:val="00CB3DE9"/>
    <w:rsid w:val="00CB3FF0"/>
    <w:rsid w:val="00CB407A"/>
    <w:rsid w:val="00CB4855"/>
    <w:rsid w:val="00CB4879"/>
    <w:rsid w:val="00CB4887"/>
    <w:rsid w:val="00CB48EE"/>
    <w:rsid w:val="00CB4A37"/>
    <w:rsid w:val="00CB54D1"/>
    <w:rsid w:val="00CB5B1A"/>
    <w:rsid w:val="00CB6AE8"/>
    <w:rsid w:val="00CB6B22"/>
    <w:rsid w:val="00CB6C9A"/>
    <w:rsid w:val="00CB6D74"/>
    <w:rsid w:val="00CB6D75"/>
    <w:rsid w:val="00CB70D5"/>
    <w:rsid w:val="00CB73C6"/>
    <w:rsid w:val="00CB741E"/>
    <w:rsid w:val="00CB7C9A"/>
    <w:rsid w:val="00CB7CC1"/>
    <w:rsid w:val="00CB7DE8"/>
    <w:rsid w:val="00CB7EB2"/>
    <w:rsid w:val="00CB7F5F"/>
    <w:rsid w:val="00CC0C81"/>
    <w:rsid w:val="00CC0CC3"/>
    <w:rsid w:val="00CC1017"/>
    <w:rsid w:val="00CC15D9"/>
    <w:rsid w:val="00CC18CB"/>
    <w:rsid w:val="00CC1980"/>
    <w:rsid w:val="00CC1B39"/>
    <w:rsid w:val="00CC1BFA"/>
    <w:rsid w:val="00CC1DC8"/>
    <w:rsid w:val="00CC2169"/>
    <w:rsid w:val="00CC217E"/>
    <w:rsid w:val="00CC26A2"/>
    <w:rsid w:val="00CC27FF"/>
    <w:rsid w:val="00CC2CA1"/>
    <w:rsid w:val="00CC2E9F"/>
    <w:rsid w:val="00CC35EA"/>
    <w:rsid w:val="00CC3848"/>
    <w:rsid w:val="00CC39C2"/>
    <w:rsid w:val="00CC3EFA"/>
    <w:rsid w:val="00CC4680"/>
    <w:rsid w:val="00CC4B45"/>
    <w:rsid w:val="00CC6215"/>
    <w:rsid w:val="00CC6699"/>
    <w:rsid w:val="00CC66AE"/>
    <w:rsid w:val="00CC66DB"/>
    <w:rsid w:val="00CC6889"/>
    <w:rsid w:val="00CC6A66"/>
    <w:rsid w:val="00CC6C25"/>
    <w:rsid w:val="00CC6D37"/>
    <w:rsid w:val="00CC6D5E"/>
    <w:rsid w:val="00CC6F7F"/>
    <w:rsid w:val="00CC785B"/>
    <w:rsid w:val="00CC79E8"/>
    <w:rsid w:val="00CC7D93"/>
    <w:rsid w:val="00CC7E77"/>
    <w:rsid w:val="00CD0200"/>
    <w:rsid w:val="00CD03E2"/>
    <w:rsid w:val="00CD0524"/>
    <w:rsid w:val="00CD08C7"/>
    <w:rsid w:val="00CD0E43"/>
    <w:rsid w:val="00CD131C"/>
    <w:rsid w:val="00CD16A7"/>
    <w:rsid w:val="00CD19BE"/>
    <w:rsid w:val="00CD1C11"/>
    <w:rsid w:val="00CD2461"/>
    <w:rsid w:val="00CD27C4"/>
    <w:rsid w:val="00CD2930"/>
    <w:rsid w:val="00CD2C5B"/>
    <w:rsid w:val="00CD2FB6"/>
    <w:rsid w:val="00CD3251"/>
    <w:rsid w:val="00CD34B6"/>
    <w:rsid w:val="00CD3F68"/>
    <w:rsid w:val="00CD3F77"/>
    <w:rsid w:val="00CD41CB"/>
    <w:rsid w:val="00CD421E"/>
    <w:rsid w:val="00CD42CF"/>
    <w:rsid w:val="00CD4659"/>
    <w:rsid w:val="00CD4D16"/>
    <w:rsid w:val="00CD4ED9"/>
    <w:rsid w:val="00CD4EF1"/>
    <w:rsid w:val="00CD540B"/>
    <w:rsid w:val="00CD55E8"/>
    <w:rsid w:val="00CD5D7D"/>
    <w:rsid w:val="00CD5E3E"/>
    <w:rsid w:val="00CD6482"/>
    <w:rsid w:val="00CD6ADC"/>
    <w:rsid w:val="00CD6C34"/>
    <w:rsid w:val="00CD717B"/>
    <w:rsid w:val="00CD7193"/>
    <w:rsid w:val="00CD79EE"/>
    <w:rsid w:val="00CD7B17"/>
    <w:rsid w:val="00CD7C18"/>
    <w:rsid w:val="00CD7D03"/>
    <w:rsid w:val="00CD7D97"/>
    <w:rsid w:val="00CD7E3E"/>
    <w:rsid w:val="00CD7E45"/>
    <w:rsid w:val="00CD7FA6"/>
    <w:rsid w:val="00CD7FCC"/>
    <w:rsid w:val="00CE04CF"/>
    <w:rsid w:val="00CE04D3"/>
    <w:rsid w:val="00CE04E0"/>
    <w:rsid w:val="00CE0888"/>
    <w:rsid w:val="00CE08EB"/>
    <w:rsid w:val="00CE09B6"/>
    <w:rsid w:val="00CE0D3E"/>
    <w:rsid w:val="00CE1076"/>
    <w:rsid w:val="00CE13B1"/>
    <w:rsid w:val="00CE1473"/>
    <w:rsid w:val="00CE17FC"/>
    <w:rsid w:val="00CE1F06"/>
    <w:rsid w:val="00CE2350"/>
    <w:rsid w:val="00CE2C17"/>
    <w:rsid w:val="00CE2DB3"/>
    <w:rsid w:val="00CE2E87"/>
    <w:rsid w:val="00CE3518"/>
    <w:rsid w:val="00CE36FC"/>
    <w:rsid w:val="00CE38C8"/>
    <w:rsid w:val="00CE3C73"/>
    <w:rsid w:val="00CE3F7A"/>
    <w:rsid w:val="00CE40D9"/>
    <w:rsid w:val="00CE41AA"/>
    <w:rsid w:val="00CE429B"/>
    <w:rsid w:val="00CE4939"/>
    <w:rsid w:val="00CE4CFA"/>
    <w:rsid w:val="00CE4E19"/>
    <w:rsid w:val="00CE4F05"/>
    <w:rsid w:val="00CE4FA1"/>
    <w:rsid w:val="00CE521D"/>
    <w:rsid w:val="00CE524F"/>
    <w:rsid w:val="00CE52FF"/>
    <w:rsid w:val="00CE58A7"/>
    <w:rsid w:val="00CE58CC"/>
    <w:rsid w:val="00CE5C6A"/>
    <w:rsid w:val="00CE5CAB"/>
    <w:rsid w:val="00CE626C"/>
    <w:rsid w:val="00CE6274"/>
    <w:rsid w:val="00CE6A40"/>
    <w:rsid w:val="00CE6BD1"/>
    <w:rsid w:val="00CE6DD3"/>
    <w:rsid w:val="00CE755B"/>
    <w:rsid w:val="00CE759E"/>
    <w:rsid w:val="00CE7732"/>
    <w:rsid w:val="00CE77B6"/>
    <w:rsid w:val="00CE7A24"/>
    <w:rsid w:val="00CE7DEC"/>
    <w:rsid w:val="00CE7F72"/>
    <w:rsid w:val="00CF0571"/>
    <w:rsid w:val="00CF0874"/>
    <w:rsid w:val="00CF0BF3"/>
    <w:rsid w:val="00CF0DBC"/>
    <w:rsid w:val="00CF0EBB"/>
    <w:rsid w:val="00CF1263"/>
    <w:rsid w:val="00CF13C0"/>
    <w:rsid w:val="00CF1733"/>
    <w:rsid w:val="00CF19DF"/>
    <w:rsid w:val="00CF1BAF"/>
    <w:rsid w:val="00CF209A"/>
    <w:rsid w:val="00CF270C"/>
    <w:rsid w:val="00CF2803"/>
    <w:rsid w:val="00CF2A1E"/>
    <w:rsid w:val="00CF2B8D"/>
    <w:rsid w:val="00CF2F5B"/>
    <w:rsid w:val="00CF3A1B"/>
    <w:rsid w:val="00CF3CCC"/>
    <w:rsid w:val="00CF445D"/>
    <w:rsid w:val="00CF456B"/>
    <w:rsid w:val="00CF4827"/>
    <w:rsid w:val="00CF48B7"/>
    <w:rsid w:val="00CF4FB4"/>
    <w:rsid w:val="00CF5519"/>
    <w:rsid w:val="00CF5596"/>
    <w:rsid w:val="00CF5A22"/>
    <w:rsid w:val="00CF5C95"/>
    <w:rsid w:val="00CF5CF5"/>
    <w:rsid w:val="00CF6A30"/>
    <w:rsid w:val="00CF6B62"/>
    <w:rsid w:val="00CF6CB4"/>
    <w:rsid w:val="00CF6D20"/>
    <w:rsid w:val="00CF730F"/>
    <w:rsid w:val="00CF73D8"/>
    <w:rsid w:val="00CF74BC"/>
    <w:rsid w:val="00CF76EF"/>
    <w:rsid w:val="00CF7775"/>
    <w:rsid w:val="00CF7CE1"/>
    <w:rsid w:val="00D00132"/>
    <w:rsid w:val="00D0022F"/>
    <w:rsid w:val="00D00552"/>
    <w:rsid w:val="00D008F4"/>
    <w:rsid w:val="00D009F2"/>
    <w:rsid w:val="00D00A89"/>
    <w:rsid w:val="00D00CFB"/>
    <w:rsid w:val="00D00D5C"/>
    <w:rsid w:val="00D014D9"/>
    <w:rsid w:val="00D017B9"/>
    <w:rsid w:val="00D01B61"/>
    <w:rsid w:val="00D01CC1"/>
    <w:rsid w:val="00D0200B"/>
    <w:rsid w:val="00D022CC"/>
    <w:rsid w:val="00D0262E"/>
    <w:rsid w:val="00D027E9"/>
    <w:rsid w:val="00D02828"/>
    <w:rsid w:val="00D02834"/>
    <w:rsid w:val="00D02A8C"/>
    <w:rsid w:val="00D02B60"/>
    <w:rsid w:val="00D02F42"/>
    <w:rsid w:val="00D03012"/>
    <w:rsid w:val="00D03088"/>
    <w:rsid w:val="00D03371"/>
    <w:rsid w:val="00D03502"/>
    <w:rsid w:val="00D03679"/>
    <w:rsid w:val="00D037CB"/>
    <w:rsid w:val="00D03C6C"/>
    <w:rsid w:val="00D03D58"/>
    <w:rsid w:val="00D03E18"/>
    <w:rsid w:val="00D04185"/>
    <w:rsid w:val="00D04808"/>
    <w:rsid w:val="00D048F3"/>
    <w:rsid w:val="00D04EDD"/>
    <w:rsid w:val="00D05447"/>
    <w:rsid w:val="00D05614"/>
    <w:rsid w:val="00D056D8"/>
    <w:rsid w:val="00D05A59"/>
    <w:rsid w:val="00D05DFD"/>
    <w:rsid w:val="00D05E3D"/>
    <w:rsid w:val="00D06139"/>
    <w:rsid w:val="00D06945"/>
    <w:rsid w:val="00D06B96"/>
    <w:rsid w:val="00D06E39"/>
    <w:rsid w:val="00D06EBA"/>
    <w:rsid w:val="00D06F18"/>
    <w:rsid w:val="00D06FC4"/>
    <w:rsid w:val="00D07171"/>
    <w:rsid w:val="00D101F5"/>
    <w:rsid w:val="00D10621"/>
    <w:rsid w:val="00D108D5"/>
    <w:rsid w:val="00D10BE4"/>
    <w:rsid w:val="00D10EE7"/>
    <w:rsid w:val="00D11022"/>
    <w:rsid w:val="00D110BD"/>
    <w:rsid w:val="00D11315"/>
    <w:rsid w:val="00D1131D"/>
    <w:rsid w:val="00D113CC"/>
    <w:rsid w:val="00D116B2"/>
    <w:rsid w:val="00D118BE"/>
    <w:rsid w:val="00D1299C"/>
    <w:rsid w:val="00D13035"/>
    <w:rsid w:val="00D135B6"/>
    <w:rsid w:val="00D13675"/>
    <w:rsid w:val="00D136AE"/>
    <w:rsid w:val="00D13700"/>
    <w:rsid w:val="00D137BB"/>
    <w:rsid w:val="00D139C4"/>
    <w:rsid w:val="00D13F05"/>
    <w:rsid w:val="00D141E1"/>
    <w:rsid w:val="00D1431B"/>
    <w:rsid w:val="00D14745"/>
    <w:rsid w:val="00D14DED"/>
    <w:rsid w:val="00D14F3D"/>
    <w:rsid w:val="00D15314"/>
    <w:rsid w:val="00D154D6"/>
    <w:rsid w:val="00D155D3"/>
    <w:rsid w:val="00D15A37"/>
    <w:rsid w:val="00D15B48"/>
    <w:rsid w:val="00D162F7"/>
    <w:rsid w:val="00D16350"/>
    <w:rsid w:val="00D16A0A"/>
    <w:rsid w:val="00D16C27"/>
    <w:rsid w:val="00D16FA6"/>
    <w:rsid w:val="00D16FAA"/>
    <w:rsid w:val="00D171F9"/>
    <w:rsid w:val="00D17442"/>
    <w:rsid w:val="00D17B17"/>
    <w:rsid w:val="00D17C10"/>
    <w:rsid w:val="00D17D6C"/>
    <w:rsid w:val="00D17EA8"/>
    <w:rsid w:val="00D2025B"/>
    <w:rsid w:val="00D202BC"/>
    <w:rsid w:val="00D2059A"/>
    <w:rsid w:val="00D20709"/>
    <w:rsid w:val="00D207D3"/>
    <w:rsid w:val="00D20A1F"/>
    <w:rsid w:val="00D20E5A"/>
    <w:rsid w:val="00D20FF9"/>
    <w:rsid w:val="00D21078"/>
    <w:rsid w:val="00D210BD"/>
    <w:rsid w:val="00D2155B"/>
    <w:rsid w:val="00D2162D"/>
    <w:rsid w:val="00D2191D"/>
    <w:rsid w:val="00D226CB"/>
    <w:rsid w:val="00D227B7"/>
    <w:rsid w:val="00D22D4E"/>
    <w:rsid w:val="00D22DEF"/>
    <w:rsid w:val="00D2316B"/>
    <w:rsid w:val="00D2322B"/>
    <w:rsid w:val="00D23945"/>
    <w:rsid w:val="00D239E8"/>
    <w:rsid w:val="00D23A31"/>
    <w:rsid w:val="00D23A46"/>
    <w:rsid w:val="00D23C04"/>
    <w:rsid w:val="00D23D11"/>
    <w:rsid w:val="00D23E9A"/>
    <w:rsid w:val="00D24161"/>
    <w:rsid w:val="00D244B6"/>
    <w:rsid w:val="00D24703"/>
    <w:rsid w:val="00D249DD"/>
    <w:rsid w:val="00D24B8C"/>
    <w:rsid w:val="00D25449"/>
    <w:rsid w:val="00D25591"/>
    <w:rsid w:val="00D25A27"/>
    <w:rsid w:val="00D25C3D"/>
    <w:rsid w:val="00D25C7D"/>
    <w:rsid w:val="00D25EEE"/>
    <w:rsid w:val="00D26554"/>
    <w:rsid w:val="00D2656B"/>
    <w:rsid w:val="00D266C2"/>
    <w:rsid w:val="00D267AF"/>
    <w:rsid w:val="00D26F33"/>
    <w:rsid w:val="00D271EE"/>
    <w:rsid w:val="00D27265"/>
    <w:rsid w:val="00D2741E"/>
    <w:rsid w:val="00D2754D"/>
    <w:rsid w:val="00D27552"/>
    <w:rsid w:val="00D27589"/>
    <w:rsid w:val="00D27B27"/>
    <w:rsid w:val="00D27F46"/>
    <w:rsid w:val="00D30536"/>
    <w:rsid w:val="00D30AD4"/>
    <w:rsid w:val="00D30D5B"/>
    <w:rsid w:val="00D310B6"/>
    <w:rsid w:val="00D3242D"/>
    <w:rsid w:val="00D32CA2"/>
    <w:rsid w:val="00D32FBD"/>
    <w:rsid w:val="00D3386F"/>
    <w:rsid w:val="00D338CF"/>
    <w:rsid w:val="00D339BD"/>
    <w:rsid w:val="00D33A53"/>
    <w:rsid w:val="00D33BE9"/>
    <w:rsid w:val="00D33D45"/>
    <w:rsid w:val="00D33DEB"/>
    <w:rsid w:val="00D33F93"/>
    <w:rsid w:val="00D34586"/>
    <w:rsid w:val="00D34872"/>
    <w:rsid w:val="00D348F4"/>
    <w:rsid w:val="00D34B3D"/>
    <w:rsid w:val="00D34BA4"/>
    <w:rsid w:val="00D3508A"/>
    <w:rsid w:val="00D35314"/>
    <w:rsid w:val="00D3538E"/>
    <w:rsid w:val="00D353C8"/>
    <w:rsid w:val="00D357FF"/>
    <w:rsid w:val="00D359A2"/>
    <w:rsid w:val="00D35F2E"/>
    <w:rsid w:val="00D3621E"/>
    <w:rsid w:val="00D37370"/>
    <w:rsid w:val="00D37A3E"/>
    <w:rsid w:val="00D37E19"/>
    <w:rsid w:val="00D401DB"/>
    <w:rsid w:val="00D407CC"/>
    <w:rsid w:val="00D407DD"/>
    <w:rsid w:val="00D40A2A"/>
    <w:rsid w:val="00D40A5F"/>
    <w:rsid w:val="00D40EB4"/>
    <w:rsid w:val="00D40F08"/>
    <w:rsid w:val="00D41305"/>
    <w:rsid w:val="00D4141C"/>
    <w:rsid w:val="00D4188E"/>
    <w:rsid w:val="00D418BB"/>
    <w:rsid w:val="00D4213A"/>
    <w:rsid w:val="00D4214A"/>
    <w:rsid w:val="00D42322"/>
    <w:rsid w:val="00D424C7"/>
    <w:rsid w:val="00D4268E"/>
    <w:rsid w:val="00D42D18"/>
    <w:rsid w:val="00D42EA2"/>
    <w:rsid w:val="00D43085"/>
    <w:rsid w:val="00D43102"/>
    <w:rsid w:val="00D4392A"/>
    <w:rsid w:val="00D43A40"/>
    <w:rsid w:val="00D43A79"/>
    <w:rsid w:val="00D43B2A"/>
    <w:rsid w:val="00D43CF1"/>
    <w:rsid w:val="00D43D42"/>
    <w:rsid w:val="00D43D83"/>
    <w:rsid w:val="00D44155"/>
    <w:rsid w:val="00D442B6"/>
    <w:rsid w:val="00D4461F"/>
    <w:rsid w:val="00D44708"/>
    <w:rsid w:val="00D449EF"/>
    <w:rsid w:val="00D44A31"/>
    <w:rsid w:val="00D44DF4"/>
    <w:rsid w:val="00D44E97"/>
    <w:rsid w:val="00D45334"/>
    <w:rsid w:val="00D45D4B"/>
    <w:rsid w:val="00D46599"/>
    <w:rsid w:val="00D46F49"/>
    <w:rsid w:val="00D47538"/>
    <w:rsid w:val="00D47575"/>
    <w:rsid w:val="00D47926"/>
    <w:rsid w:val="00D5012B"/>
    <w:rsid w:val="00D5069B"/>
    <w:rsid w:val="00D50826"/>
    <w:rsid w:val="00D50886"/>
    <w:rsid w:val="00D508DA"/>
    <w:rsid w:val="00D50946"/>
    <w:rsid w:val="00D51040"/>
    <w:rsid w:val="00D5120D"/>
    <w:rsid w:val="00D5206D"/>
    <w:rsid w:val="00D5215C"/>
    <w:rsid w:val="00D52290"/>
    <w:rsid w:val="00D5243B"/>
    <w:rsid w:val="00D5261D"/>
    <w:rsid w:val="00D5281F"/>
    <w:rsid w:val="00D528A2"/>
    <w:rsid w:val="00D52971"/>
    <w:rsid w:val="00D5316D"/>
    <w:rsid w:val="00D533EC"/>
    <w:rsid w:val="00D53D13"/>
    <w:rsid w:val="00D53D59"/>
    <w:rsid w:val="00D53D64"/>
    <w:rsid w:val="00D5429C"/>
    <w:rsid w:val="00D542EF"/>
    <w:rsid w:val="00D54388"/>
    <w:rsid w:val="00D54592"/>
    <w:rsid w:val="00D547D3"/>
    <w:rsid w:val="00D550A5"/>
    <w:rsid w:val="00D551B1"/>
    <w:rsid w:val="00D55826"/>
    <w:rsid w:val="00D5598E"/>
    <w:rsid w:val="00D55B84"/>
    <w:rsid w:val="00D55F5C"/>
    <w:rsid w:val="00D56093"/>
    <w:rsid w:val="00D56204"/>
    <w:rsid w:val="00D566DD"/>
    <w:rsid w:val="00D56800"/>
    <w:rsid w:val="00D56A95"/>
    <w:rsid w:val="00D56C34"/>
    <w:rsid w:val="00D57214"/>
    <w:rsid w:val="00D575B6"/>
    <w:rsid w:val="00D576D0"/>
    <w:rsid w:val="00D578CB"/>
    <w:rsid w:val="00D6002C"/>
    <w:rsid w:val="00D600DE"/>
    <w:rsid w:val="00D6076E"/>
    <w:rsid w:val="00D607F4"/>
    <w:rsid w:val="00D612FE"/>
    <w:rsid w:val="00D6192A"/>
    <w:rsid w:val="00D61A4F"/>
    <w:rsid w:val="00D61BFF"/>
    <w:rsid w:val="00D61D9F"/>
    <w:rsid w:val="00D62A16"/>
    <w:rsid w:val="00D62DAE"/>
    <w:rsid w:val="00D6393A"/>
    <w:rsid w:val="00D63EFE"/>
    <w:rsid w:val="00D64023"/>
    <w:rsid w:val="00D64097"/>
    <w:rsid w:val="00D641DC"/>
    <w:rsid w:val="00D6458A"/>
    <w:rsid w:val="00D646D8"/>
    <w:rsid w:val="00D647D6"/>
    <w:rsid w:val="00D64BC9"/>
    <w:rsid w:val="00D653AD"/>
    <w:rsid w:val="00D6593E"/>
    <w:rsid w:val="00D65EC7"/>
    <w:rsid w:val="00D66604"/>
    <w:rsid w:val="00D667FD"/>
    <w:rsid w:val="00D6687C"/>
    <w:rsid w:val="00D66D7E"/>
    <w:rsid w:val="00D673CD"/>
    <w:rsid w:val="00D673D0"/>
    <w:rsid w:val="00D67967"/>
    <w:rsid w:val="00D67979"/>
    <w:rsid w:val="00D67CF8"/>
    <w:rsid w:val="00D706F6"/>
    <w:rsid w:val="00D7075A"/>
    <w:rsid w:val="00D7088C"/>
    <w:rsid w:val="00D70F16"/>
    <w:rsid w:val="00D710CE"/>
    <w:rsid w:val="00D71439"/>
    <w:rsid w:val="00D7164C"/>
    <w:rsid w:val="00D7167E"/>
    <w:rsid w:val="00D71755"/>
    <w:rsid w:val="00D71837"/>
    <w:rsid w:val="00D71D3F"/>
    <w:rsid w:val="00D7250F"/>
    <w:rsid w:val="00D72617"/>
    <w:rsid w:val="00D72C5B"/>
    <w:rsid w:val="00D72F57"/>
    <w:rsid w:val="00D73360"/>
    <w:rsid w:val="00D73388"/>
    <w:rsid w:val="00D74256"/>
    <w:rsid w:val="00D74711"/>
    <w:rsid w:val="00D749E7"/>
    <w:rsid w:val="00D74A3E"/>
    <w:rsid w:val="00D74E54"/>
    <w:rsid w:val="00D75058"/>
    <w:rsid w:val="00D75181"/>
    <w:rsid w:val="00D7534A"/>
    <w:rsid w:val="00D755BB"/>
    <w:rsid w:val="00D75672"/>
    <w:rsid w:val="00D75736"/>
    <w:rsid w:val="00D7576B"/>
    <w:rsid w:val="00D75789"/>
    <w:rsid w:val="00D75941"/>
    <w:rsid w:val="00D75AE5"/>
    <w:rsid w:val="00D75B2F"/>
    <w:rsid w:val="00D75DC7"/>
    <w:rsid w:val="00D75EE3"/>
    <w:rsid w:val="00D76245"/>
    <w:rsid w:val="00D76735"/>
    <w:rsid w:val="00D767BC"/>
    <w:rsid w:val="00D76A44"/>
    <w:rsid w:val="00D76AD0"/>
    <w:rsid w:val="00D76FAF"/>
    <w:rsid w:val="00D771A9"/>
    <w:rsid w:val="00D7788B"/>
    <w:rsid w:val="00D77AFE"/>
    <w:rsid w:val="00D77DEB"/>
    <w:rsid w:val="00D77F6E"/>
    <w:rsid w:val="00D8053D"/>
    <w:rsid w:val="00D80A22"/>
    <w:rsid w:val="00D815EF"/>
    <w:rsid w:val="00D81949"/>
    <w:rsid w:val="00D81A08"/>
    <w:rsid w:val="00D81E20"/>
    <w:rsid w:val="00D81F26"/>
    <w:rsid w:val="00D822E2"/>
    <w:rsid w:val="00D8231C"/>
    <w:rsid w:val="00D82339"/>
    <w:rsid w:val="00D82B1C"/>
    <w:rsid w:val="00D82B7F"/>
    <w:rsid w:val="00D82CDE"/>
    <w:rsid w:val="00D8309D"/>
    <w:rsid w:val="00D83283"/>
    <w:rsid w:val="00D837DD"/>
    <w:rsid w:val="00D83988"/>
    <w:rsid w:val="00D843F2"/>
    <w:rsid w:val="00D84563"/>
    <w:rsid w:val="00D84CD0"/>
    <w:rsid w:val="00D850F2"/>
    <w:rsid w:val="00D85689"/>
    <w:rsid w:val="00D8579B"/>
    <w:rsid w:val="00D8581D"/>
    <w:rsid w:val="00D85824"/>
    <w:rsid w:val="00D85B86"/>
    <w:rsid w:val="00D8602D"/>
    <w:rsid w:val="00D86231"/>
    <w:rsid w:val="00D86359"/>
    <w:rsid w:val="00D86466"/>
    <w:rsid w:val="00D864D9"/>
    <w:rsid w:val="00D86540"/>
    <w:rsid w:val="00D86957"/>
    <w:rsid w:val="00D86B6A"/>
    <w:rsid w:val="00D86E3C"/>
    <w:rsid w:val="00D86F7E"/>
    <w:rsid w:val="00D8731A"/>
    <w:rsid w:val="00D87A01"/>
    <w:rsid w:val="00D900CB"/>
    <w:rsid w:val="00D90773"/>
    <w:rsid w:val="00D90A67"/>
    <w:rsid w:val="00D90D31"/>
    <w:rsid w:val="00D90E1D"/>
    <w:rsid w:val="00D90F82"/>
    <w:rsid w:val="00D912AB"/>
    <w:rsid w:val="00D912EC"/>
    <w:rsid w:val="00D91406"/>
    <w:rsid w:val="00D916CF"/>
    <w:rsid w:val="00D9175B"/>
    <w:rsid w:val="00D91923"/>
    <w:rsid w:val="00D9211E"/>
    <w:rsid w:val="00D921DB"/>
    <w:rsid w:val="00D92324"/>
    <w:rsid w:val="00D92391"/>
    <w:rsid w:val="00D92848"/>
    <w:rsid w:val="00D928FF"/>
    <w:rsid w:val="00D92C18"/>
    <w:rsid w:val="00D92D9D"/>
    <w:rsid w:val="00D93004"/>
    <w:rsid w:val="00D93232"/>
    <w:rsid w:val="00D936F5"/>
    <w:rsid w:val="00D93753"/>
    <w:rsid w:val="00D93792"/>
    <w:rsid w:val="00D94063"/>
    <w:rsid w:val="00D9436D"/>
    <w:rsid w:val="00D948CD"/>
    <w:rsid w:val="00D948DF"/>
    <w:rsid w:val="00D948ED"/>
    <w:rsid w:val="00D94A97"/>
    <w:rsid w:val="00D9507E"/>
    <w:rsid w:val="00D95235"/>
    <w:rsid w:val="00D95663"/>
    <w:rsid w:val="00D95AF7"/>
    <w:rsid w:val="00D95B8B"/>
    <w:rsid w:val="00D95D25"/>
    <w:rsid w:val="00D96033"/>
    <w:rsid w:val="00D96261"/>
    <w:rsid w:val="00D96453"/>
    <w:rsid w:val="00D9671A"/>
    <w:rsid w:val="00D97033"/>
    <w:rsid w:val="00D971C5"/>
    <w:rsid w:val="00D97232"/>
    <w:rsid w:val="00D976AE"/>
    <w:rsid w:val="00D97753"/>
    <w:rsid w:val="00D97A21"/>
    <w:rsid w:val="00D97D17"/>
    <w:rsid w:val="00D97FF2"/>
    <w:rsid w:val="00DA006D"/>
    <w:rsid w:val="00DA016E"/>
    <w:rsid w:val="00DA0AF8"/>
    <w:rsid w:val="00DA0C76"/>
    <w:rsid w:val="00DA1207"/>
    <w:rsid w:val="00DA1286"/>
    <w:rsid w:val="00DA12B0"/>
    <w:rsid w:val="00DA133F"/>
    <w:rsid w:val="00DA13B6"/>
    <w:rsid w:val="00DA14B2"/>
    <w:rsid w:val="00DA17C3"/>
    <w:rsid w:val="00DA180A"/>
    <w:rsid w:val="00DA1823"/>
    <w:rsid w:val="00DA19D7"/>
    <w:rsid w:val="00DA1E89"/>
    <w:rsid w:val="00DA2EF3"/>
    <w:rsid w:val="00DA2F73"/>
    <w:rsid w:val="00DA30CD"/>
    <w:rsid w:val="00DA3167"/>
    <w:rsid w:val="00DA38FA"/>
    <w:rsid w:val="00DA3D14"/>
    <w:rsid w:val="00DA4000"/>
    <w:rsid w:val="00DA4506"/>
    <w:rsid w:val="00DA4B54"/>
    <w:rsid w:val="00DA4DC3"/>
    <w:rsid w:val="00DA5161"/>
    <w:rsid w:val="00DA5659"/>
    <w:rsid w:val="00DA5F57"/>
    <w:rsid w:val="00DA6582"/>
    <w:rsid w:val="00DA67B3"/>
    <w:rsid w:val="00DA7539"/>
    <w:rsid w:val="00DA7737"/>
    <w:rsid w:val="00DA77A5"/>
    <w:rsid w:val="00DA7902"/>
    <w:rsid w:val="00DA7997"/>
    <w:rsid w:val="00DA7C32"/>
    <w:rsid w:val="00DA7D03"/>
    <w:rsid w:val="00DA7F7D"/>
    <w:rsid w:val="00DB00EC"/>
    <w:rsid w:val="00DB07B5"/>
    <w:rsid w:val="00DB088D"/>
    <w:rsid w:val="00DB0A45"/>
    <w:rsid w:val="00DB0BE7"/>
    <w:rsid w:val="00DB0C03"/>
    <w:rsid w:val="00DB0E36"/>
    <w:rsid w:val="00DB14EC"/>
    <w:rsid w:val="00DB1595"/>
    <w:rsid w:val="00DB1601"/>
    <w:rsid w:val="00DB1BDB"/>
    <w:rsid w:val="00DB1EE0"/>
    <w:rsid w:val="00DB243F"/>
    <w:rsid w:val="00DB2723"/>
    <w:rsid w:val="00DB27E0"/>
    <w:rsid w:val="00DB2AE2"/>
    <w:rsid w:val="00DB2CED"/>
    <w:rsid w:val="00DB2D1B"/>
    <w:rsid w:val="00DB3107"/>
    <w:rsid w:val="00DB31DD"/>
    <w:rsid w:val="00DB359B"/>
    <w:rsid w:val="00DB38A8"/>
    <w:rsid w:val="00DB3C3C"/>
    <w:rsid w:val="00DB3D32"/>
    <w:rsid w:val="00DB3DBF"/>
    <w:rsid w:val="00DB3EFC"/>
    <w:rsid w:val="00DB484F"/>
    <w:rsid w:val="00DB49B0"/>
    <w:rsid w:val="00DB4C55"/>
    <w:rsid w:val="00DB4D9E"/>
    <w:rsid w:val="00DB4F50"/>
    <w:rsid w:val="00DB5C0B"/>
    <w:rsid w:val="00DB5E1D"/>
    <w:rsid w:val="00DB61ED"/>
    <w:rsid w:val="00DB6942"/>
    <w:rsid w:val="00DB6B91"/>
    <w:rsid w:val="00DB72DB"/>
    <w:rsid w:val="00DB7547"/>
    <w:rsid w:val="00DB75F0"/>
    <w:rsid w:val="00DC04F6"/>
    <w:rsid w:val="00DC0690"/>
    <w:rsid w:val="00DC0D0A"/>
    <w:rsid w:val="00DC10F0"/>
    <w:rsid w:val="00DC17BA"/>
    <w:rsid w:val="00DC1CE6"/>
    <w:rsid w:val="00DC1D65"/>
    <w:rsid w:val="00DC1ED4"/>
    <w:rsid w:val="00DC2192"/>
    <w:rsid w:val="00DC2AFD"/>
    <w:rsid w:val="00DC2C91"/>
    <w:rsid w:val="00DC2D14"/>
    <w:rsid w:val="00DC35F6"/>
    <w:rsid w:val="00DC36B0"/>
    <w:rsid w:val="00DC3A2B"/>
    <w:rsid w:val="00DC3C57"/>
    <w:rsid w:val="00DC3D8C"/>
    <w:rsid w:val="00DC3F87"/>
    <w:rsid w:val="00DC44AF"/>
    <w:rsid w:val="00DC4684"/>
    <w:rsid w:val="00DC46A2"/>
    <w:rsid w:val="00DC4816"/>
    <w:rsid w:val="00DC4D76"/>
    <w:rsid w:val="00DC4EB4"/>
    <w:rsid w:val="00DC536A"/>
    <w:rsid w:val="00DC5501"/>
    <w:rsid w:val="00DC57AF"/>
    <w:rsid w:val="00DC57CE"/>
    <w:rsid w:val="00DC5A22"/>
    <w:rsid w:val="00DC5C1E"/>
    <w:rsid w:val="00DC5DE4"/>
    <w:rsid w:val="00DC5F2E"/>
    <w:rsid w:val="00DC66D0"/>
    <w:rsid w:val="00DC6851"/>
    <w:rsid w:val="00DC6CFA"/>
    <w:rsid w:val="00DC7088"/>
    <w:rsid w:val="00DC7154"/>
    <w:rsid w:val="00DC7C26"/>
    <w:rsid w:val="00DC7E8A"/>
    <w:rsid w:val="00DD0574"/>
    <w:rsid w:val="00DD0A41"/>
    <w:rsid w:val="00DD0C48"/>
    <w:rsid w:val="00DD0F78"/>
    <w:rsid w:val="00DD15FA"/>
    <w:rsid w:val="00DD2042"/>
    <w:rsid w:val="00DD241A"/>
    <w:rsid w:val="00DD25FF"/>
    <w:rsid w:val="00DD273C"/>
    <w:rsid w:val="00DD2946"/>
    <w:rsid w:val="00DD2F6B"/>
    <w:rsid w:val="00DD2F9A"/>
    <w:rsid w:val="00DD3345"/>
    <w:rsid w:val="00DD35DB"/>
    <w:rsid w:val="00DD39D6"/>
    <w:rsid w:val="00DD3F28"/>
    <w:rsid w:val="00DD4446"/>
    <w:rsid w:val="00DD4537"/>
    <w:rsid w:val="00DD469D"/>
    <w:rsid w:val="00DD46B7"/>
    <w:rsid w:val="00DD482D"/>
    <w:rsid w:val="00DD4A0F"/>
    <w:rsid w:val="00DD4E15"/>
    <w:rsid w:val="00DD5D47"/>
    <w:rsid w:val="00DD5EF5"/>
    <w:rsid w:val="00DD606B"/>
    <w:rsid w:val="00DD61D9"/>
    <w:rsid w:val="00DD679E"/>
    <w:rsid w:val="00DD6C28"/>
    <w:rsid w:val="00DD6DEB"/>
    <w:rsid w:val="00DD70F8"/>
    <w:rsid w:val="00DD7517"/>
    <w:rsid w:val="00DD799F"/>
    <w:rsid w:val="00DD7C5D"/>
    <w:rsid w:val="00DD7EFE"/>
    <w:rsid w:val="00DE0092"/>
    <w:rsid w:val="00DE00AA"/>
    <w:rsid w:val="00DE06D9"/>
    <w:rsid w:val="00DE0791"/>
    <w:rsid w:val="00DE0B05"/>
    <w:rsid w:val="00DE0CC8"/>
    <w:rsid w:val="00DE0DF8"/>
    <w:rsid w:val="00DE11D4"/>
    <w:rsid w:val="00DE145D"/>
    <w:rsid w:val="00DE15C6"/>
    <w:rsid w:val="00DE1837"/>
    <w:rsid w:val="00DE1B07"/>
    <w:rsid w:val="00DE2304"/>
    <w:rsid w:val="00DE26A1"/>
    <w:rsid w:val="00DE2CB0"/>
    <w:rsid w:val="00DE2D56"/>
    <w:rsid w:val="00DE3138"/>
    <w:rsid w:val="00DE33CB"/>
    <w:rsid w:val="00DE3425"/>
    <w:rsid w:val="00DE37F8"/>
    <w:rsid w:val="00DE3915"/>
    <w:rsid w:val="00DE3934"/>
    <w:rsid w:val="00DE4273"/>
    <w:rsid w:val="00DE4D6E"/>
    <w:rsid w:val="00DE4ECF"/>
    <w:rsid w:val="00DE4FCB"/>
    <w:rsid w:val="00DE5194"/>
    <w:rsid w:val="00DE52D9"/>
    <w:rsid w:val="00DE53CA"/>
    <w:rsid w:val="00DE549D"/>
    <w:rsid w:val="00DE5A6C"/>
    <w:rsid w:val="00DE5D07"/>
    <w:rsid w:val="00DE5DDC"/>
    <w:rsid w:val="00DE5E47"/>
    <w:rsid w:val="00DE5F09"/>
    <w:rsid w:val="00DE68DF"/>
    <w:rsid w:val="00DE6D81"/>
    <w:rsid w:val="00DE72A7"/>
    <w:rsid w:val="00DE7832"/>
    <w:rsid w:val="00DE7DEE"/>
    <w:rsid w:val="00DF054A"/>
    <w:rsid w:val="00DF090A"/>
    <w:rsid w:val="00DF0C7A"/>
    <w:rsid w:val="00DF0FE1"/>
    <w:rsid w:val="00DF0FFF"/>
    <w:rsid w:val="00DF1122"/>
    <w:rsid w:val="00DF11A5"/>
    <w:rsid w:val="00DF152C"/>
    <w:rsid w:val="00DF18FC"/>
    <w:rsid w:val="00DF1AE9"/>
    <w:rsid w:val="00DF1D64"/>
    <w:rsid w:val="00DF1F8A"/>
    <w:rsid w:val="00DF20A3"/>
    <w:rsid w:val="00DF2304"/>
    <w:rsid w:val="00DF2775"/>
    <w:rsid w:val="00DF295F"/>
    <w:rsid w:val="00DF3085"/>
    <w:rsid w:val="00DF3190"/>
    <w:rsid w:val="00DF335F"/>
    <w:rsid w:val="00DF3C3F"/>
    <w:rsid w:val="00DF4036"/>
    <w:rsid w:val="00DF4255"/>
    <w:rsid w:val="00DF42D1"/>
    <w:rsid w:val="00DF463B"/>
    <w:rsid w:val="00DF4735"/>
    <w:rsid w:val="00DF4817"/>
    <w:rsid w:val="00DF4879"/>
    <w:rsid w:val="00DF4A3B"/>
    <w:rsid w:val="00DF4B1F"/>
    <w:rsid w:val="00DF4FE6"/>
    <w:rsid w:val="00DF512D"/>
    <w:rsid w:val="00DF51C3"/>
    <w:rsid w:val="00DF530D"/>
    <w:rsid w:val="00DF5541"/>
    <w:rsid w:val="00DF5847"/>
    <w:rsid w:val="00DF5D2B"/>
    <w:rsid w:val="00DF62E5"/>
    <w:rsid w:val="00DF6341"/>
    <w:rsid w:val="00DF6459"/>
    <w:rsid w:val="00DF666A"/>
    <w:rsid w:val="00DF6822"/>
    <w:rsid w:val="00DF706B"/>
    <w:rsid w:val="00DF7499"/>
    <w:rsid w:val="00DF7669"/>
    <w:rsid w:val="00DF78A5"/>
    <w:rsid w:val="00DF79A1"/>
    <w:rsid w:val="00DF7AC7"/>
    <w:rsid w:val="00E00281"/>
    <w:rsid w:val="00E003FD"/>
    <w:rsid w:val="00E00760"/>
    <w:rsid w:val="00E00CE2"/>
    <w:rsid w:val="00E00E2F"/>
    <w:rsid w:val="00E00E8E"/>
    <w:rsid w:val="00E010CB"/>
    <w:rsid w:val="00E01418"/>
    <w:rsid w:val="00E01809"/>
    <w:rsid w:val="00E01925"/>
    <w:rsid w:val="00E01A0F"/>
    <w:rsid w:val="00E01D27"/>
    <w:rsid w:val="00E01DD4"/>
    <w:rsid w:val="00E022D5"/>
    <w:rsid w:val="00E0253D"/>
    <w:rsid w:val="00E028D3"/>
    <w:rsid w:val="00E02D2F"/>
    <w:rsid w:val="00E02E7A"/>
    <w:rsid w:val="00E03346"/>
    <w:rsid w:val="00E03878"/>
    <w:rsid w:val="00E03954"/>
    <w:rsid w:val="00E0395D"/>
    <w:rsid w:val="00E03A33"/>
    <w:rsid w:val="00E03B85"/>
    <w:rsid w:val="00E0449C"/>
    <w:rsid w:val="00E044CF"/>
    <w:rsid w:val="00E04864"/>
    <w:rsid w:val="00E04E44"/>
    <w:rsid w:val="00E05354"/>
    <w:rsid w:val="00E05630"/>
    <w:rsid w:val="00E05ACD"/>
    <w:rsid w:val="00E065A2"/>
    <w:rsid w:val="00E06D7C"/>
    <w:rsid w:val="00E06DBB"/>
    <w:rsid w:val="00E06EC2"/>
    <w:rsid w:val="00E07378"/>
    <w:rsid w:val="00E073B9"/>
    <w:rsid w:val="00E073E0"/>
    <w:rsid w:val="00E07714"/>
    <w:rsid w:val="00E07B2F"/>
    <w:rsid w:val="00E07B5B"/>
    <w:rsid w:val="00E07C36"/>
    <w:rsid w:val="00E07C9C"/>
    <w:rsid w:val="00E10007"/>
    <w:rsid w:val="00E10095"/>
    <w:rsid w:val="00E100A2"/>
    <w:rsid w:val="00E10149"/>
    <w:rsid w:val="00E1091D"/>
    <w:rsid w:val="00E10923"/>
    <w:rsid w:val="00E10A1D"/>
    <w:rsid w:val="00E10BAE"/>
    <w:rsid w:val="00E1125B"/>
    <w:rsid w:val="00E1130B"/>
    <w:rsid w:val="00E11340"/>
    <w:rsid w:val="00E11CE0"/>
    <w:rsid w:val="00E11CED"/>
    <w:rsid w:val="00E121D5"/>
    <w:rsid w:val="00E122A1"/>
    <w:rsid w:val="00E126CA"/>
    <w:rsid w:val="00E1273B"/>
    <w:rsid w:val="00E12835"/>
    <w:rsid w:val="00E12AB6"/>
    <w:rsid w:val="00E12CF0"/>
    <w:rsid w:val="00E12EB3"/>
    <w:rsid w:val="00E12FA4"/>
    <w:rsid w:val="00E13408"/>
    <w:rsid w:val="00E13797"/>
    <w:rsid w:val="00E137EE"/>
    <w:rsid w:val="00E13888"/>
    <w:rsid w:val="00E138BC"/>
    <w:rsid w:val="00E138F3"/>
    <w:rsid w:val="00E14133"/>
    <w:rsid w:val="00E144C6"/>
    <w:rsid w:val="00E144F1"/>
    <w:rsid w:val="00E14835"/>
    <w:rsid w:val="00E14D05"/>
    <w:rsid w:val="00E156AA"/>
    <w:rsid w:val="00E156B0"/>
    <w:rsid w:val="00E15CC8"/>
    <w:rsid w:val="00E15E51"/>
    <w:rsid w:val="00E1617D"/>
    <w:rsid w:val="00E1625A"/>
    <w:rsid w:val="00E16372"/>
    <w:rsid w:val="00E166FE"/>
    <w:rsid w:val="00E16AD8"/>
    <w:rsid w:val="00E17188"/>
    <w:rsid w:val="00E17692"/>
    <w:rsid w:val="00E17CE4"/>
    <w:rsid w:val="00E17FFA"/>
    <w:rsid w:val="00E20430"/>
    <w:rsid w:val="00E2048C"/>
    <w:rsid w:val="00E2067E"/>
    <w:rsid w:val="00E2081D"/>
    <w:rsid w:val="00E2086B"/>
    <w:rsid w:val="00E20E4D"/>
    <w:rsid w:val="00E20ED6"/>
    <w:rsid w:val="00E211BF"/>
    <w:rsid w:val="00E21358"/>
    <w:rsid w:val="00E21519"/>
    <w:rsid w:val="00E219D3"/>
    <w:rsid w:val="00E21A08"/>
    <w:rsid w:val="00E22405"/>
    <w:rsid w:val="00E22492"/>
    <w:rsid w:val="00E2249B"/>
    <w:rsid w:val="00E22700"/>
    <w:rsid w:val="00E22861"/>
    <w:rsid w:val="00E22A0D"/>
    <w:rsid w:val="00E22D01"/>
    <w:rsid w:val="00E22D2C"/>
    <w:rsid w:val="00E22EBA"/>
    <w:rsid w:val="00E23259"/>
    <w:rsid w:val="00E2342A"/>
    <w:rsid w:val="00E23551"/>
    <w:rsid w:val="00E2370B"/>
    <w:rsid w:val="00E237D4"/>
    <w:rsid w:val="00E2385C"/>
    <w:rsid w:val="00E238B2"/>
    <w:rsid w:val="00E23A85"/>
    <w:rsid w:val="00E244F6"/>
    <w:rsid w:val="00E24567"/>
    <w:rsid w:val="00E24644"/>
    <w:rsid w:val="00E24729"/>
    <w:rsid w:val="00E24E05"/>
    <w:rsid w:val="00E258DB"/>
    <w:rsid w:val="00E25A32"/>
    <w:rsid w:val="00E25DAA"/>
    <w:rsid w:val="00E26137"/>
    <w:rsid w:val="00E261E6"/>
    <w:rsid w:val="00E26CC9"/>
    <w:rsid w:val="00E26DBB"/>
    <w:rsid w:val="00E26F48"/>
    <w:rsid w:val="00E275A6"/>
    <w:rsid w:val="00E2771E"/>
    <w:rsid w:val="00E2774C"/>
    <w:rsid w:val="00E27F74"/>
    <w:rsid w:val="00E3048D"/>
    <w:rsid w:val="00E30580"/>
    <w:rsid w:val="00E30665"/>
    <w:rsid w:val="00E307AE"/>
    <w:rsid w:val="00E30914"/>
    <w:rsid w:val="00E30A0D"/>
    <w:rsid w:val="00E30F36"/>
    <w:rsid w:val="00E311EF"/>
    <w:rsid w:val="00E314DE"/>
    <w:rsid w:val="00E31800"/>
    <w:rsid w:val="00E31907"/>
    <w:rsid w:val="00E3198B"/>
    <w:rsid w:val="00E32180"/>
    <w:rsid w:val="00E321C3"/>
    <w:rsid w:val="00E32A11"/>
    <w:rsid w:val="00E330A1"/>
    <w:rsid w:val="00E33142"/>
    <w:rsid w:val="00E33188"/>
    <w:rsid w:val="00E33289"/>
    <w:rsid w:val="00E33354"/>
    <w:rsid w:val="00E3337A"/>
    <w:rsid w:val="00E3360D"/>
    <w:rsid w:val="00E3378B"/>
    <w:rsid w:val="00E34328"/>
    <w:rsid w:val="00E34813"/>
    <w:rsid w:val="00E348A8"/>
    <w:rsid w:val="00E34948"/>
    <w:rsid w:val="00E35047"/>
    <w:rsid w:val="00E350BE"/>
    <w:rsid w:val="00E35380"/>
    <w:rsid w:val="00E35A92"/>
    <w:rsid w:val="00E35CFB"/>
    <w:rsid w:val="00E35D81"/>
    <w:rsid w:val="00E360F8"/>
    <w:rsid w:val="00E36246"/>
    <w:rsid w:val="00E364B5"/>
    <w:rsid w:val="00E3653E"/>
    <w:rsid w:val="00E36787"/>
    <w:rsid w:val="00E36CE1"/>
    <w:rsid w:val="00E36D1D"/>
    <w:rsid w:val="00E36E25"/>
    <w:rsid w:val="00E36E95"/>
    <w:rsid w:val="00E371C0"/>
    <w:rsid w:val="00E3754C"/>
    <w:rsid w:val="00E37569"/>
    <w:rsid w:val="00E37BF7"/>
    <w:rsid w:val="00E37D34"/>
    <w:rsid w:val="00E401B2"/>
    <w:rsid w:val="00E40452"/>
    <w:rsid w:val="00E4054D"/>
    <w:rsid w:val="00E40956"/>
    <w:rsid w:val="00E40DEC"/>
    <w:rsid w:val="00E40EF5"/>
    <w:rsid w:val="00E41109"/>
    <w:rsid w:val="00E4138D"/>
    <w:rsid w:val="00E41608"/>
    <w:rsid w:val="00E4164F"/>
    <w:rsid w:val="00E418A1"/>
    <w:rsid w:val="00E41ABC"/>
    <w:rsid w:val="00E41C17"/>
    <w:rsid w:val="00E41E30"/>
    <w:rsid w:val="00E41FA6"/>
    <w:rsid w:val="00E42191"/>
    <w:rsid w:val="00E42357"/>
    <w:rsid w:val="00E42476"/>
    <w:rsid w:val="00E42830"/>
    <w:rsid w:val="00E42BE3"/>
    <w:rsid w:val="00E42F73"/>
    <w:rsid w:val="00E4317C"/>
    <w:rsid w:val="00E43337"/>
    <w:rsid w:val="00E434D3"/>
    <w:rsid w:val="00E43707"/>
    <w:rsid w:val="00E438EE"/>
    <w:rsid w:val="00E43A9E"/>
    <w:rsid w:val="00E43D14"/>
    <w:rsid w:val="00E43D70"/>
    <w:rsid w:val="00E43F2A"/>
    <w:rsid w:val="00E44450"/>
    <w:rsid w:val="00E4483F"/>
    <w:rsid w:val="00E448A9"/>
    <w:rsid w:val="00E44B64"/>
    <w:rsid w:val="00E44D90"/>
    <w:rsid w:val="00E4509F"/>
    <w:rsid w:val="00E45211"/>
    <w:rsid w:val="00E4579F"/>
    <w:rsid w:val="00E457DF"/>
    <w:rsid w:val="00E45BA4"/>
    <w:rsid w:val="00E45F45"/>
    <w:rsid w:val="00E46447"/>
    <w:rsid w:val="00E466F3"/>
    <w:rsid w:val="00E4670E"/>
    <w:rsid w:val="00E46733"/>
    <w:rsid w:val="00E46BD8"/>
    <w:rsid w:val="00E4709C"/>
    <w:rsid w:val="00E47740"/>
    <w:rsid w:val="00E47773"/>
    <w:rsid w:val="00E47A08"/>
    <w:rsid w:val="00E47B2C"/>
    <w:rsid w:val="00E47ED6"/>
    <w:rsid w:val="00E50526"/>
    <w:rsid w:val="00E5082C"/>
    <w:rsid w:val="00E50A41"/>
    <w:rsid w:val="00E51560"/>
    <w:rsid w:val="00E51821"/>
    <w:rsid w:val="00E51BBB"/>
    <w:rsid w:val="00E51F9F"/>
    <w:rsid w:val="00E52163"/>
    <w:rsid w:val="00E521FE"/>
    <w:rsid w:val="00E52285"/>
    <w:rsid w:val="00E523AC"/>
    <w:rsid w:val="00E52B42"/>
    <w:rsid w:val="00E52C72"/>
    <w:rsid w:val="00E52DF1"/>
    <w:rsid w:val="00E52F32"/>
    <w:rsid w:val="00E53309"/>
    <w:rsid w:val="00E53453"/>
    <w:rsid w:val="00E53565"/>
    <w:rsid w:val="00E53566"/>
    <w:rsid w:val="00E537DD"/>
    <w:rsid w:val="00E538FE"/>
    <w:rsid w:val="00E53C49"/>
    <w:rsid w:val="00E53C86"/>
    <w:rsid w:val="00E53FC8"/>
    <w:rsid w:val="00E54347"/>
    <w:rsid w:val="00E54586"/>
    <w:rsid w:val="00E5479A"/>
    <w:rsid w:val="00E54946"/>
    <w:rsid w:val="00E54B39"/>
    <w:rsid w:val="00E55042"/>
    <w:rsid w:val="00E550D2"/>
    <w:rsid w:val="00E550E0"/>
    <w:rsid w:val="00E55424"/>
    <w:rsid w:val="00E5574A"/>
    <w:rsid w:val="00E55915"/>
    <w:rsid w:val="00E55A95"/>
    <w:rsid w:val="00E55BB5"/>
    <w:rsid w:val="00E55C95"/>
    <w:rsid w:val="00E55E34"/>
    <w:rsid w:val="00E55EAF"/>
    <w:rsid w:val="00E55EC1"/>
    <w:rsid w:val="00E55F0C"/>
    <w:rsid w:val="00E5608C"/>
    <w:rsid w:val="00E56470"/>
    <w:rsid w:val="00E56615"/>
    <w:rsid w:val="00E56953"/>
    <w:rsid w:val="00E56B9F"/>
    <w:rsid w:val="00E574F4"/>
    <w:rsid w:val="00E57DA7"/>
    <w:rsid w:val="00E6038F"/>
    <w:rsid w:val="00E60611"/>
    <w:rsid w:val="00E60AE6"/>
    <w:rsid w:val="00E60CCB"/>
    <w:rsid w:val="00E610B0"/>
    <w:rsid w:val="00E6115C"/>
    <w:rsid w:val="00E611B3"/>
    <w:rsid w:val="00E611DF"/>
    <w:rsid w:val="00E613D8"/>
    <w:rsid w:val="00E61722"/>
    <w:rsid w:val="00E6193C"/>
    <w:rsid w:val="00E61F54"/>
    <w:rsid w:val="00E61F98"/>
    <w:rsid w:val="00E62066"/>
    <w:rsid w:val="00E62318"/>
    <w:rsid w:val="00E62383"/>
    <w:rsid w:val="00E626C9"/>
    <w:rsid w:val="00E62828"/>
    <w:rsid w:val="00E635AC"/>
    <w:rsid w:val="00E63662"/>
    <w:rsid w:val="00E636E7"/>
    <w:rsid w:val="00E63869"/>
    <w:rsid w:val="00E63877"/>
    <w:rsid w:val="00E6388F"/>
    <w:rsid w:val="00E63C64"/>
    <w:rsid w:val="00E63D76"/>
    <w:rsid w:val="00E63F73"/>
    <w:rsid w:val="00E6418F"/>
    <w:rsid w:val="00E64241"/>
    <w:rsid w:val="00E64307"/>
    <w:rsid w:val="00E64797"/>
    <w:rsid w:val="00E64D9F"/>
    <w:rsid w:val="00E65220"/>
    <w:rsid w:val="00E6587C"/>
    <w:rsid w:val="00E65E79"/>
    <w:rsid w:val="00E661C5"/>
    <w:rsid w:val="00E662FC"/>
    <w:rsid w:val="00E6631D"/>
    <w:rsid w:val="00E6636E"/>
    <w:rsid w:val="00E66380"/>
    <w:rsid w:val="00E6652E"/>
    <w:rsid w:val="00E666E5"/>
    <w:rsid w:val="00E66BA2"/>
    <w:rsid w:val="00E66E86"/>
    <w:rsid w:val="00E67130"/>
    <w:rsid w:val="00E671D5"/>
    <w:rsid w:val="00E67416"/>
    <w:rsid w:val="00E674A3"/>
    <w:rsid w:val="00E675F5"/>
    <w:rsid w:val="00E67855"/>
    <w:rsid w:val="00E67CC7"/>
    <w:rsid w:val="00E67F20"/>
    <w:rsid w:val="00E70127"/>
    <w:rsid w:val="00E70384"/>
    <w:rsid w:val="00E7064F"/>
    <w:rsid w:val="00E70BF3"/>
    <w:rsid w:val="00E7116D"/>
    <w:rsid w:val="00E71340"/>
    <w:rsid w:val="00E71503"/>
    <w:rsid w:val="00E7181E"/>
    <w:rsid w:val="00E718B6"/>
    <w:rsid w:val="00E719AD"/>
    <w:rsid w:val="00E71BA8"/>
    <w:rsid w:val="00E72059"/>
    <w:rsid w:val="00E721D5"/>
    <w:rsid w:val="00E7230A"/>
    <w:rsid w:val="00E723BA"/>
    <w:rsid w:val="00E72B31"/>
    <w:rsid w:val="00E72BDA"/>
    <w:rsid w:val="00E72C7B"/>
    <w:rsid w:val="00E72D6A"/>
    <w:rsid w:val="00E72DF2"/>
    <w:rsid w:val="00E72EA2"/>
    <w:rsid w:val="00E72EEF"/>
    <w:rsid w:val="00E731ED"/>
    <w:rsid w:val="00E73235"/>
    <w:rsid w:val="00E7328E"/>
    <w:rsid w:val="00E7334F"/>
    <w:rsid w:val="00E7356B"/>
    <w:rsid w:val="00E73581"/>
    <w:rsid w:val="00E7362A"/>
    <w:rsid w:val="00E7371F"/>
    <w:rsid w:val="00E73B02"/>
    <w:rsid w:val="00E74405"/>
    <w:rsid w:val="00E7461D"/>
    <w:rsid w:val="00E749F5"/>
    <w:rsid w:val="00E74CAA"/>
    <w:rsid w:val="00E750AB"/>
    <w:rsid w:val="00E75101"/>
    <w:rsid w:val="00E75301"/>
    <w:rsid w:val="00E755F9"/>
    <w:rsid w:val="00E75732"/>
    <w:rsid w:val="00E758F8"/>
    <w:rsid w:val="00E75A89"/>
    <w:rsid w:val="00E75AEB"/>
    <w:rsid w:val="00E7634D"/>
    <w:rsid w:val="00E76F2D"/>
    <w:rsid w:val="00E76FAA"/>
    <w:rsid w:val="00E77053"/>
    <w:rsid w:val="00E775CE"/>
    <w:rsid w:val="00E77B9E"/>
    <w:rsid w:val="00E807BA"/>
    <w:rsid w:val="00E807EE"/>
    <w:rsid w:val="00E8089E"/>
    <w:rsid w:val="00E808F3"/>
    <w:rsid w:val="00E80A30"/>
    <w:rsid w:val="00E80A96"/>
    <w:rsid w:val="00E80BFA"/>
    <w:rsid w:val="00E80D22"/>
    <w:rsid w:val="00E80F45"/>
    <w:rsid w:val="00E81238"/>
    <w:rsid w:val="00E81625"/>
    <w:rsid w:val="00E81DBB"/>
    <w:rsid w:val="00E81F30"/>
    <w:rsid w:val="00E821F6"/>
    <w:rsid w:val="00E82862"/>
    <w:rsid w:val="00E82949"/>
    <w:rsid w:val="00E82FCB"/>
    <w:rsid w:val="00E830A5"/>
    <w:rsid w:val="00E8314C"/>
    <w:rsid w:val="00E833F7"/>
    <w:rsid w:val="00E83714"/>
    <w:rsid w:val="00E839C5"/>
    <w:rsid w:val="00E83AC1"/>
    <w:rsid w:val="00E83BDF"/>
    <w:rsid w:val="00E84324"/>
    <w:rsid w:val="00E84B76"/>
    <w:rsid w:val="00E84C3A"/>
    <w:rsid w:val="00E84D55"/>
    <w:rsid w:val="00E8514D"/>
    <w:rsid w:val="00E856AE"/>
    <w:rsid w:val="00E8581C"/>
    <w:rsid w:val="00E859C6"/>
    <w:rsid w:val="00E85A4E"/>
    <w:rsid w:val="00E85AFC"/>
    <w:rsid w:val="00E85BB0"/>
    <w:rsid w:val="00E860DC"/>
    <w:rsid w:val="00E86155"/>
    <w:rsid w:val="00E861BE"/>
    <w:rsid w:val="00E861CB"/>
    <w:rsid w:val="00E86281"/>
    <w:rsid w:val="00E867BF"/>
    <w:rsid w:val="00E86805"/>
    <w:rsid w:val="00E86C5E"/>
    <w:rsid w:val="00E86D06"/>
    <w:rsid w:val="00E86FCC"/>
    <w:rsid w:val="00E8752A"/>
    <w:rsid w:val="00E87A1D"/>
    <w:rsid w:val="00E87F65"/>
    <w:rsid w:val="00E90368"/>
    <w:rsid w:val="00E90606"/>
    <w:rsid w:val="00E9094A"/>
    <w:rsid w:val="00E9104F"/>
    <w:rsid w:val="00E91402"/>
    <w:rsid w:val="00E9199C"/>
    <w:rsid w:val="00E91B06"/>
    <w:rsid w:val="00E91C8E"/>
    <w:rsid w:val="00E91D35"/>
    <w:rsid w:val="00E91D96"/>
    <w:rsid w:val="00E923E6"/>
    <w:rsid w:val="00E926A5"/>
    <w:rsid w:val="00E928AF"/>
    <w:rsid w:val="00E92FE5"/>
    <w:rsid w:val="00E93214"/>
    <w:rsid w:val="00E93CDD"/>
    <w:rsid w:val="00E94427"/>
    <w:rsid w:val="00E9457C"/>
    <w:rsid w:val="00E946F7"/>
    <w:rsid w:val="00E94DE0"/>
    <w:rsid w:val="00E952D4"/>
    <w:rsid w:val="00E954EA"/>
    <w:rsid w:val="00E9583C"/>
    <w:rsid w:val="00E9598B"/>
    <w:rsid w:val="00E95E99"/>
    <w:rsid w:val="00E962CC"/>
    <w:rsid w:val="00E96799"/>
    <w:rsid w:val="00E968C1"/>
    <w:rsid w:val="00E96B2E"/>
    <w:rsid w:val="00E96E27"/>
    <w:rsid w:val="00E971C3"/>
    <w:rsid w:val="00E9737D"/>
    <w:rsid w:val="00E973B2"/>
    <w:rsid w:val="00E9746E"/>
    <w:rsid w:val="00E97D41"/>
    <w:rsid w:val="00E97EC2"/>
    <w:rsid w:val="00E97F41"/>
    <w:rsid w:val="00E97FE3"/>
    <w:rsid w:val="00EA0050"/>
    <w:rsid w:val="00EA01C2"/>
    <w:rsid w:val="00EA051D"/>
    <w:rsid w:val="00EA0629"/>
    <w:rsid w:val="00EA076C"/>
    <w:rsid w:val="00EA0976"/>
    <w:rsid w:val="00EA0D4A"/>
    <w:rsid w:val="00EA0E95"/>
    <w:rsid w:val="00EA1002"/>
    <w:rsid w:val="00EA1037"/>
    <w:rsid w:val="00EA134B"/>
    <w:rsid w:val="00EA159E"/>
    <w:rsid w:val="00EA17C3"/>
    <w:rsid w:val="00EA209A"/>
    <w:rsid w:val="00EA2972"/>
    <w:rsid w:val="00EA29D6"/>
    <w:rsid w:val="00EA2CAA"/>
    <w:rsid w:val="00EA2E01"/>
    <w:rsid w:val="00EA347E"/>
    <w:rsid w:val="00EA3864"/>
    <w:rsid w:val="00EA39C0"/>
    <w:rsid w:val="00EA3C30"/>
    <w:rsid w:val="00EA3C3D"/>
    <w:rsid w:val="00EA4148"/>
    <w:rsid w:val="00EA42DB"/>
    <w:rsid w:val="00EA4671"/>
    <w:rsid w:val="00EA4875"/>
    <w:rsid w:val="00EA4DB4"/>
    <w:rsid w:val="00EA547F"/>
    <w:rsid w:val="00EA5548"/>
    <w:rsid w:val="00EA5683"/>
    <w:rsid w:val="00EA56F4"/>
    <w:rsid w:val="00EA5E3C"/>
    <w:rsid w:val="00EA5F2D"/>
    <w:rsid w:val="00EA5F9C"/>
    <w:rsid w:val="00EA6659"/>
    <w:rsid w:val="00EA6673"/>
    <w:rsid w:val="00EA6762"/>
    <w:rsid w:val="00EA69A0"/>
    <w:rsid w:val="00EA6B3E"/>
    <w:rsid w:val="00EA6B55"/>
    <w:rsid w:val="00EA6CDB"/>
    <w:rsid w:val="00EA6ED4"/>
    <w:rsid w:val="00EA6FF1"/>
    <w:rsid w:val="00EA72FA"/>
    <w:rsid w:val="00EA781B"/>
    <w:rsid w:val="00EA7CAA"/>
    <w:rsid w:val="00EA7DAA"/>
    <w:rsid w:val="00EA7F1C"/>
    <w:rsid w:val="00EB084F"/>
    <w:rsid w:val="00EB0AFA"/>
    <w:rsid w:val="00EB0B6E"/>
    <w:rsid w:val="00EB0C77"/>
    <w:rsid w:val="00EB0DE4"/>
    <w:rsid w:val="00EB0EFE"/>
    <w:rsid w:val="00EB1373"/>
    <w:rsid w:val="00EB1400"/>
    <w:rsid w:val="00EB15B6"/>
    <w:rsid w:val="00EB2205"/>
    <w:rsid w:val="00EB2931"/>
    <w:rsid w:val="00EB2AE0"/>
    <w:rsid w:val="00EB2B8B"/>
    <w:rsid w:val="00EB3306"/>
    <w:rsid w:val="00EB3313"/>
    <w:rsid w:val="00EB3654"/>
    <w:rsid w:val="00EB365C"/>
    <w:rsid w:val="00EB3C46"/>
    <w:rsid w:val="00EB3D06"/>
    <w:rsid w:val="00EB3E93"/>
    <w:rsid w:val="00EB3FC6"/>
    <w:rsid w:val="00EB459D"/>
    <w:rsid w:val="00EB46BF"/>
    <w:rsid w:val="00EB4916"/>
    <w:rsid w:val="00EB4BAE"/>
    <w:rsid w:val="00EB5009"/>
    <w:rsid w:val="00EB5188"/>
    <w:rsid w:val="00EB5554"/>
    <w:rsid w:val="00EB562F"/>
    <w:rsid w:val="00EB57E8"/>
    <w:rsid w:val="00EB5B87"/>
    <w:rsid w:val="00EB5DA6"/>
    <w:rsid w:val="00EB6000"/>
    <w:rsid w:val="00EB625C"/>
    <w:rsid w:val="00EB6B95"/>
    <w:rsid w:val="00EB6D33"/>
    <w:rsid w:val="00EB6D50"/>
    <w:rsid w:val="00EB6D99"/>
    <w:rsid w:val="00EB6F2F"/>
    <w:rsid w:val="00EB78DC"/>
    <w:rsid w:val="00EB7B20"/>
    <w:rsid w:val="00EB7D56"/>
    <w:rsid w:val="00EB7E00"/>
    <w:rsid w:val="00EB7E55"/>
    <w:rsid w:val="00EC00C9"/>
    <w:rsid w:val="00EC08B5"/>
    <w:rsid w:val="00EC09FF"/>
    <w:rsid w:val="00EC0B3F"/>
    <w:rsid w:val="00EC0DD9"/>
    <w:rsid w:val="00EC0FB4"/>
    <w:rsid w:val="00EC11D7"/>
    <w:rsid w:val="00EC1265"/>
    <w:rsid w:val="00EC132B"/>
    <w:rsid w:val="00EC1B11"/>
    <w:rsid w:val="00EC1B99"/>
    <w:rsid w:val="00EC24B0"/>
    <w:rsid w:val="00EC2649"/>
    <w:rsid w:val="00EC287D"/>
    <w:rsid w:val="00EC2F2A"/>
    <w:rsid w:val="00EC31ED"/>
    <w:rsid w:val="00EC33D3"/>
    <w:rsid w:val="00EC356A"/>
    <w:rsid w:val="00EC3583"/>
    <w:rsid w:val="00EC36FF"/>
    <w:rsid w:val="00EC3BD1"/>
    <w:rsid w:val="00EC3F30"/>
    <w:rsid w:val="00EC461C"/>
    <w:rsid w:val="00EC4AB1"/>
    <w:rsid w:val="00EC4F77"/>
    <w:rsid w:val="00EC5156"/>
    <w:rsid w:val="00EC5836"/>
    <w:rsid w:val="00EC58FF"/>
    <w:rsid w:val="00EC5A62"/>
    <w:rsid w:val="00EC5EE7"/>
    <w:rsid w:val="00EC5FB2"/>
    <w:rsid w:val="00EC65AB"/>
    <w:rsid w:val="00EC66DF"/>
    <w:rsid w:val="00EC6710"/>
    <w:rsid w:val="00EC688C"/>
    <w:rsid w:val="00EC68DD"/>
    <w:rsid w:val="00EC6907"/>
    <w:rsid w:val="00EC6B86"/>
    <w:rsid w:val="00EC6C82"/>
    <w:rsid w:val="00EC70C2"/>
    <w:rsid w:val="00EC714B"/>
    <w:rsid w:val="00EC755B"/>
    <w:rsid w:val="00EC79E6"/>
    <w:rsid w:val="00EC7C18"/>
    <w:rsid w:val="00ED09B4"/>
    <w:rsid w:val="00ED0CBB"/>
    <w:rsid w:val="00ED113F"/>
    <w:rsid w:val="00ED1186"/>
    <w:rsid w:val="00ED128E"/>
    <w:rsid w:val="00ED12D7"/>
    <w:rsid w:val="00ED12E3"/>
    <w:rsid w:val="00ED155A"/>
    <w:rsid w:val="00ED168F"/>
    <w:rsid w:val="00ED16F7"/>
    <w:rsid w:val="00ED18E7"/>
    <w:rsid w:val="00ED1BF4"/>
    <w:rsid w:val="00ED20CA"/>
    <w:rsid w:val="00ED2392"/>
    <w:rsid w:val="00ED2460"/>
    <w:rsid w:val="00ED24DC"/>
    <w:rsid w:val="00ED28B2"/>
    <w:rsid w:val="00ED2A6F"/>
    <w:rsid w:val="00ED2DAD"/>
    <w:rsid w:val="00ED2DF6"/>
    <w:rsid w:val="00ED3000"/>
    <w:rsid w:val="00ED3184"/>
    <w:rsid w:val="00ED320D"/>
    <w:rsid w:val="00ED35B5"/>
    <w:rsid w:val="00ED35C8"/>
    <w:rsid w:val="00ED395B"/>
    <w:rsid w:val="00ED3B9B"/>
    <w:rsid w:val="00ED3BAC"/>
    <w:rsid w:val="00ED40EB"/>
    <w:rsid w:val="00ED4285"/>
    <w:rsid w:val="00ED4661"/>
    <w:rsid w:val="00ED4690"/>
    <w:rsid w:val="00ED470E"/>
    <w:rsid w:val="00ED4A4C"/>
    <w:rsid w:val="00ED4B04"/>
    <w:rsid w:val="00ED4CC4"/>
    <w:rsid w:val="00ED52F7"/>
    <w:rsid w:val="00ED5381"/>
    <w:rsid w:val="00ED54F4"/>
    <w:rsid w:val="00ED5500"/>
    <w:rsid w:val="00ED5713"/>
    <w:rsid w:val="00ED57EA"/>
    <w:rsid w:val="00ED5BD4"/>
    <w:rsid w:val="00ED5C9B"/>
    <w:rsid w:val="00ED5CD2"/>
    <w:rsid w:val="00ED5D94"/>
    <w:rsid w:val="00ED61F5"/>
    <w:rsid w:val="00ED6A9C"/>
    <w:rsid w:val="00ED6CB6"/>
    <w:rsid w:val="00ED7253"/>
    <w:rsid w:val="00ED74E6"/>
    <w:rsid w:val="00ED7976"/>
    <w:rsid w:val="00ED7C9B"/>
    <w:rsid w:val="00ED7E77"/>
    <w:rsid w:val="00ED8AAB"/>
    <w:rsid w:val="00EE06B8"/>
    <w:rsid w:val="00EE07D3"/>
    <w:rsid w:val="00EE0914"/>
    <w:rsid w:val="00EE1384"/>
    <w:rsid w:val="00EE1863"/>
    <w:rsid w:val="00EE1996"/>
    <w:rsid w:val="00EE19ED"/>
    <w:rsid w:val="00EE1A30"/>
    <w:rsid w:val="00EE1C01"/>
    <w:rsid w:val="00EE1D7F"/>
    <w:rsid w:val="00EE22AF"/>
    <w:rsid w:val="00EE244B"/>
    <w:rsid w:val="00EE2600"/>
    <w:rsid w:val="00EE268F"/>
    <w:rsid w:val="00EE2836"/>
    <w:rsid w:val="00EE2D29"/>
    <w:rsid w:val="00EE2DD8"/>
    <w:rsid w:val="00EE2F2F"/>
    <w:rsid w:val="00EE3089"/>
    <w:rsid w:val="00EE3275"/>
    <w:rsid w:val="00EE345F"/>
    <w:rsid w:val="00EE3BD0"/>
    <w:rsid w:val="00EE41C8"/>
    <w:rsid w:val="00EE4637"/>
    <w:rsid w:val="00EE46C6"/>
    <w:rsid w:val="00EE4A5B"/>
    <w:rsid w:val="00EE51CF"/>
    <w:rsid w:val="00EE54F5"/>
    <w:rsid w:val="00EE56BE"/>
    <w:rsid w:val="00EE5803"/>
    <w:rsid w:val="00EE5A2C"/>
    <w:rsid w:val="00EE6009"/>
    <w:rsid w:val="00EE60D3"/>
    <w:rsid w:val="00EE6641"/>
    <w:rsid w:val="00EE683C"/>
    <w:rsid w:val="00EE69A1"/>
    <w:rsid w:val="00EE6C7B"/>
    <w:rsid w:val="00EE7287"/>
    <w:rsid w:val="00EE735C"/>
    <w:rsid w:val="00EE7434"/>
    <w:rsid w:val="00EE78BA"/>
    <w:rsid w:val="00EE7EEF"/>
    <w:rsid w:val="00EF0097"/>
    <w:rsid w:val="00EF00F5"/>
    <w:rsid w:val="00EF0148"/>
    <w:rsid w:val="00EF014C"/>
    <w:rsid w:val="00EF0171"/>
    <w:rsid w:val="00EF0482"/>
    <w:rsid w:val="00EF0893"/>
    <w:rsid w:val="00EF096A"/>
    <w:rsid w:val="00EF0E01"/>
    <w:rsid w:val="00EF0EF7"/>
    <w:rsid w:val="00EF0F53"/>
    <w:rsid w:val="00EF12AE"/>
    <w:rsid w:val="00EF16F2"/>
    <w:rsid w:val="00EF1B25"/>
    <w:rsid w:val="00EF1DA0"/>
    <w:rsid w:val="00EF1E98"/>
    <w:rsid w:val="00EF1ED2"/>
    <w:rsid w:val="00EF271B"/>
    <w:rsid w:val="00EF28D5"/>
    <w:rsid w:val="00EF2B86"/>
    <w:rsid w:val="00EF2BA9"/>
    <w:rsid w:val="00EF3B3A"/>
    <w:rsid w:val="00EF3C3A"/>
    <w:rsid w:val="00EF3FF6"/>
    <w:rsid w:val="00EF448E"/>
    <w:rsid w:val="00EF4747"/>
    <w:rsid w:val="00EF49A2"/>
    <w:rsid w:val="00EF4BF8"/>
    <w:rsid w:val="00EF4CE7"/>
    <w:rsid w:val="00EF5811"/>
    <w:rsid w:val="00EF5A11"/>
    <w:rsid w:val="00EF5D76"/>
    <w:rsid w:val="00EF5F9F"/>
    <w:rsid w:val="00EF601D"/>
    <w:rsid w:val="00EF61E3"/>
    <w:rsid w:val="00EF7395"/>
    <w:rsid w:val="00EF74A2"/>
    <w:rsid w:val="00EF764A"/>
    <w:rsid w:val="00EF775D"/>
    <w:rsid w:val="00EF7E2A"/>
    <w:rsid w:val="00EF7E4E"/>
    <w:rsid w:val="00EF7E67"/>
    <w:rsid w:val="00EF7E99"/>
    <w:rsid w:val="00F00A6D"/>
    <w:rsid w:val="00F00ABE"/>
    <w:rsid w:val="00F00C95"/>
    <w:rsid w:val="00F00F2C"/>
    <w:rsid w:val="00F01640"/>
    <w:rsid w:val="00F01760"/>
    <w:rsid w:val="00F01A53"/>
    <w:rsid w:val="00F01B6B"/>
    <w:rsid w:val="00F01DC4"/>
    <w:rsid w:val="00F01E24"/>
    <w:rsid w:val="00F0212D"/>
    <w:rsid w:val="00F02253"/>
    <w:rsid w:val="00F02951"/>
    <w:rsid w:val="00F02D4E"/>
    <w:rsid w:val="00F03270"/>
    <w:rsid w:val="00F033F5"/>
    <w:rsid w:val="00F03705"/>
    <w:rsid w:val="00F03A77"/>
    <w:rsid w:val="00F03C2E"/>
    <w:rsid w:val="00F03C6D"/>
    <w:rsid w:val="00F0414A"/>
    <w:rsid w:val="00F043FE"/>
    <w:rsid w:val="00F0478C"/>
    <w:rsid w:val="00F04862"/>
    <w:rsid w:val="00F048F9"/>
    <w:rsid w:val="00F04A48"/>
    <w:rsid w:val="00F04A66"/>
    <w:rsid w:val="00F04B4B"/>
    <w:rsid w:val="00F04ED0"/>
    <w:rsid w:val="00F0516C"/>
    <w:rsid w:val="00F05265"/>
    <w:rsid w:val="00F05BC1"/>
    <w:rsid w:val="00F05C70"/>
    <w:rsid w:val="00F05D62"/>
    <w:rsid w:val="00F06055"/>
    <w:rsid w:val="00F067A2"/>
    <w:rsid w:val="00F06C90"/>
    <w:rsid w:val="00F06D70"/>
    <w:rsid w:val="00F06D97"/>
    <w:rsid w:val="00F06E61"/>
    <w:rsid w:val="00F06EE6"/>
    <w:rsid w:val="00F06F8F"/>
    <w:rsid w:val="00F074BF"/>
    <w:rsid w:val="00F075BB"/>
    <w:rsid w:val="00F076B8"/>
    <w:rsid w:val="00F07B9E"/>
    <w:rsid w:val="00F10000"/>
    <w:rsid w:val="00F10DFD"/>
    <w:rsid w:val="00F11063"/>
    <w:rsid w:val="00F1115F"/>
    <w:rsid w:val="00F1116F"/>
    <w:rsid w:val="00F1196D"/>
    <w:rsid w:val="00F11F3A"/>
    <w:rsid w:val="00F121A0"/>
    <w:rsid w:val="00F122C5"/>
    <w:rsid w:val="00F1258D"/>
    <w:rsid w:val="00F1263A"/>
    <w:rsid w:val="00F12ECD"/>
    <w:rsid w:val="00F1313D"/>
    <w:rsid w:val="00F132F7"/>
    <w:rsid w:val="00F136B0"/>
    <w:rsid w:val="00F137E9"/>
    <w:rsid w:val="00F139C5"/>
    <w:rsid w:val="00F13D97"/>
    <w:rsid w:val="00F13F02"/>
    <w:rsid w:val="00F145B0"/>
    <w:rsid w:val="00F1488B"/>
    <w:rsid w:val="00F150B8"/>
    <w:rsid w:val="00F15B68"/>
    <w:rsid w:val="00F15B77"/>
    <w:rsid w:val="00F16028"/>
    <w:rsid w:val="00F1690C"/>
    <w:rsid w:val="00F16CC7"/>
    <w:rsid w:val="00F16DBA"/>
    <w:rsid w:val="00F171FA"/>
    <w:rsid w:val="00F1731B"/>
    <w:rsid w:val="00F173B8"/>
    <w:rsid w:val="00F176FD"/>
    <w:rsid w:val="00F17A96"/>
    <w:rsid w:val="00F201FA"/>
    <w:rsid w:val="00F2034F"/>
    <w:rsid w:val="00F208BC"/>
    <w:rsid w:val="00F2100B"/>
    <w:rsid w:val="00F21236"/>
    <w:rsid w:val="00F213E3"/>
    <w:rsid w:val="00F217DE"/>
    <w:rsid w:val="00F21890"/>
    <w:rsid w:val="00F21AA7"/>
    <w:rsid w:val="00F21AFB"/>
    <w:rsid w:val="00F21B64"/>
    <w:rsid w:val="00F21E0C"/>
    <w:rsid w:val="00F2257E"/>
    <w:rsid w:val="00F22623"/>
    <w:rsid w:val="00F229F1"/>
    <w:rsid w:val="00F231A3"/>
    <w:rsid w:val="00F23299"/>
    <w:rsid w:val="00F232A4"/>
    <w:rsid w:val="00F239DF"/>
    <w:rsid w:val="00F2432F"/>
    <w:rsid w:val="00F24681"/>
    <w:rsid w:val="00F246EB"/>
    <w:rsid w:val="00F24837"/>
    <w:rsid w:val="00F24A85"/>
    <w:rsid w:val="00F2540D"/>
    <w:rsid w:val="00F25596"/>
    <w:rsid w:val="00F2575F"/>
    <w:rsid w:val="00F25A0E"/>
    <w:rsid w:val="00F25CEF"/>
    <w:rsid w:val="00F25DDB"/>
    <w:rsid w:val="00F25E05"/>
    <w:rsid w:val="00F25F68"/>
    <w:rsid w:val="00F26887"/>
    <w:rsid w:val="00F26E71"/>
    <w:rsid w:val="00F270EA"/>
    <w:rsid w:val="00F272CC"/>
    <w:rsid w:val="00F27565"/>
    <w:rsid w:val="00F277C6"/>
    <w:rsid w:val="00F27859"/>
    <w:rsid w:val="00F2798E"/>
    <w:rsid w:val="00F27A75"/>
    <w:rsid w:val="00F27AE6"/>
    <w:rsid w:val="00F3062F"/>
    <w:rsid w:val="00F307B1"/>
    <w:rsid w:val="00F3106E"/>
    <w:rsid w:val="00F310D4"/>
    <w:rsid w:val="00F3128E"/>
    <w:rsid w:val="00F3135A"/>
    <w:rsid w:val="00F31596"/>
    <w:rsid w:val="00F318B0"/>
    <w:rsid w:val="00F31A55"/>
    <w:rsid w:val="00F31A7F"/>
    <w:rsid w:val="00F31D5A"/>
    <w:rsid w:val="00F320E0"/>
    <w:rsid w:val="00F3216E"/>
    <w:rsid w:val="00F324F6"/>
    <w:rsid w:val="00F326AD"/>
    <w:rsid w:val="00F3285F"/>
    <w:rsid w:val="00F32951"/>
    <w:rsid w:val="00F32966"/>
    <w:rsid w:val="00F32B20"/>
    <w:rsid w:val="00F32BE2"/>
    <w:rsid w:val="00F32E5D"/>
    <w:rsid w:val="00F33040"/>
    <w:rsid w:val="00F331C2"/>
    <w:rsid w:val="00F33322"/>
    <w:rsid w:val="00F3363A"/>
    <w:rsid w:val="00F33958"/>
    <w:rsid w:val="00F33975"/>
    <w:rsid w:val="00F33AA0"/>
    <w:rsid w:val="00F33BEE"/>
    <w:rsid w:val="00F33DE9"/>
    <w:rsid w:val="00F3411C"/>
    <w:rsid w:val="00F34464"/>
    <w:rsid w:val="00F344C4"/>
    <w:rsid w:val="00F34D73"/>
    <w:rsid w:val="00F34E61"/>
    <w:rsid w:val="00F3522F"/>
    <w:rsid w:val="00F35826"/>
    <w:rsid w:val="00F35B35"/>
    <w:rsid w:val="00F35E6D"/>
    <w:rsid w:val="00F3615E"/>
    <w:rsid w:val="00F3619A"/>
    <w:rsid w:val="00F361F0"/>
    <w:rsid w:val="00F36212"/>
    <w:rsid w:val="00F3630D"/>
    <w:rsid w:val="00F365D5"/>
    <w:rsid w:val="00F36628"/>
    <w:rsid w:val="00F372AE"/>
    <w:rsid w:val="00F372DC"/>
    <w:rsid w:val="00F37466"/>
    <w:rsid w:val="00F37564"/>
    <w:rsid w:val="00F37838"/>
    <w:rsid w:val="00F40527"/>
    <w:rsid w:val="00F405E9"/>
    <w:rsid w:val="00F40A85"/>
    <w:rsid w:val="00F40AAA"/>
    <w:rsid w:val="00F40BA7"/>
    <w:rsid w:val="00F40F9D"/>
    <w:rsid w:val="00F4101D"/>
    <w:rsid w:val="00F41118"/>
    <w:rsid w:val="00F41128"/>
    <w:rsid w:val="00F41508"/>
    <w:rsid w:val="00F41ACD"/>
    <w:rsid w:val="00F41B4D"/>
    <w:rsid w:val="00F41D89"/>
    <w:rsid w:val="00F41D9C"/>
    <w:rsid w:val="00F4228E"/>
    <w:rsid w:val="00F422FF"/>
    <w:rsid w:val="00F424AC"/>
    <w:rsid w:val="00F42CB9"/>
    <w:rsid w:val="00F42DC9"/>
    <w:rsid w:val="00F4326E"/>
    <w:rsid w:val="00F433FD"/>
    <w:rsid w:val="00F436EA"/>
    <w:rsid w:val="00F43791"/>
    <w:rsid w:val="00F438CE"/>
    <w:rsid w:val="00F44755"/>
    <w:rsid w:val="00F44D33"/>
    <w:rsid w:val="00F452FA"/>
    <w:rsid w:val="00F4558D"/>
    <w:rsid w:val="00F45705"/>
    <w:rsid w:val="00F4582E"/>
    <w:rsid w:val="00F45C95"/>
    <w:rsid w:val="00F469F1"/>
    <w:rsid w:val="00F46CB6"/>
    <w:rsid w:val="00F4708A"/>
    <w:rsid w:val="00F472DD"/>
    <w:rsid w:val="00F47312"/>
    <w:rsid w:val="00F4756D"/>
    <w:rsid w:val="00F4798D"/>
    <w:rsid w:val="00F47DE8"/>
    <w:rsid w:val="00F47F83"/>
    <w:rsid w:val="00F501AD"/>
    <w:rsid w:val="00F5029D"/>
    <w:rsid w:val="00F50FDC"/>
    <w:rsid w:val="00F51585"/>
    <w:rsid w:val="00F5168C"/>
    <w:rsid w:val="00F51837"/>
    <w:rsid w:val="00F51A2D"/>
    <w:rsid w:val="00F523A0"/>
    <w:rsid w:val="00F524B0"/>
    <w:rsid w:val="00F527AE"/>
    <w:rsid w:val="00F5284D"/>
    <w:rsid w:val="00F52F5A"/>
    <w:rsid w:val="00F531E8"/>
    <w:rsid w:val="00F534DD"/>
    <w:rsid w:val="00F53940"/>
    <w:rsid w:val="00F53A02"/>
    <w:rsid w:val="00F53ACE"/>
    <w:rsid w:val="00F53B0D"/>
    <w:rsid w:val="00F53B4C"/>
    <w:rsid w:val="00F53DB4"/>
    <w:rsid w:val="00F53DDF"/>
    <w:rsid w:val="00F541ED"/>
    <w:rsid w:val="00F5421D"/>
    <w:rsid w:val="00F542C1"/>
    <w:rsid w:val="00F544D8"/>
    <w:rsid w:val="00F54B2A"/>
    <w:rsid w:val="00F550E3"/>
    <w:rsid w:val="00F554F2"/>
    <w:rsid w:val="00F555FC"/>
    <w:rsid w:val="00F55645"/>
    <w:rsid w:val="00F559FE"/>
    <w:rsid w:val="00F55A57"/>
    <w:rsid w:val="00F55AF3"/>
    <w:rsid w:val="00F55C24"/>
    <w:rsid w:val="00F55C41"/>
    <w:rsid w:val="00F55C7D"/>
    <w:rsid w:val="00F55DD4"/>
    <w:rsid w:val="00F55E73"/>
    <w:rsid w:val="00F55EDA"/>
    <w:rsid w:val="00F56204"/>
    <w:rsid w:val="00F5628E"/>
    <w:rsid w:val="00F565E8"/>
    <w:rsid w:val="00F56C7D"/>
    <w:rsid w:val="00F56C80"/>
    <w:rsid w:val="00F56D6F"/>
    <w:rsid w:val="00F56E0C"/>
    <w:rsid w:val="00F56E99"/>
    <w:rsid w:val="00F56ECE"/>
    <w:rsid w:val="00F57047"/>
    <w:rsid w:val="00F57222"/>
    <w:rsid w:val="00F577C1"/>
    <w:rsid w:val="00F57911"/>
    <w:rsid w:val="00F57C0C"/>
    <w:rsid w:val="00F57D02"/>
    <w:rsid w:val="00F57E3F"/>
    <w:rsid w:val="00F60055"/>
    <w:rsid w:val="00F60092"/>
    <w:rsid w:val="00F600CB"/>
    <w:rsid w:val="00F60BA4"/>
    <w:rsid w:val="00F60C1F"/>
    <w:rsid w:val="00F60E76"/>
    <w:rsid w:val="00F60FBF"/>
    <w:rsid w:val="00F61125"/>
    <w:rsid w:val="00F61306"/>
    <w:rsid w:val="00F61675"/>
    <w:rsid w:val="00F6176A"/>
    <w:rsid w:val="00F618DF"/>
    <w:rsid w:val="00F61A67"/>
    <w:rsid w:val="00F61BFB"/>
    <w:rsid w:val="00F61C18"/>
    <w:rsid w:val="00F6202A"/>
    <w:rsid w:val="00F628DB"/>
    <w:rsid w:val="00F62C6B"/>
    <w:rsid w:val="00F62F71"/>
    <w:rsid w:val="00F634C3"/>
    <w:rsid w:val="00F63546"/>
    <w:rsid w:val="00F63941"/>
    <w:rsid w:val="00F63DA2"/>
    <w:rsid w:val="00F64055"/>
    <w:rsid w:val="00F64089"/>
    <w:rsid w:val="00F64306"/>
    <w:rsid w:val="00F6460A"/>
    <w:rsid w:val="00F64885"/>
    <w:rsid w:val="00F64CA7"/>
    <w:rsid w:val="00F64ECF"/>
    <w:rsid w:val="00F64F36"/>
    <w:rsid w:val="00F65144"/>
    <w:rsid w:val="00F651CF"/>
    <w:rsid w:val="00F65226"/>
    <w:rsid w:val="00F65B53"/>
    <w:rsid w:val="00F65C41"/>
    <w:rsid w:val="00F65C8E"/>
    <w:rsid w:val="00F65E9B"/>
    <w:rsid w:val="00F65F4B"/>
    <w:rsid w:val="00F665DD"/>
    <w:rsid w:val="00F6667D"/>
    <w:rsid w:val="00F672B9"/>
    <w:rsid w:val="00F676DD"/>
    <w:rsid w:val="00F677BF"/>
    <w:rsid w:val="00F67A69"/>
    <w:rsid w:val="00F67EB8"/>
    <w:rsid w:val="00F67EF6"/>
    <w:rsid w:val="00F700A2"/>
    <w:rsid w:val="00F702DF"/>
    <w:rsid w:val="00F70641"/>
    <w:rsid w:val="00F70A73"/>
    <w:rsid w:val="00F70AB3"/>
    <w:rsid w:val="00F70BFF"/>
    <w:rsid w:val="00F70C9D"/>
    <w:rsid w:val="00F71108"/>
    <w:rsid w:val="00F71522"/>
    <w:rsid w:val="00F71A7E"/>
    <w:rsid w:val="00F71A88"/>
    <w:rsid w:val="00F71D40"/>
    <w:rsid w:val="00F71EC8"/>
    <w:rsid w:val="00F726B0"/>
    <w:rsid w:val="00F7271F"/>
    <w:rsid w:val="00F7305F"/>
    <w:rsid w:val="00F73766"/>
    <w:rsid w:val="00F7379F"/>
    <w:rsid w:val="00F739C5"/>
    <w:rsid w:val="00F73CAC"/>
    <w:rsid w:val="00F73CD3"/>
    <w:rsid w:val="00F73E08"/>
    <w:rsid w:val="00F73FE5"/>
    <w:rsid w:val="00F742AD"/>
    <w:rsid w:val="00F7462F"/>
    <w:rsid w:val="00F749E3"/>
    <w:rsid w:val="00F74A14"/>
    <w:rsid w:val="00F74ACC"/>
    <w:rsid w:val="00F74C9D"/>
    <w:rsid w:val="00F74CD9"/>
    <w:rsid w:val="00F74DFF"/>
    <w:rsid w:val="00F74F70"/>
    <w:rsid w:val="00F753CC"/>
    <w:rsid w:val="00F753DB"/>
    <w:rsid w:val="00F7564C"/>
    <w:rsid w:val="00F75903"/>
    <w:rsid w:val="00F75BC7"/>
    <w:rsid w:val="00F75C08"/>
    <w:rsid w:val="00F75C3F"/>
    <w:rsid w:val="00F75D0B"/>
    <w:rsid w:val="00F7613D"/>
    <w:rsid w:val="00F76E9F"/>
    <w:rsid w:val="00F7755C"/>
    <w:rsid w:val="00F778C0"/>
    <w:rsid w:val="00F77A5E"/>
    <w:rsid w:val="00F77E3C"/>
    <w:rsid w:val="00F800A8"/>
    <w:rsid w:val="00F8015C"/>
    <w:rsid w:val="00F80A7B"/>
    <w:rsid w:val="00F80E5D"/>
    <w:rsid w:val="00F80EC8"/>
    <w:rsid w:val="00F811C5"/>
    <w:rsid w:val="00F81350"/>
    <w:rsid w:val="00F81490"/>
    <w:rsid w:val="00F817EF"/>
    <w:rsid w:val="00F818DA"/>
    <w:rsid w:val="00F81A4D"/>
    <w:rsid w:val="00F81C27"/>
    <w:rsid w:val="00F81E78"/>
    <w:rsid w:val="00F82058"/>
    <w:rsid w:val="00F8214C"/>
    <w:rsid w:val="00F823A1"/>
    <w:rsid w:val="00F827BA"/>
    <w:rsid w:val="00F834A2"/>
    <w:rsid w:val="00F83567"/>
    <w:rsid w:val="00F836BF"/>
    <w:rsid w:val="00F83916"/>
    <w:rsid w:val="00F83E66"/>
    <w:rsid w:val="00F84089"/>
    <w:rsid w:val="00F842B8"/>
    <w:rsid w:val="00F84503"/>
    <w:rsid w:val="00F84896"/>
    <w:rsid w:val="00F849BB"/>
    <w:rsid w:val="00F8515A"/>
    <w:rsid w:val="00F851CE"/>
    <w:rsid w:val="00F85427"/>
    <w:rsid w:val="00F85428"/>
    <w:rsid w:val="00F858C8"/>
    <w:rsid w:val="00F85C42"/>
    <w:rsid w:val="00F85EF8"/>
    <w:rsid w:val="00F85F84"/>
    <w:rsid w:val="00F86014"/>
    <w:rsid w:val="00F8604F"/>
    <w:rsid w:val="00F860E8"/>
    <w:rsid w:val="00F863D1"/>
    <w:rsid w:val="00F86E6B"/>
    <w:rsid w:val="00F87196"/>
    <w:rsid w:val="00F878D1"/>
    <w:rsid w:val="00F87A5B"/>
    <w:rsid w:val="00F87BFF"/>
    <w:rsid w:val="00F87C1E"/>
    <w:rsid w:val="00F90262"/>
    <w:rsid w:val="00F90D53"/>
    <w:rsid w:val="00F9107A"/>
    <w:rsid w:val="00F91219"/>
    <w:rsid w:val="00F917D9"/>
    <w:rsid w:val="00F91815"/>
    <w:rsid w:val="00F9188D"/>
    <w:rsid w:val="00F91CC4"/>
    <w:rsid w:val="00F91D30"/>
    <w:rsid w:val="00F91DB9"/>
    <w:rsid w:val="00F91E88"/>
    <w:rsid w:val="00F91EA0"/>
    <w:rsid w:val="00F92316"/>
    <w:rsid w:val="00F92444"/>
    <w:rsid w:val="00F92861"/>
    <w:rsid w:val="00F928B7"/>
    <w:rsid w:val="00F931F0"/>
    <w:rsid w:val="00F931F8"/>
    <w:rsid w:val="00F93230"/>
    <w:rsid w:val="00F93419"/>
    <w:rsid w:val="00F9393E"/>
    <w:rsid w:val="00F94073"/>
    <w:rsid w:val="00F9486D"/>
    <w:rsid w:val="00F94CC9"/>
    <w:rsid w:val="00F9507D"/>
    <w:rsid w:val="00F9560B"/>
    <w:rsid w:val="00F95BA8"/>
    <w:rsid w:val="00F95DB7"/>
    <w:rsid w:val="00F964AE"/>
    <w:rsid w:val="00F9657A"/>
    <w:rsid w:val="00F965E6"/>
    <w:rsid w:val="00F96855"/>
    <w:rsid w:val="00F96FD0"/>
    <w:rsid w:val="00F9704C"/>
    <w:rsid w:val="00F973A2"/>
    <w:rsid w:val="00F97619"/>
    <w:rsid w:val="00F97649"/>
    <w:rsid w:val="00F97A78"/>
    <w:rsid w:val="00F97D2A"/>
    <w:rsid w:val="00F97D4B"/>
    <w:rsid w:val="00F97F47"/>
    <w:rsid w:val="00FA018D"/>
    <w:rsid w:val="00FA0190"/>
    <w:rsid w:val="00FA06C9"/>
    <w:rsid w:val="00FA0A3B"/>
    <w:rsid w:val="00FA0B20"/>
    <w:rsid w:val="00FA0CDC"/>
    <w:rsid w:val="00FA14B6"/>
    <w:rsid w:val="00FA19D8"/>
    <w:rsid w:val="00FA1BCB"/>
    <w:rsid w:val="00FA1D5D"/>
    <w:rsid w:val="00FA1DE5"/>
    <w:rsid w:val="00FA24E7"/>
    <w:rsid w:val="00FA25DF"/>
    <w:rsid w:val="00FA2690"/>
    <w:rsid w:val="00FA2861"/>
    <w:rsid w:val="00FA3411"/>
    <w:rsid w:val="00FA3D4A"/>
    <w:rsid w:val="00FA414B"/>
    <w:rsid w:val="00FA42FF"/>
    <w:rsid w:val="00FA43E4"/>
    <w:rsid w:val="00FA499E"/>
    <w:rsid w:val="00FA4BBE"/>
    <w:rsid w:val="00FA4EE8"/>
    <w:rsid w:val="00FA4F41"/>
    <w:rsid w:val="00FA51E6"/>
    <w:rsid w:val="00FA52EA"/>
    <w:rsid w:val="00FA53C1"/>
    <w:rsid w:val="00FA56E9"/>
    <w:rsid w:val="00FA5C1B"/>
    <w:rsid w:val="00FA5D11"/>
    <w:rsid w:val="00FA5EE6"/>
    <w:rsid w:val="00FA647E"/>
    <w:rsid w:val="00FA6BF6"/>
    <w:rsid w:val="00FA6EE8"/>
    <w:rsid w:val="00FA742C"/>
    <w:rsid w:val="00FA7616"/>
    <w:rsid w:val="00FA781C"/>
    <w:rsid w:val="00FA7956"/>
    <w:rsid w:val="00FA7D64"/>
    <w:rsid w:val="00FA7F3D"/>
    <w:rsid w:val="00FB009F"/>
    <w:rsid w:val="00FB02A7"/>
    <w:rsid w:val="00FB03D5"/>
    <w:rsid w:val="00FB0458"/>
    <w:rsid w:val="00FB04E1"/>
    <w:rsid w:val="00FB0824"/>
    <w:rsid w:val="00FB0B1C"/>
    <w:rsid w:val="00FB0BDC"/>
    <w:rsid w:val="00FB0C03"/>
    <w:rsid w:val="00FB1402"/>
    <w:rsid w:val="00FB1625"/>
    <w:rsid w:val="00FB18DC"/>
    <w:rsid w:val="00FB1E99"/>
    <w:rsid w:val="00FB2020"/>
    <w:rsid w:val="00FB20B5"/>
    <w:rsid w:val="00FB2158"/>
    <w:rsid w:val="00FB249E"/>
    <w:rsid w:val="00FB24AE"/>
    <w:rsid w:val="00FB2FCB"/>
    <w:rsid w:val="00FB3261"/>
    <w:rsid w:val="00FB3FD8"/>
    <w:rsid w:val="00FB4396"/>
    <w:rsid w:val="00FB463C"/>
    <w:rsid w:val="00FB46B2"/>
    <w:rsid w:val="00FB4B58"/>
    <w:rsid w:val="00FB4C9C"/>
    <w:rsid w:val="00FB5617"/>
    <w:rsid w:val="00FB5B54"/>
    <w:rsid w:val="00FB5DA4"/>
    <w:rsid w:val="00FB5F74"/>
    <w:rsid w:val="00FB6303"/>
    <w:rsid w:val="00FB6329"/>
    <w:rsid w:val="00FB6388"/>
    <w:rsid w:val="00FB691D"/>
    <w:rsid w:val="00FB6BEA"/>
    <w:rsid w:val="00FB6E4B"/>
    <w:rsid w:val="00FB6FB1"/>
    <w:rsid w:val="00FB7139"/>
    <w:rsid w:val="00FB7C55"/>
    <w:rsid w:val="00FB7CCF"/>
    <w:rsid w:val="00FB7D6E"/>
    <w:rsid w:val="00FB7E6E"/>
    <w:rsid w:val="00FC02AA"/>
    <w:rsid w:val="00FC0619"/>
    <w:rsid w:val="00FC0770"/>
    <w:rsid w:val="00FC0E90"/>
    <w:rsid w:val="00FC105F"/>
    <w:rsid w:val="00FC1074"/>
    <w:rsid w:val="00FC137E"/>
    <w:rsid w:val="00FC1884"/>
    <w:rsid w:val="00FC1A46"/>
    <w:rsid w:val="00FC1AF0"/>
    <w:rsid w:val="00FC2267"/>
    <w:rsid w:val="00FC23B5"/>
    <w:rsid w:val="00FC2963"/>
    <w:rsid w:val="00FC2A49"/>
    <w:rsid w:val="00FC2C74"/>
    <w:rsid w:val="00FC30E8"/>
    <w:rsid w:val="00FC3107"/>
    <w:rsid w:val="00FC371D"/>
    <w:rsid w:val="00FC3B2E"/>
    <w:rsid w:val="00FC3D1A"/>
    <w:rsid w:val="00FC409C"/>
    <w:rsid w:val="00FC40F2"/>
    <w:rsid w:val="00FC420C"/>
    <w:rsid w:val="00FC4967"/>
    <w:rsid w:val="00FC4A09"/>
    <w:rsid w:val="00FC4E38"/>
    <w:rsid w:val="00FC50B9"/>
    <w:rsid w:val="00FC5478"/>
    <w:rsid w:val="00FC5623"/>
    <w:rsid w:val="00FC5738"/>
    <w:rsid w:val="00FC5965"/>
    <w:rsid w:val="00FC5AF8"/>
    <w:rsid w:val="00FC5E9F"/>
    <w:rsid w:val="00FC5F0B"/>
    <w:rsid w:val="00FC5FC5"/>
    <w:rsid w:val="00FC6366"/>
    <w:rsid w:val="00FC6524"/>
    <w:rsid w:val="00FC6E2E"/>
    <w:rsid w:val="00FC782F"/>
    <w:rsid w:val="00FC7871"/>
    <w:rsid w:val="00FC79AA"/>
    <w:rsid w:val="00FC7AC3"/>
    <w:rsid w:val="00FC7F1F"/>
    <w:rsid w:val="00FD01D9"/>
    <w:rsid w:val="00FD054B"/>
    <w:rsid w:val="00FD10C1"/>
    <w:rsid w:val="00FD1145"/>
    <w:rsid w:val="00FD1749"/>
    <w:rsid w:val="00FD1965"/>
    <w:rsid w:val="00FD19D2"/>
    <w:rsid w:val="00FD20B7"/>
    <w:rsid w:val="00FD2100"/>
    <w:rsid w:val="00FD22AB"/>
    <w:rsid w:val="00FD238F"/>
    <w:rsid w:val="00FD2A8C"/>
    <w:rsid w:val="00FD2ABE"/>
    <w:rsid w:val="00FD2C7F"/>
    <w:rsid w:val="00FD2F22"/>
    <w:rsid w:val="00FD3217"/>
    <w:rsid w:val="00FD321A"/>
    <w:rsid w:val="00FD325D"/>
    <w:rsid w:val="00FD3282"/>
    <w:rsid w:val="00FD3289"/>
    <w:rsid w:val="00FD3469"/>
    <w:rsid w:val="00FD3555"/>
    <w:rsid w:val="00FD360F"/>
    <w:rsid w:val="00FD3913"/>
    <w:rsid w:val="00FD3DAB"/>
    <w:rsid w:val="00FD3F89"/>
    <w:rsid w:val="00FD436C"/>
    <w:rsid w:val="00FD446D"/>
    <w:rsid w:val="00FD45D5"/>
    <w:rsid w:val="00FD4804"/>
    <w:rsid w:val="00FD4A03"/>
    <w:rsid w:val="00FD4C2B"/>
    <w:rsid w:val="00FD4F2C"/>
    <w:rsid w:val="00FD51C9"/>
    <w:rsid w:val="00FD5F64"/>
    <w:rsid w:val="00FD633B"/>
    <w:rsid w:val="00FD6394"/>
    <w:rsid w:val="00FD63E1"/>
    <w:rsid w:val="00FD64D0"/>
    <w:rsid w:val="00FD6AC6"/>
    <w:rsid w:val="00FD7149"/>
    <w:rsid w:val="00FD742C"/>
    <w:rsid w:val="00FD7846"/>
    <w:rsid w:val="00FD7B76"/>
    <w:rsid w:val="00FE0D05"/>
    <w:rsid w:val="00FE0E6C"/>
    <w:rsid w:val="00FE1265"/>
    <w:rsid w:val="00FE1343"/>
    <w:rsid w:val="00FE13E2"/>
    <w:rsid w:val="00FE14DD"/>
    <w:rsid w:val="00FE1B9B"/>
    <w:rsid w:val="00FE1CDC"/>
    <w:rsid w:val="00FE2345"/>
    <w:rsid w:val="00FE2591"/>
    <w:rsid w:val="00FE2F0A"/>
    <w:rsid w:val="00FE3039"/>
    <w:rsid w:val="00FE382D"/>
    <w:rsid w:val="00FE3BD9"/>
    <w:rsid w:val="00FE3CD4"/>
    <w:rsid w:val="00FE3FAA"/>
    <w:rsid w:val="00FE437A"/>
    <w:rsid w:val="00FE4A53"/>
    <w:rsid w:val="00FE4E44"/>
    <w:rsid w:val="00FE4EE2"/>
    <w:rsid w:val="00FE5234"/>
    <w:rsid w:val="00FE53AA"/>
    <w:rsid w:val="00FE5622"/>
    <w:rsid w:val="00FE5743"/>
    <w:rsid w:val="00FE5781"/>
    <w:rsid w:val="00FE57EE"/>
    <w:rsid w:val="00FE5E20"/>
    <w:rsid w:val="00FE6318"/>
    <w:rsid w:val="00FE6534"/>
    <w:rsid w:val="00FE666C"/>
    <w:rsid w:val="00FE6CB2"/>
    <w:rsid w:val="00FE6D37"/>
    <w:rsid w:val="00FE6D5D"/>
    <w:rsid w:val="00FE70C3"/>
    <w:rsid w:val="00FE7325"/>
    <w:rsid w:val="00FE765A"/>
    <w:rsid w:val="00FE7821"/>
    <w:rsid w:val="00FE7BA1"/>
    <w:rsid w:val="00FE7F2F"/>
    <w:rsid w:val="00FF0240"/>
    <w:rsid w:val="00FF0360"/>
    <w:rsid w:val="00FF03C3"/>
    <w:rsid w:val="00FF07C2"/>
    <w:rsid w:val="00FF0D8E"/>
    <w:rsid w:val="00FF1804"/>
    <w:rsid w:val="00FF1A3D"/>
    <w:rsid w:val="00FF1A8B"/>
    <w:rsid w:val="00FF2226"/>
    <w:rsid w:val="00FF2AD9"/>
    <w:rsid w:val="00FF2AEF"/>
    <w:rsid w:val="00FF359F"/>
    <w:rsid w:val="00FF3B80"/>
    <w:rsid w:val="00FF3DCD"/>
    <w:rsid w:val="00FF3DCF"/>
    <w:rsid w:val="00FF3F9E"/>
    <w:rsid w:val="00FF3FF1"/>
    <w:rsid w:val="00FF40DD"/>
    <w:rsid w:val="00FF4140"/>
    <w:rsid w:val="00FF4203"/>
    <w:rsid w:val="00FF4410"/>
    <w:rsid w:val="00FF459E"/>
    <w:rsid w:val="00FF4625"/>
    <w:rsid w:val="00FF492C"/>
    <w:rsid w:val="00FF4A21"/>
    <w:rsid w:val="00FF4CE9"/>
    <w:rsid w:val="00FF4F12"/>
    <w:rsid w:val="00FF5217"/>
    <w:rsid w:val="00FF53A6"/>
    <w:rsid w:val="00FF541B"/>
    <w:rsid w:val="00FF5772"/>
    <w:rsid w:val="00FF58EC"/>
    <w:rsid w:val="00FF597F"/>
    <w:rsid w:val="00FF5AA3"/>
    <w:rsid w:val="00FF5AD8"/>
    <w:rsid w:val="00FF5B61"/>
    <w:rsid w:val="00FF5CA1"/>
    <w:rsid w:val="00FF68B9"/>
    <w:rsid w:val="00FF6935"/>
    <w:rsid w:val="00FF6DD3"/>
    <w:rsid w:val="00FF6F35"/>
    <w:rsid w:val="00FF6FD0"/>
    <w:rsid w:val="00FF7838"/>
    <w:rsid w:val="00FF7CE4"/>
    <w:rsid w:val="01466DC6"/>
    <w:rsid w:val="01CE7F79"/>
    <w:rsid w:val="01D60E77"/>
    <w:rsid w:val="03506E7E"/>
    <w:rsid w:val="0409DB1B"/>
    <w:rsid w:val="042FD5C8"/>
    <w:rsid w:val="04F38014"/>
    <w:rsid w:val="05B17E6D"/>
    <w:rsid w:val="0624AF4C"/>
    <w:rsid w:val="0776CBDC"/>
    <w:rsid w:val="07907B51"/>
    <w:rsid w:val="07BB1EA3"/>
    <w:rsid w:val="083ED2BE"/>
    <w:rsid w:val="0C2387C9"/>
    <w:rsid w:val="0D5106F0"/>
    <w:rsid w:val="0E167370"/>
    <w:rsid w:val="0E65E011"/>
    <w:rsid w:val="0ECD0605"/>
    <w:rsid w:val="0F223191"/>
    <w:rsid w:val="0FBD54AB"/>
    <w:rsid w:val="124658FD"/>
    <w:rsid w:val="1389AA9D"/>
    <w:rsid w:val="14562BC8"/>
    <w:rsid w:val="145F80C9"/>
    <w:rsid w:val="14F61388"/>
    <w:rsid w:val="18F7BE48"/>
    <w:rsid w:val="191ABBB7"/>
    <w:rsid w:val="1B3BA305"/>
    <w:rsid w:val="1B3D2FF9"/>
    <w:rsid w:val="1C260706"/>
    <w:rsid w:val="1C5EF889"/>
    <w:rsid w:val="1D6C73A7"/>
    <w:rsid w:val="1E1A72D7"/>
    <w:rsid w:val="1F163CE9"/>
    <w:rsid w:val="1FA941B0"/>
    <w:rsid w:val="1FC3CA19"/>
    <w:rsid w:val="20769100"/>
    <w:rsid w:val="22EDF512"/>
    <w:rsid w:val="23C8B454"/>
    <w:rsid w:val="23DA9A81"/>
    <w:rsid w:val="23F6FB34"/>
    <w:rsid w:val="253BC167"/>
    <w:rsid w:val="2635B0F1"/>
    <w:rsid w:val="26E98274"/>
    <w:rsid w:val="27144F19"/>
    <w:rsid w:val="279FBF8B"/>
    <w:rsid w:val="27AACE9B"/>
    <w:rsid w:val="27AE36AD"/>
    <w:rsid w:val="2B7C973B"/>
    <w:rsid w:val="2B9FCC27"/>
    <w:rsid w:val="2C5C08ED"/>
    <w:rsid w:val="2D5E5E21"/>
    <w:rsid w:val="2D9120BD"/>
    <w:rsid w:val="2EAC612B"/>
    <w:rsid w:val="2F550C41"/>
    <w:rsid w:val="2FCD9C1A"/>
    <w:rsid w:val="31B1DCB2"/>
    <w:rsid w:val="31E275E1"/>
    <w:rsid w:val="322614D6"/>
    <w:rsid w:val="334F0581"/>
    <w:rsid w:val="3458F678"/>
    <w:rsid w:val="374EC859"/>
    <w:rsid w:val="376180AE"/>
    <w:rsid w:val="38FC5750"/>
    <w:rsid w:val="3975B1C0"/>
    <w:rsid w:val="3C6D0832"/>
    <w:rsid w:val="3D0561D1"/>
    <w:rsid w:val="3D4F4A5C"/>
    <w:rsid w:val="405DEF46"/>
    <w:rsid w:val="41AAF291"/>
    <w:rsid w:val="4373E93C"/>
    <w:rsid w:val="437719FF"/>
    <w:rsid w:val="44A8B7E7"/>
    <w:rsid w:val="45A0101F"/>
    <w:rsid w:val="45E2616B"/>
    <w:rsid w:val="4655C8A7"/>
    <w:rsid w:val="46E068CD"/>
    <w:rsid w:val="47E5C08B"/>
    <w:rsid w:val="4866FE8E"/>
    <w:rsid w:val="491928C3"/>
    <w:rsid w:val="49362BDA"/>
    <w:rsid w:val="49FECBFB"/>
    <w:rsid w:val="4C6DB3E2"/>
    <w:rsid w:val="4C973B67"/>
    <w:rsid w:val="4CFA62DA"/>
    <w:rsid w:val="4DD3AB3E"/>
    <w:rsid w:val="4F8EB5FA"/>
    <w:rsid w:val="4F996F5D"/>
    <w:rsid w:val="50D750E9"/>
    <w:rsid w:val="5187E2AB"/>
    <w:rsid w:val="52052F3F"/>
    <w:rsid w:val="54778499"/>
    <w:rsid w:val="550A1133"/>
    <w:rsid w:val="55FF39E9"/>
    <w:rsid w:val="5A1861FA"/>
    <w:rsid w:val="5CE2CCAD"/>
    <w:rsid w:val="5CF5A0B5"/>
    <w:rsid w:val="5D3F8937"/>
    <w:rsid w:val="5DBF627B"/>
    <w:rsid w:val="5EC16A68"/>
    <w:rsid w:val="5FB46595"/>
    <w:rsid w:val="6185E80E"/>
    <w:rsid w:val="63E2EB5C"/>
    <w:rsid w:val="63E3ED34"/>
    <w:rsid w:val="65FE1DB5"/>
    <w:rsid w:val="66E3A505"/>
    <w:rsid w:val="6791B338"/>
    <w:rsid w:val="67D388F7"/>
    <w:rsid w:val="69903145"/>
    <w:rsid w:val="69D3C702"/>
    <w:rsid w:val="6A82C928"/>
    <w:rsid w:val="6AC21A64"/>
    <w:rsid w:val="6BC27FEB"/>
    <w:rsid w:val="6BFFFF07"/>
    <w:rsid w:val="6D3EA699"/>
    <w:rsid w:val="6D47594E"/>
    <w:rsid w:val="6E5A5835"/>
    <w:rsid w:val="6F95EE43"/>
    <w:rsid w:val="6FB74828"/>
    <w:rsid w:val="6FBBCCA6"/>
    <w:rsid w:val="701DBDD7"/>
    <w:rsid w:val="712A9080"/>
    <w:rsid w:val="71565FF5"/>
    <w:rsid w:val="76238AB8"/>
    <w:rsid w:val="763A951F"/>
    <w:rsid w:val="768EB4B0"/>
    <w:rsid w:val="76DE8551"/>
    <w:rsid w:val="7919835E"/>
    <w:rsid w:val="7B44A6B6"/>
    <w:rsid w:val="7B56E652"/>
    <w:rsid w:val="7C791FFB"/>
    <w:rsid w:val="7CE40ADC"/>
    <w:rsid w:val="7E2FF41C"/>
    <w:rsid w:val="7F11D53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3B02"/>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Caption PRIMA,Caption SYNEVi,Bayer Caption,IB Caption,Medical Caption,Char,CSR Caption,Caption Char1,Caption Char Char,Char Char Char,Char Char1,Char1,Table caption,Caption 3,c,appendix,Figure caption,Figure caption1 Char Char,Bayer,- H17,Bayer1"/>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aliases w:val="Caption PRIMA Char,Caption SYNEVi Char,Bayer Caption Char,IB Caption Char,Medical Caption Char,Char Char,CSR Caption Char,Caption Char1 Char,Caption Char Char Char,Char Char Char Char,Char Char1 Char,Char1 Char,Table caption Char,c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 1,Bullet1,Summary Bullets,ES Paragraph,PBAC ES Paragraph,PBAC normal points,Bullet List,lp1,L"/>
    <w:link w:val="ListParagraphChar"/>
    <w:uiPriority w:val="34"/>
    <w:qFormat/>
    <w:rsid w:val="003E0C83"/>
    <w:pPr>
      <w:numPr>
        <w:numId w:val="10"/>
      </w:numPr>
      <w:spacing w:after="120"/>
      <w:contextualSpacing/>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1 Char,Bullet1 Char,Summary Bullets Char"/>
    <w:basedOn w:val="DefaultParagraphFont"/>
    <w:link w:val="ListParagraph"/>
    <w:uiPriority w:val="34"/>
    <w:qFormat/>
    <w:locked/>
    <w:rsid w:val="003E0C8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new style,MSD Table Grid,Table Grid No Line,MP Table Grid,Dossier table,Summary Table,Section 3- footnotes,RTI AMCP Table,HealthConsult,Legemiddelverket 3,HTAtableplain"/>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Table HEADER PBAC,Annotationmark"/>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 Char Char,Comment Text Char Char,Commentaire,Comment Text Char1 Char Char,Comment Text Char Char1,Comment Text Char1 Char"/>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aliases w:val="- H19 Char,Comment Text Char Char Char Char,Comment Text Char Char Char1,Commentaire Char,Comment Text Char1 Char Char Char,Comment Text Char Char1 Char,Comment Text Char1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1"/>
      </w:numPr>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D92D9D"/>
    <w:pPr>
      <w:keepNext/>
      <w:keepLines/>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CA6BDE"/>
    <w:pPr>
      <w:keepNext/>
      <w:keepLines/>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4"/>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4C3B02"/>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4C3B02"/>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4C3B02"/>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4C3B02"/>
    <w:rPr>
      <w:rFonts w:ascii="Arial Narrow" w:eastAsiaTheme="majorEastAsia" w:hAnsi="Arial Narrow" w:cstheme="majorBidi"/>
      <w:b/>
      <w:bCs/>
      <w:szCs w:val="24"/>
    </w:rPr>
  </w:style>
  <w:style w:type="paragraph" w:customStyle="1" w:styleId="3-BodyText">
    <w:name w:val="3-Body Text"/>
    <w:link w:val="3-BodyTextChar"/>
    <w:qFormat/>
    <w:rsid w:val="004C3B02"/>
    <w:pPr>
      <w:numPr>
        <w:ilvl w:val="1"/>
        <w:numId w:val="4"/>
      </w:numPr>
      <w:spacing w:before="60" w:after="6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4C3B02"/>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autoRedefine/>
    <w:qFormat/>
    <w:rsid w:val="00230B9C"/>
    <w:pPr>
      <w:keepNext/>
      <w:spacing w:before="120" w:after="120"/>
    </w:pPr>
    <w:rPr>
      <w:rFonts w:asciiTheme="minorHAnsi" w:eastAsiaTheme="majorEastAsia" w:hAnsiTheme="minorHAnsi" w:cstheme="majorBidi"/>
      <w:iCs/>
      <w:color w:val="000000" w:themeColor="text1"/>
      <w:spacing w:val="5"/>
      <w:kern w:val="28"/>
      <w:szCs w:val="36"/>
      <w:lang w:eastAsia="en-US"/>
    </w:rPr>
  </w:style>
  <w:style w:type="character" w:customStyle="1" w:styleId="4-SubsectionHeadingChar">
    <w:name w:val="4-Subsection Heading Char"/>
    <w:basedOn w:val="Heading2Char"/>
    <w:link w:val="4-SubsectionHeading"/>
    <w:rsid w:val="00230B9C"/>
    <w:rPr>
      <w:rFonts w:asciiTheme="minorHAnsi" w:eastAsiaTheme="majorEastAsia" w:hAnsiTheme="minorHAnsi" w:cstheme="majorBidi"/>
      <w:b/>
      <w:i/>
      <w:iCs/>
      <w:snapToGrid/>
      <w:color w:val="000000" w:themeColor="text1"/>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2"/>
      </w:numPr>
      <w:contextualSpacing/>
    </w:pPr>
  </w:style>
  <w:style w:type="character" w:customStyle="1" w:styleId="TableTextChar0">
    <w:name w:val="Table Text Char"/>
    <w:basedOn w:val="DefaultParagraphFont"/>
    <w:link w:val="TableText0"/>
    <w:rsid w:val="00D92D9D"/>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0">
    <w:name w:val="bullet"/>
    <w:basedOn w:val="ListParagraph"/>
    <w:link w:val="bulletChar"/>
    <w:rsid w:val="00D30D5B"/>
    <w:pPr>
      <w:numPr>
        <w:numId w:val="3"/>
      </w:numPr>
    </w:pPr>
    <w:rPr>
      <w:rFonts w:ascii="Calibri" w:hAnsi="Calibri" w:cstheme="minorBidi"/>
      <w:i/>
      <w:snapToGrid/>
      <w:sz w:val="22"/>
      <w:szCs w:val="22"/>
      <w:lang w:eastAsia="en-US"/>
    </w:rPr>
  </w:style>
  <w:style w:type="character" w:customStyle="1" w:styleId="bulletChar">
    <w:name w:val="bullet Char"/>
    <w:basedOn w:val="DefaultParagraphFont"/>
    <w:link w:val="bullet0"/>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autoRedefine/>
    <w:qFormat/>
    <w:rsid w:val="00A71702"/>
    <w:pPr>
      <w:keepLines/>
      <w:spacing w:after="120"/>
      <w:contextualSpacing/>
      <w:jc w:val="left"/>
    </w:pPr>
    <w:rPr>
      <w:rFonts w:ascii="Arial Narrow" w:hAnsi="Arial Narrow"/>
      <w:snapToGrid w:val="0"/>
      <w:sz w:val="18"/>
      <w:szCs w:val="21"/>
    </w:rPr>
  </w:style>
  <w:style w:type="character" w:customStyle="1" w:styleId="TableFigureFooterChar">
    <w:name w:val="Table/Figure Footer Char"/>
    <w:link w:val="TableFigureFooter"/>
    <w:rsid w:val="00C572F6"/>
    <w:rPr>
      <w:rFonts w:ascii="Arial Narrow" w:hAnsi="Arial Narrow" w:cs="Arial"/>
      <w:snapToGrid w:val="0"/>
      <w:sz w:val="18"/>
      <w:szCs w:val="21"/>
    </w:rPr>
  </w:style>
  <w:style w:type="paragraph" w:styleId="FootnoteText">
    <w:name w:val="footnote text"/>
    <w:basedOn w:val="Normal"/>
    <w:link w:val="FootnoteTextChar"/>
    <w:semiHidden/>
    <w:unhideWhenUsed/>
    <w:rsid w:val="00BF0CEA"/>
    <w:rPr>
      <w:sz w:val="20"/>
      <w:szCs w:val="20"/>
    </w:rPr>
  </w:style>
  <w:style w:type="character" w:customStyle="1" w:styleId="FootnoteTextChar">
    <w:name w:val="Footnote Text Char"/>
    <w:basedOn w:val="DefaultParagraphFont"/>
    <w:link w:val="FootnoteText"/>
    <w:semiHidden/>
    <w:rsid w:val="00BF0CEA"/>
    <w:rPr>
      <w:rFonts w:ascii="Calibri" w:hAnsi="Calibri" w:cs="Arial"/>
    </w:rPr>
  </w:style>
  <w:style w:type="character" w:styleId="FootnoteReference">
    <w:name w:val="footnote reference"/>
    <w:basedOn w:val="DefaultParagraphFont"/>
    <w:unhideWhenUsed/>
    <w:rsid w:val="00BF0CEA"/>
    <w:rPr>
      <w:vertAlign w:val="superscript"/>
    </w:rPr>
  </w:style>
  <w:style w:type="character" w:styleId="UnresolvedMention">
    <w:name w:val="Unresolved Mention"/>
    <w:basedOn w:val="DefaultParagraphFont"/>
    <w:uiPriority w:val="99"/>
    <w:semiHidden/>
    <w:unhideWhenUsed/>
    <w:rsid w:val="00BF0CEA"/>
    <w:rPr>
      <w:color w:val="605E5C"/>
      <w:shd w:val="clear" w:color="auto" w:fill="E1DFDD"/>
    </w:rPr>
  </w:style>
  <w:style w:type="character" w:styleId="Mention">
    <w:name w:val="Mention"/>
    <w:basedOn w:val="DefaultParagraphFont"/>
    <w:uiPriority w:val="99"/>
    <w:unhideWhenUsed/>
    <w:rsid w:val="00E94DE0"/>
    <w:rPr>
      <w:color w:val="2B579A"/>
      <w:shd w:val="clear" w:color="auto" w:fill="E1DFDD"/>
    </w:rPr>
  </w:style>
  <w:style w:type="paragraph" w:customStyle="1" w:styleId="SyneviNormal">
    <w:name w:val="Synevi Normal"/>
    <w:basedOn w:val="Normal"/>
    <w:link w:val="SyneviNormalChar"/>
    <w:qFormat/>
    <w:rsid w:val="00A7612A"/>
    <w:pPr>
      <w:spacing w:after="160" w:line="360" w:lineRule="auto"/>
    </w:pPr>
    <w:rPr>
      <w:rFonts w:asciiTheme="minorHAnsi" w:hAnsiTheme="minorHAnsi" w:cs="Times New Roman"/>
      <w:sz w:val="22"/>
      <w:szCs w:val="20"/>
      <w:lang w:val="en-US" w:eastAsia="en-US"/>
    </w:rPr>
  </w:style>
  <w:style w:type="character" w:customStyle="1" w:styleId="SyneviNormalChar">
    <w:name w:val="Synevi Normal Char"/>
    <w:basedOn w:val="DefaultParagraphFont"/>
    <w:link w:val="SyneviNormal"/>
    <w:rsid w:val="00A7612A"/>
    <w:rPr>
      <w:rFonts w:asciiTheme="minorHAnsi" w:hAnsiTheme="minorHAnsi"/>
      <w:sz w:val="22"/>
      <w:lang w:val="en-US" w:eastAsia="en-US"/>
    </w:rPr>
  </w:style>
  <w:style w:type="paragraph" w:customStyle="1" w:styleId="Bullet">
    <w:name w:val="Bullet"/>
    <w:basedOn w:val="ListParagraph"/>
    <w:link w:val="BulletChar0"/>
    <w:qFormat/>
    <w:rsid w:val="00A7612A"/>
    <w:pPr>
      <w:numPr>
        <w:numId w:val="5"/>
      </w:numPr>
      <w:spacing w:line="360" w:lineRule="auto"/>
      <w:ind w:right="227"/>
    </w:pPr>
    <w:rPr>
      <w:rFonts w:ascii="Calibri" w:eastAsiaTheme="minorHAnsi" w:hAnsi="Calibri" w:cstheme="minorBidi"/>
      <w:snapToGrid/>
      <w:sz w:val="22"/>
      <w:szCs w:val="22"/>
      <w:lang w:eastAsia="en-US"/>
    </w:rPr>
  </w:style>
  <w:style w:type="character" w:customStyle="1" w:styleId="BulletChar0">
    <w:name w:val="Bullet Char"/>
    <w:link w:val="Bullet"/>
    <w:rsid w:val="00A7612A"/>
    <w:rPr>
      <w:rFonts w:ascii="Calibri" w:eastAsiaTheme="minorHAnsi" w:hAnsi="Calibri" w:cstheme="minorBidi"/>
      <w:sz w:val="22"/>
      <w:szCs w:val="22"/>
      <w:lang w:eastAsia="en-US"/>
    </w:rPr>
  </w:style>
  <w:style w:type="table" w:customStyle="1" w:styleId="Summarybox5">
    <w:name w:val="Summary box5"/>
    <w:basedOn w:val="TableNormal"/>
    <w:next w:val="TableGrid"/>
    <w:uiPriority w:val="39"/>
    <w:rsid w:val="00BC05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inBodyTextChar">
    <w:name w:val="Main Body Text Char"/>
    <w:link w:val="MainBodyText"/>
    <w:locked/>
    <w:rsid w:val="00811B9C"/>
    <w:rPr>
      <w:rFonts w:ascii="Calibri" w:hAnsi="Calibri"/>
    </w:rPr>
  </w:style>
  <w:style w:type="paragraph" w:customStyle="1" w:styleId="MainBodyText">
    <w:name w:val="Main Body Text"/>
    <w:basedOn w:val="Normal"/>
    <w:link w:val="MainBodyTextChar"/>
    <w:qFormat/>
    <w:rsid w:val="00811B9C"/>
    <w:pPr>
      <w:spacing w:after="120" w:line="360" w:lineRule="auto"/>
    </w:pPr>
    <w:rPr>
      <w:rFonts w:cs="Times New Roman"/>
      <w:sz w:val="20"/>
      <w:szCs w:val="20"/>
    </w:rPr>
  </w:style>
  <w:style w:type="paragraph" w:customStyle="1" w:styleId="Source">
    <w:name w:val="Source"/>
    <w:basedOn w:val="Normal"/>
    <w:uiPriority w:val="35"/>
    <w:qFormat/>
    <w:rsid w:val="00724BB7"/>
    <w:pPr>
      <w:keepNext/>
    </w:pPr>
    <w:rPr>
      <w:rFonts w:eastAsiaTheme="minorHAnsi" w:cstheme="minorBidi"/>
      <w:sz w:val="20"/>
      <w:szCs w:val="22"/>
      <w:lang w:eastAsia="en-US"/>
    </w:rPr>
  </w:style>
  <w:style w:type="paragraph" w:customStyle="1" w:styleId="Tablebullet">
    <w:name w:val="Table bullet"/>
    <w:basedOn w:val="Tabletext"/>
    <w:qFormat/>
    <w:rsid w:val="002072E9"/>
    <w:pPr>
      <w:keepNext/>
      <w:numPr>
        <w:numId w:val="7"/>
      </w:numPr>
      <w:tabs>
        <w:tab w:val="left" w:pos="416"/>
        <w:tab w:val="left" w:pos="582"/>
      </w:tabs>
      <w:spacing w:after="120"/>
      <w:ind w:left="357" w:hanging="357"/>
      <w:contextualSpacing/>
      <w:jc w:val="both"/>
    </w:pPr>
    <w:rPr>
      <w:snapToGrid/>
      <w:szCs w:val="20"/>
      <w:lang w:eastAsia="en-US"/>
    </w:rPr>
  </w:style>
  <w:style w:type="table" w:customStyle="1" w:styleId="Summarybox1">
    <w:name w:val="Summary box1"/>
    <w:basedOn w:val="TableNormal"/>
    <w:next w:val="TableGrid"/>
    <w:uiPriority w:val="99"/>
    <w:rsid w:val="00207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link w:val="TableheadingChar"/>
    <w:qFormat/>
    <w:rsid w:val="002072E9"/>
    <w:pPr>
      <w:keepNext/>
      <w:keepLines/>
      <w:jc w:val="left"/>
    </w:pPr>
    <w:rPr>
      <w:rFonts w:asciiTheme="minorHAnsi" w:eastAsiaTheme="minorHAnsi" w:hAnsiTheme="minorHAnsi" w:cstheme="minorBidi"/>
      <w:b/>
      <w:sz w:val="20"/>
      <w:lang w:eastAsia="en-US"/>
    </w:rPr>
  </w:style>
  <w:style w:type="character" w:customStyle="1" w:styleId="TableheadingChar">
    <w:name w:val="Table heading Char"/>
    <w:basedOn w:val="TableTextChar0"/>
    <w:link w:val="Tableheading0"/>
    <w:rsid w:val="002072E9"/>
    <w:rPr>
      <w:rFonts w:asciiTheme="minorHAnsi" w:eastAsiaTheme="minorHAnsi" w:hAnsiTheme="minorHAnsi" w:cstheme="minorBidi"/>
      <w:b/>
      <w:bCs w:val="0"/>
      <w:szCs w:val="24"/>
      <w:lang w:eastAsia="en-US"/>
    </w:rPr>
  </w:style>
  <w:style w:type="paragraph" w:customStyle="1" w:styleId="Tableheadingrow">
    <w:name w:val="Table heading row"/>
    <w:qFormat/>
    <w:rsid w:val="002072E9"/>
    <w:pPr>
      <w:keepNext/>
    </w:pPr>
    <w:rPr>
      <w:rFonts w:ascii="Arial Narrow" w:eastAsiaTheme="majorEastAsia" w:hAnsi="Arial Narrow"/>
      <w:b/>
      <w:szCs w:val="24"/>
      <w:lang w:val="en-US"/>
    </w:rPr>
  </w:style>
  <w:style w:type="paragraph" w:customStyle="1" w:styleId="Tablecentre">
    <w:name w:val="Table centre"/>
    <w:basedOn w:val="Tabletext"/>
    <w:qFormat/>
    <w:rsid w:val="002072E9"/>
    <w:pPr>
      <w:keepNext/>
      <w:contextualSpacing/>
      <w:jc w:val="center"/>
    </w:pPr>
    <w:rPr>
      <w:rFonts w:asciiTheme="minorHAnsi" w:eastAsiaTheme="minorHAnsi" w:hAnsiTheme="minorHAnsi" w:cstheme="minorBidi"/>
      <w:snapToGrid/>
      <w:szCs w:val="20"/>
      <w:lang w:eastAsia="en-US"/>
    </w:rPr>
  </w:style>
  <w:style w:type="table" w:customStyle="1" w:styleId="TableGrid4821">
    <w:name w:val="Table Grid4821"/>
    <w:basedOn w:val="TableNormal"/>
    <w:next w:val="TableGrid"/>
    <w:rsid w:val="002072E9"/>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urces">
    <w:name w:val="Sources"/>
    <w:basedOn w:val="Normal"/>
    <w:link w:val="SourcesChar"/>
    <w:qFormat/>
    <w:rsid w:val="002072E9"/>
    <w:pPr>
      <w:keepNext/>
      <w:spacing w:after="40"/>
    </w:pPr>
    <w:rPr>
      <w:rFonts w:eastAsiaTheme="minorHAnsi" w:cstheme="minorBidi"/>
      <w:sz w:val="18"/>
      <w:szCs w:val="22"/>
      <w:lang w:eastAsia="en-US"/>
    </w:rPr>
  </w:style>
  <w:style w:type="character" w:customStyle="1" w:styleId="SourcesChar">
    <w:name w:val="Sources Char"/>
    <w:basedOn w:val="DefaultParagraphFont"/>
    <w:link w:val="Sources"/>
    <w:rsid w:val="002072E9"/>
    <w:rPr>
      <w:rFonts w:ascii="Calibri" w:eastAsiaTheme="minorHAnsi" w:hAnsi="Calibri" w:cstheme="minorBidi"/>
      <w:sz w:val="18"/>
      <w:szCs w:val="22"/>
      <w:lang w:eastAsia="en-US"/>
    </w:rPr>
  </w:style>
  <w:style w:type="paragraph" w:customStyle="1" w:styleId="Ntabletext">
    <w:name w:val="N table text"/>
    <w:basedOn w:val="Tabletext"/>
    <w:qFormat/>
    <w:rsid w:val="002072E9"/>
    <w:pPr>
      <w:keepNext/>
      <w:numPr>
        <w:numId w:val="8"/>
      </w:numPr>
      <w:contextualSpacing/>
      <w:jc w:val="both"/>
    </w:pPr>
    <w:rPr>
      <w:rFonts w:asciiTheme="minorHAnsi" w:eastAsiaTheme="minorHAnsi" w:hAnsiTheme="minorHAnsi" w:cstheme="minorBidi"/>
      <w:snapToGrid/>
      <w:szCs w:val="20"/>
      <w:lang w:eastAsia="en-US"/>
    </w:rPr>
  </w:style>
  <w:style w:type="table" w:customStyle="1" w:styleId="MSDTableGrid1">
    <w:name w:val="MSD Table Grid1"/>
    <w:basedOn w:val="TableNormal"/>
    <w:next w:val="TableGrid"/>
    <w:uiPriority w:val="39"/>
    <w:rsid w:val="002072E9"/>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orfigureAbbreviationsandSource">
    <w:name w:val="Table or figure Abbreviations and Source"/>
    <w:next w:val="Normal"/>
    <w:qFormat/>
    <w:rsid w:val="002072E9"/>
    <w:pPr>
      <w:spacing w:after="240"/>
      <w:contextualSpacing/>
    </w:pPr>
    <w:rPr>
      <w:rFonts w:ascii="Calibri" w:eastAsia="Calibri" w:hAnsi="Calibri"/>
      <w:sz w:val="16"/>
      <w:szCs w:val="22"/>
      <w:lang w:eastAsia="zh-CN"/>
    </w:rPr>
  </w:style>
  <w:style w:type="table" w:customStyle="1" w:styleId="AZTable2">
    <w:name w:val="AZ Table2"/>
    <w:basedOn w:val="TableNormal"/>
    <w:uiPriority w:val="99"/>
    <w:rsid w:val="002072E9"/>
    <w:rPr>
      <w:rFonts w:asciiTheme="minorHAnsi" w:eastAsiaTheme="minorHAnsi" w:hAnsiTheme="minorHAnsi" w:cstheme="minorBidi"/>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COMBody">
    <w:name w:val="COM Body"/>
    <w:basedOn w:val="Normal"/>
    <w:link w:val="COMBodyChar"/>
    <w:qFormat/>
    <w:rsid w:val="002072E9"/>
  </w:style>
  <w:style w:type="character" w:customStyle="1" w:styleId="COMBodyChar">
    <w:name w:val="COM Body Char"/>
    <w:basedOn w:val="DefaultParagraphFont"/>
    <w:link w:val="COMBody"/>
    <w:rsid w:val="002072E9"/>
    <w:rPr>
      <w:rFonts w:ascii="Calibri" w:hAnsi="Calibri" w:cs="Arial"/>
      <w:sz w:val="24"/>
      <w:szCs w:val="24"/>
    </w:rPr>
  </w:style>
  <w:style w:type="paragraph" w:customStyle="1" w:styleId="TableheadingperPBAC">
    <w:name w:val="Table heading per PBAC"/>
    <w:basedOn w:val="Normal"/>
    <w:qFormat/>
    <w:rsid w:val="002072E9"/>
    <w:rPr>
      <w:rFonts w:ascii="Arial Narrow" w:hAnsi="Arial Narrow" w:cs="Times New Roman"/>
      <w:b/>
      <w:bCs/>
      <w:sz w:val="20"/>
      <w:szCs w:val="20"/>
      <w:lang w:eastAsia="en-GB"/>
    </w:rPr>
  </w:style>
  <w:style w:type="table" w:customStyle="1" w:styleId="Summarybox10">
    <w:name w:val="Summary box10"/>
    <w:basedOn w:val="TableNormal"/>
    <w:next w:val="TableGrid"/>
    <w:uiPriority w:val="59"/>
    <w:rsid w:val="00207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mmary">
    <w:name w:val="Summary"/>
    <w:basedOn w:val="Tabletext"/>
    <w:qFormat/>
    <w:rsid w:val="002072E9"/>
    <w:pPr>
      <w:keepNext/>
      <w:spacing w:before="120" w:after="120"/>
      <w:jc w:val="both"/>
    </w:pPr>
    <w:rPr>
      <w:rFonts w:asciiTheme="minorHAnsi" w:eastAsiaTheme="minorHAnsi" w:hAnsiTheme="minorHAnsi" w:cstheme="minorBidi"/>
      <w:snapToGrid/>
      <w:szCs w:val="20"/>
      <w:lang w:eastAsia="en-US"/>
    </w:rPr>
  </w:style>
  <w:style w:type="table" w:customStyle="1" w:styleId="TableGridLight1">
    <w:name w:val="Table Grid Light1"/>
    <w:basedOn w:val="TableNormal"/>
    <w:uiPriority w:val="40"/>
    <w:rsid w:val="00A66716"/>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Bullets">
    <w:name w:val="Bullets"/>
    <w:basedOn w:val="Normal"/>
    <w:link w:val="BulletsChar"/>
    <w:rsid w:val="00A66716"/>
    <w:pPr>
      <w:numPr>
        <w:numId w:val="9"/>
      </w:numPr>
      <w:spacing w:before="80" w:after="80" w:line="264" w:lineRule="auto"/>
    </w:pPr>
    <w:rPr>
      <w:rFonts w:asciiTheme="minorHAnsi" w:eastAsiaTheme="minorHAnsi" w:hAnsiTheme="minorHAnsi" w:cstheme="minorBidi"/>
      <w:bCs/>
      <w:sz w:val="22"/>
    </w:rPr>
  </w:style>
  <w:style w:type="paragraph" w:customStyle="1" w:styleId="Bullets-2ndlvl">
    <w:name w:val="Bullets - 2nd lvl"/>
    <w:basedOn w:val="Bullets"/>
    <w:qFormat/>
    <w:rsid w:val="00A66716"/>
    <w:pPr>
      <w:numPr>
        <w:ilvl w:val="1"/>
      </w:numPr>
      <w:tabs>
        <w:tab w:val="num" w:pos="360"/>
        <w:tab w:val="left" w:pos="851"/>
      </w:tabs>
    </w:pPr>
  </w:style>
  <w:style w:type="character" w:customStyle="1" w:styleId="BulletsChar">
    <w:name w:val="Bullets Char"/>
    <w:basedOn w:val="DefaultParagraphFont"/>
    <w:link w:val="Bullets"/>
    <w:rsid w:val="00A66716"/>
    <w:rPr>
      <w:rFonts w:asciiTheme="minorHAnsi" w:eastAsiaTheme="minorHAnsi" w:hAnsiTheme="minorHAnsi" w:cstheme="minorBidi"/>
      <w:bCs/>
      <w:sz w:val="22"/>
      <w:szCs w:val="24"/>
    </w:rPr>
  </w:style>
  <w:style w:type="paragraph" w:customStyle="1" w:styleId="ACEmainbodynormaltext">
    <w:name w:val="ACE main body normal text"/>
    <w:basedOn w:val="Normal"/>
    <w:link w:val="ACEmainbodynormaltextChar"/>
    <w:qFormat/>
    <w:rsid w:val="001A50D7"/>
    <w:pPr>
      <w:autoSpaceDE w:val="0"/>
      <w:autoSpaceDN w:val="0"/>
      <w:adjustRightInd w:val="0"/>
      <w:spacing w:line="259" w:lineRule="auto"/>
    </w:pPr>
    <w:rPr>
      <w:rFonts w:asciiTheme="minorHAnsi" w:eastAsiaTheme="minorHAnsi" w:hAnsiTheme="minorHAnsi" w:cstheme="minorHAnsi"/>
      <w:bCs/>
      <w:lang w:eastAsia="en-US"/>
    </w:rPr>
  </w:style>
  <w:style w:type="character" w:customStyle="1" w:styleId="ACEmainbodynormaltextChar">
    <w:name w:val="ACE main body normal text Char"/>
    <w:basedOn w:val="DefaultParagraphFont"/>
    <w:link w:val="ACEmainbodynormaltext"/>
    <w:rsid w:val="001A50D7"/>
    <w:rPr>
      <w:rFonts w:asciiTheme="minorHAnsi" w:eastAsiaTheme="minorHAnsi" w:hAnsiTheme="minorHAnsi" w:cstheme="minorHAnsi"/>
      <w:bCs/>
      <w:sz w:val="24"/>
      <w:szCs w:val="24"/>
      <w:lang w:eastAsia="en-US"/>
    </w:rPr>
  </w:style>
  <w:style w:type="paragraph" w:customStyle="1" w:styleId="ACETabletext">
    <w:name w:val="ACE Table text"/>
    <w:basedOn w:val="Normal"/>
    <w:link w:val="ACETabletextChar"/>
    <w:qFormat/>
    <w:rsid w:val="00F95BA8"/>
    <w:pPr>
      <w:jc w:val="left"/>
    </w:pPr>
    <w:rPr>
      <w:rFonts w:ascii="Arial Narrow" w:eastAsiaTheme="minorHAnsi" w:hAnsi="Arial Narrow" w:cstheme="minorHAnsi"/>
      <w:sz w:val="20"/>
      <w:szCs w:val="18"/>
      <w:lang w:val="en-SG" w:eastAsia="en-US"/>
    </w:rPr>
  </w:style>
  <w:style w:type="character" w:customStyle="1" w:styleId="ACETabletextChar">
    <w:name w:val="ACE Table text Char"/>
    <w:basedOn w:val="DefaultParagraphFont"/>
    <w:link w:val="ACETabletext"/>
    <w:rsid w:val="00F95BA8"/>
    <w:rPr>
      <w:rFonts w:ascii="Arial Narrow" w:eastAsiaTheme="minorHAnsi" w:hAnsi="Arial Narrow" w:cstheme="minorHAnsi"/>
      <w:szCs w:val="18"/>
      <w:lang w:val="en-SG" w:eastAsia="en-US"/>
    </w:rPr>
  </w:style>
  <w:style w:type="paragraph" w:customStyle="1" w:styleId="ACETableheader">
    <w:name w:val="ACE Table header"/>
    <w:basedOn w:val="Normal"/>
    <w:link w:val="ACETableheaderChar"/>
    <w:qFormat/>
    <w:rsid w:val="00F95BA8"/>
    <w:pPr>
      <w:keepNext/>
      <w:jc w:val="left"/>
    </w:pPr>
    <w:rPr>
      <w:rFonts w:ascii="Arial Narrow" w:eastAsiaTheme="majorEastAsia" w:hAnsi="Arial Narrow" w:cstheme="minorHAnsi"/>
      <w:b/>
      <w:sz w:val="20"/>
      <w:lang w:val="en-US" w:eastAsia="en-US"/>
    </w:rPr>
  </w:style>
  <w:style w:type="character" w:customStyle="1" w:styleId="ACETableheaderChar">
    <w:name w:val="ACE Table header Char"/>
    <w:basedOn w:val="ACETabletextChar"/>
    <w:link w:val="ACETableheader"/>
    <w:rsid w:val="00F95BA8"/>
    <w:rPr>
      <w:rFonts w:ascii="Arial Narrow" w:eastAsiaTheme="majorEastAsia" w:hAnsi="Arial Narrow" w:cstheme="minorHAnsi"/>
      <w:b/>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29639487">
      <w:bodyDiv w:val="1"/>
      <w:marLeft w:val="0"/>
      <w:marRight w:val="0"/>
      <w:marTop w:val="0"/>
      <w:marBottom w:val="0"/>
      <w:divBdr>
        <w:top w:val="none" w:sz="0" w:space="0" w:color="auto"/>
        <w:left w:val="none" w:sz="0" w:space="0" w:color="auto"/>
        <w:bottom w:val="none" w:sz="0" w:space="0" w:color="auto"/>
        <w:right w:val="none" w:sz="0" w:space="0" w:color="auto"/>
      </w:divBdr>
      <w:divsChild>
        <w:div w:id="1945964408">
          <w:marLeft w:val="0"/>
          <w:marRight w:val="0"/>
          <w:marTop w:val="0"/>
          <w:marBottom w:val="0"/>
          <w:divBdr>
            <w:top w:val="none" w:sz="0" w:space="0" w:color="auto"/>
            <w:left w:val="none" w:sz="0" w:space="0" w:color="auto"/>
            <w:bottom w:val="none" w:sz="0" w:space="0" w:color="auto"/>
            <w:right w:val="none" w:sz="0" w:space="0" w:color="auto"/>
          </w:divBdr>
        </w:div>
      </w:divsChild>
    </w:div>
    <w:div w:id="177816630">
      <w:bodyDiv w:val="1"/>
      <w:marLeft w:val="0"/>
      <w:marRight w:val="0"/>
      <w:marTop w:val="0"/>
      <w:marBottom w:val="0"/>
      <w:divBdr>
        <w:top w:val="none" w:sz="0" w:space="0" w:color="auto"/>
        <w:left w:val="none" w:sz="0" w:space="0" w:color="auto"/>
        <w:bottom w:val="none" w:sz="0" w:space="0" w:color="auto"/>
        <w:right w:val="none" w:sz="0" w:space="0" w:color="auto"/>
      </w:divBdr>
    </w:div>
    <w:div w:id="296648101">
      <w:bodyDiv w:val="1"/>
      <w:marLeft w:val="0"/>
      <w:marRight w:val="0"/>
      <w:marTop w:val="0"/>
      <w:marBottom w:val="0"/>
      <w:divBdr>
        <w:top w:val="none" w:sz="0" w:space="0" w:color="auto"/>
        <w:left w:val="none" w:sz="0" w:space="0" w:color="auto"/>
        <w:bottom w:val="none" w:sz="0" w:space="0" w:color="auto"/>
        <w:right w:val="none" w:sz="0" w:space="0" w:color="auto"/>
      </w:divBdr>
      <w:divsChild>
        <w:div w:id="1515264532">
          <w:marLeft w:val="360"/>
          <w:marRight w:val="0"/>
          <w:marTop w:val="0"/>
          <w:marBottom w:val="0"/>
          <w:divBdr>
            <w:top w:val="none" w:sz="0" w:space="0" w:color="auto"/>
            <w:left w:val="none" w:sz="0" w:space="0" w:color="auto"/>
            <w:bottom w:val="none" w:sz="0" w:space="0" w:color="auto"/>
            <w:right w:val="none" w:sz="0" w:space="0" w:color="auto"/>
          </w:divBdr>
        </w:div>
      </w:divsChild>
    </w:div>
    <w:div w:id="29957455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6056321">
      <w:bodyDiv w:val="1"/>
      <w:marLeft w:val="0"/>
      <w:marRight w:val="0"/>
      <w:marTop w:val="0"/>
      <w:marBottom w:val="0"/>
      <w:divBdr>
        <w:top w:val="none" w:sz="0" w:space="0" w:color="auto"/>
        <w:left w:val="none" w:sz="0" w:space="0" w:color="auto"/>
        <w:bottom w:val="none" w:sz="0" w:space="0" w:color="auto"/>
        <w:right w:val="none" w:sz="0" w:space="0" w:color="auto"/>
      </w:divBdr>
    </w:div>
    <w:div w:id="357974107">
      <w:bodyDiv w:val="1"/>
      <w:marLeft w:val="0"/>
      <w:marRight w:val="0"/>
      <w:marTop w:val="0"/>
      <w:marBottom w:val="0"/>
      <w:divBdr>
        <w:top w:val="none" w:sz="0" w:space="0" w:color="auto"/>
        <w:left w:val="none" w:sz="0" w:space="0" w:color="auto"/>
        <w:bottom w:val="none" w:sz="0" w:space="0" w:color="auto"/>
        <w:right w:val="none" w:sz="0" w:space="0" w:color="auto"/>
      </w:divBdr>
    </w:div>
    <w:div w:id="376974739">
      <w:bodyDiv w:val="1"/>
      <w:marLeft w:val="0"/>
      <w:marRight w:val="0"/>
      <w:marTop w:val="0"/>
      <w:marBottom w:val="0"/>
      <w:divBdr>
        <w:top w:val="none" w:sz="0" w:space="0" w:color="auto"/>
        <w:left w:val="none" w:sz="0" w:space="0" w:color="auto"/>
        <w:bottom w:val="none" w:sz="0" w:space="0" w:color="auto"/>
        <w:right w:val="none" w:sz="0" w:space="0" w:color="auto"/>
      </w:divBdr>
    </w:div>
    <w:div w:id="464391815">
      <w:bodyDiv w:val="1"/>
      <w:marLeft w:val="0"/>
      <w:marRight w:val="0"/>
      <w:marTop w:val="0"/>
      <w:marBottom w:val="0"/>
      <w:divBdr>
        <w:top w:val="none" w:sz="0" w:space="0" w:color="auto"/>
        <w:left w:val="none" w:sz="0" w:space="0" w:color="auto"/>
        <w:bottom w:val="none" w:sz="0" w:space="0" w:color="auto"/>
        <w:right w:val="none" w:sz="0" w:space="0" w:color="auto"/>
      </w:divBdr>
    </w:div>
    <w:div w:id="584151396">
      <w:bodyDiv w:val="1"/>
      <w:marLeft w:val="0"/>
      <w:marRight w:val="0"/>
      <w:marTop w:val="0"/>
      <w:marBottom w:val="0"/>
      <w:divBdr>
        <w:top w:val="none" w:sz="0" w:space="0" w:color="auto"/>
        <w:left w:val="none" w:sz="0" w:space="0" w:color="auto"/>
        <w:bottom w:val="none" w:sz="0" w:space="0" w:color="auto"/>
        <w:right w:val="none" w:sz="0" w:space="0" w:color="auto"/>
      </w:divBdr>
    </w:div>
    <w:div w:id="763383457">
      <w:bodyDiv w:val="1"/>
      <w:marLeft w:val="0"/>
      <w:marRight w:val="0"/>
      <w:marTop w:val="0"/>
      <w:marBottom w:val="0"/>
      <w:divBdr>
        <w:top w:val="none" w:sz="0" w:space="0" w:color="auto"/>
        <w:left w:val="none" w:sz="0" w:space="0" w:color="auto"/>
        <w:bottom w:val="none" w:sz="0" w:space="0" w:color="auto"/>
        <w:right w:val="none" w:sz="0" w:space="0" w:color="auto"/>
      </w:divBdr>
      <w:divsChild>
        <w:div w:id="1405105574">
          <w:marLeft w:val="0"/>
          <w:marRight w:val="0"/>
          <w:marTop w:val="0"/>
          <w:marBottom w:val="0"/>
          <w:divBdr>
            <w:top w:val="none" w:sz="0" w:space="0" w:color="auto"/>
            <w:left w:val="none" w:sz="0" w:space="0" w:color="auto"/>
            <w:bottom w:val="none" w:sz="0" w:space="0" w:color="auto"/>
            <w:right w:val="none" w:sz="0" w:space="0" w:color="auto"/>
          </w:divBdr>
        </w:div>
      </w:divsChild>
    </w:div>
    <w:div w:id="813567031">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49966897">
      <w:bodyDiv w:val="1"/>
      <w:marLeft w:val="0"/>
      <w:marRight w:val="0"/>
      <w:marTop w:val="0"/>
      <w:marBottom w:val="0"/>
      <w:divBdr>
        <w:top w:val="none" w:sz="0" w:space="0" w:color="auto"/>
        <w:left w:val="none" w:sz="0" w:space="0" w:color="auto"/>
        <w:bottom w:val="none" w:sz="0" w:space="0" w:color="auto"/>
        <w:right w:val="none" w:sz="0" w:space="0" w:color="auto"/>
      </w:divBdr>
    </w:div>
    <w:div w:id="981470557">
      <w:bodyDiv w:val="1"/>
      <w:marLeft w:val="0"/>
      <w:marRight w:val="0"/>
      <w:marTop w:val="0"/>
      <w:marBottom w:val="0"/>
      <w:divBdr>
        <w:top w:val="none" w:sz="0" w:space="0" w:color="auto"/>
        <w:left w:val="none" w:sz="0" w:space="0" w:color="auto"/>
        <w:bottom w:val="none" w:sz="0" w:space="0" w:color="auto"/>
        <w:right w:val="none" w:sz="0" w:space="0" w:color="auto"/>
      </w:divBdr>
    </w:div>
    <w:div w:id="993291620">
      <w:bodyDiv w:val="1"/>
      <w:marLeft w:val="0"/>
      <w:marRight w:val="0"/>
      <w:marTop w:val="0"/>
      <w:marBottom w:val="0"/>
      <w:divBdr>
        <w:top w:val="none" w:sz="0" w:space="0" w:color="auto"/>
        <w:left w:val="none" w:sz="0" w:space="0" w:color="auto"/>
        <w:bottom w:val="none" w:sz="0" w:space="0" w:color="auto"/>
        <w:right w:val="none" w:sz="0" w:space="0" w:color="auto"/>
      </w:divBdr>
    </w:div>
    <w:div w:id="1117674195">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9770058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332684843">
      <w:bodyDiv w:val="1"/>
      <w:marLeft w:val="0"/>
      <w:marRight w:val="0"/>
      <w:marTop w:val="0"/>
      <w:marBottom w:val="0"/>
      <w:divBdr>
        <w:top w:val="none" w:sz="0" w:space="0" w:color="auto"/>
        <w:left w:val="none" w:sz="0" w:space="0" w:color="auto"/>
        <w:bottom w:val="none" w:sz="0" w:space="0" w:color="auto"/>
        <w:right w:val="none" w:sz="0" w:space="0" w:color="auto"/>
      </w:divBdr>
    </w:div>
    <w:div w:id="1385064229">
      <w:bodyDiv w:val="1"/>
      <w:marLeft w:val="0"/>
      <w:marRight w:val="0"/>
      <w:marTop w:val="0"/>
      <w:marBottom w:val="0"/>
      <w:divBdr>
        <w:top w:val="none" w:sz="0" w:space="0" w:color="auto"/>
        <w:left w:val="none" w:sz="0" w:space="0" w:color="auto"/>
        <w:bottom w:val="none" w:sz="0" w:space="0" w:color="auto"/>
        <w:right w:val="none" w:sz="0" w:space="0" w:color="auto"/>
      </w:divBdr>
    </w:div>
    <w:div w:id="1409965113">
      <w:bodyDiv w:val="1"/>
      <w:marLeft w:val="0"/>
      <w:marRight w:val="0"/>
      <w:marTop w:val="0"/>
      <w:marBottom w:val="0"/>
      <w:divBdr>
        <w:top w:val="none" w:sz="0" w:space="0" w:color="auto"/>
        <w:left w:val="none" w:sz="0" w:space="0" w:color="auto"/>
        <w:bottom w:val="none" w:sz="0" w:space="0" w:color="auto"/>
        <w:right w:val="none" w:sz="0" w:space="0" w:color="auto"/>
      </w:divBdr>
    </w:div>
    <w:div w:id="1496603672">
      <w:bodyDiv w:val="1"/>
      <w:marLeft w:val="0"/>
      <w:marRight w:val="0"/>
      <w:marTop w:val="0"/>
      <w:marBottom w:val="0"/>
      <w:divBdr>
        <w:top w:val="none" w:sz="0" w:space="0" w:color="auto"/>
        <w:left w:val="none" w:sz="0" w:space="0" w:color="auto"/>
        <w:bottom w:val="none" w:sz="0" w:space="0" w:color="auto"/>
        <w:right w:val="none" w:sz="0" w:space="0" w:color="auto"/>
      </w:divBdr>
    </w:div>
    <w:div w:id="1589344176">
      <w:bodyDiv w:val="1"/>
      <w:marLeft w:val="0"/>
      <w:marRight w:val="0"/>
      <w:marTop w:val="0"/>
      <w:marBottom w:val="0"/>
      <w:divBdr>
        <w:top w:val="none" w:sz="0" w:space="0" w:color="auto"/>
        <w:left w:val="none" w:sz="0" w:space="0" w:color="auto"/>
        <w:bottom w:val="none" w:sz="0" w:space="0" w:color="auto"/>
        <w:right w:val="none" w:sz="0" w:space="0" w:color="auto"/>
      </w:divBdr>
    </w:div>
    <w:div w:id="1619683788">
      <w:bodyDiv w:val="1"/>
      <w:marLeft w:val="0"/>
      <w:marRight w:val="0"/>
      <w:marTop w:val="0"/>
      <w:marBottom w:val="0"/>
      <w:divBdr>
        <w:top w:val="none" w:sz="0" w:space="0" w:color="auto"/>
        <w:left w:val="none" w:sz="0" w:space="0" w:color="auto"/>
        <w:bottom w:val="none" w:sz="0" w:space="0" w:color="auto"/>
        <w:right w:val="none" w:sz="0" w:space="0" w:color="auto"/>
      </w:divBdr>
    </w:div>
    <w:div w:id="1821723963">
      <w:bodyDiv w:val="1"/>
      <w:marLeft w:val="0"/>
      <w:marRight w:val="0"/>
      <w:marTop w:val="0"/>
      <w:marBottom w:val="0"/>
      <w:divBdr>
        <w:top w:val="none" w:sz="0" w:space="0" w:color="auto"/>
        <w:left w:val="none" w:sz="0" w:space="0" w:color="auto"/>
        <w:bottom w:val="none" w:sz="0" w:space="0" w:color="auto"/>
        <w:right w:val="none" w:sz="0" w:space="0" w:color="auto"/>
      </w:divBdr>
    </w:div>
    <w:div w:id="1841189448">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created xmlns="7f856f8d-13b3-495a-9a4b-41f8182eda4c" xsi:nil="true"/>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5" ma:contentTypeDescription="Create a new document." ma:contentTypeScope="" ma:versionID="800ebfdfa1bbf1ff6c9cf58b3ab635a0">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cd488804b94607c00d160a5d5b6e66e9"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description="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8C4E0C-4251-47A2-877D-CC8578FB6580}">
  <ds:schemaRefs>
    <ds:schemaRef ds:uri="http://schemas.microsoft.com/office/2006/metadata/properties"/>
    <ds:schemaRef ds:uri="http://schemas.microsoft.com/office/infopath/2007/PartnerControls"/>
    <ds:schemaRef ds:uri="7f856f8d-13b3-495a-9a4b-41f8182eda4c"/>
    <ds:schemaRef ds:uri="72f95629-adac-4ec1-8738-e1cec852b92b"/>
  </ds:schemaRefs>
</ds:datastoreItem>
</file>

<file path=customXml/itemProps2.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3.xml><?xml version="1.0" encoding="utf-8"?>
<ds:datastoreItem xmlns:ds="http://schemas.openxmlformats.org/officeDocument/2006/customXml" ds:itemID="{631B8A04-CC95-4288-AE5B-488FB0423DD1}">
  <ds:schemaRefs>
    <ds:schemaRef ds:uri="http://schemas.microsoft.com/sharepoint/v3/contenttype/forms"/>
  </ds:schemaRefs>
</ds:datastoreItem>
</file>

<file path=customXml/itemProps4.xml><?xml version="1.0" encoding="utf-8"?>
<ds:datastoreItem xmlns:ds="http://schemas.openxmlformats.org/officeDocument/2006/customXml" ds:itemID="{D46D671B-BBEA-4594-942E-97152D155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20057</Words>
  <Characters>113124</Characters>
  <Application>Microsoft Office Word</Application>
  <DocSecurity>0</DocSecurity>
  <Lines>3327</Lines>
  <Paragraphs>1849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2026-02-26T01:19:00Z</dcterms:created>
  <dcterms:modified xsi:type="dcterms:W3CDTF">2026-02-26T03:05:00Z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1e778d93,1b143601,64908589</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2bb1baaf,196d648,72d87a1e</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2026-02-13T03:37:32Z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4133546e-6432-43ef-a997-57b200e5d238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MSIP_Label_7cd3e8b9-ffed-43a8-b7f4-cc2fa0382d36_Removed">
    <vt:lpwstr>False</vt:lpwstr>
  </property>
  <property fmtid="{D5CDD505-2E9C-101B-9397-08002B2CF9AE}" pid="17" name="MSIP_Label_e96f34de-6201-4396-9b5e-7ee7670aa56c_Method">
    <vt:lpwstr>Privileged</vt:lpwstr>
  </property>
  <property fmtid="{D5CDD505-2E9C-101B-9397-08002B2CF9AE}" pid="18" name="MSIP_Label_e96f34de-6201-4396-9b5e-7ee7670aa56c_SiteId">
    <vt:lpwstr>7a916015-20ae-4ad1-9170-eefd915e9272</vt:lpwstr>
  </property>
  <property fmtid="{D5CDD505-2E9C-101B-9397-08002B2CF9AE}" pid="19" name="MediaServiceImageTags">
    <vt:lpwstr/>
  </property>
  <property fmtid="{D5CDD505-2E9C-101B-9397-08002B2CF9AE}" pid="20" name="ContentTypeId">
    <vt:lpwstr>0x0101007FED174C5281F747A8037A05221D6DBD</vt:lpwstr>
  </property>
  <property fmtid="{D5CDD505-2E9C-101B-9397-08002B2CF9AE}" pid="21" name="MSIP_Label_e96f34de-6201-4396-9b5e-7ee7670aa56c_ContentBits">
    <vt:lpwstr>0</vt:lpwstr>
  </property>
  <property fmtid="{D5CDD505-2E9C-101B-9397-08002B2CF9AE}" pid="22" name="MSIP_Label_e96f34de-6201-4396-9b5e-7ee7670aa56c_Enabled">
    <vt:lpwstr>true</vt:lpwstr>
  </property>
  <property fmtid="{D5CDD505-2E9C-101B-9397-08002B2CF9AE}" pid="23" name="docLang">
    <vt:lpwstr>en</vt:lpwstr>
  </property>
  <property fmtid="{D5CDD505-2E9C-101B-9397-08002B2CF9AE}" pid="24" name="MSIP_Label_e96f34de-6201-4396-9b5e-7ee7670aa56c_SetDate">
    <vt:lpwstr>2026-01-26T22:43:40Z</vt:lpwstr>
  </property>
  <property fmtid="{D5CDD505-2E9C-101B-9397-08002B2CF9AE}" pid="25" name="MSIP_Label_7cd3e8b9-ffed-43a8-b7f4-cc2fa0382d36_Extended_MSFT_Method">
    <vt:lpwstr>Standard</vt:lpwstr>
  </property>
  <property fmtid="{D5CDD505-2E9C-101B-9397-08002B2CF9AE}" pid="26" name="MSIP_Label_e96f34de-6201-4396-9b5e-7ee7670aa56c_Tag">
    <vt:lpwstr>10, 0, 1, 1</vt:lpwstr>
  </property>
  <property fmtid="{D5CDD505-2E9C-101B-9397-08002B2CF9AE}" pid="27" name="MSIP_Label_e96f34de-6201-4396-9b5e-7ee7670aa56c_Name">
    <vt:lpwstr>e96f34de-6201-4396-9b5e-7ee7670aa56c</vt:lpwstr>
  </property>
  <property fmtid="{D5CDD505-2E9C-101B-9397-08002B2CF9AE}" pid="28" name="MSIP_Label_e96f34de-6201-4396-9b5e-7ee7670aa56c_ActionId">
    <vt:lpwstr>c195ae45-1351-46a5-823e-30fa2d80c5f6</vt:lpwstr>
  </property>
</Properties>
</file>