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785E" w14:textId="77777777" w:rsidR="00A326CA" w:rsidRPr="000763E5" w:rsidRDefault="00A326CA" w:rsidP="00A326CA">
      <w:pPr>
        <w:pStyle w:val="COMH1-notnumbered"/>
        <w:spacing w:before="0" w:after="0"/>
      </w:pPr>
      <w:bookmarkStart w:id="0" w:name="_Toc209016981"/>
      <w:r w:rsidRPr="000763E5">
        <w:t>5.15</w:t>
      </w:r>
      <w:r w:rsidRPr="000763E5">
        <w:tab/>
        <w:t>TEZEPELUMAB,</w:t>
      </w:r>
    </w:p>
    <w:p w14:paraId="2E3A873D" w14:textId="77777777" w:rsidR="00A326CA" w:rsidRPr="000763E5" w:rsidRDefault="00A326CA" w:rsidP="00A326CA">
      <w:pPr>
        <w:pStyle w:val="COMH1-notnumbered"/>
        <w:spacing w:before="0" w:after="0"/>
        <w:ind w:firstLine="0"/>
      </w:pPr>
      <w:r w:rsidRPr="000763E5">
        <w:t>Solution for injection 210 mg in 1.91 mL single dose pre-filled pen (110 mg per mL),</w:t>
      </w:r>
    </w:p>
    <w:p w14:paraId="166307E1" w14:textId="77777777" w:rsidR="00A326CA" w:rsidRPr="000763E5" w:rsidRDefault="00A326CA" w:rsidP="00A326CA">
      <w:pPr>
        <w:pStyle w:val="COMH1-notnumbered"/>
        <w:spacing w:before="0" w:after="0"/>
        <w:ind w:firstLine="0"/>
      </w:pPr>
      <w:proofErr w:type="spellStart"/>
      <w:r w:rsidRPr="000763E5">
        <w:t>Tezspire</w:t>
      </w:r>
      <w:proofErr w:type="spellEnd"/>
      <w:r w:rsidRPr="000A7755">
        <w:rPr>
          <w:vertAlign w:val="superscript"/>
        </w:rPr>
        <w:t>®</w:t>
      </w:r>
      <w:r w:rsidRPr="000763E5">
        <w:t>,</w:t>
      </w:r>
    </w:p>
    <w:p w14:paraId="3DED496E" w14:textId="7274A881" w:rsidR="0065150C" w:rsidRPr="00A326CA" w:rsidRDefault="00A326CA" w:rsidP="00A326CA">
      <w:pPr>
        <w:pStyle w:val="COMH1-notnumbered"/>
        <w:spacing w:before="0" w:after="0"/>
        <w:ind w:firstLine="0"/>
      </w:pPr>
      <w:r w:rsidRPr="000763E5">
        <w:t>ASTRAZENECA PTY LTD.</w:t>
      </w:r>
    </w:p>
    <w:p w14:paraId="11C00795" w14:textId="3DFB6D23" w:rsidR="00B50DB8" w:rsidRPr="007E186A" w:rsidRDefault="00B50DB8" w:rsidP="002B2723">
      <w:pPr>
        <w:pStyle w:val="COMESH2"/>
      </w:pPr>
      <w:bookmarkStart w:id="1" w:name="_Toc209016986"/>
      <w:bookmarkEnd w:id="0"/>
      <w:r w:rsidRPr="007E186A">
        <w:t xml:space="preserve">Purpose of </w:t>
      </w:r>
      <w:r w:rsidR="00CD7193" w:rsidRPr="007E186A">
        <w:t>s</w:t>
      </w:r>
      <w:r w:rsidR="00BB3A45" w:rsidRPr="007E186A">
        <w:t>ubmission</w:t>
      </w:r>
      <w:bookmarkEnd w:id="1"/>
    </w:p>
    <w:p w14:paraId="2E2495F0" w14:textId="299872E7" w:rsidR="003C0E6A" w:rsidRDefault="003C0E6A" w:rsidP="003C0E6A">
      <w:pPr>
        <w:pStyle w:val="COMESnumberedpara"/>
      </w:pPr>
      <w:r w:rsidRPr="0098262F">
        <w:t xml:space="preserve">The Category </w:t>
      </w:r>
      <w:r>
        <w:t xml:space="preserve">1 </w:t>
      </w:r>
      <w:r w:rsidRPr="0098262F">
        <w:t>submission requested Section 100</w:t>
      </w:r>
      <w:r>
        <w:t xml:space="preserve"> (Highly Specialised Drugs [HSD] Program)</w:t>
      </w:r>
      <w:r w:rsidRPr="0098262F">
        <w:t>, Authority Required</w:t>
      </w:r>
      <w:r>
        <w:t xml:space="preserve"> (</w:t>
      </w:r>
      <w:r>
        <w:rPr>
          <w:rFonts w:eastAsia="Times New Roman"/>
        </w:rPr>
        <w:t>Written)</w:t>
      </w:r>
      <w:r w:rsidRPr="0098262F">
        <w:t xml:space="preserve">, listing for </w:t>
      </w:r>
      <w:proofErr w:type="spellStart"/>
      <w:r>
        <w:t>tezepelumab</w:t>
      </w:r>
      <w:proofErr w:type="spellEnd"/>
      <w:r>
        <w:t xml:space="preserve"> </w:t>
      </w:r>
      <w:r w:rsidRPr="0098262F">
        <w:t xml:space="preserve">for the treatment of </w:t>
      </w:r>
      <w:r>
        <w:t xml:space="preserve">patients aged 12 years and older with </w:t>
      </w:r>
      <w:r w:rsidRPr="00297322">
        <w:t xml:space="preserve">severe uncontrolled asthma </w:t>
      </w:r>
      <w:r>
        <w:t xml:space="preserve">(SUA) </w:t>
      </w:r>
      <w:r w:rsidRPr="00297322">
        <w:t>that are 1) non-</w:t>
      </w:r>
      <w:r>
        <w:t>eosinophilic</w:t>
      </w:r>
      <w:r w:rsidRPr="00297322">
        <w:t xml:space="preserve"> and non-</w:t>
      </w:r>
      <w:r>
        <w:t>a</w:t>
      </w:r>
      <w:r w:rsidRPr="00297322">
        <w:t>llergic</w:t>
      </w:r>
      <w:r>
        <w:t xml:space="preserve">, 2) </w:t>
      </w:r>
      <w:r w:rsidRPr="00297322">
        <w:t xml:space="preserve">eosinophilic or </w:t>
      </w:r>
      <w:r>
        <w:t>a</w:t>
      </w:r>
      <w:r w:rsidRPr="00297322">
        <w:t>llergic</w:t>
      </w:r>
      <w:r>
        <w:t>.</w:t>
      </w:r>
    </w:p>
    <w:p w14:paraId="4C98F1BA" w14:textId="0434B1DE" w:rsidR="003C0E6A" w:rsidRDefault="003C0E6A" w:rsidP="003C0E6A">
      <w:pPr>
        <w:pStyle w:val="COMESnumberedpara"/>
      </w:pPr>
      <w:r>
        <w:t xml:space="preserve">Listing for the severe uncontrolled non-eosinophilic and non-allergic asthma population was requested </w:t>
      </w:r>
      <w:proofErr w:type="gramStart"/>
      <w:r>
        <w:t>on the basis of</w:t>
      </w:r>
      <w:proofErr w:type="gramEnd"/>
      <w:r>
        <w:t xml:space="preserve"> a </w:t>
      </w:r>
      <w:r w:rsidRPr="0098262F">
        <w:t xml:space="preserve">cost-effectiveness analysis </w:t>
      </w:r>
      <w:r w:rsidR="008E5D24">
        <w:t>versus</w:t>
      </w:r>
      <w:r>
        <w:t xml:space="preserve"> standard of care</w:t>
      </w:r>
      <w:r w:rsidR="009F738C">
        <w:t xml:space="preserve"> (SoC)</w:t>
      </w:r>
      <w:r w:rsidRPr="0098262F">
        <w:t>.</w:t>
      </w:r>
      <w:r>
        <w:t xml:space="preserve"> </w:t>
      </w:r>
      <w:r w:rsidRPr="0098262F">
        <w:t xml:space="preserve">Listing </w:t>
      </w:r>
      <w:r>
        <w:t xml:space="preserve">for the severe uncontrolled eosinophilic or allergic asthma population </w:t>
      </w:r>
      <w:r w:rsidRPr="0098262F">
        <w:t xml:space="preserve">was requested </w:t>
      </w:r>
      <w:proofErr w:type="gramStart"/>
      <w:r w:rsidRPr="00E42035">
        <w:t>on the basis of</w:t>
      </w:r>
      <w:proofErr w:type="gramEnd"/>
      <w:r w:rsidRPr="00E42035">
        <w:t xml:space="preserve"> a cost-minimisation approach versus dupilumab</w:t>
      </w:r>
      <w:r>
        <w:t>.</w:t>
      </w:r>
    </w:p>
    <w:p w14:paraId="227E48BC" w14:textId="7EEC6DEF" w:rsidR="003C0E6A" w:rsidRPr="009C21C1" w:rsidRDefault="003C0E6A" w:rsidP="003C0E6A">
      <w:pPr>
        <w:pStyle w:val="COMESnumberedpara"/>
      </w:pPr>
      <w:r w:rsidRPr="00376310">
        <w:t>The</w:t>
      </w:r>
      <w:r w:rsidRPr="00376310" w:rsidDel="00CD1769">
        <w:t xml:space="preserve"> </w:t>
      </w:r>
      <w:r w:rsidRPr="00376310">
        <w:t xml:space="preserve">key components </w:t>
      </w:r>
      <w:r>
        <w:t xml:space="preserve">of the clinical issue </w:t>
      </w:r>
      <w:r w:rsidRPr="00376310">
        <w:t>addressed by the submission are summarised in</w:t>
      </w:r>
      <w:r>
        <w:t xml:space="preserve"> </w:t>
      </w:r>
      <w:r>
        <w:fldChar w:fldCharType="begin"/>
      </w:r>
      <w:r>
        <w:instrText xml:space="preserve"> REF _Ref206422015 \h </w:instrText>
      </w:r>
      <w:r>
        <w:fldChar w:fldCharType="separate"/>
      </w:r>
      <w:r w:rsidR="0078760A" w:rsidRPr="00DC3382">
        <w:t xml:space="preserve">Table </w:t>
      </w:r>
      <w:r w:rsidR="0078760A">
        <w:rPr>
          <w:noProof/>
        </w:rPr>
        <w:t>1</w:t>
      </w:r>
      <w:r>
        <w:fldChar w:fldCharType="end"/>
      </w:r>
      <w:r>
        <w:t>.</w:t>
      </w:r>
    </w:p>
    <w:p w14:paraId="61B917CE" w14:textId="65FF28E4" w:rsidR="003C0E6A" w:rsidRPr="00DC3382" w:rsidRDefault="003C0E6A" w:rsidP="003C0E6A">
      <w:pPr>
        <w:pStyle w:val="COMtablefigcaption"/>
      </w:pPr>
      <w:bookmarkStart w:id="2" w:name="_Ref206422015"/>
      <w:r w:rsidRPr="00DC3382">
        <w:t xml:space="preserve">Table </w:t>
      </w:r>
      <w:r w:rsidR="001146FA">
        <w:fldChar w:fldCharType="begin"/>
      </w:r>
      <w:r w:rsidR="001146FA">
        <w:instrText xml:space="preserve"> SEQ Table \* ARABIC </w:instrText>
      </w:r>
      <w:r w:rsidR="001146FA">
        <w:fldChar w:fldCharType="separate"/>
      </w:r>
      <w:r w:rsidR="0078760A">
        <w:rPr>
          <w:noProof/>
        </w:rPr>
        <w:t>1</w:t>
      </w:r>
      <w:r w:rsidR="001146FA">
        <w:rPr>
          <w:noProof/>
        </w:rPr>
        <w:fldChar w:fldCharType="end"/>
      </w:r>
      <w:bookmarkEnd w:id="2"/>
      <w:r w:rsidRPr="00DC3382">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as stated in the submission)"/>
        <w:tblDescription w:val="Key components of the clinical issue addressed by the submission "/>
      </w:tblPr>
      <w:tblGrid>
        <w:gridCol w:w="1127"/>
        <w:gridCol w:w="3946"/>
        <w:gridCol w:w="3944"/>
      </w:tblGrid>
      <w:tr w:rsidR="003C0E6A" w:rsidRPr="0098262F" w14:paraId="50B85A50" w14:textId="77777777">
        <w:trPr>
          <w:cantSplit/>
          <w:tblHeader/>
        </w:trPr>
        <w:tc>
          <w:tcPr>
            <w:tcW w:w="625" w:type="pct"/>
          </w:tcPr>
          <w:p w14:paraId="14D32CEE" w14:textId="77777777" w:rsidR="003C0E6A" w:rsidRPr="0098262F" w:rsidRDefault="003C0E6A">
            <w:pPr>
              <w:pStyle w:val="In-tableHeading"/>
              <w:jc w:val="center"/>
              <w:rPr>
                <w:szCs w:val="20"/>
                <w:lang w:val="en-AU"/>
              </w:rPr>
            </w:pPr>
            <w:r w:rsidRPr="0098262F">
              <w:rPr>
                <w:lang w:val="en-AU"/>
              </w:rPr>
              <w:t>Component</w:t>
            </w:r>
          </w:p>
        </w:tc>
        <w:tc>
          <w:tcPr>
            <w:tcW w:w="2188" w:type="pct"/>
          </w:tcPr>
          <w:p w14:paraId="046F59F1" w14:textId="77777777" w:rsidR="003C0E6A" w:rsidRPr="0098262F" w:rsidRDefault="003C0E6A">
            <w:pPr>
              <w:pStyle w:val="In-tableHeading"/>
              <w:jc w:val="center"/>
              <w:rPr>
                <w:lang w:val="en-AU"/>
              </w:rPr>
            </w:pPr>
            <w:proofErr w:type="spellStart"/>
            <w:r>
              <w:rPr>
                <w:bCs/>
              </w:rPr>
              <w:t>EOSic</w:t>
            </w:r>
            <w:proofErr w:type="spellEnd"/>
            <w:r>
              <w:rPr>
                <w:bCs/>
              </w:rPr>
              <w:t xml:space="preserve"> or allergic SUA</w:t>
            </w:r>
          </w:p>
        </w:tc>
        <w:tc>
          <w:tcPr>
            <w:tcW w:w="2187" w:type="pct"/>
          </w:tcPr>
          <w:p w14:paraId="3EDA1DDC" w14:textId="77777777" w:rsidR="003C0E6A" w:rsidRPr="0098262F" w:rsidRDefault="003C0E6A">
            <w:pPr>
              <w:pStyle w:val="In-tableHeading"/>
              <w:jc w:val="center"/>
              <w:rPr>
                <w:lang w:val="en-AU"/>
              </w:rPr>
            </w:pPr>
            <w:r>
              <w:rPr>
                <w:bCs/>
              </w:rPr>
              <w:t>Non-</w:t>
            </w:r>
            <w:proofErr w:type="spellStart"/>
            <w:r>
              <w:rPr>
                <w:bCs/>
              </w:rPr>
              <w:t>EOSic</w:t>
            </w:r>
            <w:proofErr w:type="spellEnd"/>
            <w:r>
              <w:rPr>
                <w:bCs/>
              </w:rPr>
              <w:t xml:space="preserve"> and non-allergic SUA </w:t>
            </w:r>
          </w:p>
        </w:tc>
      </w:tr>
      <w:tr w:rsidR="003C0E6A" w:rsidRPr="0098262F" w14:paraId="0D75D0B0" w14:textId="77777777">
        <w:trPr>
          <w:cantSplit/>
        </w:trPr>
        <w:tc>
          <w:tcPr>
            <w:tcW w:w="625" w:type="pct"/>
          </w:tcPr>
          <w:p w14:paraId="4B6D7D4A" w14:textId="77777777" w:rsidR="003C0E6A" w:rsidRPr="0098262F" w:rsidRDefault="003C0E6A">
            <w:pPr>
              <w:pStyle w:val="TableText"/>
            </w:pPr>
            <w:r w:rsidRPr="0098262F">
              <w:t>Population</w:t>
            </w:r>
          </w:p>
        </w:tc>
        <w:tc>
          <w:tcPr>
            <w:tcW w:w="2188" w:type="pct"/>
          </w:tcPr>
          <w:p w14:paraId="426C4BA3" w14:textId="77777777" w:rsidR="003C0E6A" w:rsidRPr="0098262F" w:rsidRDefault="003C0E6A">
            <w:pPr>
              <w:pStyle w:val="TableText"/>
              <w:rPr>
                <w:szCs w:val="20"/>
              </w:rPr>
            </w:pPr>
            <w:r w:rsidRPr="00357749">
              <w:rPr>
                <w:color w:val="000000" w:themeColor="text1"/>
              </w:rPr>
              <w:t xml:space="preserve">Patients aged </w:t>
            </w:r>
            <w:r w:rsidRPr="00357749">
              <w:rPr>
                <w:rFonts w:hint="eastAsia"/>
                <w:color w:val="000000" w:themeColor="text1"/>
              </w:rPr>
              <w:t>≥</w:t>
            </w:r>
            <w:r w:rsidRPr="00357749">
              <w:rPr>
                <w:color w:val="000000" w:themeColor="text1"/>
              </w:rPr>
              <w:t>12 years with severe uncontrolled eosinophilic or allergic asthma</w:t>
            </w:r>
            <w:r>
              <w:rPr>
                <w:color w:val="000000" w:themeColor="text1"/>
              </w:rPr>
              <w:t xml:space="preserve"> f</w:t>
            </w:r>
            <w:r w:rsidRPr="00357749">
              <w:rPr>
                <w:color w:val="000000" w:themeColor="text1"/>
              </w:rPr>
              <w:t>or 1 year</w:t>
            </w:r>
            <w:r>
              <w:rPr>
                <w:color w:val="000000" w:themeColor="text1"/>
              </w:rPr>
              <w:t>.</w:t>
            </w:r>
          </w:p>
        </w:tc>
        <w:tc>
          <w:tcPr>
            <w:tcW w:w="2187" w:type="pct"/>
          </w:tcPr>
          <w:p w14:paraId="4F9E7831" w14:textId="77777777" w:rsidR="003C0E6A" w:rsidRPr="0098262F" w:rsidRDefault="003C0E6A">
            <w:pPr>
              <w:pStyle w:val="TableText"/>
            </w:pPr>
            <w:r w:rsidRPr="00357749">
              <w:rPr>
                <w:color w:val="000000" w:themeColor="text1"/>
              </w:rPr>
              <w:t xml:space="preserve">Patients aged </w:t>
            </w:r>
            <w:r w:rsidRPr="00357749">
              <w:rPr>
                <w:rFonts w:hint="eastAsia"/>
                <w:color w:val="000000" w:themeColor="text1"/>
              </w:rPr>
              <w:t>≥</w:t>
            </w:r>
            <w:r w:rsidRPr="00357749">
              <w:rPr>
                <w:color w:val="000000" w:themeColor="text1"/>
              </w:rPr>
              <w:t xml:space="preserve">12 years with severe uncontrolled asthma that is </w:t>
            </w:r>
            <w:r>
              <w:rPr>
                <w:color w:val="000000" w:themeColor="text1"/>
              </w:rPr>
              <w:t>not</w:t>
            </w:r>
            <w:r w:rsidRPr="00357749">
              <w:rPr>
                <w:color w:val="000000" w:themeColor="text1"/>
              </w:rPr>
              <w:t xml:space="preserve"> eosinophilic </w:t>
            </w:r>
            <w:r>
              <w:rPr>
                <w:color w:val="000000" w:themeColor="text1"/>
              </w:rPr>
              <w:t>or</w:t>
            </w:r>
            <w:r w:rsidRPr="00357749">
              <w:rPr>
                <w:color w:val="000000" w:themeColor="text1"/>
              </w:rPr>
              <w:t xml:space="preserve"> allergic</w:t>
            </w:r>
            <w:r>
              <w:rPr>
                <w:color w:val="000000" w:themeColor="text1"/>
              </w:rPr>
              <w:t xml:space="preserve"> f</w:t>
            </w:r>
            <w:r w:rsidRPr="00357749">
              <w:rPr>
                <w:color w:val="000000" w:themeColor="text1"/>
              </w:rPr>
              <w:t>or 1 year</w:t>
            </w:r>
            <w:r>
              <w:rPr>
                <w:color w:val="000000" w:themeColor="text1"/>
              </w:rPr>
              <w:t>.</w:t>
            </w:r>
          </w:p>
        </w:tc>
      </w:tr>
      <w:tr w:rsidR="003C0E6A" w:rsidRPr="0098262F" w14:paraId="5730DE25" w14:textId="77777777">
        <w:trPr>
          <w:cantSplit/>
        </w:trPr>
        <w:tc>
          <w:tcPr>
            <w:tcW w:w="625" w:type="pct"/>
          </w:tcPr>
          <w:p w14:paraId="7BD39E17" w14:textId="77777777" w:rsidR="003C0E6A" w:rsidRPr="0098262F" w:rsidRDefault="003C0E6A">
            <w:pPr>
              <w:pStyle w:val="TableText"/>
            </w:pPr>
            <w:r w:rsidRPr="0098262F">
              <w:t>Intervention</w:t>
            </w:r>
          </w:p>
        </w:tc>
        <w:tc>
          <w:tcPr>
            <w:tcW w:w="2188" w:type="pct"/>
          </w:tcPr>
          <w:p w14:paraId="0064D45E" w14:textId="77777777" w:rsidR="003C0E6A" w:rsidRPr="0098262F" w:rsidRDefault="003C0E6A">
            <w:pPr>
              <w:pStyle w:val="TableText"/>
            </w:pPr>
            <w:r w:rsidRPr="00357749">
              <w:rPr>
                <w:color w:val="000000" w:themeColor="text1"/>
              </w:rPr>
              <w:t>Tezepelumab 210 mg SC injection Q4W</w:t>
            </w:r>
          </w:p>
        </w:tc>
        <w:tc>
          <w:tcPr>
            <w:tcW w:w="2187" w:type="pct"/>
          </w:tcPr>
          <w:p w14:paraId="3733BEF0" w14:textId="77777777" w:rsidR="003C0E6A" w:rsidRPr="0098262F" w:rsidRDefault="003C0E6A">
            <w:pPr>
              <w:pStyle w:val="TableText"/>
            </w:pPr>
            <w:r w:rsidRPr="00357749">
              <w:rPr>
                <w:color w:val="000000" w:themeColor="text1"/>
              </w:rPr>
              <w:t>Tezepelumab 210 mg SC injection Q4W</w:t>
            </w:r>
          </w:p>
        </w:tc>
      </w:tr>
      <w:tr w:rsidR="003C0E6A" w:rsidRPr="0098262F" w14:paraId="37D28572" w14:textId="77777777">
        <w:trPr>
          <w:cantSplit/>
        </w:trPr>
        <w:tc>
          <w:tcPr>
            <w:tcW w:w="625" w:type="pct"/>
          </w:tcPr>
          <w:p w14:paraId="08C71B52" w14:textId="77777777" w:rsidR="003C0E6A" w:rsidRPr="0098262F" w:rsidRDefault="003C0E6A">
            <w:pPr>
              <w:pStyle w:val="TableText"/>
            </w:pPr>
            <w:r w:rsidRPr="0098262F">
              <w:t>Comparator</w:t>
            </w:r>
          </w:p>
        </w:tc>
        <w:tc>
          <w:tcPr>
            <w:tcW w:w="2188" w:type="pct"/>
          </w:tcPr>
          <w:p w14:paraId="596FBF27" w14:textId="33839314" w:rsidR="003C0E6A" w:rsidRDefault="003C0E6A">
            <w:pPr>
              <w:pStyle w:val="TableText"/>
              <w:rPr>
                <w:color w:val="000000" w:themeColor="text1"/>
              </w:rPr>
            </w:pPr>
            <w:r>
              <w:rPr>
                <w:color w:val="000000" w:themeColor="text1"/>
              </w:rPr>
              <w:t xml:space="preserve">Primary: </w:t>
            </w:r>
            <w:r w:rsidR="00C26EF3" w:rsidRPr="005427A7">
              <w:t>dupilumab</w:t>
            </w:r>
          </w:p>
          <w:p w14:paraId="2F051502" w14:textId="50DC4A7E" w:rsidR="003C0E6A" w:rsidRPr="0098262F" w:rsidRDefault="003C0E6A">
            <w:pPr>
              <w:pStyle w:val="TableText"/>
            </w:pPr>
            <w:r>
              <w:rPr>
                <w:color w:val="000000" w:themeColor="text1"/>
              </w:rPr>
              <w:t xml:space="preserve">Secondary: </w:t>
            </w:r>
            <w:proofErr w:type="spellStart"/>
            <w:r w:rsidR="00C26EF3" w:rsidRPr="005427A7">
              <w:t>benralizumab</w:t>
            </w:r>
            <w:proofErr w:type="spellEnd"/>
            <w:r w:rsidRPr="00357749">
              <w:rPr>
                <w:color w:val="000000" w:themeColor="text1"/>
              </w:rPr>
              <w:t xml:space="preserve">, </w:t>
            </w:r>
            <w:r w:rsidR="00C26EF3" w:rsidRPr="005427A7">
              <w:t>mepolizumab</w:t>
            </w:r>
            <w:r w:rsidRPr="00357749">
              <w:rPr>
                <w:color w:val="000000" w:themeColor="text1"/>
              </w:rPr>
              <w:t xml:space="preserve">, </w:t>
            </w:r>
            <w:r w:rsidR="00C26EF3" w:rsidRPr="005427A7">
              <w:t>omalizumab</w:t>
            </w:r>
          </w:p>
        </w:tc>
        <w:tc>
          <w:tcPr>
            <w:tcW w:w="2187" w:type="pct"/>
          </w:tcPr>
          <w:p w14:paraId="7103BF65" w14:textId="77777777" w:rsidR="003C0E6A" w:rsidRPr="0098262F" w:rsidRDefault="003C0E6A">
            <w:pPr>
              <w:pStyle w:val="TableText"/>
            </w:pPr>
            <w:r w:rsidRPr="00357749">
              <w:rPr>
                <w:color w:val="000000" w:themeColor="text1"/>
              </w:rPr>
              <w:t>Standard of care</w:t>
            </w:r>
            <w:r>
              <w:rPr>
                <w:color w:val="000000" w:themeColor="text1"/>
              </w:rPr>
              <w:t xml:space="preserve"> (SoC)</w:t>
            </w:r>
          </w:p>
        </w:tc>
      </w:tr>
      <w:tr w:rsidR="003C0E6A" w:rsidRPr="0098262F" w14:paraId="1E0EED97" w14:textId="77777777">
        <w:trPr>
          <w:cantSplit/>
        </w:trPr>
        <w:tc>
          <w:tcPr>
            <w:tcW w:w="625" w:type="pct"/>
          </w:tcPr>
          <w:p w14:paraId="225634B7" w14:textId="77777777" w:rsidR="003C0E6A" w:rsidRPr="0098262F" w:rsidRDefault="003C0E6A">
            <w:pPr>
              <w:pStyle w:val="TableText"/>
            </w:pPr>
            <w:r w:rsidRPr="0098262F">
              <w:t>Outcomes</w:t>
            </w:r>
          </w:p>
        </w:tc>
        <w:tc>
          <w:tcPr>
            <w:tcW w:w="2188" w:type="pct"/>
          </w:tcPr>
          <w:p w14:paraId="582049BF" w14:textId="39EBE2C2" w:rsidR="003C0E6A" w:rsidRPr="0098262F" w:rsidRDefault="003C0E6A">
            <w:pPr>
              <w:pStyle w:val="TableText"/>
              <w:rPr>
                <w:rFonts w:eastAsia="Times New Roman" w:cs="Arial"/>
                <w:bCs w:val="0"/>
                <w:snapToGrid w:val="0"/>
                <w:color w:val="0066FF"/>
                <w:szCs w:val="20"/>
              </w:rPr>
            </w:pPr>
            <w:r w:rsidRPr="00357749">
              <w:rPr>
                <w:color w:val="000000" w:themeColor="text1"/>
              </w:rPr>
              <w:t>AAER</w:t>
            </w:r>
            <w:r w:rsidR="007069C9">
              <w:rPr>
                <w:color w:val="000000" w:themeColor="text1"/>
              </w:rPr>
              <w:t>, a</w:t>
            </w:r>
            <w:r w:rsidRPr="00716856">
              <w:rPr>
                <w:color w:val="000000" w:themeColor="text1"/>
              </w:rPr>
              <w:t xml:space="preserve">ny AEs, </w:t>
            </w:r>
            <w:r w:rsidR="00325DC2">
              <w:rPr>
                <w:color w:val="000000" w:themeColor="text1"/>
              </w:rPr>
              <w:t>s</w:t>
            </w:r>
            <w:r w:rsidRPr="00716856">
              <w:rPr>
                <w:color w:val="000000" w:themeColor="text1"/>
              </w:rPr>
              <w:t xml:space="preserve">erious AEs, </w:t>
            </w:r>
            <w:r w:rsidR="00325DC2">
              <w:rPr>
                <w:color w:val="000000" w:themeColor="text1"/>
              </w:rPr>
              <w:t>w</w:t>
            </w:r>
            <w:r w:rsidRPr="00716856">
              <w:rPr>
                <w:color w:val="000000" w:themeColor="text1"/>
              </w:rPr>
              <w:t xml:space="preserve">ithdrawals due to AEs, </w:t>
            </w:r>
            <w:r w:rsidR="00325DC2">
              <w:rPr>
                <w:color w:val="000000" w:themeColor="text1"/>
              </w:rPr>
              <w:t>d</w:t>
            </w:r>
            <w:r w:rsidRPr="00716856">
              <w:rPr>
                <w:color w:val="000000" w:themeColor="text1"/>
              </w:rPr>
              <w:t>eaths</w:t>
            </w:r>
          </w:p>
        </w:tc>
        <w:tc>
          <w:tcPr>
            <w:tcW w:w="2187" w:type="pct"/>
          </w:tcPr>
          <w:p w14:paraId="69BA05A4" w14:textId="2B86998D" w:rsidR="003C0E6A" w:rsidRDefault="003C0E6A">
            <w:pPr>
              <w:pStyle w:val="TableText"/>
              <w:rPr>
                <w:color w:val="000000" w:themeColor="text1"/>
              </w:rPr>
            </w:pPr>
            <w:r w:rsidRPr="00357749">
              <w:rPr>
                <w:color w:val="000000" w:themeColor="text1"/>
              </w:rPr>
              <w:t xml:space="preserve">AAER, </w:t>
            </w:r>
            <w:r w:rsidR="00325DC2">
              <w:rPr>
                <w:color w:val="000000" w:themeColor="text1"/>
              </w:rPr>
              <w:t>c</w:t>
            </w:r>
            <w:r>
              <w:rPr>
                <w:color w:val="000000" w:themeColor="text1"/>
              </w:rPr>
              <w:t xml:space="preserve">hange in daily OCS, FEV1, </w:t>
            </w:r>
            <w:r w:rsidR="00325DC2">
              <w:rPr>
                <w:color w:val="000000" w:themeColor="text1"/>
              </w:rPr>
              <w:t>c</w:t>
            </w:r>
            <w:r w:rsidRPr="00357749">
              <w:rPr>
                <w:color w:val="000000" w:themeColor="text1"/>
              </w:rPr>
              <w:t xml:space="preserve">hange in ACQ-6 score, </w:t>
            </w:r>
            <w:r w:rsidR="00325DC2">
              <w:rPr>
                <w:color w:val="000000" w:themeColor="text1"/>
              </w:rPr>
              <w:t>c</w:t>
            </w:r>
            <w:r w:rsidRPr="00357749">
              <w:rPr>
                <w:color w:val="000000" w:themeColor="text1"/>
              </w:rPr>
              <w:t xml:space="preserve">hange in AQLQ(S)+12 total score; </w:t>
            </w:r>
            <w:r w:rsidR="00325DC2">
              <w:rPr>
                <w:color w:val="000000" w:themeColor="text1"/>
              </w:rPr>
              <w:t>c</w:t>
            </w:r>
            <w:r w:rsidRPr="00357749">
              <w:rPr>
                <w:color w:val="000000" w:themeColor="text1"/>
              </w:rPr>
              <w:t>hange in SGRQ total score</w:t>
            </w:r>
            <w:r>
              <w:rPr>
                <w:color w:val="000000" w:themeColor="text1"/>
              </w:rPr>
              <w:t xml:space="preserve">; </w:t>
            </w:r>
            <w:r w:rsidR="00325DC2">
              <w:rPr>
                <w:color w:val="000000" w:themeColor="text1"/>
              </w:rPr>
              <w:t>c</w:t>
            </w:r>
            <w:r>
              <w:rPr>
                <w:color w:val="000000" w:themeColor="text1"/>
              </w:rPr>
              <w:t xml:space="preserve">hange in </w:t>
            </w:r>
            <w:proofErr w:type="spellStart"/>
            <w:r>
              <w:rPr>
                <w:color w:val="000000" w:themeColor="text1"/>
              </w:rPr>
              <w:t>HRQoL</w:t>
            </w:r>
            <w:proofErr w:type="spellEnd"/>
          </w:p>
          <w:p w14:paraId="20775BF1" w14:textId="2DF9950D" w:rsidR="003C0E6A" w:rsidRPr="0098262F" w:rsidRDefault="007069C9">
            <w:pPr>
              <w:pStyle w:val="TableText"/>
            </w:pPr>
            <w:r>
              <w:t>a</w:t>
            </w:r>
            <w:r w:rsidR="003C0E6A" w:rsidRPr="00716856">
              <w:t xml:space="preserve">ny AEs, </w:t>
            </w:r>
            <w:r>
              <w:t>s</w:t>
            </w:r>
            <w:r w:rsidR="003C0E6A" w:rsidRPr="00716856">
              <w:t xml:space="preserve">erious AEs, </w:t>
            </w:r>
            <w:r>
              <w:t>w</w:t>
            </w:r>
            <w:r w:rsidR="003C0E6A" w:rsidRPr="00716856">
              <w:t xml:space="preserve">ithdrawals due to AEs, </w:t>
            </w:r>
            <w:r>
              <w:t>d</w:t>
            </w:r>
            <w:r w:rsidR="003C0E6A" w:rsidRPr="00716856">
              <w:t>eaths</w:t>
            </w:r>
          </w:p>
        </w:tc>
      </w:tr>
      <w:tr w:rsidR="003C0E6A" w:rsidRPr="0098262F" w14:paraId="2E9B74E4" w14:textId="77777777">
        <w:trPr>
          <w:cantSplit/>
        </w:trPr>
        <w:tc>
          <w:tcPr>
            <w:tcW w:w="625" w:type="pct"/>
          </w:tcPr>
          <w:p w14:paraId="3DBD86CF" w14:textId="77777777" w:rsidR="003C0E6A" w:rsidRPr="0098262F" w:rsidRDefault="003C0E6A">
            <w:pPr>
              <w:pStyle w:val="TableText"/>
            </w:pPr>
            <w:r w:rsidRPr="0098262F">
              <w:t>Clinical claim</w:t>
            </w:r>
          </w:p>
        </w:tc>
        <w:tc>
          <w:tcPr>
            <w:tcW w:w="2188" w:type="pct"/>
          </w:tcPr>
          <w:p w14:paraId="2AE97B95" w14:textId="5AD7D1C3" w:rsidR="003C0E6A" w:rsidRPr="00333185" w:rsidRDefault="003C0E6A">
            <w:pPr>
              <w:keepNext/>
              <w:keepLines/>
              <w:jc w:val="left"/>
              <w:rPr>
                <w:rFonts w:ascii="Arial Narrow" w:eastAsiaTheme="majorEastAsia" w:hAnsi="Arial Narrow" w:cstheme="majorBidi"/>
                <w:bCs/>
                <w:color w:val="000000" w:themeColor="text1"/>
                <w:sz w:val="20"/>
              </w:rPr>
            </w:pPr>
            <w:r w:rsidRPr="00333185">
              <w:rPr>
                <w:rFonts w:ascii="Arial Narrow" w:eastAsiaTheme="majorEastAsia" w:hAnsi="Arial Narrow" w:cstheme="majorBidi"/>
                <w:bCs/>
                <w:color w:val="000000" w:themeColor="text1"/>
                <w:sz w:val="20"/>
              </w:rPr>
              <w:t>Non-inferior effectiveness</w:t>
            </w:r>
          </w:p>
          <w:p w14:paraId="5A36C870" w14:textId="24970EF7" w:rsidR="003C0E6A" w:rsidRPr="00333185" w:rsidRDefault="003C0E6A">
            <w:pPr>
              <w:pStyle w:val="TableText"/>
              <w:rPr>
                <w:rFonts w:eastAsia="Times New Roman" w:cs="Arial"/>
                <w:bCs w:val="0"/>
                <w:snapToGrid w:val="0"/>
                <w:color w:val="0066FF"/>
                <w:szCs w:val="20"/>
              </w:rPr>
            </w:pPr>
            <w:r w:rsidRPr="00333185">
              <w:rPr>
                <w:rFonts w:eastAsia="Times New Roman" w:cs="Arial"/>
                <w:bCs w:val="0"/>
                <w:color w:val="000000" w:themeColor="text1"/>
                <w:szCs w:val="20"/>
              </w:rPr>
              <w:t>Non-inferior safety</w:t>
            </w:r>
          </w:p>
        </w:tc>
        <w:tc>
          <w:tcPr>
            <w:tcW w:w="2187" w:type="pct"/>
          </w:tcPr>
          <w:p w14:paraId="02B44B34" w14:textId="77777777" w:rsidR="003C0E6A" w:rsidRPr="00357749" w:rsidRDefault="003C0E6A">
            <w:pPr>
              <w:pStyle w:val="TableText"/>
              <w:rPr>
                <w:color w:val="000000" w:themeColor="text1"/>
              </w:rPr>
            </w:pPr>
            <w:r w:rsidRPr="00357749">
              <w:rPr>
                <w:color w:val="000000" w:themeColor="text1"/>
              </w:rPr>
              <w:t>Superior effectiveness</w:t>
            </w:r>
          </w:p>
          <w:p w14:paraId="59B5CD8D" w14:textId="77777777" w:rsidR="003C0E6A" w:rsidRPr="0098262F" w:rsidRDefault="003C0E6A">
            <w:pPr>
              <w:pStyle w:val="TableText"/>
            </w:pPr>
            <w:r w:rsidRPr="00357749">
              <w:rPr>
                <w:color w:val="000000" w:themeColor="text1"/>
              </w:rPr>
              <w:t>Non-inferior safety</w:t>
            </w:r>
          </w:p>
        </w:tc>
      </w:tr>
    </w:tbl>
    <w:p w14:paraId="1CE01111" w14:textId="77777777" w:rsidR="003C0E6A" w:rsidRDefault="003C0E6A" w:rsidP="003C0E6A">
      <w:pPr>
        <w:pStyle w:val="TableFigureFooter"/>
        <w:keepNext/>
      </w:pPr>
      <w:r w:rsidRPr="0098262F">
        <w:t>Source: Table</w:t>
      </w:r>
      <w:r>
        <w:t xml:space="preserve"> 1-2</w:t>
      </w:r>
      <w:r w:rsidRPr="0098262F">
        <w:t>, p</w:t>
      </w:r>
      <w:r>
        <w:t>9</w:t>
      </w:r>
      <w:r w:rsidRPr="0098262F">
        <w:t xml:space="preserve"> of the submission.</w:t>
      </w:r>
    </w:p>
    <w:p w14:paraId="5AFB8287" w14:textId="34785D30" w:rsidR="003C0E6A" w:rsidRDefault="003C0E6A" w:rsidP="003C0E6A">
      <w:pPr>
        <w:pStyle w:val="TableFigureFooter"/>
      </w:pPr>
      <w:r w:rsidRPr="005427A7">
        <w:t xml:space="preserve">AAER = annualised asthma exacerbation rate; ACQ-6 = 6 question Asthma Control Questionnaire; AE = adverse event; AQLQ(S)+12 = Standardised Asthma Quality of Life Questionnaire for patients 12 years and older; </w:t>
      </w:r>
      <w:proofErr w:type="spellStart"/>
      <w:r w:rsidRPr="005427A7">
        <w:t>EOSic</w:t>
      </w:r>
      <w:proofErr w:type="spellEnd"/>
      <w:r w:rsidRPr="005427A7">
        <w:t xml:space="preserve"> = eosinophilic; FEV1 = forced expiratory volume; </w:t>
      </w:r>
      <w:proofErr w:type="spellStart"/>
      <w:r w:rsidRPr="005427A7">
        <w:t>HRQoL</w:t>
      </w:r>
      <w:proofErr w:type="spellEnd"/>
      <w:r w:rsidRPr="005427A7">
        <w:t xml:space="preserve">=health related quality of life; </w:t>
      </w:r>
      <w:r>
        <w:t xml:space="preserve">OCS = oral corticosteroids; </w:t>
      </w:r>
      <w:r w:rsidRPr="005427A7">
        <w:t>Q4W = every 4 weeks; SC = subcutaneous; SGRQ = St. George's Respiratory Questionnaire; SUA = severe uncontrolled asthma</w:t>
      </w:r>
    </w:p>
    <w:p w14:paraId="6B4AB6C2" w14:textId="7F01D731" w:rsidR="005C25FF" w:rsidRPr="0098262F" w:rsidRDefault="005C25FF" w:rsidP="001C6B82">
      <w:pPr>
        <w:pStyle w:val="COMESH2"/>
      </w:pPr>
      <w:bookmarkStart w:id="3" w:name="_Toc209016987"/>
      <w:r w:rsidRPr="0098262F">
        <w:lastRenderedPageBreak/>
        <w:t>Background</w:t>
      </w:r>
      <w:bookmarkEnd w:id="3"/>
    </w:p>
    <w:p w14:paraId="2C521D6D" w14:textId="654A7931" w:rsidR="005C25FF" w:rsidRPr="0098262F" w:rsidRDefault="005C25FF" w:rsidP="004A6040">
      <w:pPr>
        <w:pStyle w:val="COMESSubsectionheading"/>
      </w:pPr>
      <w:bookmarkStart w:id="4" w:name="_Toc22897638"/>
      <w:bookmarkStart w:id="5" w:name="_Toc209016988"/>
      <w:r w:rsidRPr="0098262F">
        <w:t>Registration status</w:t>
      </w:r>
      <w:bookmarkEnd w:id="4"/>
      <w:bookmarkEnd w:id="5"/>
    </w:p>
    <w:p w14:paraId="3A4B01B2" w14:textId="05F99439" w:rsidR="007336AF" w:rsidRPr="009C21C1" w:rsidRDefault="007336AF" w:rsidP="007336AF">
      <w:pPr>
        <w:pStyle w:val="3-BodyText"/>
        <w:numPr>
          <w:ilvl w:val="1"/>
          <w:numId w:val="1"/>
        </w:numPr>
        <w:ind w:left="709"/>
      </w:pPr>
      <w:r w:rsidRPr="009C21C1">
        <w:t>Tezepelumab was TGA registered on 24 March 2025 as an ‘add-on maintenance treatment in patients aged 12 years and older with severe asthma who are inadequately controlled despite optimal therapy including medium or high-dose inhaled corticosteroids plus another non-steroidal medicinal product for maintenance treatment’.</w:t>
      </w:r>
    </w:p>
    <w:p w14:paraId="6A8CD1AB" w14:textId="77777777" w:rsidR="007336AF" w:rsidRPr="0098262F" w:rsidRDefault="007336AF" w:rsidP="007336AF">
      <w:pPr>
        <w:pStyle w:val="4-SubsectionHeading"/>
      </w:pPr>
      <w:bookmarkStart w:id="6" w:name="_Toc206291216"/>
      <w:bookmarkStart w:id="7" w:name="_Toc206426958"/>
      <w:bookmarkStart w:id="8" w:name="_Toc209012721"/>
      <w:bookmarkStart w:id="9" w:name="_Toc209016989"/>
      <w:r w:rsidRPr="0098262F">
        <w:t>Previous PBAC consideration</w:t>
      </w:r>
      <w:bookmarkEnd w:id="6"/>
      <w:bookmarkEnd w:id="7"/>
      <w:bookmarkEnd w:id="8"/>
      <w:bookmarkEnd w:id="9"/>
    </w:p>
    <w:p w14:paraId="37547C51" w14:textId="0FA49506" w:rsidR="007336AF" w:rsidRPr="00B32D8D" w:rsidRDefault="007336AF" w:rsidP="007336AF">
      <w:pPr>
        <w:pStyle w:val="3-BodyText"/>
        <w:numPr>
          <w:ilvl w:val="1"/>
          <w:numId w:val="1"/>
        </w:numPr>
        <w:ind w:left="709"/>
      </w:pPr>
      <w:r>
        <w:t>A Category 1 submission for the</w:t>
      </w:r>
      <w:r w:rsidR="00F4114C">
        <w:t xml:space="preserve"> consideration of a</w:t>
      </w:r>
      <w:r w:rsidR="00AD3578">
        <w:t xml:space="preserve"> PBAC</w:t>
      </w:r>
      <w:r>
        <w:t xml:space="preserve"> listing of </w:t>
      </w:r>
      <w:proofErr w:type="spellStart"/>
      <w:r>
        <w:t>tezepelumab</w:t>
      </w:r>
      <w:proofErr w:type="spellEnd"/>
      <w:r>
        <w:t xml:space="preserve"> for the </w:t>
      </w:r>
      <w:r w:rsidR="00AD3578">
        <w:t xml:space="preserve">treatment of </w:t>
      </w:r>
      <w:r>
        <w:t xml:space="preserve">severe uncontrolled eosinophilic or allergic asthma population was submitted in July 2022. The July 2022 submission was considered by ESC and DUSC but was withdrawn prior to the PBAC meeting. The submission stated the decision to withdraw was made to allow </w:t>
      </w:r>
      <w:proofErr w:type="spellStart"/>
      <w:r>
        <w:t>tezepelumab</w:t>
      </w:r>
      <w:proofErr w:type="spellEnd"/>
      <w:r>
        <w:t xml:space="preserve"> to proceed completely through the TGA registration process rather than continue through a TGA/PBAC parallel process. </w:t>
      </w:r>
      <w:r w:rsidRPr="00313944">
        <w:t>The July 2022 submission did not request a listing for the severe uncontrolled non-eosinophilic and non-allergic asthma population.</w:t>
      </w:r>
    </w:p>
    <w:p w14:paraId="76E4EF3C" w14:textId="13040F70" w:rsidR="00B60939" w:rsidRPr="0098262F" w:rsidRDefault="00B50DB8" w:rsidP="004E18E9">
      <w:pPr>
        <w:pStyle w:val="COMESH2"/>
      </w:pPr>
      <w:bookmarkStart w:id="10" w:name="_Toc209016990"/>
      <w:r w:rsidRPr="0098262F">
        <w:t>Requested listing</w:t>
      </w:r>
      <w:bookmarkEnd w:id="10"/>
    </w:p>
    <w:p w14:paraId="5F6EF907" w14:textId="77777777" w:rsidR="006E6D14" w:rsidRDefault="006E6D14" w:rsidP="006E6D14">
      <w:pPr>
        <w:pStyle w:val="COMESnumberedpara"/>
      </w:pPr>
      <w:r>
        <w:t xml:space="preserve">The submission proposed separate restrictions for the severe uncontrolled non-eosinophilic and non-allergic asthma population and the severe uncontrolled eosinophilic or allergic asthma population. An abridged version of the restrictions is presented </w:t>
      </w:r>
      <w:r w:rsidRPr="00834B50">
        <w:t>below</w:t>
      </w:r>
      <w:r>
        <w:t>. The submission noted that it would also be supportive of</w:t>
      </w:r>
      <w:r w:rsidRPr="00C548FF">
        <w:t xml:space="preserve"> a single restriction</w:t>
      </w:r>
      <w:r>
        <w:t xml:space="preserve"> across both proposed populations.</w:t>
      </w:r>
    </w:p>
    <w:p w14:paraId="3F5462CD" w14:textId="77777777" w:rsidR="006E6D14" w:rsidRPr="00C040B7" w:rsidRDefault="006E6D14" w:rsidP="006E6D14">
      <w:pPr>
        <w:pStyle w:val="5-SubsectionSubheading"/>
        <w:rPr>
          <w:b w:val="0"/>
          <w:bCs/>
        </w:rPr>
      </w:pPr>
      <w:bookmarkStart w:id="11" w:name="_Toc209012723"/>
      <w:r>
        <w:t>N</w:t>
      </w:r>
      <w:r w:rsidRPr="00C040B7">
        <w:rPr>
          <w:bCs/>
        </w:rPr>
        <w:t xml:space="preserve">on-eosinophilic and non-allergic </w:t>
      </w:r>
      <w:r>
        <w:rPr>
          <w:bCs/>
        </w:rPr>
        <w:t>SUA</w:t>
      </w:r>
      <w:bookmarkEnd w:id="11"/>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on-eosinophilic and non-allergic SUA"/>
      </w:tblPr>
      <w:tblGrid>
        <w:gridCol w:w="2693"/>
        <w:gridCol w:w="2409"/>
        <w:gridCol w:w="851"/>
        <w:gridCol w:w="850"/>
        <w:gridCol w:w="851"/>
        <w:gridCol w:w="1417"/>
      </w:tblGrid>
      <w:tr w:rsidR="006E6D14" w:rsidRPr="0098262F" w14:paraId="574736BE" w14:textId="77777777">
        <w:trPr>
          <w:cantSplit/>
          <w:trHeight w:val="20"/>
        </w:trPr>
        <w:tc>
          <w:tcPr>
            <w:tcW w:w="2693" w:type="dxa"/>
            <w:vAlign w:val="center"/>
          </w:tcPr>
          <w:p w14:paraId="235F2379" w14:textId="77777777" w:rsidR="006E6D14" w:rsidRPr="00EE7434" w:rsidRDefault="006E6D14">
            <w:pPr>
              <w:pStyle w:val="TableText"/>
              <w:rPr>
                <w:b/>
                <w:bCs w:val="0"/>
              </w:rPr>
            </w:pPr>
            <w:r w:rsidRPr="00EE7434">
              <w:rPr>
                <w:b/>
                <w:bCs w:val="0"/>
              </w:rPr>
              <w:t>MEDICINAL PRODUCT</w:t>
            </w:r>
          </w:p>
          <w:p w14:paraId="13E099FF" w14:textId="77777777" w:rsidR="006E6D14" w:rsidRPr="00EE7434" w:rsidRDefault="006E6D14">
            <w:pPr>
              <w:pStyle w:val="TableText"/>
              <w:rPr>
                <w:b/>
                <w:bCs w:val="0"/>
              </w:rPr>
            </w:pPr>
            <w:r w:rsidRPr="00EE7434">
              <w:rPr>
                <w:b/>
                <w:bCs w:val="0"/>
              </w:rPr>
              <w:t>medicinal product pack</w:t>
            </w:r>
          </w:p>
        </w:tc>
        <w:tc>
          <w:tcPr>
            <w:tcW w:w="2409" w:type="dxa"/>
            <w:vAlign w:val="center"/>
          </w:tcPr>
          <w:p w14:paraId="2A809897" w14:textId="77777777" w:rsidR="006E6D14" w:rsidRPr="00EE7434" w:rsidRDefault="006E6D14">
            <w:pPr>
              <w:pStyle w:val="TableText"/>
              <w:rPr>
                <w:b/>
                <w:bCs w:val="0"/>
              </w:rPr>
            </w:pPr>
            <w:r w:rsidRPr="00EE7434">
              <w:rPr>
                <w:b/>
                <w:bCs w:val="0"/>
                <w:snapToGrid w:val="0"/>
              </w:rPr>
              <w:t xml:space="preserve">Dispensed Price for Max. Qty </w:t>
            </w:r>
          </w:p>
        </w:tc>
        <w:tc>
          <w:tcPr>
            <w:tcW w:w="851" w:type="dxa"/>
            <w:vAlign w:val="center"/>
          </w:tcPr>
          <w:p w14:paraId="226AA13D" w14:textId="77777777" w:rsidR="006E6D14" w:rsidRPr="00EE7434" w:rsidRDefault="006E6D14">
            <w:pPr>
              <w:pStyle w:val="TableText"/>
              <w:rPr>
                <w:b/>
                <w:bCs w:val="0"/>
              </w:rPr>
            </w:pPr>
            <w:r w:rsidRPr="00EE7434">
              <w:rPr>
                <w:b/>
                <w:bCs w:val="0"/>
              </w:rPr>
              <w:t>Max. qty packs</w:t>
            </w:r>
          </w:p>
        </w:tc>
        <w:tc>
          <w:tcPr>
            <w:tcW w:w="850" w:type="dxa"/>
            <w:vAlign w:val="center"/>
          </w:tcPr>
          <w:p w14:paraId="6FB86677" w14:textId="77777777" w:rsidR="006E6D14" w:rsidRPr="00EE7434" w:rsidRDefault="006E6D14">
            <w:pPr>
              <w:pStyle w:val="TableText"/>
              <w:rPr>
                <w:b/>
                <w:bCs w:val="0"/>
              </w:rPr>
            </w:pPr>
            <w:r w:rsidRPr="00EE7434">
              <w:rPr>
                <w:b/>
                <w:bCs w:val="0"/>
              </w:rPr>
              <w:t>Max. qty units</w:t>
            </w:r>
          </w:p>
        </w:tc>
        <w:tc>
          <w:tcPr>
            <w:tcW w:w="851" w:type="dxa"/>
            <w:vAlign w:val="center"/>
          </w:tcPr>
          <w:p w14:paraId="103FE41C" w14:textId="77777777" w:rsidR="006E6D14" w:rsidRPr="00EE7434" w:rsidRDefault="006E6D14">
            <w:pPr>
              <w:pStyle w:val="TableText"/>
              <w:rPr>
                <w:b/>
                <w:bCs w:val="0"/>
              </w:rPr>
            </w:pPr>
            <w:proofErr w:type="gramStart"/>
            <w:r w:rsidRPr="00EE7434">
              <w:rPr>
                <w:b/>
                <w:bCs w:val="0"/>
              </w:rPr>
              <w:t>№.of</w:t>
            </w:r>
            <w:proofErr w:type="gramEnd"/>
          </w:p>
          <w:p w14:paraId="7E1EC9D4" w14:textId="77777777" w:rsidR="006E6D14" w:rsidRPr="00EE7434" w:rsidRDefault="006E6D14">
            <w:pPr>
              <w:pStyle w:val="TableText"/>
              <w:rPr>
                <w:b/>
                <w:bCs w:val="0"/>
              </w:rPr>
            </w:pPr>
            <w:proofErr w:type="spellStart"/>
            <w:r w:rsidRPr="00EE7434">
              <w:rPr>
                <w:b/>
                <w:bCs w:val="0"/>
              </w:rPr>
              <w:t>Rpts</w:t>
            </w:r>
            <w:proofErr w:type="spellEnd"/>
          </w:p>
        </w:tc>
        <w:tc>
          <w:tcPr>
            <w:tcW w:w="1417" w:type="dxa"/>
            <w:vAlign w:val="center"/>
          </w:tcPr>
          <w:p w14:paraId="7E31CB0A" w14:textId="77777777" w:rsidR="006E6D14" w:rsidRPr="00EE7434" w:rsidRDefault="006E6D14">
            <w:pPr>
              <w:pStyle w:val="TableText"/>
              <w:rPr>
                <w:b/>
                <w:bCs w:val="0"/>
              </w:rPr>
            </w:pPr>
            <w:r w:rsidRPr="00EE7434">
              <w:rPr>
                <w:b/>
                <w:bCs w:val="0"/>
              </w:rPr>
              <w:t>Available brands</w:t>
            </w:r>
          </w:p>
        </w:tc>
      </w:tr>
      <w:tr w:rsidR="006E6D14" w:rsidRPr="0098262F" w14:paraId="00211495" w14:textId="77777777">
        <w:trPr>
          <w:cantSplit/>
          <w:trHeight w:val="20"/>
        </w:trPr>
        <w:tc>
          <w:tcPr>
            <w:tcW w:w="9071" w:type="dxa"/>
            <w:gridSpan w:val="6"/>
            <w:vAlign w:val="center"/>
          </w:tcPr>
          <w:p w14:paraId="620BF774" w14:textId="77777777" w:rsidR="006E6D14" w:rsidRPr="0098262F" w:rsidRDefault="006E6D14">
            <w:pPr>
              <w:pStyle w:val="TableText"/>
              <w:rPr>
                <w:rFonts w:cs="Arial"/>
                <w:szCs w:val="20"/>
              </w:rPr>
            </w:pPr>
            <w:r w:rsidRPr="0098262F">
              <w:rPr>
                <w:rFonts w:cs="Arial"/>
                <w:color w:val="0066FF"/>
                <w:szCs w:val="20"/>
              </w:rPr>
              <w:t xml:space="preserve"> </w:t>
            </w:r>
            <w:r w:rsidRPr="00F8796C">
              <w:rPr>
                <w:rFonts w:cs="Arial"/>
                <w:szCs w:val="20"/>
              </w:rPr>
              <w:t>TEZEPELUMAB</w:t>
            </w:r>
          </w:p>
        </w:tc>
      </w:tr>
      <w:tr w:rsidR="006E6D14" w:rsidRPr="0098262F" w14:paraId="4A541071" w14:textId="77777777">
        <w:trPr>
          <w:cantSplit/>
          <w:trHeight w:val="20"/>
        </w:trPr>
        <w:tc>
          <w:tcPr>
            <w:tcW w:w="2693" w:type="dxa"/>
            <w:vAlign w:val="center"/>
          </w:tcPr>
          <w:p w14:paraId="101F39C6" w14:textId="1E5C680D" w:rsidR="006E6D14" w:rsidRPr="0098262F" w:rsidRDefault="006E6D14">
            <w:pPr>
              <w:pStyle w:val="TableText"/>
              <w:rPr>
                <w:color w:val="0066FF"/>
                <w:szCs w:val="20"/>
              </w:rPr>
            </w:pPr>
            <w:r w:rsidRPr="00F8796C">
              <w:t xml:space="preserve">Tezepelumab, 210 mg in </w:t>
            </w:r>
            <w:r w:rsidR="00245AF7">
              <w:t>1.</w:t>
            </w:r>
            <w:r w:rsidRPr="00F8796C">
              <w:t xml:space="preserve">91 mL (110 mg/mL) in </w:t>
            </w:r>
            <w:r>
              <w:t xml:space="preserve">a </w:t>
            </w:r>
            <w:r w:rsidRPr="00F8796C">
              <w:t>prefilled pen</w:t>
            </w:r>
          </w:p>
        </w:tc>
        <w:tc>
          <w:tcPr>
            <w:tcW w:w="2409" w:type="dxa"/>
          </w:tcPr>
          <w:p w14:paraId="18F829C4" w14:textId="77777777" w:rsidR="006E6D14" w:rsidRDefault="006E6D14">
            <w:pPr>
              <w:pStyle w:val="TableText"/>
              <w:jc w:val="center"/>
            </w:pPr>
            <w:r>
              <w:t>Published</w:t>
            </w:r>
          </w:p>
          <w:p w14:paraId="0366F4F7" w14:textId="77777777" w:rsidR="006E6D14" w:rsidRDefault="006E6D14">
            <w:pPr>
              <w:pStyle w:val="TableText"/>
              <w:jc w:val="center"/>
            </w:pPr>
            <w:r w:rsidRPr="0098262F">
              <w:t>$</w:t>
            </w:r>
            <w:r w:rsidRPr="00F8796C">
              <w:t>1,671.78</w:t>
            </w:r>
            <w:r>
              <w:t xml:space="preserve"> Public</w:t>
            </w:r>
          </w:p>
          <w:p w14:paraId="1FD06C93" w14:textId="77777777" w:rsidR="006E6D14" w:rsidRPr="0098262F" w:rsidRDefault="006E6D14">
            <w:pPr>
              <w:pStyle w:val="TableText"/>
              <w:jc w:val="center"/>
            </w:pPr>
            <w:r w:rsidRPr="001574D0">
              <w:t>$1,720.45 Private</w:t>
            </w:r>
          </w:p>
          <w:p w14:paraId="19E1FBF5" w14:textId="77777777" w:rsidR="006E6D14" w:rsidRPr="0098262F" w:rsidRDefault="006E6D14">
            <w:pPr>
              <w:pStyle w:val="TableText"/>
              <w:jc w:val="center"/>
            </w:pPr>
            <w:r>
              <w:t>Effective</w:t>
            </w:r>
          </w:p>
          <w:p w14:paraId="0D8BA6AC" w14:textId="179FD24F" w:rsidR="006E6D14" w:rsidRDefault="006E6D14">
            <w:pPr>
              <w:pStyle w:val="TableText"/>
              <w:jc w:val="center"/>
            </w:pPr>
            <w:r w:rsidRPr="0098262F">
              <w:t>$</w:t>
            </w:r>
            <w:r w:rsidR="00B14769" w:rsidRPr="00B14769">
              <w:rPr>
                <w:highlight w:val="black"/>
              </w:rPr>
              <w:t>&amp;&amp;&amp;&amp;</w:t>
            </w:r>
            <w:r>
              <w:t xml:space="preserve"> Public</w:t>
            </w:r>
            <w:r w:rsidRPr="00134651">
              <w:rPr>
                <w:vertAlign w:val="superscript"/>
              </w:rPr>
              <w:t>a</w:t>
            </w:r>
          </w:p>
          <w:p w14:paraId="4185BE98" w14:textId="5294B646" w:rsidR="006E6D14" w:rsidRPr="0098262F" w:rsidRDefault="006E6D14">
            <w:pPr>
              <w:pStyle w:val="TableText"/>
              <w:jc w:val="center"/>
              <w:rPr>
                <w:szCs w:val="20"/>
              </w:rPr>
            </w:pPr>
            <w:r>
              <w:t>$</w:t>
            </w:r>
            <w:r w:rsidR="00B14769" w:rsidRPr="00B14769">
              <w:rPr>
                <w:highlight w:val="black"/>
              </w:rPr>
              <w:t>&amp;&amp;&amp;&amp;</w:t>
            </w:r>
            <w:r>
              <w:t xml:space="preserve"> Private </w:t>
            </w:r>
          </w:p>
        </w:tc>
        <w:tc>
          <w:tcPr>
            <w:tcW w:w="851" w:type="dxa"/>
            <w:vAlign w:val="center"/>
          </w:tcPr>
          <w:p w14:paraId="42EDAA34" w14:textId="77777777" w:rsidR="006E6D14" w:rsidRPr="0098262F" w:rsidRDefault="006E6D14">
            <w:pPr>
              <w:pStyle w:val="TableText"/>
              <w:jc w:val="center"/>
              <w:rPr>
                <w:szCs w:val="20"/>
              </w:rPr>
            </w:pPr>
            <w:r>
              <w:t>1</w:t>
            </w:r>
          </w:p>
        </w:tc>
        <w:tc>
          <w:tcPr>
            <w:tcW w:w="850" w:type="dxa"/>
            <w:vAlign w:val="center"/>
          </w:tcPr>
          <w:p w14:paraId="32A776B1" w14:textId="77777777" w:rsidR="006E6D14" w:rsidRPr="0098262F" w:rsidRDefault="006E6D14">
            <w:pPr>
              <w:pStyle w:val="TableText"/>
              <w:jc w:val="center"/>
              <w:rPr>
                <w:szCs w:val="20"/>
              </w:rPr>
            </w:pPr>
            <w:r>
              <w:t>1</w:t>
            </w:r>
          </w:p>
        </w:tc>
        <w:tc>
          <w:tcPr>
            <w:tcW w:w="851" w:type="dxa"/>
            <w:vAlign w:val="center"/>
          </w:tcPr>
          <w:p w14:paraId="5D812A0F" w14:textId="77777777" w:rsidR="006E6D14" w:rsidRPr="0098262F" w:rsidRDefault="006E6D14">
            <w:pPr>
              <w:pStyle w:val="TableText"/>
              <w:jc w:val="center"/>
              <w:rPr>
                <w:szCs w:val="20"/>
              </w:rPr>
            </w:pPr>
            <w:r>
              <w:t>7</w:t>
            </w:r>
          </w:p>
        </w:tc>
        <w:tc>
          <w:tcPr>
            <w:tcW w:w="1417" w:type="dxa"/>
            <w:vAlign w:val="center"/>
          </w:tcPr>
          <w:p w14:paraId="3F375F69" w14:textId="77777777" w:rsidR="006E6D14" w:rsidRPr="0098262F" w:rsidRDefault="006E6D14">
            <w:pPr>
              <w:pStyle w:val="TableText"/>
              <w:rPr>
                <w:color w:val="0066FF"/>
                <w:szCs w:val="20"/>
              </w:rPr>
            </w:pPr>
            <w:proofErr w:type="spellStart"/>
            <w:r w:rsidRPr="00F8796C">
              <w:rPr>
                <w:szCs w:val="20"/>
              </w:rPr>
              <w:t>Tezspire</w:t>
            </w:r>
            <w:proofErr w:type="spellEnd"/>
          </w:p>
        </w:tc>
      </w:tr>
    </w:tbl>
    <w:tbl>
      <w:tblPr>
        <w:tblpPr w:leftFromText="180" w:rightFromText="180" w:vertAnchor="text" w:tblpXSpec="center" w:tblpY="1"/>
        <w:tblOverlap w:val="neve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67"/>
      </w:tblGrid>
      <w:tr w:rsidR="006E6D14" w:rsidRPr="0098262F" w14:paraId="3CF70F33" w14:textId="77777777">
        <w:trPr>
          <w:cantSplit/>
          <w:trHeight w:val="20"/>
          <w:jc w:val="center"/>
        </w:trPr>
        <w:tc>
          <w:tcPr>
            <w:tcW w:w="5000" w:type="pct"/>
          </w:tcPr>
          <w:p w14:paraId="16079BF7" w14:textId="77777777" w:rsidR="006E6D14" w:rsidRPr="0098262F" w:rsidRDefault="006E6D14">
            <w:pPr>
              <w:pStyle w:val="TableText"/>
            </w:pPr>
            <w:r w:rsidRPr="0098262F">
              <w:rPr>
                <w:b/>
              </w:rPr>
              <w:t xml:space="preserve">Category / Program: </w:t>
            </w:r>
            <w:r w:rsidRPr="0098262F">
              <w:t>General Schedule/Section 100</w:t>
            </w:r>
          </w:p>
        </w:tc>
      </w:tr>
      <w:tr w:rsidR="006E6D14" w:rsidRPr="0098262F" w14:paraId="6EEA305D" w14:textId="77777777">
        <w:trPr>
          <w:cantSplit/>
          <w:trHeight w:val="20"/>
          <w:jc w:val="center"/>
        </w:trPr>
        <w:tc>
          <w:tcPr>
            <w:tcW w:w="5000" w:type="pct"/>
          </w:tcPr>
          <w:p w14:paraId="6D0EE167" w14:textId="77777777" w:rsidR="006E6D14" w:rsidRPr="0098262F" w:rsidRDefault="006E6D14">
            <w:pPr>
              <w:pStyle w:val="TableText"/>
              <w:rPr>
                <w:b/>
              </w:rPr>
            </w:pPr>
            <w:r w:rsidRPr="0098262F">
              <w:rPr>
                <w:b/>
              </w:rPr>
              <w:t>Prescriber type:</w:t>
            </w:r>
            <w:r w:rsidRPr="0098262F">
              <w:t xml:space="preserve"> </w:t>
            </w:r>
            <w:r w:rsidRPr="00E0652F">
              <w:rPr>
                <w:bCs w:val="0"/>
                <w:lang w:eastAsia="en-US" w:bidi="en-US"/>
              </w:rPr>
              <w:fldChar w:fldCharType="begin">
                <w:ffData>
                  <w:name w:val=""/>
                  <w:enabled/>
                  <w:calcOnExit w:val="0"/>
                  <w:checkBox>
                    <w:sizeAuto/>
                    <w:default w:val="1"/>
                  </w:checkBox>
                </w:ffData>
              </w:fldChar>
            </w:r>
            <w:r w:rsidRPr="00E0652F">
              <w:rPr>
                <w:lang w:eastAsia="en-US" w:bidi="en-US"/>
              </w:rPr>
              <w:instrText xml:space="preserve"> FORMCHECKBOX </w:instrText>
            </w:r>
            <w:r w:rsidRPr="00E0652F">
              <w:rPr>
                <w:bCs w:val="0"/>
                <w:lang w:eastAsia="en-US" w:bidi="en-US"/>
              </w:rPr>
            </w:r>
            <w:r w:rsidRPr="00E0652F">
              <w:rPr>
                <w:bCs w:val="0"/>
                <w:lang w:eastAsia="en-US" w:bidi="en-US"/>
              </w:rPr>
              <w:fldChar w:fldCharType="separate"/>
            </w:r>
            <w:r w:rsidRPr="00E0652F">
              <w:rPr>
                <w:bCs w:val="0"/>
                <w:lang w:eastAsia="en-US" w:bidi="en-US"/>
              </w:rPr>
              <w:fldChar w:fldCharType="end"/>
            </w:r>
            <w:r>
              <w:rPr>
                <w:bCs w:val="0"/>
                <w:lang w:eastAsia="en-US" w:bidi="en-US"/>
              </w:rPr>
              <w:t xml:space="preserve"> </w:t>
            </w:r>
            <w:r w:rsidRPr="0098262F">
              <w:t xml:space="preserve">Medical Practitioners </w:t>
            </w:r>
          </w:p>
        </w:tc>
      </w:tr>
      <w:tr w:rsidR="006E6D14" w:rsidRPr="0098262F" w14:paraId="3E078731" w14:textId="77777777">
        <w:trPr>
          <w:cantSplit/>
          <w:trHeight w:val="20"/>
          <w:jc w:val="center"/>
        </w:trPr>
        <w:tc>
          <w:tcPr>
            <w:tcW w:w="5000" w:type="pct"/>
          </w:tcPr>
          <w:p w14:paraId="294E5B0B" w14:textId="77777777" w:rsidR="006E6D14" w:rsidRPr="0098262F" w:rsidRDefault="006E6D14">
            <w:pPr>
              <w:pStyle w:val="TableText"/>
              <w:rPr>
                <w:rFonts w:eastAsia="Times New Roman"/>
              </w:rPr>
            </w:pPr>
            <w:r w:rsidRPr="0098262F">
              <w:rPr>
                <w:b/>
              </w:rPr>
              <w:t xml:space="preserve">Restriction type: </w:t>
            </w:r>
            <w:r w:rsidRPr="00E0652F">
              <w:rPr>
                <w:bCs w:val="0"/>
                <w:lang w:eastAsia="en-US" w:bidi="en-US"/>
              </w:rPr>
              <w:fldChar w:fldCharType="begin">
                <w:ffData>
                  <w:name w:val=""/>
                  <w:enabled/>
                  <w:calcOnExit w:val="0"/>
                  <w:checkBox>
                    <w:sizeAuto/>
                    <w:default w:val="1"/>
                  </w:checkBox>
                </w:ffData>
              </w:fldChar>
            </w:r>
            <w:r w:rsidRPr="00E0652F">
              <w:rPr>
                <w:lang w:eastAsia="en-US" w:bidi="en-US"/>
              </w:rPr>
              <w:instrText xml:space="preserve"> FORMCHECKBOX </w:instrText>
            </w:r>
            <w:r w:rsidRPr="00E0652F">
              <w:rPr>
                <w:bCs w:val="0"/>
                <w:lang w:eastAsia="en-US" w:bidi="en-US"/>
              </w:rPr>
            </w:r>
            <w:r w:rsidRPr="00E0652F">
              <w:rPr>
                <w:bCs w:val="0"/>
                <w:lang w:eastAsia="en-US" w:bidi="en-US"/>
              </w:rPr>
              <w:fldChar w:fldCharType="separate"/>
            </w:r>
            <w:r w:rsidRPr="00E0652F">
              <w:rPr>
                <w:bCs w:val="0"/>
                <w:lang w:eastAsia="en-US" w:bidi="en-US"/>
              </w:rPr>
              <w:fldChar w:fldCharType="end"/>
            </w:r>
            <w:r w:rsidRPr="0098262F">
              <w:rPr>
                <w:rFonts w:eastAsia="Times New Roman"/>
              </w:rPr>
              <w:t xml:space="preserve">Authority Required (in writing only via post/HPOS upload) </w:t>
            </w:r>
          </w:p>
        </w:tc>
      </w:tr>
      <w:tr w:rsidR="006E6D14" w:rsidRPr="0098262F" w14:paraId="6DD3800C" w14:textId="77777777">
        <w:trPr>
          <w:cantSplit/>
          <w:trHeight w:val="20"/>
          <w:jc w:val="center"/>
        </w:trPr>
        <w:tc>
          <w:tcPr>
            <w:tcW w:w="5000" w:type="pct"/>
            <w:vAlign w:val="center"/>
          </w:tcPr>
          <w:p w14:paraId="41DA469B" w14:textId="77777777" w:rsidR="006E6D14" w:rsidRPr="0098262F" w:rsidRDefault="006E6D14">
            <w:pPr>
              <w:pStyle w:val="TableText"/>
            </w:pPr>
            <w:proofErr w:type="spellStart"/>
            <w:r w:rsidRPr="0098262F">
              <w:rPr>
                <w:b/>
              </w:rPr>
              <w:t>Episodicity</w:t>
            </w:r>
            <w:proofErr w:type="spellEnd"/>
            <w:r w:rsidRPr="0098262F">
              <w:rPr>
                <w:b/>
              </w:rPr>
              <w:t xml:space="preserve">: </w:t>
            </w:r>
            <w:r w:rsidRPr="00A5664D">
              <w:rPr>
                <w:bCs w:val="0"/>
              </w:rPr>
              <w:t>Active</w:t>
            </w:r>
          </w:p>
        </w:tc>
      </w:tr>
      <w:tr w:rsidR="006E6D14" w:rsidRPr="0098262F" w14:paraId="00A235ED" w14:textId="77777777">
        <w:trPr>
          <w:cantSplit/>
          <w:trHeight w:val="20"/>
          <w:jc w:val="center"/>
        </w:trPr>
        <w:tc>
          <w:tcPr>
            <w:tcW w:w="5000" w:type="pct"/>
            <w:vAlign w:val="center"/>
          </w:tcPr>
          <w:p w14:paraId="65E44118" w14:textId="77777777" w:rsidR="006E6D14" w:rsidRPr="0098262F" w:rsidRDefault="006E6D14">
            <w:pPr>
              <w:pStyle w:val="TableText"/>
              <w:rPr>
                <w:b/>
              </w:rPr>
            </w:pPr>
            <w:r w:rsidRPr="0098262F">
              <w:rPr>
                <w:b/>
              </w:rPr>
              <w:t xml:space="preserve">Severity: </w:t>
            </w:r>
            <w:r w:rsidRPr="00A5664D">
              <w:rPr>
                <w:bCs w:val="0"/>
              </w:rPr>
              <w:t>Uncontrolled Severe</w:t>
            </w:r>
          </w:p>
        </w:tc>
      </w:tr>
      <w:tr w:rsidR="006E6D14" w:rsidRPr="0098262F" w14:paraId="6E141F2B" w14:textId="77777777">
        <w:trPr>
          <w:cantSplit/>
          <w:trHeight w:val="20"/>
          <w:jc w:val="center"/>
        </w:trPr>
        <w:tc>
          <w:tcPr>
            <w:tcW w:w="5000" w:type="pct"/>
            <w:vAlign w:val="center"/>
          </w:tcPr>
          <w:p w14:paraId="69FB7067" w14:textId="77777777" w:rsidR="006E6D14" w:rsidRPr="0098262F" w:rsidRDefault="006E6D14">
            <w:pPr>
              <w:pStyle w:val="TableText"/>
              <w:rPr>
                <w:b/>
              </w:rPr>
            </w:pPr>
            <w:r w:rsidRPr="0098262F">
              <w:rPr>
                <w:b/>
              </w:rPr>
              <w:t xml:space="preserve">Condition: </w:t>
            </w:r>
            <w:r w:rsidRPr="00A5664D">
              <w:rPr>
                <w:bCs w:val="0"/>
              </w:rPr>
              <w:t>Uncontrolled severe asthma</w:t>
            </w:r>
          </w:p>
        </w:tc>
      </w:tr>
      <w:tr w:rsidR="006E6D14" w:rsidRPr="0098262F" w14:paraId="3DAC14A9" w14:textId="77777777">
        <w:trPr>
          <w:cantSplit/>
          <w:trHeight w:val="20"/>
          <w:jc w:val="center"/>
        </w:trPr>
        <w:tc>
          <w:tcPr>
            <w:tcW w:w="5000" w:type="pct"/>
            <w:vAlign w:val="center"/>
            <w:hideMark/>
          </w:tcPr>
          <w:p w14:paraId="14FCB4AD" w14:textId="77777777" w:rsidR="006E6D14" w:rsidRPr="0098262F" w:rsidRDefault="006E6D14">
            <w:pPr>
              <w:pStyle w:val="TableText"/>
            </w:pPr>
            <w:r w:rsidRPr="0098262F">
              <w:rPr>
                <w:b/>
              </w:rPr>
              <w:lastRenderedPageBreak/>
              <w:t>Indication:</w:t>
            </w:r>
            <w:r w:rsidRPr="0098262F">
              <w:t xml:space="preserve"> </w:t>
            </w:r>
            <w:r w:rsidRPr="00A5664D">
              <w:t>Uncontrolled severe asthma</w:t>
            </w:r>
          </w:p>
        </w:tc>
      </w:tr>
      <w:tr w:rsidR="006E6D14" w:rsidRPr="0098262F" w14:paraId="01F86536" w14:textId="77777777">
        <w:trPr>
          <w:cantSplit/>
          <w:trHeight w:val="20"/>
          <w:jc w:val="center"/>
        </w:trPr>
        <w:tc>
          <w:tcPr>
            <w:tcW w:w="5000" w:type="pct"/>
            <w:vAlign w:val="center"/>
            <w:hideMark/>
          </w:tcPr>
          <w:p w14:paraId="0DA159A2" w14:textId="77777777" w:rsidR="006E6D14" w:rsidRPr="0098262F" w:rsidRDefault="006E6D14">
            <w:pPr>
              <w:pStyle w:val="TableText"/>
            </w:pPr>
            <w:r w:rsidRPr="0098262F">
              <w:rPr>
                <w:b/>
              </w:rPr>
              <w:t>Treatment Phase:</w:t>
            </w:r>
            <w:r w:rsidRPr="0098262F">
              <w:t xml:space="preserve"> </w:t>
            </w:r>
            <w:r w:rsidRPr="00A5664D">
              <w:t xml:space="preserve">Initial treatment – New patients </w:t>
            </w:r>
          </w:p>
        </w:tc>
      </w:tr>
      <w:tr w:rsidR="006E6D14" w:rsidRPr="0098262F" w14:paraId="5058A1E7" w14:textId="77777777">
        <w:trPr>
          <w:cantSplit/>
          <w:trHeight w:val="20"/>
          <w:jc w:val="center"/>
        </w:trPr>
        <w:tc>
          <w:tcPr>
            <w:tcW w:w="5000" w:type="pct"/>
            <w:vAlign w:val="center"/>
            <w:hideMark/>
          </w:tcPr>
          <w:p w14:paraId="314F756D" w14:textId="77777777" w:rsidR="006E6D14" w:rsidRPr="0098262F" w:rsidRDefault="006E6D14">
            <w:pPr>
              <w:pStyle w:val="TableText"/>
            </w:pPr>
            <w:r w:rsidRPr="0098262F">
              <w:rPr>
                <w:b/>
              </w:rPr>
              <w:t>Clinical criteria:</w:t>
            </w:r>
            <w:r>
              <w:rPr>
                <w:b/>
              </w:rPr>
              <w:t xml:space="preserve"> </w:t>
            </w:r>
          </w:p>
        </w:tc>
      </w:tr>
      <w:tr w:rsidR="006E6D14" w:rsidRPr="0098262F" w14:paraId="2B5FFE52" w14:textId="77777777">
        <w:trPr>
          <w:cantSplit/>
          <w:trHeight w:val="20"/>
          <w:jc w:val="center"/>
        </w:trPr>
        <w:tc>
          <w:tcPr>
            <w:tcW w:w="5000" w:type="pct"/>
          </w:tcPr>
          <w:p w14:paraId="7347FA73" w14:textId="77777777" w:rsidR="006E6D14" w:rsidRPr="0098262F" w:rsidRDefault="006E6D14">
            <w:pPr>
              <w:pStyle w:val="TableText"/>
            </w:pPr>
            <w:r>
              <w:t>Patient must be under the care of the same physician for at least 6 months; or</w:t>
            </w:r>
          </w:p>
        </w:tc>
      </w:tr>
      <w:tr w:rsidR="006E6D14" w:rsidRPr="0098262F" w14:paraId="1C60228B" w14:textId="77777777">
        <w:trPr>
          <w:cantSplit/>
          <w:trHeight w:val="20"/>
          <w:jc w:val="center"/>
        </w:trPr>
        <w:tc>
          <w:tcPr>
            <w:tcW w:w="5000" w:type="pct"/>
          </w:tcPr>
          <w:p w14:paraId="1CAC6309" w14:textId="77777777" w:rsidR="006E6D14" w:rsidRPr="0098262F" w:rsidRDefault="006E6D14">
            <w:pPr>
              <w:pStyle w:val="TableText"/>
            </w:pPr>
            <w:r>
              <w:t>Patient must have been diagnosed by a multidisciplinary severe asthma clinic team.</w:t>
            </w:r>
          </w:p>
        </w:tc>
      </w:tr>
      <w:tr w:rsidR="006E6D14" w:rsidRPr="0098262F" w14:paraId="118881E8" w14:textId="77777777">
        <w:trPr>
          <w:cantSplit/>
          <w:trHeight w:val="20"/>
          <w:jc w:val="center"/>
        </w:trPr>
        <w:tc>
          <w:tcPr>
            <w:tcW w:w="5000" w:type="pct"/>
          </w:tcPr>
          <w:p w14:paraId="2F19F2E8" w14:textId="77777777" w:rsidR="006E6D14" w:rsidRPr="006E3C56" w:rsidRDefault="006E6D14">
            <w:pPr>
              <w:pStyle w:val="TableText"/>
              <w:rPr>
                <w:b/>
                <w:bCs w:val="0"/>
              </w:rPr>
            </w:pPr>
            <w:r w:rsidRPr="006E3C56">
              <w:rPr>
                <w:b/>
                <w:bCs w:val="0"/>
              </w:rPr>
              <w:t>AND</w:t>
            </w:r>
          </w:p>
        </w:tc>
      </w:tr>
      <w:tr w:rsidR="006E6D14" w:rsidRPr="0098262F" w14:paraId="4FD2FB4A" w14:textId="77777777">
        <w:trPr>
          <w:cantSplit/>
          <w:trHeight w:val="20"/>
          <w:jc w:val="center"/>
        </w:trPr>
        <w:tc>
          <w:tcPr>
            <w:tcW w:w="5000" w:type="pct"/>
          </w:tcPr>
          <w:p w14:paraId="3CEC49AB" w14:textId="77777777" w:rsidR="006E6D14" w:rsidRPr="0098262F" w:rsidRDefault="006E6D14">
            <w:pPr>
              <w:pStyle w:val="TableText"/>
            </w:pPr>
            <w:r>
              <w:t>Patient must not have received PBS-subsidised treatment with a biological medicine for severe asthma; or</w:t>
            </w:r>
          </w:p>
        </w:tc>
      </w:tr>
      <w:tr w:rsidR="006E6D14" w:rsidRPr="0098262F" w14:paraId="34CA1561" w14:textId="77777777">
        <w:trPr>
          <w:cantSplit/>
          <w:trHeight w:val="20"/>
          <w:jc w:val="center"/>
        </w:trPr>
        <w:tc>
          <w:tcPr>
            <w:tcW w:w="5000" w:type="pct"/>
          </w:tcPr>
          <w:p w14:paraId="6BFF1B60" w14:textId="77777777" w:rsidR="006E6D14" w:rsidRPr="0098262F" w:rsidRDefault="006E6D14">
            <w:pPr>
              <w:pStyle w:val="TableText"/>
            </w:pPr>
            <w:r>
              <w:t>Patient must have had a break in treatment from a PBS-subsidised biological medicine for severe asthma.</w:t>
            </w:r>
          </w:p>
        </w:tc>
      </w:tr>
      <w:tr w:rsidR="006E6D14" w:rsidRPr="0098262F" w14:paraId="55223674" w14:textId="77777777">
        <w:trPr>
          <w:cantSplit/>
          <w:trHeight w:val="20"/>
          <w:jc w:val="center"/>
        </w:trPr>
        <w:tc>
          <w:tcPr>
            <w:tcW w:w="5000" w:type="pct"/>
          </w:tcPr>
          <w:p w14:paraId="47A30C78" w14:textId="77777777" w:rsidR="006E6D14" w:rsidRPr="006E3C56" w:rsidRDefault="006E6D14">
            <w:pPr>
              <w:pStyle w:val="TableText"/>
              <w:rPr>
                <w:b/>
                <w:bCs w:val="0"/>
              </w:rPr>
            </w:pPr>
            <w:r w:rsidRPr="006E3C56">
              <w:rPr>
                <w:b/>
                <w:bCs w:val="0"/>
              </w:rPr>
              <w:t>AND</w:t>
            </w:r>
          </w:p>
        </w:tc>
      </w:tr>
      <w:tr w:rsidR="006E6D14" w:rsidRPr="0098262F" w14:paraId="556B06B3" w14:textId="77777777">
        <w:trPr>
          <w:cantSplit/>
          <w:trHeight w:val="20"/>
          <w:jc w:val="center"/>
        </w:trPr>
        <w:tc>
          <w:tcPr>
            <w:tcW w:w="5000" w:type="pct"/>
          </w:tcPr>
          <w:p w14:paraId="1C8FD855" w14:textId="77777777" w:rsidR="006E6D14" w:rsidRPr="0098262F" w:rsidRDefault="006E6D14">
            <w:pPr>
              <w:pStyle w:val="TableText"/>
            </w:pPr>
            <w:r w:rsidRPr="00594E56">
              <w:t>Patient must have a diagnosis of asthma confirmed and documented by a respiratory physician, clinical immunologist, allergist or general physician experienced in the management of patients with severe asthma, defined by the following standard clinical features: (</w:t>
            </w:r>
            <w:proofErr w:type="spellStart"/>
            <w:r w:rsidRPr="00594E56">
              <w:t>i</w:t>
            </w:r>
            <w:proofErr w:type="spellEnd"/>
            <w:r w:rsidRPr="00594E56">
              <w:t>) forced expiratory volume (FEV</w:t>
            </w:r>
            <w:r w:rsidRPr="00284C7A">
              <w:rPr>
                <w:vertAlign w:val="subscript"/>
              </w:rPr>
              <w:t>1</w:t>
            </w:r>
            <w:r w:rsidRPr="00594E56">
              <w:t>) reversibility greater than or equal to 12% and greater than or equal to 200 mL at baseline within 30 minutes after administration of salbutamol (200 to 400 micrograms), or (ii) airway hyperresponsiveness defined as a greater than 20% decline in FEV</w:t>
            </w:r>
            <w:r w:rsidRPr="00284C7A">
              <w:rPr>
                <w:vertAlign w:val="subscript"/>
              </w:rPr>
              <w:t>1</w:t>
            </w:r>
            <w:r w:rsidRPr="00594E56">
              <w:t xml:space="preserve"> during a direct bronchial provocation test or greater than 15% decline during an indirect bronchial provocation test, or (iii) peak expiratory flow (PEF) variability of greater than 15% between the two highest and two lowest peak expiratory flow rates during 14 days; or</w:t>
            </w:r>
          </w:p>
        </w:tc>
      </w:tr>
      <w:tr w:rsidR="006E6D14" w:rsidRPr="0098262F" w14:paraId="6C9AB10A" w14:textId="77777777">
        <w:trPr>
          <w:cantSplit/>
          <w:trHeight w:val="20"/>
          <w:jc w:val="center"/>
        </w:trPr>
        <w:tc>
          <w:tcPr>
            <w:tcW w:w="5000" w:type="pct"/>
          </w:tcPr>
          <w:p w14:paraId="05ECE85B" w14:textId="77777777" w:rsidR="006E6D14" w:rsidRPr="0098262F" w:rsidRDefault="006E6D14">
            <w:pPr>
              <w:pStyle w:val="TableText"/>
            </w:pPr>
            <w:r w:rsidRPr="00594E56">
              <w:t>Patient must have a diagnosis of asthma from at least two physicians experienced in the management of patients with severe asthma.</w:t>
            </w:r>
          </w:p>
        </w:tc>
      </w:tr>
      <w:tr w:rsidR="006E6D14" w:rsidRPr="0098262F" w14:paraId="1D6D5683" w14:textId="77777777">
        <w:trPr>
          <w:cantSplit/>
          <w:trHeight w:val="20"/>
          <w:jc w:val="center"/>
        </w:trPr>
        <w:tc>
          <w:tcPr>
            <w:tcW w:w="5000" w:type="pct"/>
          </w:tcPr>
          <w:p w14:paraId="0586BF80" w14:textId="77777777" w:rsidR="006E6D14" w:rsidRPr="006E3C56" w:rsidRDefault="006E6D14">
            <w:pPr>
              <w:pStyle w:val="TableText"/>
              <w:rPr>
                <w:b/>
                <w:bCs w:val="0"/>
              </w:rPr>
            </w:pPr>
            <w:r w:rsidRPr="006E3C56">
              <w:rPr>
                <w:b/>
                <w:bCs w:val="0"/>
              </w:rPr>
              <w:t>AND</w:t>
            </w:r>
          </w:p>
        </w:tc>
      </w:tr>
      <w:tr w:rsidR="006E6D14" w:rsidRPr="0098262F" w14:paraId="416F1194" w14:textId="77777777">
        <w:trPr>
          <w:cantSplit/>
          <w:trHeight w:val="20"/>
          <w:jc w:val="center"/>
        </w:trPr>
        <w:tc>
          <w:tcPr>
            <w:tcW w:w="5000" w:type="pct"/>
          </w:tcPr>
          <w:p w14:paraId="069C9E3C" w14:textId="77777777" w:rsidR="006E6D14" w:rsidRPr="0098262F" w:rsidRDefault="006E6D14">
            <w:pPr>
              <w:pStyle w:val="TableText"/>
            </w:pPr>
            <w:r w:rsidRPr="00C072BA">
              <w:t>Patient must have a duration of asthma of at least 1 year.</w:t>
            </w:r>
          </w:p>
        </w:tc>
      </w:tr>
      <w:tr w:rsidR="006E6D14" w:rsidRPr="0098262F" w14:paraId="388F1125" w14:textId="77777777">
        <w:trPr>
          <w:cantSplit/>
          <w:trHeight w:val="20"/>
          <w:jc w:val="center"/>
        </w:trPr>
        <w:tc>
          <w:tcPr>
            <w:tcW w:w="5000" w:type="pct"/>
          </w:tcPr>
          <w:p w14:paraId="5D0233EE" w14:textId="77777777" w:rsidR="006E6D14" w:rsidRPr="006E3C56" w:rsidRDefault="006E6D14">
            <w:pPr>
              <w:pStyle w:val="TableText"/>
              <w:rPr>
                <w:b/>
                <w:bCs w:val="0"/>
              </w:rPr>
            </w:pPr>
            <w:r w:rsidRPr="006E3C56">
              <w:rPr>
                <w:b/>
                <w:bCs w:val="0"/>
              </w:rPr>
              <w:t>AND</w:t>
            </w:r>
          </w:p>
        </w:tc>
      </w:tr>
      <w:tr w:rsidR="006E6D14" w:rsidRPr="0098262F" w14:paraId="626388CD" w14:textId="77777777">
        <w:trPr>
          <w:cantSplit/>
          <w:trHeight w:val="20"/>
          <w:jc w:val="center"/>
        </w:trPr>
        <w:tc>
          <w:tcPr>
            <w:tcW w:w="5000" w:type="pct"/>
          </w:tcPr>
          <w:p w14:paraId="6391908E" w14:textId="77777777" w:rsidR="006E6D14" w:rsidRPr="0098262F" w:rsidRDefault="006E6D14">
            <w:pPr>
              <w:pStyle w:val="TableText"/>
            </w:pPr>
            <w:r w:rsidRPr="00B80FBC">
              <w:t>Patient must have blood eosinophil count less th</w:t>
            </w:r>
            <w:r w:rsidRPr="005E6728">
              <w:t xml:space="preserve">an 300 cells per microlitre in the last 12 months while not </w:t>
            </w:r>
            <w:r w:rsidRPr="005E6728">
              <w:rPr>
                <w:iCs/>
              </w:rPr>
              <w:t>receiving treatment with oral corticosteroids</w:t>
            </w:r>
            <w:r w:rsidRPr="005E6728">
              <w:t>, or</w:t>
            </w:r>
          </w:p>
        </w:tc>
      </w:tr>
      <w:tr w:rsidR="006E6D14" w:rsidRPr="0098262F" w14:paraId="27CA2258" w14:textId="77777777">
        <w:trPr>
          <w:cantSplit/>
          <w:trHeight w:val="20"/>
          <w:jc w:val="center"/>
        </w:trPr>
        <w:tc>
          <w:tcPr>
            <w:tcW w:w="5000" w:type="pct"/>
          </w:tcPr>
          <w:p w14:paraId="1F840BEC" w14:textId="77777777" w:rsidR="006E6D14" w:rsidRPr="0098262F" w:rsidRDefault="006E6D14">
            <w:pPr>
              <w:pStyle w:val="TableText"/>
            </w:pPr>
            <w:r w:rsidRPr="00B80FBC">
              <w:rPr>
                <w:iCs/>
              </w:rPr>
              <w:t>Patient must have blood eosinophil count less than 150 cells per microlitre while receiving treatment with oral corticosteroids in the last 12 months</w:t>
            </w:r>
          </w:p>
        </w:tc>
      </w:tr>
      <w:tr w:rsidR="006E6D14" w:rsidRPr="0098262F" w14:paraId="264D3ED1" w14:textId="77777777">
        <w:trPr>
          <w:cantSplit/>
          <w:trHeight w:val="20"/>
          <w:jc w:val="center"/>
        </w:trPr>
        <w:tc>
          <w:tcPr>
            <w:tcW w:w="5000" w:type="pct"/>
          </w:tcPr>
          <w:p w14:paraId="109459FF" w14:textId="77777777" w:rsidR="006E6D14" w:rsidRPr="006E3C56" w:rsidRDefault="006E6D14">
            <w:pPr>
              <w:pStyle w:val="TableText"/>
              <w:rPr>
                <w:b/>
                <w:bCs w:val="0"/>
              </w:rPr>
            </w:pPr>
            <w:r w:rsidRPr="006E3C56">
              <w:rPr>
                <w:b/>
                <w:bCs w:val="0"/>
                <w:iCs/>
              </w:rPr>
              <w:t>AND</w:t>
            </w:r>
          </w:p>
        </w:tc>
      </w:tr>
      <w:tr w:rsidR="006E6D14" w:rsidRPr="0098262F" w14:paraId="5E9CDC14" w14:textId="77777777">
        <w:trPr>
          <w:cantSplit/>
          <w:trHeight w:val="20"/>
          <w:jc w:val="center"/>
        </w:trPr>
        <w:tc>
          <w:tcPr>
            <w:tcW w:w="5000" w:type="pct"/>
          </w:tcPr>
          <w:p w14:paraId="7C6F8DB9" w14:textId="77777777" w:rsidR="006E6D14" w:rsidRPr="0098262F" w:rsidRDefault="006E6D14">
            <w:pPr>
              <w:pStyle w:val="TableText"/>
            </w:pPr>
            <w:r w:rsidRPr="004B133E">
              <w:rPr>
                <w:iCs/>
              </w:rPr>
              <w:t xml:space="preserve">Patient must have total serum human immunoglobulin E less than 30 IU/mL, measured in the last 12 months </w:t>
            </w:r>
            <w:r>
              <w:rPr>
                <w:iCs/>
              </w:rPr>
              <w:t>and no</w:t>
            </w:r>
            <w:r w:rsidRPr="004B133E">
              <w:rPr>
                <w:iCs/>
              </w:rPr>
              <w:t xml:space="preserve"> past or current evidence of atopy, documented by either: (</w:t>
            </w:r>
            <w:proofErr w:type="spellStart"/>
            <w:r w:rsidRPr="004B133E">
              <w:rPr>
                <w:iCs/>
              </w:rPr>
              <w:t>i</w:t>
            </w:r>
            <w:proofErr w:type="spellEnd"/>
            <w:r w:rsidRPr="004B133E">
              <w:rPr>
                <w:iCs/>
              </w:rPr>
              <w:t>) skin prick testing; (ii) an in vitro measure of specific IgE</w:t>
            </w:r>
          </w:p>
        </w:tc>
      </w:tr>
      <w:tr w:rsidR="006E6D14" w:rsidRPr="0098262F" w14:paraId="096902C6" w14:textId="77777777">
        <w:trPr>
          <w:cantSplit/>
          <w:trHeight w:val="20"/>
          <w:jc w:val="center"/>
        </w:trPr>
        <w:tc>
          <w:tcPr>
            <w:tcW w:w="5000" w:type="pct"/>
          </w:tcPr>
          <w:p w14:paraId="42B3DE6E" w14:textId="77777777" w:rsidR="006E6D14" w:rsidRPr="006E3C56" w:rsidRDefault="006E6D14">
            <w:pPr>
              <w:pStyle w:val="TableText"/>
              <w:rPr>
                <w:b/>
                <w:bCs w:val="0"/>
              </w:rPr>
            </w:pPr>
            <w:r w:rsidRPr="006E3C56">
              <w:rPr>
                <w:b/>
                <w:bCs w:val="0"/>
              </w:rPr>
              <w:t>AND</w:t>
            </w:r>
          </w:p>
        </w:tc>
      </w:tr>
      <w:tr w:rsidR="006E6D14" w:rsidRPr="0098262F" w14:paraId="29B011AA" w14:textId="77777777">
        <w:trPr>
          <w:cantSplit/>
          <w:trHeight w:val="20"/>
          <w:jc w:val="center"/>
        </w:trPr>
        <w:tc>
          <w:tcPr>
            <w:tcW w:w="5000" w:type="pct"/>
          </w:tcPr>
          <w:p w14:paraId="1C9C0D1F" w14:textId="77777777" w:rsidR="006E6D14" w:rsidRPr="00A5664D" w:rsidRDefault="006E6D14">
            <w:pPr>
              <w:pStyle w:val="TableText"/>
              <w:rPr>
                <w:b/>
                <w:bCs w:val="0"/>
              </w:rPr>
            </w:pPr>
            <w:r w:rsidRPr="00193BC1">
              <w:t>Patient must have failed to achieve adequate control with optimised asthma therapy, despite formal assessment of and adherence to correct inhaler technique, which has been documented.</w:t>
            </w:r>
          </w:p>
        </w:tc>
      </w:tr>
      <w:tr w:rsidR="006E6D14" w:rsidRPr="0098262F" w14:paraId="0CE79962" w14:textId="77777777">
        <w:trPr>
          <w:cantSplit/>
          <w:trHeight w:val="20"/>
          <w:jc w:val="center"/>
        </w:trPr>
        <w:tc>
          <w:tcPr>
            <w:tcW w:w="5000" w:type="pct"/>
          </w:tcPr>
          <w:p w14:paraId="62A27176" w14:textId="77777777" w:rsidR="006E6D14" w:rsidRPr="006E3C56" w:rsidRDefault="006E6D14">
            <w:pPr>
              <w:pStyle w:val="TableText"/>
              <w:rPr>
                <w:b/>
                <w:bCs w:val="0"/>
              </w:rPr>
            </w:pPr>
            <w:r w:rsidRPr="006E3C56">
              <w:rPr>
                <w:b/>
                <w:bCs w:val="0"/>
              </w:rPr>
              <w:t>AND</w:t>
            </w:r>
          </w:p>
        </w:tc>
      </w:tr>
      <w:tr w:rsidR="006E6D14" w:rsidRPr="0098262F" w14:paraId="47B4FDA1" w14:textId="77777777">
        <w:trPr>
          <w:cantSplit/>
          <w:trHeight w:val="20"/>
          <w:jc w:val="center"/>
        </w:trPr>
        <w:tc>
          <w:tcPr>
            <w:tcW w:w="5000" w:type="pct"/>
          </w:tcPr>
          <w:p w14:paraId="2BF3EC17" w14:textId="77777777" w:rsidR="006E6D14" w:rsidRPr="00A5664D" w:rsidRDefault="006E6D14">
            <w:pPr>
              <w:pStyle w:val="TableText"/>
              <w:rPr>
                <w:b/>
                <w:bCs w:val="0"/>
              </w:rPr>
            </w:pPr>
            <w:r w:rsidRPr="00FE4908">
              <w:t>Patient must not receive more than 32 weeks of treatment under this restriction.</w:t>
            </w:r>
          </w:p>
        </w:tc>
      </w:tr>
      <w:tr w:rsidR="006E6D14" w:rsidRPr="0098262F" w14:paraId="248A938D" w14:textId="77777777">
        <w:trPr>
          <w:cantSplit/>
          <w:trHeight w:val="20"/>
          <w:jc w:val="center"/>
        </w:trPr>
        <w:tc>
          <w:tcPr>
            <w:tcW w:w="5000" w:type="pct"/>
            <w:vAlign w:val="center"/>
          </w:tcPr>
          <w:p w14:paraId="0572EA13" w14:textId="77777777" w:rsidR="006E6D14" w:rsidRPr="0098262F" w:rsidRDefault="006E6D14">
            <w:pPr>
              <w:pStyle w:val="TableText"/>
              <w:rPr>
                <w:b/>
              </w:rPr>
            </w:pPr>
            <w:r w:rsidRPr="00B52426">
              <w:rPr>
                <w:b/>
              </w:rPr>
              <w:t>Treatment criteria:</w:t>
            </w:r>
          </w:p>
        </w:tc>
      </w:tr>
      <w:tr w:rsidR="006E6D14" w:rsidRPr="0098262F" w14:paraId="2A157E7E" w14:textId="77777777">
        <w:trPr>
          <w:cantSplit/>
          <w:trHeight w:val="20"/>
          <w:jc w:val="center"/>
        </w:trPr>
        <w:tc>
          <w:tcPr>
            <w:tcW w:w="5000" w:type="pct"/>
            <w:vAlign w:val="center"/>
          </w:tcPr>
          <w:p w14:paraId="734B47FC" w14:textId="77777777" w:rsidR="006E6D14" w:rsidRPr="0098262F" w:rsidRDefault="006E6D14">
            <w:pPr>
              <w:pStyle w:val="TableText"/>
              <w:rPr>
                <w:b/>
              </w:rPr>
            </w:pPr>
            <w:r w:rsidRPr="00B52426">
              <w:rPr>
                <w:bCs w:val="0"/>
              </w:rPr>
              <w:t>Must be treated by a respiratory physician, clinical immunologist, allergist or general physician experienced in the management of patients with severe asthma.</w:t>
            </w:r>
          </w:p>
        </w:tc>
      </w:tr>
      <w:tr w:rsidR="006E6D14" w:rsidRPr="0098262F" w14:paraId="12BB5F18" w14:textId="77777777">
        <w:trPr>
          <w:cantSplit/>
          <w:trHeight w:val="20"/>
          <w:jc w:val="center"/>
        </w:trPr>
        <w:tc>
          <w:tcPr>
            <w:tcW w:w="5000" w:type="pct"/>
            <w:vAlign w:val="center"/>
            <w:hideMark/>
          </w:tcPr>
          <w:p w14:paraId="15A269A3" w14:textId="77777777" w:rsidR="006E6D14" w:rsidRPr="0098262F" w:rsidRDefault="006E6D14">
            <w:pPr>
              <w:pStyle w:val="TableText"/>
            </w:pPr>
            <w:r w:rsidRPr="0098262F">
              <w:rPr>
                <w:b/>
              </w:rPr>
              <w:t>Population criteria:</w:t>
            </w:r>
          </w:p>
        </w:tc>
      </w:tr>
      <w:tr w:rsidR="006E6D14" w:rsidRPr="0098262F" w14:paraId="489F2AC8" w14:textId="77777777">
        <w:trPr>
          <w:cantSplit/>
          <w:trHeight w:val="20"/>
          <w:jc w:val="center"/>
        </w:trPr>
        <w:tc>
          <w:tcPr>
            <w:tcW w:w="5000" w:type="pct"/>
            <w:vAlign w:val="center"/>
          </w:tcPr>
          <w:p w14:paraId="393BDD22" w14:textId="77777777" w:rsidR="006E6D14" w:rsidRPr="0098262F" w:rsidRDefault="006E6D14">
            <w:pPr>
              <w:pStyle w:val="TableText"/>
              <w:rPr>
                <w:color w:val="0066FF"/>
              </w:rPr>
            </w:pPr>
            <w:r w:rsidRPr="00A5664D">
              <w:t>Patients must be aged 12 years or older.</w:t>
            </w:r>
          </w:p>
        </w:tc>
      </w:tr>
    </w:tbl>
    <w:p w14:paraId="1D3914CC" w14:textId="77777777" w:rsidR="006E6D14" w:rsidRDefault="006E6D14" w:rsidP="006E6D14">
      <w:pPr>
        <w:rPr>
          <w:lang w:val="da-DK"/>
        </w:rPr>
      </w:pP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2"/>
        <w:gridCol w:w="2409"/>
        <w:gridCol w:w="851"/>
        <w:gridCol w:w="850"/>
        <w:gridCol w:w="851"/>
        <w:gridCol w:w="1418"/>
      </w:tblGrid>
      <w:tr w:rsidR="006E6D14" w:rsidRPr="0098262F" w14:paraId="6E4CF096" w14:textId="77777777" w:rsidTr="008D7558">
        <w:trPr>
          <w:cantSplit/>
          <w:trHeight w:val="20"/>
        </w:trPr>
        <w:tc>
          <w:tcPr>
            <w:tcW w:w="2693" w:type="dxa"/>
            <w:vAlign w:val="center"/>
          </w:tcPr>
          <w:p w14:paraId="31DF9D4B" w14:textId="77777777" w:rsidR="006E6D14" w:rsidRPr="00EE7434" w:rsidRDefault="006E6D14">
            <w:pPr>
              <w:pStyle w:val="TableText"/>
              <w:rPr>
                <w:b/>
                <w:bCs w:val="0"/>
              </w:rPr>
            </w:pPr>
            <w:r w:rsidRPr="00EE7434">
              <w:rPr>
                <w:b/>
                <w:bCs w:val="0"/>
              </w:rPr>
              <w:t>MEDICINAL PRODUCT</w:t>
            </w:r>
          </w:p>
          <w:p w14:paraId="6AA20F26" w14:textId="77777777" w:rsidR="006E6D14" w:rsidRPr="00EE7434" w:rsidRDefault="006E6D14">
            <w:pPr>
              <w:pStyle w:val="TableText"/>
              <w:rPr>
                <w:b/>
                <w:bCs w:val="0"/>
              </w:rPr>
            </w:pPr>
            <w:r w:rsidRPr="00EE7434">
              <w:rPr>
                <w:b/>
                <w:bCs w:val="0"/>
              </w:rPr>
              <w:t>medicinal product pack</w:t>
            </w:r>
          </w:p>
        </w:tc>
        <w:tc>
          <w:tcPr>
            <w:tcW w:w="2409" w:type="dxa"/>
            <w:vAlign w:val="center"/>
          </w:tcPr>
          <w:p w14:paraId="662C1AE4" w14:textId="77777777" w:rsidR="006E6D14" w:rsidRPr="00EE7434" w:rsidRDefault="006E6D14">
            <w:pPr>
              <w:pStyle w:val="TableText"/>
              <w:rPr>
                <w:b/>
                <w:bCs w:val="0"/>
              </w:rPr>
            </w:pPr>
            <w:r w:rsidRPr="00EE7434">
              <w:rPr>
                <w:b/>
                <w:bCs w:val="0"/>
                <w:snapToGrid w:val="0"/>
              </w:rPr>
              <w:t xml:space="preserve">Dispensed Price for Max. Qty </w:t>
            </w:r>
          </w:p>
        </w:tc>
        <w:tc>
          <w:tcPr>
            <w:tcW w:w="851" w:type="dxa"/>
            <w:vAlign w:val="center"/>
          </w:tcPr>
          <w:p w14:paraId="451080DB" w14:textId="77777777" w:rsidR="006E6D14" w:rsidRPr="00EE7434" w:rsidRDefault="006E6D14">
            <w:pPr>
              <w:pStyle w:val="TableText"/>
              <w:rPr>
                <w:b/>
                <w:bCs w:val="0"/>
              </w:rPr>
            </w:pPr>
            <w:r w:rsidRPr="00EE7434">
              <w:rPr>
                <w:b/>
                <w:bCs w:val="0"/>
              </w:rPr>
              <w:t>Max. qty packs</w:t>
            </w:r>
          </w:p>
        </w:tc>
        <w:tc>
          <w:tcPr>
            <w:tcW w:w="850" w:type="dxa"/>
            <w:vAlign w:val="center"/>
          </w:tcPr>
          <w:p w14:paraId="252C3E35" w14:textId="77777777" w:rsidR="006E6D14" w:rsidRPr="00EE7434" w:rsidRDefault="006E6D14">
            <w:pPr>
              <w:pStyle w:val="TableText"/>
              <w:rPr>
                <w:b/>
                <w:bCs w:val="0"/>
              </w:rPr>
            </w:pPr>
            <w:r w:rsidRPr="00EE7434">
              <w:rPr>
                <w:b/>
                <w:bCs w:val="0"/>
              </w:rPr>
              <w:t>Max. qty units</w:t>
            </w:r>
          </w:p>
        </w:tc>
        <w:tc>
          <w:tcPr>
            <w:tcW w:w="851" w:type="dxa"/>
            <w:vAlign w:val="center"/>
          </w:tcPr>
          <w:p w14:paraId="2D5B3944" w14:textId="77777777" w:rsidR="006E6D14" w:rsidRPr="00EE7434" w:rsidRDefault="006E6D14">
            <w:pPr>
              <w:pStyle w:val="TableText"/>
              <w:rPr>
                <w:b/>
                <w:bCs w:val="0"/>
              </w:rPr>
            </w:pPr>
            <w:proofErr w:type="gramStart"/>
            <w:r w:rsidRPr="00EE7434">
              <w:rPr>
                <w:b/>
                <w:bCs w:val="0"/>
              </w:rPr>
              <w:t>№.of</w:t>
            </w:r>
            <w:proofErr w:type="gramEnd"/>
          </w:p>
          <w:p w14:paraId="1FB0C085" w14:textId="77777777" w:rsidR="006E6D14" w:rsidRPr="00EE7434" w:rsidRDefault="006E6D14">
            <w:pPr>
              <w:pStyle w:val="TableText"/>
              <w:rPr>
                <w:b/>
                <w:bCs w:val="0"/>
              </w:rPr>
            </w:pPr>
            <w:proofErr w:type="spellStart"/>
            <w:r w:rsidRPr="00EE7434">
              <w:rPr>
                <w:b/>
                <w:bCs w:val="0"/>
              </w:rPr>
              <w:t>Rpts</w:t>
            </w:r>
            <w:proofErr w:type="spellEnd"/>
          </w:p>
        </w:tc>
        <w:tc>
          <w:tcPr>
            <w:tcW w:w="1418" w:type="dxa"/>
            <w:vAlign w:val="center"/>
          </w:tcPr>
          <w:p w14:paraId="5AD6677C" w14:textId="77777777" w:rsidR="006E6D14" w:rsidRPr="00EE7434" w:rsidRDefault="006E6D14">
            <w:pPr>
              <w:pStyle w:val="TableText"/>
              <w:rPr>
                <w:b/>
                <w:bCs w:val="0"/>
              </w:rPr>
            </w:pPr>
            <w:r w:rsidRPr="00EE7434">
              <w:rPr>
                <w:b/>
                <w:bCs w:val="0"/>
              </w:rPr>
              <w:t>Available brands</w:t>
            </w:r>
          </w:p>
        </w:tc>
      </w:tr>
      <w:tr w:rsidR="006E6D14" w:rsidRPr="0098262F" w14:paraId="31BC8C0D" w14:textId="77777777" w:rsidTr="008D7558">
        <w:trPr>
          <w:cantSplit/>
          <w:trHeight w:val="20"/>
        </w:trPr>
        <w:tc>
          <w:tcPr>
            <w:tcW w:w="9072" w:type="dxa"/>
            <w:gridSpan w:val="6"/>
            <w:vAlign w:val="center"/>
          </w:tcPr>
          <w:p w14:paraId="18B6A3F4" w14:textId="77777777" w:rsidR="006E6D14" w:rsidRPr="0098262F" w:rsidRDefault="006E6D14">
            <w:pPr>
              <w:pStyle w:val="TableText"/>
              <w:rPr>
                <w:rFonts w:cs="Arial"/>
                <w:szCs w:val="20"/>
              </w:rPr>
            </w:pPr>
            <w:r w:rsidRPr="0098262F">
              <w:rPr>
                <w:rFonts w:cs="Arial"/>
                <w:color w:val="0066FF"/>
                <w:szCs w:val="20"/>
              </w:rPr>
              <w:t xml:space="preserve"> </w:t>
            </w:r>
            <w:r w:rsidRPr="00F8796C">
              <w:rPr>
                <w:rFonts w:cs="Arial"/>
                <w:szCs w:val="20"/>
              </w:rPr>
              <w:t>TEZEPELUMAB</w:t>
            </w:r>
          </w:p>
        </w:tc>
      </w:tr>
      <w:tr w:rsidR="006E6D14" w:rsidRPr="0098262F" w14:paraId="721FC2D4" w14:textId="77777777" w:rsidTr="008D7558">
        <w:trPr>
          <w:cantSplit/>
          <w:trHeight w:val="20"/>
        </w:trPr>
        <w:tc>
          <w:tcPr>
            <w:tcW w:w="2693" w:type="dxa"/>
            <w:vAlign w:val="center"/>
          </w:tcPr>
          <w:p w14:paraId="2955A258" w14:textId="4FCE23B4" w:rsidR="006E6D14" w:rsidRPr="0098262F" w:rsidRDefault="006E6D14">
            <w:pPr>
              <w:pStyle w:val="TableText"/>
              <w:rPr>
                <w:color w:val="0066FF"/>
                <w:szCs w:val="20"/>
              </w:rPr>
            </w:pPr>
            <w:r w:rsidRPr="00F8796C">
              <w:rPr>
                <w:szCs w:val="20"/>
              </w:rPr>
              <w:t xml:space="preserve">Tezepelumab, 210 mg in </w:t>
            </w:r>
            <w:r w:rsidR="00245AF7">
              <w:rPr>
                <w:szCs w:val="20"/>
              </w:rPr>
              <w:t>1.</w:t>
            </w:r>
            <w:r w:rsidRPr="00F8796C">
              <w:rPr>
                <w:szCs w:val="20"/>
              </w:rPr>
              <w:t xml:space="preserve">91 mL (110 mg/mL) in </w:t>
            </w:r>
            <w:r>
              <w:rPr>
                <w:szCs w:val="20"/>
              </w:rPr>
              <w:t xml:space="preserve">a </w:t>
            </w:r>
            <w:r w:rsidRPr="00F8796C">
              <w:rPr>
                <w:szCs w:val="20"/>
              </w:rPr>
              <w:t>prefilled pen</w:t>
            </w:r>
          </w:p>
        </w:tc>
        <w:tc>
          <w:tcPr>
            <w:tcW w:w="2409" w:type="dxa"/>
          </w:tcPr>
          <w:p w14:paraId="5541D8B8" w14:textId="77777777" w:rsidR="006E6D14" w:rsidRDefault="006E6D14">
            <w:pPr>
              <w:pStyle w:val="TableText"/>
              <w:jc w:val="center"/>
            </w:pPr>
            <w:r>
              <w:t>Published</w:t>
            </w:r>
          </w:p>
          <w:p w14:paraId="5A23E103" w14:textId="77777777" w:rsidR="006E6D14" w:rsidRDefault="006E6D14">
            <w:pPr>
              <w:pStyle w:val="TableText"/>
              <w:jc w:val="center"/>
            </w:pPr>
            <w:r>
              <w:t>$1,671.78 Public</w:t>
            </w:r>
          </w:p>
          <w:p w14:paraId="2D7C0596" w14:textId="77777777" w:rsidR="006E6D14" w:rsidRDefault="006E6D14">
            <w:pPr>
              <w:pStyle w:val="TableText"/>
              <w:jc w:val="center"/>
            </w:pPr>
            <w:r>
              <w:t>$1,720.45 Private</w:t>
            </w:r>
          </w:p>
          <w:p w14:paraId="09EF08A3" w14:textId="77777777" w:rsidR="006E6D14" w:rsidRPr="0098262F" w:rsidRDefault="006E6D14">
            <w:pPr>
              <w:pStyle w:val="TableText"/>
              <w:jc w:val="center"/>
            </w:pPr>
            <w:r>
              <w:t>Effective</w:t>
            </w:r>
          </w:p>
          <w:p w14:paraId="322B1115" w14:textId="563A971D" w:rsidR="006E6D14" w:rsidRDefault="006E6D14">
            <w:pPr>
              <w:pStyle w:val="TableText"/>
              <w:jc w:val="center"/>
            </w:pPr>
            <w:r w:rsidRPr="0098262F">
              <w:t>$</w:t>
            </w:r>
            <w:r w:rsidR="00B14769" w:rsidRPr="00B14769">
              <w:rPr>
                <w:highlight w:val="black"/>
              </w:rPr>
              <w:t>&amp;&amp;&amp;&amp;</w:t>
            </w:r>
            <w:r w:rsidRPr="00391437">
              <w:rPr>
                <w:vertAlign w:val="superscript"/>
              </w:rPr>
              <w:t>a</w:t>
            </w:r>
            <w:r>
              <w:t xml:space="preserve"> Public</w:t>
            </w:r>
          </w:p>
          <w:p w14:paraId="393B317D" w14:textId="1F3E8B26" w:rsidR="006E6D14" w:rsidRPr="0098262F" w:rsidRDefault="006E6D14">
            <w:pPr>
              <w:pStyle w:val="TableText"/>
              <w:jc w:val="center"/>
              <w:rPr>
                <w:szCs w:val="20"/>
              </w:rPr>
            </w:pPr>
            <w:r>
              <w:t>$</w:t>
            </w:r>
            <w:r w:rsidR="00B14769" w:rsidRPr="00B14769">
              <w:rPr>
                <w:highlight w:val="black"/>
              </w:rPr>
              <w:t>&amp;&amp;&amp;&amp;</w:t>
            </w:r>
            <w:r>
              <w:t xml:space="preserve"> Private </w:t>
            </w:r>
          </w:p>
        </w:tc>
        <w:tc>
          <w:tcPr>
            <w:tcW w:w="851" w:type="dxa"/>
            <w:vAlign w:val="center"/>
          </w:tcPr>
          <w:p w14:paraId="2EE6609A" w14:textId="77777777" w:rsidR="006E6D14" w:rsidRPr="0098262F" w:rsidRDefault="006E6D14">
            <w:pPr>
              <w:pStyle w:val="TableText"/>
              <w:jc w:val="center"/>
              <w:rPr>
                <w:szCs w:val="20"/>
              </w:rPr>
            </w:pPr>
            <w:r>
              <w:t>1</w:t>
            </w:r>
          </w:p>
        </w:tc>
        <w:tc>
          <w:tcPr>
            <w:tcW w:w="850" w:type="dxa"/>
            <w:vAlign w:val="center"/>
          </w:tcPr>
          <w:p w14:paraId="5714C5C4" w14:textId="77777777" w:rsidR="006E6D14" w:rsidRPr="0098262F" w:rsidRDefault="006E6D14">
            <w:pPr>
              <w:pStyle w:val="TableText"/>
              <w:jc w:val="center"/>
              <w:rPr>
                <w:szCs w:val="20"/>
              </w:rPr>
            </w:pPr>
            <w:r>
              <w:t>1</w:t>
            </w:r>
          </w:p>
        </w:tc>
        <w:tc>
          <w:tcPr>
            <w:tcW w:w="851" w:type="dxa"/>
            <w:vAlign w:val="center"/>
          </w:tcPr>
          <w:p w14:paraId="52F3D787" w14:textId="77777777" w:rsidR="006E6D14" w:rsidRPr="0098262F" w:rsidRDefault="006E6D14">
            <w:pPr>
              <w:pStyle w:val="TableText"/>
              <w:jc w:val="center"/>
              <w:rPr>
                <w:szCs w:val="20"/>
              </w:rPr>
            </w:pPr>
            <w:r>
              <w:t>5</w:t>
            </w:r>
          </w:p>
        </w:tc>
        <w:tc>
          <w:tcPr>
            <w:tcW w:w="1418" w:type="dxa"/>
            <w:vAlign w:val="center"/>
          </w:tcPr>
          <w:p w14:paraId="6FA04263" w14:textId="77777777" w:rsidR="006E6D14" w:rsidRPr="0098262F" w:rsidRDefault="006E6D14">
            <w:pPr>
              <w:pStyle w:val="TableText"/>
              <w:rPr>
                <w:color w:val="0066FF"/>
                <w:szCs w:val="20"/>
              </w:rPr>
            </w:pPr>
            <w:proofErr w:type="spellStart"/>
            <w:r w:rsidRPr="00F8796C">
              <w:rPr>
                <w:szCs w:val="20"/>
              </w:rPr>
              <w:t>Tezspire</w:t>
            </w:r>
            <w:proofErr w:type="spellEnd"/>
          </w:p>
        </w:tc>
      </w:tr>
    </w:tbl>
    <w:tbl>
      <w:tblPr>
        <w:tblpPr w:leftFromText="180" w:rightFromText="180" w:vertAnchor="text" w:tblpXSpec="center" w:tblpY="1"/>
        <w:tblOverlap w:val="neve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67"/>
      </w:tblGrid>
      <w:tr w:rsidR="006E6D14" w:rsidRPr="0098262F" w14:paraId="67A0FD0A" w14:textId="77777777">
        <w:trPr>
          <w:cantSplit/>
          <w:trHeight w:val="20"/>
          <w:jc w:val="center"/>
        </w:trPr>
        <w:tc>
          <w:tcPr>
            <w:tcW w:w="5000" w:type="pct"/>
          </w:tcPr>
          <w:p w14:paraId="47822A63" w14:textId="77777777" w:rsidR="006E6D14" w:rsidRPr="0098262F" w:rsidRDefault="006E6D14">
            <w:pPr>
              <w:pStyle w:val="TableText"/>
            </w:pPr>
            <w:r w:rsidRPr="0098262F">
              <w:rPr>
                <w:b/>
              </w:rPr>
              <w:t xml:space="preserve">Category / Program: </w:t>
            </w:r>
            <w:r w:rsidRPr="0098262F">
              <w:t>General Schedule/Section 100</w:t>
            </w:r>
          </w:p>
        </w:tc>
      </w:tr>
      <w:tr w:rsidR="006E6D14" w:rsidRPr="0098262F" w14:paraId="11AB8938" w14:textId="77777777">
        <w:trPr>
          <w:cantSplit/>
          <w:trHeight w:val="20"/>
          <w:jc w:val="center"/>
        </w:trPr>
        <w:tc>
          <w:tcPr>
            <w:tcW w:w="5000" w:type="pct"/>
          </w:tcPr>
          <w:p w14:paraId="26186A1C" w14:textId="77777777" w:rsidR="006E6D14" w:rsidRPr="0098262F" w:rsidRDefault="006E6D14">
            <w:pPr>
              <w:pStyle w:val="TableText"/>
              <w:rPr>
                <w:b/>
              </w:rPr>
            </w:pPr>
            <w:r w:rsidRPr="0098262F">
              <w:rPr>
                <w:b/>
              </w:rPr>
              <w:t>Prescriber type:</w:t>
            </w:r>
            <w:r w:rsidRPr="0098262F">
              <w:t xml:space="preserve"> </w:t>
            </w:r>
            <w:r w:rsidRPr="00E0652F">
              <w:rPr>
                <w:bCs w:val="0"/>
                <w:lang w:eastAsia="en-US" w:bidi="en-US"/>
              </w:rPr>
              <w:fldChar w:fldCharType="begin">
                <w:ffData>
                  <w:name w:val=""/>
                  <w:enabled/>
                  <w:calcOnExit w:val="0"/>
                  <w:checkBox>
                    <w:sizeAuto/>
                    <w:default w:val="1"/>
                  </w:checkBox>
                </w:ffData>
              </w:fldChar>
            </w:r>
            <w:r w:rsidRPr="00E0652F">
              <w:rPr>
                <w:lang w:eastAsia="en-US" w:bidi="en-US"/>
              </w:rPr>
              <w:instrText xml:space="preserve"> FORMCHECKBOX </w:instrText>
            </w:r>
            <w:r w:rsidRPr="00E0652F">
              <w:rPr>
                <w:bCs w:val="0"/>
                <w:lang w:eastAsia="en-US" w:bidi="en-US"/>
              </w:rPr>
            </w:r>
            <w:r w:rsidRPr="00E0652F">
              <w:rPr>
                <w:bCs w:val="0"/>
                <w:lang w:eastAsia="en-US" w:bidi="en-US"/>
              </w:rPr>
              <w:fldChar w:fldCharType="separate"/>
            </w:r>
            <w:r w:rsidRPr="00E0652F">
              <w:rPr>
                <w:bCs w:val="0"/>
                <w:lang w:eastAsia="en-US" w:bidi="en-US"/>
              </w:rPr>
              <w:fldChar w:fldCharType="end"/>
            </w:r>
            <w:r>
              <w:rPr>
                <w:bCs w:val="0"/>
                <w:lang w:eastAsia="en-US" w:bidi="en-US"/>
              </w:rPr>
              <w:t xml:space="preserve"> </w:t>
            </w:r>
            <w:r w:rsidRPr="0098262F">
              <w:t xml:space="preserve">Medical Practitioners </w:t>
            </w:r>
          </w:p>
        </w:tc>
      </w:tr>
      <w:tr w:rsidR="006E6D14" w:rsidRPr="0098262F" w14:paraId="4F01CB3A" w14:textId="77777777">
        <w:trPr>
          <w:cantSplit/>
          <w:trHeight w:val="20"/>
          <w:jc w:val="center"/>
        </w:trPr>
        <w:tc>
          <w:tcPr>
            <w:tcW w:w="5000" w:type="pct"/>
          </w:tcPr>
          <w:p w14:paraId="7CBBE309" w14:textId="77777777" w:rsidR="006E6D14" w:rsidRPr="0098262F" w:rsidRDefault="006E6D14">
            <w:pPr>
              <w:pStyle w:val="TableText"/>
              <w:rPr>
                <w:rFonts w:eastAsia="Times New Roman"/>
              </w:rPr>
            </w:pPr>
            <w:r w:rsidRPr="0098262F">
              <w:rPr>
                <w:b/>
              </w:rPr>
              <w:t xml:space="preserve">Restriction type: </w:t>
            </w:r>
            <w:r w:rsidRPr="00E0652F">
              <w:rPr>
                <w:bCs w:val="0"/>
                <w:lang w:eastAsia="en-US" w:bidi="en-US"/>
              </w:rPr>
              <w:fldChar w:fldCharType="begin">
                <w:ffData>
                  <w:name w:val=""/>
                  <w:enabled/>
                  <w:calcOnExit w:val="0"/>
                  <w:checkBox>
                    <w:sizeAuto/>
                    <w:default w:val="1"/>
                  </w:checkBox>
                </w:ffData>
              </w:fldChar>
            </w:r>
            <w:r w:rsidRPr="00E0652F">
              <w:rPr>
                <w:lang w:eastAsia="en-US" w:bidi="en-US"/>
              </w:rPr>
              <w:instrText xml:space="preserve"> FORMCHECKBOX </w:instrText>
            </w:r>
            <w:r w:rsidRPr="00E0652F">
              <w:rPr>
                <w:bCs w:val="0"/>
                <w:lang w:eastAsia="en-US" w:bidi="en-US"/>
              </w:rPr>
            </w:r>
            <w:r w:rsidRPr="00E0652F">
              <w:rPr>
                <w:bCs w:val="0"/>
                <w:lang w:eastAsia="en-US" w:bidi="en-US"/>
              </w:rPr>
              <w:fldChar w:fldCharType="separate"/>
            </w:r>
            <w:r w:rsidRPr="00E0652F">
              <w:rPr>
                <w:bCs w:val="0"/>
                <w:lang w:eastAsia="en-US" w:bidi="en-US"/>
              </w:rPr>
              <w:fldChar w:fldCharType="end"/>
            </w:r>
            <w:r w:rsidRPr="0098262F">
              <w:rPr>
                <w:rFonts w:eastAsia="Times New Roman"/>
              </w:rPr>
              <w:t xml:space="preserve">Authority Required (in writing only via post/HPOS upload) </w:t>
            </w:r>
          </w:p>
        </w:tc>
      </w:tr>
      <w:tr w:rsidR="006E6D14" w:rsidRPr="0098262F" w14:paraId="75337C66" w14:textId="77777777">
        <w:trPr>
          <w:cantSplit/>
          <w:trHeight w:val="20"/>
          <w:jc w:val="center"/>
        </w:trPr>
        <w:tc>
          <w:tcPr>
            <w:tcW w:w="5000" w:type="pct"/>
            <w:vAlign w:val="center"/>
          </w:tcPr>
          <w:p w14:paraId="12DE4CC2" w14:textId="77777777" w:rsidR="006E6D14" w:rsidRPr="0098262F" w:rsidRDefault="006E6D14">
            <w:pPr>
              <w:pStyle w:val="TableText"/>
            </w:pPr>
            <w:proofErr w:type="spellStart"/>
            <w:r w:rsidRPr="0098262F">
              <w:rPr>
                <w:b/>
              </w:rPr>
              <w:t>Episodicity</w:t>
            </w:r>
            <w:proofErr w:type="spellEnd"/>
            <w:r w:rsidRPr="0098262F">
              <w:rPr>
                <w:b/>
              </w:rPr>
              <w:t xml:space="preserve">: </w:t>
            </w:r>
            <w:r w:rsidRPr="00A5664D">
              <w:rPr>
                <w:bCs w:val="0"/>
              </w:rPr>
              <w:t>Active</w:t>
            </w:r>
          </w:p>
        </w:tc>
      </w:tr>
      <w:tr w:rsidR="006E6D14" w:rsidRPr="0098262F" w14:paraId="32A19CEF" w14:textId="77777777">
        <w:trPr>
          <w:cantSplit/>
          <w:trHeight w:val="20"/>
          <w:jc w:val="center"/>
        </w:trPr>
        <w:tc>
          <w:tcPr>
            <w:tcW w:w="5000" w:type="pct"/>
            <w:vAlign w:val="center"/>
          </w:tcPr>
          <w:p w14:paraId="533851A9" w14:textId="77777777" w:rsidR="006E6D14" w:rsidRPr="0098262F" w:rsidRDefault="006E6D14">
            <w:pPr>
              <w:pStyle w:val="TableText"/>
              <w:rPr>
                <w:b/>
              </w:rPr>
            </w:pPr>
            <w:r w:rsidRPr="0098262F">
              <w:rPr>
                <w:b/>
              </w:rPr>
              <w:t xml:space="preserve">Severity: </w:t>
            </w:r>
            <w:r w:rsidRPr="00A5664D">
              <w:rPr>
                <w:bCs w:val="0"/>
              </w:rPr>
              <w:t>Uncontrolled Severe</w:t>
            </w:r>
          </w:p>
        </w:tc>
      </w:tr>
      <w:tr w:rsidR="006E6D14" w:rsidRPr="0098262F" w14:paraId="263FD60D" w14:textId="77777777">
        <w:trPr>
          <w:cantSplit/>
          <w:trHeight w:val="20"/>
          <w:jc w:val="center"/>
        </w:trPr>
        <w:tc>
          <w:tcPr>
            <w:tcW w:w="5000" w:type="pct"/>
            <w:vAlign w:val="center"/>
          </w:tcPr>
          <w:p w14:paraId="7D0E3CCF" w14:textId="77777777" w:rsidR="006E6D14" w:rsidRPr="0098262F" w:rsidRDefault="006E6D14">
            <w:pPr>
              <w:pStyle w:val="TableText"/>
              <w:rPr>
                <w:b/>
              </w:rPr>
            </w:pPr>
            <w:r w:rsidRPr="0098262F">
              <w:rPr>
                <w:b/>
              </w:rPr>
              <w:t xml:space="preserve">Condition: </w:t>
            </w:r>
            <w:r w:rsidRPr="00A5664D">
              <w:rPr>
                <w:bCs w:val="0"/>
              </w:rPr>
              <w:t>Uncontrolled severe asthma</w:t>
            </w:r>
          </w:p>
        </w:tc>
      </w:tr>
      <w:tr w:rsidR="006E6D14" w:rsidRPr="0098262F" w14:paraId="6F7286D6" w14:textId="77777777">
        <w:trPr>
          <w:cantSplit/>
          <w:trHeight w:val="20"/>
          <w:jc w:val="center"/>
        </w:trPr>
        <w:tc>
          <w:tcPr>
            <w:tcW w:w="5000" w:type="pct"/>
            <w:vAlign w:val="center"/>
            <w:hideMark/>
          </w:tcPr>
          <w:p w14:paraId="7A036625" w14:textId="77777777" w:rsidR="006E6D14" w:rsidRPr="0098262F" w:rsidRDefault="006E6D14">
            <w:pPr>
              <w:pStyle w:val="TableText"/>
            </w:pPr>
            <w:r w:rsidRPr="0098262F">
              <w:rPr>
                <w:b/>
              </w:rPr>
              <w:t>Indication:</w:t>
            </w:r>
            <w:r w:rsidRPr="0098262F">
              <w:t xml:space="preserve"> </w:t>
            </w:r>
            <w:r w:rsidRPr="00A5664D">
              <w:t>Uncontrolled severe asthma</w:t>
            </w:r>
          </w:p>
        </w:tc>
      </w:tr>
      <w:tr w:rsidR="006E6D14" w:rsidRPr="0098262F" w14:paraId="2E4F2DF2" w14:textId="77777777">
        <w:trPr>
          <w:cantSplit/>
          <w:trHeight w:val="20"/>
          <w:jc w:val="center"/>
        </w:trPr>
        <w:tc>
          <w:tcPr>
            <w:tcW w:w="5000" w:type="pct"/>
            <w:vAlign w:val="center"/>
            <w:hideMark/>
          </w:tcPr>
          <w:p w14:paraId="17ABA114" w14:textId="77777777" w:rsidR="006E6D14" w:rsidRPr="0098262F" w:rsidRDefault="006E6D14">
            <w:pPr>
              <w:pStyle w:val="TableText"/>
            </w:pPr>
            <w:r w:rsidRPr="0098262F">
              <w:rPr>
                <w:b/>
              </w:rPr>
              <w:t>Treatment Phase:</w:t>
            </w:r>
            <w:r w:rsidRPr="0098262F">
              <w:t xml:space="preserve"> </w:t>
            </w:r>
            <w:r>
              <w:t xml:space="preserve">Continuing treatment </w:t>
            </w:r>
          </w:p>
        </w:tc>
      </w:tr>
      <w:tr w:rsidR="006E6D14" w:rsidRPr="0098262F" w14:paraId="266861AE" w14:textId="77777777">
        <w:trPr>
          <w:cantSplit/>
          <w:trHeight w:val="20"/>
          <w:jc w:val="center"/>
        </w:trPr>
        <w:tc>
          <w:tcPr>
            <w:tcW w:w="5000" w:type="pct"/>
            <w:vAlign w:val="center"/>
            <w:hideMark/>
          </w:tcPr>
          <w:p w14:paraId="2EA260CD" w14:textId="77777777" w:rsidR="006E6D14" w:rsidRPr="0098262F" w:rsidRDefault="006E6D14">
            <w:pPr>
              <w:pStyle w:val="TableText"/>
            </w:pPr>
            <w:r w:rsidRPr="0098262F">
              <w:rPr>
                <w:b/>
              </w:rPr>
              <w:t>Clinical criteria:</w:t>
            </w:r>
            <w:r>
              <w:rPr>
                <w:b/>
              </w:rPr>
              <w:t xml:space="preserve"> </w:t>
            </w:r>
          </w:p>
        </w:tc>
      </w:tr>
      <w:tr w:rsidR="006E6D14" w:rsidRPr="0098262F" w14:paraId="52DB89F5" w14:textId="77777777">
        <w:trPr>
          <w:cantSplit/>
          <w:trHeight w:val="20"/>
          <w:jc w:val="center"/>
        </w:trPr>
        <w:tc>
          <w:tcPr>
            <w:tcW w:w="5000" w:type="pct"/>
          </w:tcPr>
          <w:p w14:paraId="0D781573" w14:textId="77777777" w:rsidR="006E6D14" w:rsidRPr="0098262F" w:rsidRDefault="006E6D14">
            <w:pPr>
              <w:pStyle w:val="TableText"/>
            </w:pPr>
            <w:r w:rsidRPr="00AC4222">
              <w:t>Patient must have demonstrated or sustained an adequate response to PBS-subsidised treatment with this drug for this condition.</w:t>
            </w:r>
          </w:p>
        </w:tc>
      </w:tr>
      <w:tr w:rsidR="006E6D14" w:rsidRPr="0098262F" w14:paraId="341D0E18" w14:textId="77777777">
        <w:trPr>
          <w:cantSplit/>
          <w:trHeight w:val="20"/>
          <w:jc w:val="center"/>
        </w:trPr>
        <w:tc>
          <w:tcPr>
            <w:tcW w:w="5000" w:type="pct"/>
            <w:vAlign w:val="center"/>
          </w:tcPr>
          <w:p w14:paraId="4B486A26" w14:textId="77777777" w:rsidR="006E6D14" w:rsidRPr="0098262F" w:rsidRDefault="006E6D14">
            <w:pPr>
              <w:pStyle w:val="TableText"/>
              <w:rPr>
                <w:b/>
              </w:rPr>
            </w:pPr>
            <w:r w:rsidRPr="00B52426">
              <w:rPr>
                <w:b/>
              </w:rPr>
              <w:t>Treatment criteria:</w:t>
            </w:r>
          </w:p>
        </w:tc>
      </w:tr>
      <w:tr w:rsidR="006E6D14" w:rsidRPr="0098262F" w14:paraId="30788FC5" w14:textId="77777777">
        <w:trPr>
          <w:cantSplit/>
          <w:trHeight w:val="20"/>
          <w:jc w:val="center"/>
        </w:trPr>
        <w:tc>
          <w:tcPr>
            <w:tcW w:w="5000" w:type="pct"/>
            <w:vAlign w:val="center"/>
          </w:tcPr>
          <w:p w14:paraId="59B283D6" w14:textId="77777777" w:rsidR="006E6D14" w:rsidRPr="0098262F" w:rsidRDefault="006E6D14">
            <w:pPr>
              <w:pStyle w:val="TableText"/>
              <w:rPr>
                <w:b/>
              </w:rPr>
            </w:pPr>
            <w:r w:rsidRPr="00B52426">
              <w:rPr>
                <w:bCs w:val="0"/>
              </w:rPr>
              <w:t>Must be treated by a respiratory physician, clinical immunologist, allergist or general physician experienced in the management of patients with severe asthma.</w:t>
            </w:r>
          </w:p>
        </w:tc>
      </w:tr>
      <w:tr w:rsidR="006E6D14" w:rsidRPr="0098262F" w14:paraId="036EE19F" w14:textId="77777777">
        <w:trPr>
          <w:cantSplit/>
          <w:trHeight w:val="20"/>
          <w:jc w:val="center"/>
        </w:trPr>
        <w:tc>
          <w:tcPr>
            <w:tcW w:w="5000" w:type="pct"/>
            <w:vAlign w:val="center"/>
            <w:hideMark/>
          </w:tcPr>
          <w:p w14:paraId="1C30490B" w14:textId="77777777" w:rsidR="006E6D14" w:rsidRPr="0098262F" w:rsidRDefault="006E6D14">
            <w:pPr>
              <w:pStyle w:val="TableText"/>
            </w:pPr>
            <w:r w:rsidRPr="0098262F">
              <w:rPr>
                <w:b/>
              </w:rPr>
              <w:t>Population criteria:</w:t>
            </w:r>
          </w:p>
        </w:tc>
      </w:tr>
      <w:tr w:rsidR="006E6D14" w:rsidRPr="0098262F" w14:paraId="52F4EE49" w14:textId="77777777">
        <w:trPr>
          <w:cantSplit/>
          <w:trHeight w:val="20"/>
          <w:jc w:val="center"/>
        </w:trPr>
        <w:tc>
          <w:tcPr>
            <w:tcW w:w="5000" w:type="pct"/>
            <w:vAlign w:val="center"/>
          </w:tcPr>
          <w:p w14:paraId="4FD25432" w14:textId="77777777" w:rsidR="006E6D14" w:rsidRPr="00775272" w:rsidRDefault="006E6D14">
            <w:pPr>
              <w:pStyle w:val="TableText"/>
              <w:rPr>
                <w:bCs w:val="0"/>
              </w:rPr>
            </w:pPr>
            <w:r>
              <w:rPr>
                <w:bCs w:val="0"/>
              </w:rPr>
              <w:t>Patient must be aged 12 years or older.</w:t>
            </w:r>
          </w:p>
        </w:tc>
      </w:tr>
    </w:tbl>
    <w:p w14:paraId="1966447B" w14:textId="77777777" w:rsidR="006E6D14" w:rsidRDefault="006E6D14" w:rsidP="006E6D14">
      <w:pPr>
        <w:pStyle w:val="TableFigureFooter"/>
        <w:rPr>
          <w:lang w:val="da-DK"/>
        </w:rPr>
      </w:pPr>
      <w:r w:rsidRPr="00134651">
        <w:rPr>
          <w:lang w:val="da-DK"/>
        </w:rPr>
        <w:t>a AEMP, also public hospital DPMQ</w:t>
      </w:r>
    </w:p>
    <w:p w14:paraId="035DF3FC" w14:textId="77777777" w:rsidR="006E6D14" w:rsidRPr="00C040B7" w:rsidRDefault="006E6D14" w:rsidP="006E6D14">
      <w:pPr>
        <w:pStyle w:val="5-SubsectionSubheading"/>
        <w:rPr>
          <w:b w:val="0"/>
          <w:bCs/>
        </w:rPr>
      </w:pPr>
      <w:bookmarkStart w:id="12" w:name="_Toc209012724"/>
      <w:r>
        <w:t>E</w:t>
      </w:r>
      <w:r w:rsidRPr="00C040B7">
        <w:rPr>
          <w:bCs/>
        </w:rPr>
        <w:t xml:space="preserve">osinophilic </w:t>
      </w:r>
      <w:r>
        <w:rPr>
          <w:bCs/>
        </w:rPr>
        <w:t>or</w:t>
      </w:r>
      <w:r w:rsidRPr="00C040B7">
        <w:rPr>
          <w:bCs/>
        </w:rPr>
        <w:t xml:space="preserve"> allergic </w:t>
      </w:r>
      <w:r>
        <w:rPr>
          <w:bCs/>
        </w:rPr>
        <w:t>SUA</w:t>
      </w:r>
      <w:bookmarkEnd w:id="12"/>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osinophilic or allergic SUA"/>
      </w:tblPr>
      <w:tblGrid>
        <w:gridCol w:w="2693"/>
        <w:gridCol w:w="2409"/>
        <w:gridCol w:w="851"/>
        <w:gridCol w:w="850"/>
        <w:gridCol w:w="851"/>
        <w:gridCol w:w="1417"/>
      </w:tblGrid>
      <w:tr w:rsidR="006E6D14" w:rsidRPr="0098262F" w14:paraId="2B998DF3" w14:textId="77777777">
        <w:trPr>
          <w:cantSplit/>
          <w:trHeight w:val="20"/>
        </w:trPr>
        <w:tc>
          <w:tcPr>
            <w:tcW w:w="2693" w:type="dxa"/>
            <w:vAlign w:val="center"/>
          </w:tcPr>
          <w:p w14:paraId="4665C118" w14:textId="77777777" w:rsidR="006E6D14" w:rsidRPr="00EE7434" w:rsidRDefault="006E6D14">
            <w:pPr>
              <w:pStyle w:val="TableText"/>
              <w:rPr>
                <w:b/>
                <w:bCs w:val="0"/>
              </w:rPr>
            </w:pPr>
            <w:r w:rsidRPr="00EE7434">
              <w:rPr>
                <w:b/>
                <w:bCs w:val="0"/>
              </w:rPr>
              <w:t>MEDICINAL PRODUCT</w:t>
            </w:r>
          </w:p>
          <w:p w14:paraId="48AD988D" w14:textId="77777777" w:rsidR="006E6D14" w:rsidRPr="00EE7434" w:rsidRDefault="006E6D14">
            <w:pPr>
              <w:pStyle w:val="TableText"/>
              <w:rPr>
                <w:b/>
                <w:bCs w:val="0"/>
              </w:rPr>
            </w:pPr>
            <w:r w:rsidRPr="00EE7434">
              <w:rPr>
                <w:b/>
                <w:bCs w:val="0"/>
              </w:rPr>
              <w:t>medicinal product pack</w:t>
            </w:r>
          </w:p>
        </w:tc>
        <w:tc>
          <w:tcPr>
            <w:tcW w:w="2409" w:type="dxa"/>
            <w:vAlign w:val="center"/>
          </w:tcPr>
          <w:p w14:paraId="46C2231A" w14:textId="77777777" w:rsidR="006E6D14" w:rsidRPr="00EE7434" w:rsidRDefault="006E6D14">
            <w:pPr>
              <w:pStyle w:val="TableText"/>
              <w:rPr>
                <w:b/>
                <w:bCs w:val="0"/>
              </w:rPr>
            </w:pPr>
            <w:r w:rsidRPr="00EE7434">
              <w:rPr>
                <w:b/>
                <w:bCs w:val="0"/>
                <w:snapToGrid w:val="0"/>
              </w:rPr>
              <w:t xml:space="preserve">Dispensed Price for Max. Qty </w:t>
            </w:r>
          </w:p>
        </w:tc>
        <w:tc>
          <w:tcPr>
            <w:tcW w:w="851" w:type="dxa"/>
            <w:vAlign w:val="center"/>
          </w:tcPr>
          <w:p w14:paraId="20C97A08" w14:textId="77777777" w:rsidR="006E6D14" w:rsidRPr="00EE7434" w:rsidRDefault="006E6D14">
            <w:pPr>
              <w:pStyle w:val="TableText"/>
              <w:rPr>
                <w:b/>
                <w:bCs w:val="0"/>
              </w:rPr>
            </w:pPr>
            <w:r w:rsidRPr="00EE7434">
              <w:rPr>
                <w:b/>
                <w:bCs w:val="0"/>
              </w:rPr>
              <w:t>Max. qty packs</w:t>
            </w:r>
          </w:p>
        </w:tc>
        <w:tc>
          <w:tcPr>
            <w:tcW w:w="850" w:type="dxa"/>
            <w:vAlign w:val="center"/>
          </w:tcPr>
          <w:p w14:paraId="6C5B59B9" w14:textId="77777777" w:rsidR="006E6D14" w:rsidRPr="00EE7434" w:rsidRDefault="006E6D14">
            <w:pPr>
              <w:pStyle w:val="TableText"/>
              <w:rPr>
                <w:b/>
                <w:bCs w:val="0"/>
              </w:rPr>
            </w:pPr>
            <w:r w:rsidRPr="00EE7434">
              <w:rPr>
                <w:b/>
                <w:bCs w:val="0"/>
              </w:rPr>
              <w:t>Max. qty units</w:t>
            </w:r>
          </w:p>
        </w:tc>
        <w:tc>
          <w:tcPr>
            <w:tcW w:w="851" w:type="dxa"/>
            <w:vAlign w:val="center"/>
          </w:tcPr>
          <w:p w14:paraId="078DFFBA" w14:textId="77777777" w:rsidR="006E6D14" w:rsidRPr="00EE7434" w:rsidRDefault="006E6D14">
            <w:pPr>
              <w:pStyle w:val="TableText"/>
              <w:rPr>
                <w:b/>
                <w:bCs w:val="0"/>
              </w:rPr>
            </w:pPr>
            <w:proofErr w:type="gramStart"/>
            <w:r w:rsidRPr="00EE7434">
              <w:rPr>
                <w:b/>
                <w:bCs w:val="0"/>
              </w:rPr>
              <w:t>№.of</w:t>
            </w:r>
            <w:proofErr w:type="gramEnd"/>
          </w:p>
          <w:p w14:paraId="6D983D3D" w14:textId="77777777" w:rsidR="006E6D14" w:rsidRPr="00EE7434" w:rsidRDefault="006E6D14">
            <w:pPr>
              <w:pStyle w:val="TableText"/>
              <w:rPr>
                <w:b/>
                <w:bCs w:val="0"/>
              </w:rPr>
            </w:pPr>
            <w:proofErr w:type="spellStart"/>
            <w:r w:rsidRPr="00EE7434">
              <w:rPr>
                <w:b/>
                <w:bCs w:val="0"/>
              </w:rPr>
              <w:t>Rpts</w:t>
            </w:r>
            <w:proofErr w:type="spellEnd"/>
          </w:p>
        </w:tc>
        <w:tc>
          <w:tcPr>
            <w:tcW w:w="1417" w:type="dxa"/>
            <w:vAlign w:val="center"/>
          </w:tcPr>
          <w:p w14:paraId="04722F9F" w14:textId="77777777" w:rsidR="006E6D14" w:rsidRPr="00EE7434" w:rsidRDefault="006E6D14">
            <w:pPr>
              <w:pStyle w:val="TableText"/>
              <w:rPr>
                <w:b/>
                <w:bCs w:val="0"/>
              </w:rPr>
            </w:pPr>
            <w:r w:rsidRPr="00EE7434">
              <w:rPr>
                <w:b/>
                <w:bCs w:val="0"/>
              </w:rPr>
              <w:t>Available brands</w:t>
            </w:r>
          </w:p>
        </w:tc>
      </w:tr>
      <w:tr w:rsidR="006E6D14" w:rsidRPr="0098262F" w14:paraId="17B4D9B4" w14:textId="77777777">
        <w:trPr>
          <w:cantSplit/>
          <w:trHeight w:val="20"/>
        </w:trPr>
        <w:tc>
          <w:tcPr>
            <w:tcW w:w="9071" w:type="dxa"/>
            <w:gridSpan w:val="6"/>
            <w:vAlign w:val="center"/>
          </w:tcPr>
          <w:p w14:paraId="3CE77D0B" w14:textId="77777777" w:rsidR="006E6D14" w:rsidRPr="0098262F" w:rsidRDefault="006E6D14">
            <w:pPr>
              <w:pStyle w:val="TableText"/>
              <w:rPr>
                <w:rFonts w:cs="Arial"/>
                <w:szCs w:val="20"/>
              </w:rPr>
            </w:pPr>
            <w:r w:rsidRPr="0098262F">
              <w:rPr>
                <w:rFonts w:cs="Arial"/>
                <w:color w:val="0066FF"/>
                <w:szCs w:val="20"/>
              </w:rPr>
              <w:t xml:space="preserve"> </w:t>
            </w:r>
            <w:r w:rsidRPr="00F8796C">
              <w:rPr>
                <w:rFonts w:cs="Arial"/>
                <w:szCs w:val="20"/>
              </w:rPr>
              <w:t>TEZEPELUMAB</w:t>
            </w:r>
          </w:p>
        </w:tc>
      </w:tr>
      <w:tr w:rsidR="006E6D14" w:rsidRPr="0098262F" w14:paraId="68671258" w14:textId="77777777">
        <w:trPr>
          <w:cantSplit/>
          <w:trHeight w:val="20"/>
        </w:trPr>
        <w:tc>
          <w:tcPr>
            <w:tcW w:w="2693" w:type="dxa"/>
            <w:vAlign w:val="center"/>
          </w:tcPr>
          <w:p w14:paraId="1010858B" w14:textId="12D131FA" w:rsidR="006E6D14" w:rsidRPr="0098262F" w:rsidRDefault="006E6D14">
            <w:pPr>
              <w:pStyle w:val="TableText"/>
              <w:rPr>
                <w:color w:val="0066FF"/>
                <w:szCs w:val="20"/>
              </w:rPr>
            </w:pPr>
            <w:r w:rsidRPr="00F8796C">
              <w:t>Tezepelumab, 210 mg in</w:t>
            </w:r>
            <w:r w:rsidR="003D14F4">
              <w:t xml:space="preserve"> 1.</w:t>
            </w:r>
            <w:r w:rsidRPr="00F8796C">
              <w:t xml:space="preserve">91 mL (110 mg/mL) in </w:t>
            </w:r>
            <w:r>
              <w:t xml:space="preserve">a </w:t>
            </w:r>
            <w:r w:rsidRPr="00F8796C">
              <w:t>prefilled pen</w:t>
            </w:r>
          </w:p>
        </w:tc>
        <w:tc>
          <w:tcPr>
            <w:tcW w:w="2409" w:type="dxa"/>
          </w:tcPr>
          <w:p w14:paraId="64DFCCFB" w14:textId="77777777" w:rsidR="006E6D14" w:rsidRDefault="006E6D14">
            <w:pPr>
              <w:pStyle w:val="TableText"/>
              <w:jc w:val="center"/>
            </w:pPr>
            <w:r>
              <w:t>Published</w:t>
            </w:r>
          </w:p>
          <w:p w14:paraId="78C7AED1" w14:textId="77777777" w:rsidR="006E6D14" w:rsidRDefault="006E6D14">
            <w:pPr>
              <w:pStyle w:val="TableText"/>
              <w:jc w:val="center"/>
            </w:pPr>
            <w:r w:rsidRPr="0098262F">
              <w:t>$</w:t>
            </w:r>
            <w:r w:rsidRPr="00F8796C">
              <w:t>1,671.78</w:t>
            </w:r>
            <w:r>
              <w:t xml:space="preserve"> Public</w:t>
            </w:r>
          </w:p>
          <w:p w14:paraId="1F8A8EE0" w14:textId="77777777" w:rsidR="006E6D14" w:rsidRDefault="006E6D14">
            <w:pPr>
              <w:pStyle w:val="TableText"/>
              <w:jc w:val="center"/>
            </w:pPr>
            <w:r w:rsidRPr="001574D0">
              <w:t>$1,720.45 Private</w:t>
            </w:r>
          </w:p>
          <w:p w14:paraId="2197E019" w14:textId="77777777" w:rsidR="006E6D14" w:rsidRPr="0098262F" w:rsidRDefault="006E6D14">
            <w:pPr>
              <w:pStyle w:val="TableText"/>
              <w:jc w:val="center"/>
            </w:pPr>
            <w:r>
              <w:t>Effective</w:t>
            </w:r>
          </w:p>
          <w:p w14:paraId="5A7CE5D0" w14:textId="77777777" w:rsidR="006E6D14" w:rsidRPr="0098262F" w:rsidRDefault="006E6D14">
            <w:pPr>
              <w:pStyle w:val="TableText"/>
              <w:jc w:val="center"/>
              <w:rPr>
                <w:szCs w:val="20"/>
              </w:rPr>
            </w:pPr>
            <w:r w:rsidRPr="0098262F">
              <w:t>$</w:t>
            </w:r>
            <w:r>
              <w:t>TBD</w:t>
            </w:r>
          </w:p>
        </w:tc>
        <w:tc>
          <w:tcPr>
            <w:tcW w:w="851" w:type="dxa"/>
            <w:vAlign w:val="center"/>
          </w:tcPr>
          <w:p w14:paraId="04894863" w14:textId="77777777" w:rsidR="006E6D14" w:rsidRPr="0098262F" w:rsidRDefault="006E6D14">
            <w:pPr>
              <w:pStyle w:val="TableText"/>
              <w:jc w:val="center"/>
              <w:rPr>
                <w:szCs w:val="20"/>
              </w:rPr>
            </w:pPr>
            <w:r>
              <w:t>1</w:t>
            </w:r>
          </w:p>
        </w:tc>
        <w:tc>
          <w:tcPr>
            <w:tcW w:w="850" w:type="dxa"/>
            <w:vAlign w:val="center"/>
          </w:tcPr>
          <w:p w14:paraId="21AAC00E" w14:textId="77777777" w:rsidR="006E6D14" w:rsidRPr="0098262F" w:rsidRDefault="006E6D14">
            <w:pPr>
              <w:pStyle w:val="TableText"/>
              <w:jc w:val="center"/>
              <w:rPr>
                <w:szCs w:val="20"/>
              </w:rPr>
            </w:pPr>
            <w:r>
              <w:t>1</w:t>
            </w:r>
          </w:p>
        </w:tc>
        <w:tc>
          <w:tcPr>
            <w:tcW w:w="851" w:type="dxa"/>
            <w:vAlign w:val="center"/>
          </w:tcPr>
          <w:p w14:paraId="2E969481" w14:textId="77777777" w:rsidR="006E6D14" w:rsidRPr="0098262F" w:rsidRDefault="006E6D14">
            <w:pPr>
              <w:pStyle w:val="TableText"/>
              <w:jc w:val="center"/>
              <w:rPr>
                <w:szCs w:val="20"/>
              </w:rPr>
            </w:pPr>
            <w:r>
              <w:t>7</w:t>
            </w:r>
          </w:p>
        </w:tc>
        <w:tc>
          <w:tcPr>
            <w:tcW w:w="1417" w:type="dxa"/>
            <w:vAlign w:val="center"/>
          </w:tcPr>
          <w:p w14:paraId="61CBF446" w14:textId="77777777" w:rsidR="006E6D14" w:rsidRPr="0098262F" w:rsidRDefault="006E6D14">
            <w:pPr>
              <w:pStyle w:val="TableText"/>
              <w:rPr>
                <w:color w:val="0066FF"/>
                <w:szCs w:val="20"/>
              </w:rPr>
            </w:pPr>
            <w:proofErr w:type="spellStart"/>
            <w:r w:rsidRPr="00F8796C">
              <w:rPr>
                <w:szCs w:val="20"/>
              </w:rPr>
              <w:t>Tezspire</w:t>
            </w:r>
            <w:proofErr w:type="spellEnd"/>
          </w:p>
        </w:tc>
      </w:tr>
      <w:tr w:rsidR="006E6D14" w:rsidRPr="0098262F" w14:paraId="54642D5F" w14:textId="77777777">
        <w:trPr>
          <w:cantSplit/>
          <w:trHeight w:val="20"/>
        </w:trPr>
        <w:tc>
          <w:tcPr>
            <w:tcW w:w="9071" w:type="dxa"/>
            <w:gridSpan w:val="6"/>
            <w:vAlign w:val="center"/>
          </w:tcPr>
          <w:p w14:paraId="5537AFE8" w14:textId="77777777" w:rsidR="006E6D14" w:rsidRPr="00F8796C" w:rsidRDefault="006E6D14">
            <w:pPr>
              <w:pStyle w:val="TableText"/>
              <w:rPr>
                <w:szCs w:val="20"/>
              </w:rPr>
            </w:pPr>
          </w:p>
        </w:tc>
      </w:tr>
    </w:tbl>
    <w:tbl>
      <w:tblPr>
        <w:tblpPr w:leftFromText="180" w:rightFromText="180" w:vertAnchor="text" w:tblpY="1"/>
        <w:tblOverlap w:val="neve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67"/>
      </w:tblGrid>
      <w:tr w:rsidR="006E6D14" w:rsidRPr="0098262F" w14:paraId="482352AE" w14:textId="77777777">
        <w:trPr>
          <w:cantSplit/>
          <w:trHeight w:val="20"/>
        </w:trPr>
        <w:tc>
          <w:tcPr>
            <w:tcW w:w="5000" w:type="pct"/>
          </w:tcPr>
          <w:p w14:paraId="222D8A67" w14:textId="77777777" w:rsidR="006E6D14" w:rsidRPr="0098262F" w:rsidRDefault="006E6D14">
            <w:pPr>
              <w:pStyle w:val="TableText"/>
            </w:pPr>
            <w:r w:rsidRPr="0098262F">
              <w:rPr>
                <w:b/>
              </w:rPr>
              <w:t xml:space="preserve">Category / Program: </w:t>
            </w:r>
            <w:r w:rsidRPr="00362ABA">
              <w:rPr>
                <w:bCs w:val="0"/>
              </w:rPr>
              <w:t>General Schedule/Section</w:t>
            </w:r>
            <w:r w:rsidRPr="0098262F">
              <w:t xml:space="preserve"> 100</w:t>
            </w:r>
          </w:p>
        </w:tc>
      </w:tr>
      <w:tr w:rsidR="006E6D14" w:rsidRPr="0098262F" w14:paraId="25D9D18F" w14:textId="77777777">
        <w:trPr>
          <w:cantSplit/>
          <w:trHeight w:val="20"/>
        </w:trPr>
        <w:tc>
          <w:tcPr>
            <w:tcW w:w="5000" w:type="pct"/>
          </w:tcPr>
          <w:p w14:paraId="0E27BF12" w14:textId="77777777" w:rsidR="006E6D14" w:rsidRPr="0098262F" w:rsidRDefault="006E6D14">
            <w:pPr>
              <w:pStyle w:val="TableText"/>
              <w:rPr>
                <w:b/>
              </w:rPr>
            </w:pPr>
            <w:r w:rsidRPr="0098262F">
              <w:rPr>
                <w:b/>
              </w:rPr>
              <w:t>Prescriber type:</w:t>
            </w:r>
            <w:r w:rsidRPr="0098262F">
              <w:t xml:space="preserve"> </w:t>
            </w:r>
            <w:r w:rsidRPr="00E0652F">
              <w:rPr>
                <w:bCs w:val="0"/>
                <w:lang w:eastAsia="en-US" w:bidi="en-US"/>
              </w:rPr>
              <w:fldChar w:fldCharType="begin">
                <w:ffData>
                  <w:name w:val=""/>
                  <w:enabled/>
                  <w:calcOnExit w:val="0"/>
                  <w:checkBox>
                    <w:sizeAuto/>
                    <w:default w:val="1"/>
                  </w:checkBox>
                </w:ffData>
              </w:fldChar>
            </w:r>
            <w:r w:rsidRPr="00E0652F">
              <w:rPr>
                <w:lang w:eastAsia="en-US" w:bidi="en-US"/>
              </w:rPr>
              <w:instrText xml:space="preserve"> FORMCHECKBOX </w:instrText>
            </w:r>
            <w:r w:rsidRPr="00E0652F">
              <w:rPr>
                <w:bCs w:val="0"/>
                <w:lang w:eastAsia="en-US" w:bidi="en-US"/>
              </w:rPr>
            </w:r>
            <w:r w:rsidRPr="00E0652F">
              <w:rPr>
                <w:bCs w:val="0"/>
                <w:lang w:eastAsia="en-US" w:bidi="en-US"/>
              </w:rPr>
              <w:fldChar w:fldCharType="separate"/>
            </w:r>
            <w:r w:rsidRPr="00E0652F">
              <w:rPr>
                <w:bCs w:val="0"/>
                <w:lang w:eastAsia="en-US" w:bidi="en-US"/>
              </w:rPr>
              <w:fldChar w:fldCharType="end"/>
            </w:r>
            <w:r>
              <w:rPr>
                <w:bCs w:val="0"/>
                <w:lang w:eastAsia="en-US" w:bidi="en-US"/>
              </w:rPr>
              <w:t xml:space="preserve"> </w:t>
            </w:r>
            <w:r w:rsidRPr="0098262F">
              <w:t xml:space="preserve">Medical Practitioners </w:t>
            </w:r>
          </w:p>
        </w:tc>
      </w:tr>
      <w:tr w:rsidR="006E6D14" w:rsidRPr="0098262F" w14:paraId="00927C8E" w14:textId="77777777">
        <w:trPr>
          <w:cantSplit/>
          <w:trHeight w:val="20"/>
        </w:trPr>
        <w:tc>
          <w:tcPr>
            <w:tcW w:w="5000" w:type="pct"/>
          </w:tcPr>
          <w:p w14:paraId="30492162" w14:textId="77777777" w:rsidR="006E6D14" w:rsidRPr="0098262F" w:rsidRDefault="006E6D14">
            <w:pPr>
              <w:pStyle w:val="TableText"/>
              <w:rPr>
                <w:rFonts w:eastAsia="Times New Roman"/>
              </w:rPr>
            </w:pPr>
            <w:r w:rsidRPr="0098262F">
              <w:rPr>
                <w:b/>
              </w:rPr>
              <w:t xml:space="preserve">Restriction type: </w:t>
            </w:r>
            <w:r w:rsidRPr="00E0652F">
              <w:rPr>
                <w:bCs w:val="0"/>
                <w:lang w:eastAsia="en-US" w:bidi="en-US"/>
              </w:rPr>
              <w:fldChar w:fldCharType="begin">
                <w:ffData>
                  <w:name w:val=""/>
                  <w:enabled/>
                  <w:calcOnExit w:val="0"/>
                  <w:checkBox>
                    <w:sizeAuto/>
                    <w:default w:val="1"/>
                  </w:checkBox>
                </w:ffData>
              </w:fldChar>
            </w:r>
            <w:r w:rsidRPr="00E0652F">
              <w:rPr>
                <w:lang w:eastAsia="en-US" w:bidi="en-US"/>
              </w:rPr>
              <w:instrText xml:space="preserve"> FORMCHECKBOX </w:instrText>
            </w:r>
            <w:r w:rsidRPr="00E0652F">
              <w:rPr>
                <w:bCs w:val="0"/>
                <w:lang w:eastAsia="en-US" w:bidi="en-US"/>
              </w:rPr>
            </w:r>
            <w:r w:rsidRPr="00E0652F">
              <w:rPr>
                <w:bCs w:val="0"/>
                <w:lang w:eastAsia="en-US" w:bidi="en-US"/>
              </w:rPr>
              <w:fldChar w:fldCharType="separate"/>
            </w:r>
            <w:r w:rsidRPr="00E0652F">
              <w:rPr>
                <w:bCs w:val="0"/>
                <w:lang w:eastAsia="en-US" w:bidi="en-US"/>
              </w:rPr>
              <w:fldChar w:fldCharType="end"/>
            </w:r>
            <w:r w:rsidRPr="0098262F">
              <w:rPr>
                <w:rFonts w:eastAsia="Times New Roman"/>
              </w:rPr>
              <w:t xml:space="preserve">Authority Required (in writing only via post/HPOS upload) </w:t>
            </w:r>
          </w:p>
        </w:tc>
      </w:tr>
      <w:tr w:rsidR="006E6D14" w:rsidRPr="0098262F" w14:paraId="1D21EF08" w14:textId="77777777">
        <w:trPr>
          <w:cantSplit/>
          <w:trHeight w:val="20"/>
        </w:trPr>
        <w:tc>
          <w:tcPr>
            <w:tcW w:w="5000" w:type="pct"/>
            <w:vAlign w:val="center"/>
          </w:tcPr>
          <w:p w14:paraId="0EC0FFCC" w14:textId="77777777" w:rsidR="006E6D14" w:rsidRPr="0098262F" w:rsidRDefault="006E6D14">
            <w:pPr>
              <w:pStyle w:val="TableText"/>
            </w:pPr>
            <w:proofErr w:type="spellStart"/>
            <w:r w:rsidRPr="0098262F">
              <w:rPr>
                <w:b/>
              </w:rPr>
              <w:t>Episodicity</w:t>
            </w:r>
            <w:proofErr w:type="spellEnd"/>
            <w:r w:rsidRPr="0098262F">
              <w:rPr>
                <w:b/>
              </w:rPr>
              <w:t xml:space="preserve">: </w:t>
            </w:r>
            <w:r w:rsidRPr="00A5664D">
              <w:rPr>
                <w:bCs w:val="0"/>
              </w:rPr>
              <w:t>Active</w:t>
            </w:r>
          </w:p>
        </w:tc>
      </w:tr>
      <w:tr w:rsidR="006E6D14" w:rsidRPr="0098262F" w14:paraId="4175B765" w14:textId="77777777">
        <w:trPr>
          <w:cantSplit/>
          <w:trHeight w:val="20"/>
        </w:trPr>
        <w:tc>
          <w:tcPr>
            <w:tcW w:w="5000" w:type="pct"/>
            <w:vAlign w:val="center"/>
          </w:tcPr>
          <w:p w14:paraId="39DBD48B" w14:textId="77777777" w:rsidR="006E6D14" w:rsidRPr="0098262F" w:rsidRDefault="006E6D14">
            <w:pPr>
              <w:pStyle w:val="TableText"/>
              <w:rPr>
                <w:b/>
              </w:rPr>
            </w:pPr>
            <w:r w:rsidRPr="0098262F">
              <w:rPr>
                <w:b/>
              </w:rPr>
              <w:t xml:space="preserve">Severity: </w:t>
            </w:r>
            <w:r w:rsidRPr="00A5664D">
              <w:rPr>
                <w:bCs w:val="0"/>
              </w:rPr>
              <w:t>Uncontrolled Severe</w:t>
            </w:r>
          </w:p>
        </w:tc>
      </w:tr>
      <w:tr w:rsidR="006E6D14" w:rsidRPr="0098262F" w14:paraId="6FA36BF3" w14:textId="77777777">
        <w:trPr>
          <w:cantSplit/>
          <w:trHeight w:val="20"/>
        </w:trPr>
        <w:tc>
          <w:tcPr>
            <w:tcW w:w="5000" w:type="pct"/>
            <w:vAlign w:val="center"/>
          </w:tcPr>
          <w:p w14:paraId="5C096638" w14:textId="77777777" w:rsidR="006E6D14" w:rsidRPr="0098262F" w:rsidRDefault="006E6D14">
            <w:pPr>
              <w:pStyle w:val="TableText"/>
              <w:rPr>
                <w:b/>
              </w:rPr>
            </w:pPr>
            <w:r w:rsidRPr="0098262F">
              <w:rPr>
                <w:b/>
              </w:rPr>
              <w:t xml:space="preserve">Condition: </w:t>
            </w:r>
            <w:r w:rsidRPr="00A5664D">
              <w:rPr>
                <w:bCs w:val="0"/>
              </w:rPr>
              <w:t>Uncontrolled severe asthma</w:t>
            </w:r>
          </w:p>
        </w:tc>
      </w:tr>
      <w:tr w:rsidR="006E6D14" w:rsidRPr="0098262F" w14:paraId="72FA7290" w14:textId="77777777">
        <w:trPr>
          <w:cantSplit/>
          <w:trHeight w:val="20"/>
        </w:trPr>
        <w:tc>
          <w:tcPr>
            <w:tcW w:w="5000" w:type="pct"/>
            <w:vAlign w:val="center"/>
            <w:hideMark/>
          </w:tcPr>
          <w:p w14:paraId="6B7141E9" w14:textId="77777777" w:rsidR="006E6D14" w:rsidRPr="0098262F" w:rsidRDefault="006E6D14">
            <w:pPr>
              <w:pStyle w:val="TableText"/>
            </w:pPr>
            <w:r w:rsidRPr="0098262F">
              <w:rPr>
                <w:b/>
              </w:rPr>
              <w:t>Indication:</w:t>
            </w:r>
            <w:r w:rsidRPr="0098262F">
              <w:t xml:space="preserve"> </w:t>
            </w:r>
            <w:r w:rsidRPr="00A5664D">
              <w:t>Uncontrolled severe asthma</w:t>
            </w:r>
          </w:p>
        </w:tc>
      </w:tr>
      <w:tr w:rsidR="006E6D14" w:rsidRPr="0098262F" w14:paraId="54A0D240" w14:textId="77777777">
        <w:trPr>
          <w:cantSplit/>
          <w:trHeight w:val="20"/>
        </w:trPr>
        <w:tc>
          <w:tcPr>
            <w:tcW w:w="5000" w:type="pct"/>
            <w:vAlign w:val="center"/>
            <w:hideMark/>
          </w:tcPr>
          <w:p w14:paraId="0D0A0650" w14:textId="77777777" w:rsidR="006E6D14" w:rsidRPr="0098262F" w:rsidRDefault="006E6D14">
            <w:pPr>
              <w:pStyle w:val="TableText"/>
            </w:pPr>
            <w:r w:rsidRPr="0098262F">
              <w:rPr>
                <w:b/>
              </w:rPr>
              <w:t>Treatment Phase:</w:t>
            </w:r>
            <w:r w:rsidRPr="0098262F">
              <w:t xml:space="preserve"> </w:t>
            </w:r>
            <w:r w:rsidRPr="00A5664D">
              <w:t>Initial treatment 1– New patients (New patients; or Recommencement of treatment in a new treatment cycle following a break in PBS-subsidised biological medicine therapy)</w:t>
            </w:r>
          </w:p>
        </w:tc>
      </w:tr>
      <w:tr w:rsidR="006E6D14" w:rsidRPr="0098262F" w14:paraId="22495329" w14:textId="77777777">
        <w:trPr>
          <w:cantSplit/>
          <w:trHeight w:val="20"/>
        </w:trPr>
        <w:tc>
          <w:tcPr>
            <w:tcW w:w="5000" w:type="pct"/>
            <w:vAlign w:val="center"/>
            <w:hideMark/>
          </w:tcPr>
          <w:p w14:paraId="38AEBB04" w14:textId="77777777" w:rsidR="006E6D14" w:rsidRPr="0098262F" w:rsidRDefault="006E6D14">
            <w:pPr>
              <w:pStyle w:val="TableText"/>
            </w:pPr>
            <w:r w:rsidRPr="0098262F">
              <w:rPr>
                <w:b/>
              </w:rPr>
              <w:t>Clinical criteria:</w:t>
            </w:r>
            <w:r>
              <w:rPr>
                <w:b/>
              </w:rPr>
              <w:t xml:space="preserve"> </w:t>
            </w:r>
          </w:p>
        </w:tc>
      </w:tr>
      <w:tr w:rsidR="006E6D14" w:rsidRPr="0098262F" w14:paraId="38698AD9" w14:textId="77777777">
        <w:trPr>
          <w:cantSplit/>
          <w:trHeight w:val="20"/>
        </w:trPr>
        <w:tc>
          <w:tcPr>
            <w:tcW w:w="5000" w:type="pct"/>
            <w:hideMark/>
          </w:tcPr>
          <w:p w14:paraId="7208030A" w14:textId="77777777" w:rsidR="006E6D14" w:rsidRPr="0098262F" w:rsidRDefault="006E6D14">
            <w:pPr>
              <w:pStyle w:val="TableText"/>
            </w:pPr>
            <w:r>
              <w:t>Patient must be under the care of the same physician for at least 6 months; or</w:t>
            </w:r>
          </w:p>
        </w:tc>
      </w:tr>
      <w:tr w:rsidR="006E6D14" w:rsidRPr="0098262F" w14:paraId="60C2AA43" w14:textId="77777777">
        <w:trPr>
          <w:cantSplit/>
          <w:trHeight w:val="20"/>
        </w:trPr>
        <w:tc>
          <w:tcPr>
            <w:tcW w:w="5000" w:type="pct"/>
          </w:tcPr>
          <w:p w14:paraId="4400762E" w14:textId="77777777" w:rsidR="006E6D14" w:rsidRPr="0098262F" w:rsidRDefault="006E6D14">
            <w:pPr>
              <w:pStyle w:val="TableText"/>
            </w:pPr>
            <w:r>
              <w:t>Patient must have been diagnosed by a multidisciplinary severe asthma clinic team.</w:t>
            </w:r>
          </w:p>
        </w:tc>
      </w:tr>
      <w:tr w:rsidR="006E6D14" w:rsidRPr="0098262F" w14:paraId="5EBE4292" w14:textId="77777777">
        <w:trPr>
          <w:cantSplit/>
          <w:trHeight w:val="20"/>
        </w:trPr>
        <w:tc>
          <w:tcPr>
            <w:tcW w:w="5000" w:type="pct"/>
          </w:tcPr>
          <w:p w14:paraId="270AA73B" w14:textId="77777777" w:rsidR="006E6D14" w:rsidRPr="00A5664D" w:rsidRDefault="006E6D14">
            <w:pPr>
              <w:pStyle w:val="TableText"/>
              <w:rPr>
                <w:b/>
                <w:bCs w:val="0"/>
              </w:rPr>
            </w:pPr>
            <w:r w:rsidRPr="00A5664D">
              <w:rPr>
                <w:b/>
                <w:bCs w:val="0"/>
              </w:rPr>
              <w:t>AND</w:t>
            </w:r>
          </w:p>
        </w:tc>
      </w:tr>
      <w:tr w:rsidR="006E6D14" w:rsidRPr="0098262F" w14:paraId="394CCD57" w14:textId="77777777">
        <w:trPr>
          <w:cantSplit/>
          <w:trHeight w:val="20"/>
        </w:trPr>
        <w:tc>
          <w:tcPr>
            <w:tcW w:w="5000" w:type="pct"/>
          </w:tcPr>
          <w:p w14:paraId="440CC776" w14:textId="77777777" w:rsidR="006E6D14" w:rsidRPr="0098262F" w:rsidRDefault="006E6D14">
            <w:pPr>
              <w:pStyle w:val="TableText"/>
            </w:pPr>
            <w:r>
              <w:t>Patient must not have received PBS-subsidised treatment with a biological medicine for severe asthma; or</w:t>
            </w:r>
          </w:p>
        </w:tc>
      </w:tr>
      <w:tr w:rsidR="006E6D14" w:rsidRPr="0098262F" w14:paraId="6B1D3E47" w14:textId="77777777">
        <w:trPr>
          <w:cantSplit/>
          <w:trHeight w:val="20"/>
        </w:trPr>
        <w:tc>
          <w:tcPr>
            <w:tcW w:w="5000" w:type="pct"/>
          </w:tcPr>
          <w:p w14:paraId="526E436B" w14:textId="77777777" w:rsidR="006E6D14" w:rsidRPr="0098262F" w:rsidRDefault="006E6D14">
            <w:pPr>
              <w:pStyle w:val="TableText"/>
            </w:pPr>
            <w:r>
              <w:t>Patient must have had a break in treatment from a PBS-subsidised biological medicine for severe asthma.</w:t>
            </w:r>
          </w:p>
        </w:tc>
      </w:tr>
      <w:tr w:rsidR="006E6D14" w:rsidRPr="0098262F" w14:paraId="66F3762D" w14:textId="77777777">
        <w:trPr>
          <w:cantSplit/>
          <w:trHeight w:val="20"/>
        </w:trPr>
        <w:tc>
          <w:tcPr>
            <w:tcW w:w="5000" w:type="pct"/>
          </w:tcPr>
          <w:p w14:paraId="5BEB24E6" w14:textId="77777777" w:rsidR="006E6D14" w:rsidRPr="00A5664D" w:rsidRDefault="006E6D14">
            <w:pPr>
              <w:pStyle w:val="TableText"/>
              <w:rPr>
                <w:b/>
                <w:bCs w:val="0"/>
              </w:rPr>
            </w:pPr>
            <w:r w:rsidRPr="00A5664D">
              <w:rPr>
                <w:b/>
                <w:bCs w:val="0"/>
              </w:rPr>
              <w:t>AND</w:t>
            </w:r>
          </w:p>
        </w:tc>
      </w:tr>
      <w:tr w:rsidR="006E6D14" w:rsidRPr="0098262F" w14:paraId="79C261AE" w14:textId="77777777">
        <w:trPr>
          <w:cantSplit/>
          <w:trHeight w:val="20"/>
        </w:trPr>
        <w:tc>
          <w:tcPr>
            <w:tcW w:w="5000" w:type="pct"/>
          </w:tcPr>
          <w:p w14:paraId="25098865" w14:textId="77777777" w:rsidR="006E6D14" w:rsidRPr="0098262F" w:rsidRDefault="006E6D14">
            <w:pPr>
              <w:pStyle w:val="TableText"/>
            </w:pPr>
            <w:r>
              <w:t>And have had asthma for 1 year</w:t>
            </w:r>
            <w:r w:rsidRPr="00594E56">
              <w:t xml:space="preserve"> and documented by a respiratory physician, clinical immunologist, allergist or general physician experienced in the management of patients with severe asthma, defined by the following standard clinical features: (</w:t>
            </w:r>
            <w:proofErr w:type="spellStart"/>
            <w:r w:rsidRPr="00594E56">
              <w:t>i</w:t>
            </w:r>
            <w:proofErr w:type="spellEnd"/>
            <w:r w:rsidRPr="00594E56">
              <w:t>) forced expiratory volume (FEV</w:t>
            </w:r>
            <w:r w:rsidRPr="00284C7A">
              <w:rPr>
                <w:vertAlign w:val="subscript"/>
              </w:rPr>
              <w:t>1</w:t>
            </w:r>
            <w:r w:rsidRPr="00594E56">
              <w:t>) reversibility greater than or equal to 12% and greater than or equal to 200 mL at baseline within 30 minutes after administration of salbutamol (200 to 400 micrograms), or (ii) airway hyperresponsiveness defined as a greater than 20% decline in FEV</w:t>
            </w:r>
            <w:r w:rsidRPr="00284C7A">
              <w:rPr>
                <w:vertAlign w:val="subscript"/>
              </w:rPr>
              <w:t>1</w:t>
            </w:r>
            <w:r w:rsidRPr="00594E56">
              <w:t xml:space="preserve"> during a direct bronchial provocation test or greater than 15% decline during an indirect bronchial provocation test, or (iii) peak expiratory flow (PEF) variability of greater than 15% between the </w:t>
            </w:r>
            <w:r>
              <w:t>two</w:t>
            </w:r>
            <w:r w:rsidRPr="00594E56">
              <w:t xml:space="preserve"> highest and </w:t>
            </w:r>
            <w:r>
              <w:t>two</w:t>
            </w:r>
            <w:r w:rsidRPr="00594E56">
              <w:t xml:space="preserve"> lowest peak expiratory flow rates during 14 days; or</w:t>
            </w:r>
          </w:p>
        </w:tc>
      </w:tr>
      <w:tr w:rsidR="006E6D14" w:rsidRPr="0098262F" w14:paraId="3EB22BCF" w14:textId="77777777">
        <w:trPr>
          <w:cantSplit/>
          <w:trHeight w:val="20"/>
        </w:trPr>
        <w:tc>
          <w:tcPr>
            <w:tcW w:w="5000" w:type="pct"/>
          </w:tcPr>
          <w:p w14:paraId="312A4BFE" w14:textId="77777777" w:rsidR="006E6D14" w:rsidRPr="0098262F" w:rsidRDefault="006E6D14">
            <w:pPr>
              <w:pStyle w:val="TableText"/>
            </w:pPr>
            <w:r w:rsidRPr="00594E56">
              <w:t>Patient must have a diagnosis of asthma from at least two physicians experienced in the management of patients with severe asthma.</w:t>
            </w:r>
          </w:p>
        </w:tc>
      </w:tr>
      <w:tr w:rsidR="006E6D14" w:rsidRPr="0098262F" w14:paraId="579B21B5" w14:textId="77777777">
        <w:trPr>
          <w:cantSplit/>
          <w:trHeight w:val="20"/>
        </w:trPr>
        <w:tc>
          <w:tcPr>
            <w:tcW w:w="5000" w:type="pct"/>
          </w:tcPr>
          <w:p w14:paraId="54478A8D" w14:textId="77777777" w:rsidR="006E6D14" w:rsidRPr="00A5664D" w:rsidRDefault="006E6D14">
            <w:pPr>
              <w:pStyle w:val="TableText"/>
              <w:rPr>
                <w:b/>
                <w:bCs w:val="0"/>
              </w:rPr>
            </w:pPr>
            <w:r w:rsidRPr="00A5664D">
              <w:rPr>
                <w:b/>
                <w:bCs w:val="0"/>
              </w:rPr>
              <w:t>AND</w:t>
            </w:r>
          </w:p>
        </w:tc>
      </w:tr>
      <w:tr w:rsidR="006E6D14" w:rsidRPr="0098262F" w14:paraId="5710D3A8" w14:textId="77777777">
        <w:trPr>
          <w:cantSplit/>
          <w:trHeight w:val="20"/>
        </w:trPr>
        <w:tc>
          <w:tcPr>
            <w:tcW w:w="5000" w:type="pct"/>
          </w:tcPr>
          <w:p w14:paraId="7568F877" w14:textId="77777777" w:rsidR="006E6D14" w:rsidRPr="0098262F" w:rsidRDefault="006E6D14">
            <w:pPr>
              <w:pStyle w:val="TableText"/>
            </w:pPr>
            <w:r w:rsidRPr="00C072BA">
              <w:t>Patient must have a duration of asthma of at least 1 year.</w:t>
            </w:r>
          </w:p>
        </w:tc>
      </w:tr>
      <w:tr w:rsidR="006E6D14" w:rsidRPr="0098262F" w14:paraId="539F8182" w14:textId="77777777">
        <w:trPr>
          <w:cantSplit/>
          <w:trHeight w:val="20"/>
        </w:trPr>
        <w:tc>
          <w:tcPr>
            <w:tcW w:w="5000" w:type="pct"/>
          </w:tcPr>
          <w:p w14:paraId="3B94B98F" w14:textId="77777777" w:rsidR="006E6D14" w:rsidRPr="00A5664D" w:rsidRDefault="006E6D14">
            <w:pPr>
              <w:pStyle w:val="TableText"/>
              <w:rPr>
                <w:b/>
                <w:bCs w:val="0"/>
              </w:rPr>
            </w:pPr>
            <w:r w:rsidRPr="00A5664D">
              <w:rPr>
                <w:b/>
                <w:bCs w:val="0"/>
              </w:rPr>
              <w:t>AND</w:t>
            </w:r>
          </w:p>
        </w:tc>
      </w:tr>
      <w:tr w:rsidR="006E6D14" w:rsidRPr="0098262F" w14:paraId="6D38B896" w14:textId="77777777">
        <w:trPr>
          <w:cantSplit/>
          <w:trHeight w:val="20"/>
        </w:trPr>
        <w:tc>
          <w:tcPr>
            <w:tcW w:w="5000" w:type="pct"/>
          </w:tcPr>
          <w:p w14:paraId="29383AE9" w14:textId="77777777" w:rsidR="006E6D14" w:rsidRPr="0098262F" w:rsidRDefault="006E6D14">
            <w:pPr>
              <w:pStyle w:val="TableText"/>
            </w:pPr>
            <w:r w:rsidRPr="00B80FBC">
              <w:t>Patient must have blood eosinophil count at least 300 cells per microlitre in the last 12 months, or</w:t>
            </w:r>
          </w:p>
        </w:tc>
      </w:tr>
      <w:tr w:rsidR="006E6D14" w:rsidRPr="0098262F" w14:paraId="209375F0" w14:textId="77777777">
        <w:trPr>
          <w:cantSplit/>
          <w:trHeight w:val="20"/>
        </w:trPr>
        <w:tc>
          <w:tcPr>
            <w:tcW w:w="5000" w:type="pct"/>
          </w:tcPr>
          <w:p w14:paraId="340E3852" w14:textId="77777777" w:rsidR="006E6D14" w:rsidRPr="0098262F" w:rsidRDefault="006E6D14">
            <w:pPr>
              <w:pStyle w:val="TableText"/>
            </w:pPr>
            <w:r w:rsidRPr="00B80FBC">
              <w:rPr>
                <w:iCs/>
              </w:rPr>
              <w:t>Patient must have blood eosinophil count at least 150 cells per microlitre while receiving treatment with oral corticosteroids in the last 12 months</w:t>
            </w:r>
          </w:p>
        </w:tc>
      </w:tr>
      <w:tr w:rsidR="006E6D14" w:rsidRPr="0098262F" w14:paraId="711E0B97" w14:textId="77777777">
        <w:trPr>
          <w:cantSplit/>
          <w:trHeight w:val="20"/>
        </w:trPr>
        <w:tc>
          <w:tcPr>
            <w:tcW w:w="5000" w:type="pct"/>
          </w:tcPr>
          <w:p w14:paraId="54202AFD" w14:textId="77777777" w:rsidR="006E6D14" w:rsidRPr="00A5664D" w:rsidRDefault="006E6D14">
            <w:pPr>
              <w:pStyle w:val="TableText"/>
              <w:rPr>
                <w:b/>
                <w:bCs w:val="0"/>
              </w:rPr>
            </w:pPr>
            <w:r w:rsidRPr="00A5664D">
              <w:rPr>
                <w:b/>
                <w:bCs w:val="0"/>
                <w:iCs/>
              </w:rPr>
              <w:t>OR</w:t>
            </w:r>
          </w:p>
        </w:tc>
      </w:tr>
      <w:tr w:rsidR="006E6D14" w:rsidRPr="0098262F" w14:paraId="745A1418" w14:textId="77777777">
        <w:trPr>
          <w:cantSplit/>
          <w:trHeight w:val="20"/>
        </w:trPr>
        <w:tc>
          <w:tcPr>
            <w:tcW w:w="5000" w:type="pct"/>
          </w:tcPr>
          <w:p w14:paraId="28AF9E56" w14:textId="77777777" w:rsidR="006E6D14" w:rsidRPr="0098262F" w:rsidRDefault="006E6D14">
            <w:pPr>
              <w:pStyle w:val="TableText"/>
            </w:pPr>
            <w:r w:rsidRPr="004B133E">
              <w:rPr>
                <w:iCs/>
              </w:rPr>
              <w:t>Patient must have total serum human immunoglobulin E of at least 30 IU/mL, measured in the last 12 months that has past or current evidence of atopy, documented by either: (</w:t>
            </w:r>
            <w:proofErr w:type="spellStart"/>
            <w:r w:rsidRPr="004B133E">
              <w:rPr>
                <w:iCs/>
              </w:rPr>
              <w:t>i</w:t>
            </w:r>
            <w:proofErr w:type="spellEnd"/>
            <w:r w:rsidRPr="004B133E">
              <w:rPr>
                <w:iCs/>
              </w:rPr>
              <w:t>) skin prick testing; (ii) an in vitro measure of specific IgE</w:t>
            </w:r>
          </w:p>
        </w:tc>
      </w:tr>
      <w:tr w:rsidR="006E6D14" w:rsidRPr="0098262F" w14:paraId="2B28DF62" w14:textId="77777777">
        <w:trPr>
          <w:cantSplit/>
          <w:trHeight w:val="20"/>
        </w:trPr>
        <w:tc>
          <w:tcPr>
            <w:tcW w:w="5000" w:type="pct"/>
          </w:tcPr>
          <w:p w14:paraId="3EC1C82B" w14:textId="77777777" w:rsidR="006E6D14" w:rsidRPr="00A5664D" w:rsidRDefault="006E6D14">
            <w:pPr>
              <w:pStyle w:val="TableText"/>
              <w:rPr>
                <w:b/>
                <w:bCs w:val="0"/>
              </w:rPr>
            </w:pPr>
            <w:r w:rsidRPr="00A5664D">
              <w:rPr>
                <w:b/>
                <w:bCs w:val="0"/>
              </w:rPr>
              <w:t>AND</w:t>
            </w:r>
          </w:p>
        </w:tc>
      </w:tr>
      <w:tr w:rsidR="006E6D14" w:rsidRPr="0098262F" w14:paraId="760CF7D2" w14:textId="77777777">
        <w:trPr>
          <w:cantSplit/>
          <w:trHeight w:val="20"/>
        </w:trPr>
        <w:tc>
          <w:tcPr>
            <w:tcW w:w="5000" w:type="pct"/>
          </w:tcPr>
          <w:p w14:paraId="5A0E6A32" w14:textId="77777777" w:rsidR="006E6D14" w:rsidRPr="0098262F" w:rsidRDefault="006E6D14">
            <w:pPr>
              <w:pStyle w:val="TableText"/>
            </w:pPr>
            <w:r w:rsidRPr="00193BC1">
              <w:t>Patient must have failed to achieve adequate control with optimised asthma therapy, despite formal assessment of and adherence to correct inhaler technique, which has been documented.</w:t>
            </w:r>
          </w:p>
        </w:tc>
      </w:tr>
      <w:tr w:rsidR="006E6D14" w:rsidRPr="0098262F" w14:paraId="20161525" w14:textId="77777777">
        <w:trPr>
          <w:cantSplit/>
          <w:trHeight w:val="20"/>
        </w:trPr>
        <w:tc>
          <w:tcPr>
            <w:tcW w:w="5000" w:type="pct"/>
          </w:tcPr>
          <w:p w14:paraId="6A8C3690" w14:textId="77777777" w:rsidR="006E6D14" w:rsidRPr="00A5664D" w:rsidRDefault="006E6D14">
            <w:pPr>
              <w:pStyle w:val="TableText"/>
              <w:rPr>
                <w:b/>
                <w:bCs w:val="0"/>
              </w:rPr>
            </w:pPr>
            <w:r w:rsidRPr="00A5664D">
              <w:rPr>
                <w:b/>
                <w:bCs w:val="0"/>
              </w:rPr>
              <w:t>AND</w:t>
            </w:r>
          </w:p>
        </w:tc>
      </w:tr>
      <w:tr w:rsidR="006E6D14" w:rsidRPr="0098262F" w14:paraId="53378560" w14:textId="77777777">
        <w:trPr>
          <w:cantSplit/>
          <w:trHeight w:val="20"/>
        </w:trPr>
        <w:tc>
          <w:tcPr>
            <w:tcW w:w="5000" w:type="pct"/>
          </w:tcPr>
          <w:p w14:paraId="0A35F653" w14:textId="77777777" w:rsidR="006E6D14" w:rsidRPr="0098262F" w:rsidRDefault="006E6D14">
            <w:pPr>
              <w:pStyle w:val="TableText"/>
            </w:pPr>
            <w:r w:rsidRPr="00FE4908">
              <w:t>Patient must not receive more than 32 weeks of treatment under this restriction.</w:t>
            </w:r>
          </w:p>
        </w:tc>
      </w:tr>
      <w:tr w:rsidR="006E6D14" w:rsidRPr="0098262F" w14:paraId="0CFCDFD2" w14:textId="77777777">
        <w:trPr>
          <w:cantSplit/>
          <w:trHeight w:val="20"/>
        </w:trPr>
        <w:tc>
          <w:tcPr>
            <w:tcW w:w="5000" w:type="pct"/>
            <w:vAlign w:val="center"/>
          </w:tcPr>
          <w:p w14:paraId="140488B2" w14:textId="77777777" w:rsidR="006E6D14" w:rsidRPr="0098262F" w:rsidRDefault="006E6D14">
            <w:pPr>
              <w:pStyle w:val="TableText"/>
              <w:rPr>
                <w:b/>
              </w:rPr>
            </w:pPr>
            <w:r w:rsidRPr="00B52426">
              <w:rPr>
                <w:b/>
              </w:rPr>
              <w:t>Treatment criteria:</w:t>
            </w:r>
          </w:p>
        </w:tc>
      </w:tr>
      <w:tr w:rsidR="006E6D14" w:rsidRPr="0098262F" w14:paraId="4DD6FA97" w14:textId="77777777">
        <w:trPr>
          <w:cantSplit/>
          <w:trHeight w:val="20"/>
        </w:trPr>
        <w:tc>
          <w:tcPr>
            <w:tcW w:w="5000" w:type="pct"/>
            <w:vAlign w:val="center"/>
          </w:tcPr>
          <w:p w14:paraId="5C2335E2" w14:textId="77777777" w:rsidR="006E6D14" w:rsidRPr="00B52426" w:rsidRDefault="006E6D14">
            <w:pPr>
              <w:pStyle w:val="TableText"/>
              <w:rPr>
                <w:bCs w:val="0"/>
              </w:rPr>
            </w:pPr>
            <w:r w:rsidRPr="00B52426">
              <w:rPr>
                <w:bCs w:val="0"/>
              </w:rPr>
              <w:t>Must be treated by a respiratory physician, clinical immunologist, allergist or general physician experienced in the management of patients with severe asthma.</w:t>
            </w:r>
          </w:p>
        </w:tc>
      </w:tr>
      <w:tr w:rsidR="006E6D14" w:rsidRPr="0098262F" w14:paraId="144408B2" w14:textId="77777777">
        <w:trPr>
          <w:cantSplit/>
          <w:trHeight w:val="20"/>
        </w:trPr>
        <w:tc>
          <w:tcPr>
            <w:tcW w:w="5000" w:type="pct"/>
            <w:vAlign w:val="center"/>
            <w:hideMark/>
          </w:tcPr>
          <w:p w14:paraId="4B584461" w14:textId="77777777" w:rsidR="006E6D14" w:rsidRPr="0098262F" w:rsidRDefault="006E6D14">
            <w:pPr>
              <w:pStyle w:val="TableText"/>
            </w:pPr>
            <w:r w:rsidRPr="0098262F">
              <w:rPr>
                <w:b/>
              </w:rPr>
              <w:t>Population criteria:</w:t>
            </w:r>
          </w:p>
        </w:tc>
      </w:tr>
      <w:tr w:rsidR="006E6D14" w:rsidRPr="0098262F" w14:paraId="6B710491" w14:textId="77777777">
        <w:trPr>
          <w:cantSplit/>
          <w:trHeight w:val="20"/>
        </w:trPr>
        <w:tc>
          <w:tcPr>
            <w:tcW w:w="5000" w:type="pct"/>
            <w:vAlign w:val="center"/>
          </w:tcPr>
          <w:p w14:paraId="110E44C5" w14:textId="77777777" w:rsidR="006E6D14" w:rsidRPr="0098262F" w:rsidRDefault="006E6D14">
            <w:pPr>
              <w:pStyle w:val="TableText"/>
              <w:rPr>
                <w:color w:val="0066FF"/>
              </w:rPr>
            </w:pPr>
            <w:r w:rsidRPr="00A5664D">
              <w:t>Patients must be aged 12 years or older.</w:t>
            </w:r>
          </w:p>
        </w:tc>
      </w:tr>
    </w:tbl>
    <w:p w14:paraId="69C9280F" w14:textId="77777777" w:rsidR="006E6D14" w:rsidRDefault="006E6D14" w:rsidP="006E6D14">
      <w:pPr>
        <w:rPr>
          <w:lang w:val="da-DK"/>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Eosinophilic or allergic SUA"/>
      </w:tblPr>
      <w:tblGrid>
        <w:gridCol w:w="9017"/>
      </w:tblGrid>
      <w:tr w:rsidR="006E6D14" w:rsidRPr="0098262F" w14:paraId="183DD47D" w14:textId="77777777">
        <w:trPr>
          <w:cantSplit/>
          <w:trHeight w:val="20"/>
          <w:jc w:val="center"/>
        </w:trPr>
        <w:tc>
          <w:tcPr>
            <w:tcW w:w="5000" w:type="pct"/>
            <w:vAlign w:val="center"/>
            <w:hideMark/>
          </w:tcPr>
          <w:p w14:paraId="6512AB2D" w14:textId="77777777" w:rsidR="006E6D14" w:rsidRPr="0098262F" w:rsidRDefault="006E6D14">
            <w:pPr>
              <w:pStyle w:val="TableText"/>
            </w:pPr>
            <w:r w:rsidRPr="0098262F">
              <w:rPr>
                <w:b/>
              </w:rPr>
              <w:t>Treatment Phase:</w:t>
            </w:r>
            <w:r>
              <w:t xml:space="preserve"> </w:t>
            </w:r>
            <w:r w:rsidRPr="00B52426">
              <w:t>Initial treatment 2 – (Change of treatment)</w:t>
            </w:r>
          </w:p>
        </w:tc>
      </w:tr>
      <w:tr w:rsidR="006E6D14" w:rsidRPr="0098262F" w14:paraId="78E38CCF" w14:textId="77777777">
        <w:trPr>
          <w:cantSplit/>
          <w:trHeight w:val="20"/>
          <w:jc w:val="center"/>
        </w:trPr>
        <w:tc>
          <w:tcPr>
            <w:tcW w:w="5000" w:type="pct"/>
            <w:vAlign w:val="center"/>
            <w:hideMark/>
          </w:tcPr>
          <w:p w14:paraId="170D6B8C" w14:textId="77777777" w:rsidR="006E6D14" w:rsidRPr="0098262F" w:rsidRDefault="006E6D14">
            <w:pPr>
              <w:pStyle w:val="TableText"/>
            </w:pPr>
            <w:r w:rsidRPr="0098262F">
              <w:rPr>
                <w:b/>
              </w:rPr>
              <w:t>Clinical criteria:</w:t>
            </w:r>
            <w:r>
              <w:rPr>
                <w:b/>
              </w:rPr>
              <w:t xml:space="preserve"> </w:t>
            </w:r>
          </w:p>
        </w:tc>
      </w:tr>
      <w:tr w:rsidR="006E6D14" w:rsidRPr="0098262F" w14:paraId="5D141E3C" w14:textId="77777777">
        <w:trPr>
          <w:cantSplit/>
          <w:trHeight w:val="20"/>
          <w:jc w:val="center"/>
        </w:trPr>
        <w:tc>
          <w:tcPr>
            <w:tcW w:w="5000" w:type="pct"/>
            <w:hideMark/>
          </w:tcPr>
          <w:p w14:paraId="4C9DCED2" w14:textId="77777777" w:rsidR="006E6D14" w:rsidRPr="0098262F" w:rsidRDefault="006E6D14">
            <w:pPr>
              <w:pStyle w:val="TableText"/>
            </w:pPr>
            <w:r>
              <w:t>Patient must be under the care of the same physician for at least 6 months; or</w:t>
            </w:r>
          </w:p>
        </w:tc>
      </w:tr>
      <w:tr w:rsidR="006E6D14" w:rsidRPr="0098262F" w14:paraId="0598D238" w14:textId="77777777">
        <w:trPr>
          <w:cantSplit/>
          <w:trHeight w:val="20"/>
          <w:jc w:val="center"/>
        </w:trPr>
        <w:tc>
          <w:tcPr>
            <w:tcW w:w="5000" w:type="pct"/>
          </w:tcPr>
          <w:p w14:paraId="67D8DCBB" w14:textId="77777777" w:rsidR="006E6D14" w:rsidRPr="0098262F" w:rsidRDefault="006E6D14">
            <w:pPr>
              <w:pStyle w:val="TableText"/>
            </w:pPr>
            <w:r>
              <w:t>Patient must have been diagnosed by a multidisciplinary severe asthma clinic team.</w:t>
            </w:r>
          </w:p>
        </w:tc>
      </w:tr>
      <w:tr w:rsidR="006E6D14" w:rsidRPr="0098262F" w14:paraId="7B9F4BEE" w14:textId="77777777">
        <w:trPr>
          <w:cantSplit/>
          <w:trHeight w:val="20"/>
          <w:jc w:val="center"/>
        </w:trPr>
        <w:tc>
          <w:tcPr>
            <w:tcW w:w="5000" w:type="pct"/>
          </w:tcPr>
          <w:p w14:paraId="52C5717B" w14:textId="77777777" w:rsidR="006E6D14" w:rsidRPr="00A5664D" w:rsidRDefault="006E6D14">
            <w:pPr>
              <w:pStyle w:val="TableText"/>
              <w:rPr>
                <w:b/>
                <w:bCs w:val="0"/>
              </w:rPr>
            </w:pPr>
            <w:r w:rsidRPr="00A5664D">
              <w:rPr>
                <w:b/>
                <w:bCs w:val="0"/>
              </w:rPr>
              <w:t>AND</w:t>
            </w:r>
          </w:p>
        </w:tc>
      </w:tr>
      <w:tr w:rsidR="006E6D14" w:rsidRPr="0098262F" w14:paraId="51D7AF3B" w14:textId="77777777">
        <w:trPr>
          <w:cantSplit/>
          <w:trHeight w:val="20"/>
          <w:jc w:val="center"/>
        </w:trPr>
        <w:tc>
          <w:tcPr>
            <w:tcW w:w="5000" w:type="pct"/>
          </w:tcPr>
          <w:p w14:paraId="2930D7E8" w14:textId="77777777" w:rsidR="006E6D14" w:rsidRPr="0098262F" w:rsidRDefault="006E6D14">
            <w:pPr>
              <w:pStyle w:val="TableText"/>
            </w:pPr>
            <w:r w:rsidRPr="001B380B">
              <w:t>Patient must have received prior PBS-subsidised treatment with a biological medicine for severe asthma in this treatment cycle.</w:t>
            </w:r>
          </w:p>
        </w:tc>
      </w:tr>
      <w:tr w:rsidR="006E6D14" w:rsidRPr="0098262F" w14:paraId="38B32FA6" w14:textId="77777777">
        <w:trPr>
          <w:cantSplit/>
          <w:trHeight w:val="20"/>
          <w:jc w:val="center"/>
        </w:trPr>
        <w:tc>
          <w:tcPr>
            <w:tcW w:w="5000" w:type="pct"/>
          </w:tcPr>
          <w:p w14:paraId="5A6A3D01" w14:textId="77777777" w:rsidR="006E6D14" w:rsidRPr="00A5664D" w:rsidRDefault="006E6D14">
            <w:pPr>
              <w:pStyle w:val="TableText"/>
              <w:rPr>
                <w:b/>
                <w:bCs w:val="0"/>
              </w:rPr>
            </w:pPr>
            <w:r w:rsidRPr="00A5664D">
              <w:rPr>
                <w:b/>
                <w:bCs w:val="0"/>
              </w:rPr>
              <w:t>AND</w:t>
            </w:r>
          </w:p>
        </w:tc>
      </w:tr>
      <w:tr w:rsidR="006E6D14" w:rsidRPr="0098262F" w14:paraId="6D5EDD4C" w14:textId="77777777">
        <w:trPr>
          <w:cantSplit/>
          <w:trHeight w:val="20"/>
          <w:jc w:val="center"/>
        </w:trPr>
        <w:tc>
          <w:tcPr>
            <w:tcW w:w="5000" w:type="pct"/>
          </w:tcPr>
          <w:p w14:paraId="4D37B671" w14:textId="77777777" w:rsidR="006E6D14" w:rsidRPr="001B380B" w:rsidRDefault="006E6D14">
            <w:pPr>
              <w:pStyle w:val="TableText"/>
            </w:pPr>
            <w:r w:rsidRPr="001B380B">
              <w:t>Patient must not have failed, or ceased to respond to, PBS-subsidised treatment with this drug for severe asthma during the current treatment cycle.</w:t>
            </w:r>
          </w:p>
        </w:tc>
      </w:tr>
      <w:tr w:rsidR="006E6D14" w:rsidRPr="0098262F" w14:paraId="5AB53808" w14:textId="77777777">
        <w:trPr>
          <w:cantSplit/>
          <w:trHeight w:val="20"/>
          <w:jc w:val="center"/>
        </w:trPr>
        <w:tc>
          <w:tcPr>
            <w:tcW w:w="5000" w:type="pct"/>
          </w:tcPr>
          <w:p w14:paraId="6B5C9B0D" w14:textId="77777777" w:rsidR="006E6D14" w:rsidRPr="00A5664D" w:rsidRDefault="006E6D14">
            <w:pPr>
              <w:pStyle w:val="TableText"/>
              <w:rPr>
                <w:b/>
                <w:bCs w:val="0"/>
              </w:rPr>
            </w:pPr>
            <w:r>
              <w:rPr>
                <w:b/>
                <w:bCs w:val="0"/>
              </w:rPr>
              <w:t xml:space="preserve">AND </w:t>
            </w:r>
          </w:p>
        </w:tc>
      </w:tr>
      <w:tr w:rsidR="006E6D14" w:rsidRPr="0098262F" w14:paraId="54588F42" w14:textId="77777777">
        <w:trPr>
          <w:cantSplit/>
          <w:trHeight w:val="20"/>
          <w:jc w:val="center"/>
        </w:trPr>
        <w:tc>
          <w:tcPr>
            <w:tcW w:w="5000" w:type="pct"/>
          </w:tcPr>
          <w:p w14:paraId="753383EA" w14:textId="77777777" w:rsidR="006E6D14" w:rsidRPr="0098262F" w:rsidRDefault="006E6D14">
            <w:pPr>
              <w:pStyle w:val="TableText"/>
            </w:pPr>
            <w:r w:rsidRPr="00D46F85">
              <w:t xml:space="preserve">Patient must have had a blood eosinophil count greater than or equal to 300 cells per microlitre and that is no older than 12 months immediately prior to commencing PBS-subsidised biological medicine treatment for severe </w:t>
            </w:r>
            <w:proofErr w:type="gramStart"/>
            <w:r w:rsidRPr="00D46F85">
              <w:t>asthma;</w:t>
            </w:r>
            <w:proofErr w:type="gramEnd"/>
            <w:r w:rsidRPr="00D46F85">
              <w:t xml:space="preserve"> OR</w:t>
            </w:r>
          </w:p>
        </w:tc>
      </w:tr>
      <w:tr w:rsidR="006E6D14" w:rsidRPr="0098262F" w14:paraId="20587F6D" w14:textId="77777777">
        <w:trPr>
          <w:cantSplit/>
          <w:trHeight w:val="20"/>
          <w:jc w:val="center"/>
        </w:trPr>
        <w:tc>
          <w:tcPr>
            <w:tcW w:w="5000" w:type="pct"/>
          </w:tcPr>
          <w:p w14:paraId="647CBC81" w14:textId="77777777" w:rsidR="006E6D14" w:rsidRPr="0098262F" w:rsidRDefault="006E6D14">
            <w:pPr>
              <w:pStyle w:val="TableText"/>
            </w:pPr>
            <w:r w:rsidRPr="006916D9">
              <w:rPr>
                <w:iCs/>
              </w:rPr>
              <w:t xml:space="preserve">Patient must have had a blood eosinophil count greater than or equal to 150 cells per microlitre while receiving treatment with oral corticosteroids and that is no older than 12 months immediately prior to commencing PBS-subsidised biological medicine treatment for severe </w:t>
            </w:r>
            <w:proofErr w:type="gramStart"/>
            <w:r w:rsidRPr="006916D9">
              <w:rPr>
                <w:iCs/>
              </w:rPr>
              <w:t>asthma;</w:t>
            </w:r>
            <w:proofErr w:type="gramEnd"/>
            <w:r w:rsidRPr="006916D9">
              <w:rPr>
                <w:iCs/>
              </w:rPr>
              <w:t xml:space="preserve"> or</w:t>
            </w:r>
          </w:p>
        </w:tc>
      </w:tr>
      <w:tr w:rsidR="006E6D14" w:rsidRPr="0098262F" w14:paraId="4183D750" w14:textId="77777777">
        <w:trPr>
          <w:cantSplit/>
          <w:trHeight w:val="20"/>
          <w:jc w:val="center"/>
        </w:trPr>
        <w:tc>
          <w:tcPr>
            <w:tcW w:w="5000" w:type="pct"/>
          </w:tcPr>
          <w:p w14:paraId="7E1D34E9" w14:textId="77777777" w:rsidR="006E6D14" w:rsidRPr="00A5664D" w:rsidRDefault="006E6D14">
            <w:pPr>
              <w:pStyle w:val="TableText"/>
              <w:rPr>
                <w:b/>
                <w:bCs w:val="0"/>
              </w:rPr>
            </w:pPr>
            <w:r w:rsidRPr="006916D9">
              <w:rPr>
                <w:iCs/>
              </w:rPr>
              <w:t xml:space="preserve">Patient must have each of: </w:t>
            </w:r>
            <w:proofErr w:type="spellStart"/>
            <w:r w:rsidRPr="006916D9">
              <w:rPr>
                <w:iCs/>
              </w:rPr>
              <w:t>i</w:t>
            </w:r>
            <w:proofErr w:type="spellEnd"/>
            <w:r w:rsidRPr="006916D9">
              <w:rPr>
                <w:iCs/>
              </w:rPr>
              <w:t>) total serum human immunoglobulin E greater than or equal to 30 IU/mL measured no more than 12 months prior to initiating PBS-subsidised treatment with a biological medicine for severe asthma, ii) past or current evidence of atopy, documented by skin prick testing or an in vitro measure of specific IgE in the past 12 months or in the 12 months prior to initiating PBS-subsidised treatment with a biological medicine for severe asthma.</w:t>
            </w:r>
          </w:p>
        </w:tc>
      </w:tr>
      <w:tr w:rsidR="006E6D14" w:rsidRPr="0098262F" w14:paraId="5403E7E6" w14:textId="77777777">
        <w:trPr>
          <w:cantSplit/>
          <w:trHeight w:val="20"/>
          <w:jc w:val="center"/>
        </w:trPr>
        <w:tc>
          <w:tcPr>
            <w:tcW w:w="5000" w:type="pct"/>
          </w:tcPr>
          <w:p w14:paraId="79E7FDE3" w14:textId="77777777" w:rsidR="006E6D14" w:rsidRPr="00305CA1" w:rsidRDefault="006E6D14">
            <w:pPr>
              <w:pStyle w:val="TableText"/>
              <w:rPr>
                <w:b/>
                <w:bCs w:val="0"/>
              </w:rPr>
            </w:pPr>
            <w:r w:rsidRPr="00305CA1">
              <w:rPr>
                <w:b/>
                <w:bCs w:val="0"/>
              </w:rPr>
              <w:t>AND</w:t>
            </w:r>
          </w:p>
        </w:tc>
      </w:tr>
      <w:tr w:rsidR="006E6D14" w:rsidRPr="0098262F" w14:paraId="31CE4D4C" w14:textId="77777777">
        <w:trPr>
          <w:cantSplit/>
          <w:trHeight w:val="20"/>
          <w:jc w:val="center"/>
        </w:trPr>
        <w:tc>
          <w:tcPr>
            <w:tcW w:w="5000" w:type="pct"/>
          </w:tcPr>
          <w:p w14:paraId="34E434E7" w14:textId="77777777" w:rsidR="006E6D14" w:rsidRPr="00A5664D" w:rsidRDefault="006E6D14">
            <w:pPr>
              <w:pStyle w:val="TableText"/>
              <w:rPr>
                <w:b/>
                <w:bCs w:val="0"/>
              </w:rPr>
            </w:pPr>
            <w:r w:rsidRPr="00193BC1">
              <w:t>The treatment must not be used in combination with and within 4 weeks of another PBS-subsidised biological medicine prescribed for severe asthma.</w:t>
            </w:r>
          </w:p>
        </w:tc>
      </w:tr>
      <w:tr w:rsidR="006E6D14" w:rsidRPr="0098262F" w14:paraId="6740FD4B" w14:textId="77777777">
        <w:trPr>
          <w:cantSplit/>
          <w:trHeight w:val="20"/>
          <w:jc w:val="center"/>
        </w:trPr>
        <w:tc>
          <w:tcPr>
            <w:tcW w:w="5000" w:type="pct"/>
            <w:vAlign w:val="center"/>
          </w:tcPr>
          <w:p w14:paraId="52782C1C" w14:textId="77777777" w:rsidR="006E6D14" w:rsidRPr="0098262F" w:rsidRDefault="006E6D14">
            <w:pPr>
              <w:pStyle w:val="TableText"/>
              <w:rPr>
                <w:b/>
              </w:rPr>
            </w:pPr>
            <w:r w:rsidRPr="00B52426">
              <w:rPr>
                <w:b/>
              </w:rPr>
              <w:t>Treatment criteria:</w:t>
            </w:r>
          </w:p>
        </w:tc>
      </w:tr>
      <w:tr w:rsidR="006E6D14" w:rsidRPr="0098262F" w14:paraId="5AB5E7DD" w14:textId="77777777">
        <w:trPr>
          <w:cantSplit/>
          <w:trHeight w:val="20"/>
          <w:jc w:val="center"/>
        </w:trPr>
        <w:tc>
          <w:tcPr>
            <w:tcW w:w="5000" w:type="pct"/>
            <w:vAlign w:val="center"/>
          </w:tcPr>
          <w:p w14:paraId="43421F41" w14:textId="77777777" w:rsidR="006E6D14" w:rsidRPr="0098262F" w:rsidRDefault="006E6D14">
            <w:pPr>
              <w:pStyle w:val="TableText"/>
              <w:rPr>
                <w:b/>
              </w:rPr>
            </w:pPr>
            <w:r w:rsidRPr="00B52426">
              <w:rPr>
                <w:bCs w:val="0"/>
              </w:rPr>
              <w:t>Must be treated by a respiratory physician, clinical immunologist, allergist or general physician experienced in the management of patients with severe asthma.</w:t>
            </w:r>
          </w:p>
        </w:tc>
      </w:tr>
      <w:tr w:rsidR="006E6D14" w:rsidRPr="0098262F" w14:paraId="2CACC062" w14:textId="77777777">
        <w:trPr>
          <w:cantSplit/>
          <w:trHeight w:val="20"/>
          <w:jc w:val="center"/>
        </w:trPr>
        <w:tc>
          <w:tcPr>
            <w:tcW w:w="5000" w:type="pct"/>
            <w:vAlign w:val="center"/>
            <w:hideMark/>
          </w:tcPr>
          <w:p w14:paraId="0F8CEEAB" w14:textId="77777777" w:rsidR="006E6D14" w:rsidRPr="0098262F" w:rsidRDefault="006E6D14">
            <w:pPr>
              <w:pStyle w:val="TableText"/>
            </w:pPr>
            <w:r w:rsidRPr="0098262F">
              <w:rPr>
                <w:b/>
              </w:rPr>
              <w:t>Population criteria:</w:t>
            </w:r>
          </w:p>
        </w:tc>
      </w:tr>
      <w:tr w:rsidR="006E6D14" w:rsidRPr="0098262F" w14:paraId="64A6EA73" w14:textId="77777777">
        <w:trPr>
          <w:cantSplit/>
          <w:trHeight w:val="20"/>
          <w:jc w:val="center"/>
        </w:trPr>
        <w:tc>
          <w:tcPr>
            <w:tcW w:w="5000" w:type="pct"/>
            <w:vAlign w:val="center"/>
          </w:tcPr>
          <w:p w14:paraId="7A5D3428" w14:textId="77777777" w:rsidR="006E6D14" w:rsidRPr="0098262F" w:rsidRDefault="006E6D14">
            <w:pPr>
              <w:pStyle w:val="TableText"/>
              <w:rPr>
                <w:color w:val="0066FF"/>
              </w:rPr>
            </w:pPr>
            <w:r w:rsidRPr="00A5664D">
              <w:t>Patients must be aged 12 years or older.</w:t>
            </w:r>
          </w:p>
        </w:tc>
      </w:tr>
    </w:tbl>
    <w:p w14:paraId="727D2ACC" w14:textId="77777777" w:rsidR="006E6D14" w:rsidRDefault="006E6D14" w:rsidP="006E6D14">
      <w:pPr>
        <w:rPr>
          <w:lang w:val="da-DK"/>
        </w:rPr>
      </w:pP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osinophilic or allergic SUA"/>
      </w:tblPr>
      <w:tblGrid>
        <w:gridCol w:w="2693"/>
        <w:gridCol w:w="2409"/>
        <w:gridCol w:w="851"/>
        <w:gridCol w:w="850"/>
        <w:gridCol w:w="851"/>
        <w:gridCol w:w="1417"/>
      </w:tblGrid>
      <w:tr w:rsidR="006E6D14" w:rsidRPr="0098262F" w14:paraId="3F5BA7F3" w14:textId="77777777">
        <w:trPr>
          <w:cantSplit/>
          <w:trHeight w:val="20"/>
        </w:trPr>
        <w:tc>
          <w:tcPr>
            <w:tcW w:w="2693" w:type="dxa"/>
            <w:vAlign w:val="center"/>
          </w:tcPr>
          <w:p w14:paraId="46DFB8F6" w14:textId="77777777" w:rsidR="006E6D14" w:rsidRPr="00EE7434" w:rsidRDefault="006E6D14">
            <w:pPr>
              <w:pStyle w:val="TableText"/>
              <w:rPr>
                <w:b/>
                <w:bCs w:val="0"/>
              </w:rPr>
            </w:pPr>
            <w:r w:rsidRPr="00EE7434">
              <w:rPr>
                <w:b/>
                <w:bCs w:val="0"/>
              </w:rPr>
              <w:t>MEDICINAL PRODUCT</w:t>
            </w:r>
          </w:p>
          <w:p w14:paraId="0FC7A217" w14:textId="77777777" w:rsidR="006E6D14" w:rsidRPr="00EE7434" w:rsidRDefault="006E6D14">
            <w:pPr>
              <w:pStyle w:val="TableText"/>
              <w:rPr>
                <w:b/>
                <w:bCs w:val="0"/>
              </w:rPr>
            </w:pPr>
            <w:r w:rsidRPr="00EE7434">
              <w:rPr>
                <w:b/>
                <w:bCs w:val="0"/>
              </w:rPr>
              <w:t>medicinal product pack</w:t>
            </w:r>
          </w:p>
        </w:tc>
        <w:tc>
          <w:tcPr>
            <w:tcW w:w="2409" w:type="dxa"/>
            <w:vAlign w:val="center"/>
          </w:tcPr>
          <w:p w14:paraId="78A21555" w14:textId="77777777" w:rsidR="006E6D14" w:rsidRPr="00EE7434" w:rsidRDefault="006E6D14">
            <w:pPr>
              <w:pStyle w:val="TableText"/>
              <w:rPr>
                <w:b/>
                <w:bCs w:val="0"/>
              </w:rPr>
            </w:pPr>
            <w:r w:rsidRPr="00EE7434">
              <w:rPr>
                <w:b/>
                <w:bCs w:val="0"/>
                <w:snapToGrid w:val="0"/>
              </w:rPr>
              <w:t xml:space="preserve">Dispensed Price for Max. Qty </w:t>
            </w:r>
          </w:p>
        </w:tc>
        <w:tc>
          <w:tcPr>
            <w:tcW w:w="851" w:type="dxa"/>
            <w:vAlign w:val="center"/>
          </w:tcPr>
          <w:p w14:paraId="7D195AEE" w14:textId="77777777" w:rsidR="006E6D14" w:rsidRPr="00EE7434" w:rsidRDefault="006E6D14">
            <w:pPr>
              <w:pStyle w:val="TableText"/>
              <w:rPr>
                <w:b/>
                <w:bCs w:val="0"/>
              </w:rPr>
            </w:pPr>
            <w:r w:rsidRPr="00EE7434">
              <w:rPr>
                <w:b/>
                <w:bCs w:val="0"/>
              </w:rPr>
              <w:t>Max. qty packs</w:t>
            </w:r>
          </w:p>
        </w:tc>
        <w:tc>
          <w:tcPr>
            <w:tcW w:w="850" w:type="dxa"/>
            <w:vAlign w:val="center"/>
          </w:tcPr>
          <w:p w14:paraId="50C262CF" w14:textId="77777777" w:rsidR="006E6D14" w:rsidRPr="00EE7434" w:rsidRDefault="006E6D14">
            <w:pPr>
              <w:pStyle w:val="TableText"/>
              <w:rPr>
                <w:b/>
                <w:bCs w:val="0"/>
              </w:rPr>
            </w:pPr>
            <w:r w:rsidRPr="00EE7434">
              <w:rPr>
                <w:b/>
                <w:bCs w:val="0"/>
              </w:rPr>
              <w:t>Max. qty units</w:t>
            </w:r>
          </w:p>
        </w:tc>
        <w:tc>
          <w:tcPr>
            <w:tcW w:w="851" w:type="dxa"/>
            <w:vAlign w:val="center"/>
          </w:tcPr>
          <w:p w14:paraId="4C556CE6" w14:textId="77777777" w:rsidR="006E6D14" w:rsidRPr="00EE7434" w:rsidRDefault="006E6D14">
            <w:pPr>
              <w:pStyle w:val="TableText"/>
              <w:rPr>
                <w:b/>
                <w:bCs w:val="0"/>
              </w:rPr>
            </w:pPr>
            <w:proofErr w:type="gramStart"/>
            <w:r w:rsidRPr="00EE7434">
              <w:rPr>
                <w:b/>
                <w:bCs w:val="0"/>
              </w:rPr>
              <w:t>№.of</w:t>
            </w:r>
            <w:proofErr w:type="gramEnd"/>
          </w:p>
          <w:p w14:paraId="043F9B42" w14:textId="77777777" w:rsidR="006E6D14" w:rsidRPr="00EE7434" w:rsidRDefault="006E6D14">
            <w:pPr>
              <w:pStyle w:val="TableText"/>
              <w:rPr>
                <w:b/>
                <w:bCs w:val="0"/>
              </w:rPr>
            </w:pPr>
            <w:proofErr w:type="spellStart"/>
            <w:r w:rsidRPr="00EE7434">
              <w:rPr>
                <w:b/>
                <w:bCs w:val="0"/>
              </w:rPr>
              <w:t>Rpts</w:t>
            </w:r>
            <w:proofErr w:type="spellEnd"/>
          </w:p>
        </w:tc>
        <w:tc>
          <w:tcPr>
            <w:tcW w:w="1417" w:type="dxa"/>
            <w:vAlign w:val="center"/>
          </w:tcPr>
          <w:p w14:paraId="1733F571" w14:textId="77777777" w:rsidR="006E6D14" w:rsidRPr="00EE7434" w:rsidRDefault="006E6D14">
            <w:pPr>
              <w:pStyle w:val="TableText"/>
              <w:rPr>
                <w:b/>
                <w:bCs w:val="0"/>
              </w:rPr>
            </w:pPr>
            <w:r w:rsidRPr="00EE7434">
              <w:rPr>
                <w:b/>
                <w:bCs w:val="0"/>
              </w:rPr>
              <w:t>Available brands</w:t>
            </w:r>
          </w:p>
        </w:tc>
      </w:tr>
      <w:tr w:rsidR="006E6D14" w:rsidRPr="0098262F" w14:paraId="4B76046B" w14:textId="77777777">
        <w:trPr>
          <w:cantSplit/>
          <w:trHeight w:val="20"/>
        </w:trPr>
        <w:tc>
          <w:tcPr>
            <w:tcW w:w="9071" w:type="dxa"/>
            <w:gridSpan w:val="6"/>
            <w:vAlign w:val="center"/>
          </w:tcPr>
          <w:p w14:paraId="3A46DC16" w14:textId="77777777" w:rsidR="006E6D14" w:rsidRPr="0098262F" w:rsidRDefault="006E6D14">
            <w:pPr>
              <w:pStyle w:val="TableText"/>
              <w:rPr>
                <w:rFonts w:cs="Arial"/>
                <w:szCs w:val="20"/>
              </w:rPr>
            </w:pPr>
            <w:r w:rsidRPr="0098262F">
              <w:rPr>
                <w:rFonts w:cs="Arial"/>
                <w:color w:val="0066FF"/>
                <w:szCs w:val="20"/>
              </w:rPr>
              <w:t xml:space="preserve"> </w:t>
            </w:r>
            <w:r w:rsidRPr="00F8796C">
              <w:rPr>
                <w:rFonts w:cs="Arial"/>
                <w:szCs w:val="20"/>
              </w:rPr>
              <w:t>TEZEPELUMAB</w:t>
            </w:r>
          </w:p>
        </w:tc>
      </w:tr>
      <w:tr w:rsidR="006E6D14" w:rsidRPr="0098262F" w14:paraId="230500E1" w14:textId="77777777">
        <w:trPr>
          <w:cantSplit/>
          <w:trHeight w:val="20"/>
        </w:trPr>
        <w:tc>
          <w:tcPr>
            <w:tcW w:w="2693" w:type="dxa"/>
            <w:vAlign w:val="center"/>
          </w:tcPr>
          <w:p w14:paraId="09946134" w14:textId="2E98E2E4" w:rsidR="006E6D14" w:rsidRPr="0098262F" w:rsidRDefault="006E6D14">
            <w:pPr>
              <w:pStyle w:val="TableText"/>
              <w:rPr>
                <w:color w:val="0066FF"/>
                <w:szCs w:val="20"/>
              </w:rPr>
            </w:pPr>
            <w:r w:rsidRPr="00F8796C">
              <w:rPr>
                <w:szCs w:val="20"/>
              </w:rPr>
              <w:t xml:space="preserve">Tezepelumab, 210 mg in </w:t>
            </w:r>
            <w:r w:rsidR="003D14F4">
              <w:rPr>
                <w:szCs w:val="20"/>
              </w:rPr>
              <w:t>1.</w:t>
            </w:r>
            <w:r w:rsidRPr="00F8796C">
              <w:rPr>
                <w:szCs w:val="20"/>
              </w:rPr>
              <w:t xml:space="preserve">91 mL (110 mg/mL) in </w:t>
            </w:r>
            <w:r>
              <w:rPr>
                <w:szCs w:val="20"/>
              </w:rPr>
              <w:t xml:space="preserve">a </w:t>
            </w:r>
            <w:r w:rsidRPr="00F8796C">
              <w:rPr>
                <w:szCs w:val="20"/>
              </w:rPr>
              <w:t>prefilled pen</w:t>
            </w:r>
          </w:p>
        </w:tc>
        <w:tc>
          <w:tcPr>
            <w:tcW w:w="2409" w:type="dxa"/>
          </w:tcPr>
          <w:p w14:paraId="1C61C3B0" w14:textId="77777777" w:rsidR="006E6D14" w:rsidRDefault="006E6D14">
            <w:pPr>
              <w:pStyle w:val="TableText"/>
              <w:jc w:val="center"/>
            </w:pPr>
            <w:r>
              <w:t>$1,671.78 Public</w:t>
            </w:r>
          </w:p>
          <w:p w14:paraId="6D9CE876" w14:textId="77777777" w:rsidR="006E6D14" w:rsidRPr="000E72F2" w:rsidRDefault="006E6D14">
            <w:pPr>
              <w:pStyle w:val="TableText"/>
              <w:jc w:val="center"/>
              <w:rPr>
                <w:szCs w:val="20"/>
              </w:rPr>
            </w:pPr>
            <w:r>
              <w:t>$1</w:t>
            </w:r>
            <w:r w:rsidRPr="000E72F2">
              <w:rPr>
                <w:szCs w:val="20"/>
              </w:rPr>
              <w:t>,720.45 Private</w:t>
            </w:r>
          </w:p>
          <w:p w14:paraId="378EF98B" w14:textId="77777777" w:rsidR="006E6D14" w:rsidRPr="0098262F" w:rsidRDefault="006E6D14">
            <w:pPr>
              <w:pStyle w:val="TableText"/>
              <w:jc w:val="center"/>
              <w:rPr>
                <w:szCs w:val="20"/>
              </w:rPr>
            </w:pPr>
            <w:r w:rsidRPr="000E72F2">
              <w:rPr>
                <w:szCs w:val="20"/>
              </w:rPr>
              <w:t>$</w:t>
            </w:r>
            <w:r>
              <w:rPr>
                <w:rFonts w:eastAsia="Times New Roman" w:cs="Arial"/>
                <w:bCs w:val="0"/>
                <w:szCs w:val="20"/>
              </w:rPr>
              <w:t>TBD</w:t>
            </w:r>
          </w:p>
        </w:tc>
        <w:tc>
          <w:tcPr>
            <w:tcW w:w="851" w:type="dxa"/>
            <w:vAlign w:val="center"/>
          </w:tcPr>
          <w:p w14:paraId="03081AF2" w14:textId="77777777" w:rsidR="006E6D14" w:rsidRPr="0098262F" w:rsidRDefault="006E6D14">
            <w:pPr>
              <w:pStyle w:val="TableText"/>
              <w:jc w:val="center"/>
              <w:rPr>
                <w:szCs w:val="20"/>
              </w:rPr>
            </w:pPr>
            <w:r>
              <w:t>1</w:t>
            </w:r>
          </w:p>
        </w:tc>
        <w:tc>
          <w:tcPr>
            <w:tcW w:w="850" w:type="dxa"/>
            <w:vAlign w:val="center"/>
          </w:tcPr>
          <w:p w14:paraId="68FE7A65" w14:textId="77777777" w:rsidR="006E6D14" w:rsidRPr="0098262F" w:rsidRDefault="006E6D14">
            <w:pPr>
              <w:pStyle w:val="TableText"/>
              <w:jc w:val="center"/>
              <w:rPr>
                <w:szCs w:val="20"/>
              </w:rPr>
            </w:pPr>
            <w:r>
              <w:t>1</w:t>
            </w:r>
          </w:p>
        </w:tc>
        <w:tc>
          <w:tcPr>
            <w:tcW w:w="851" w:type="dxa"/>
            <w:vAlign w:val="center"/>
          </w:tcPr>
          <w:p w14:paraId="05AA75A6" w14:textId="77777777" w:rsidR="006E6D14" w:rsidRPr="0098262F" w:rsidRDefault="006E6D14">
            <w:pPr>
              <w:pStyle w:val="TableText"/>
              <w:jc w:val="center"/>
              <w:rPr>
                <w:szCs w:val="20"/>
              </w:rPr>
            </w:pPr>
            <w:r>
              <w:t>5</w:t>
            </w:r>
          </w:p>
        </w:tc>
        <w:tc>
          <w:tcPr>
            <w:tcW w:w="1417" w:type="dxa"/>
            <w:vAlign w:val="center"/>
          </w:tcPr>
          <w:p w14:paraId="77701C92" w14:textId="77777777" w:rsidR="006E6D14" w:rsidRPr="0098262F" w:rsidRDefault="006E6D14">
            <w:pPr>
              <w:pStyle w:val="TableText"/>
              <w:rPr>
                <w:color w:val="0066FF"/>
                <w:szCs w:val="20"/>
              </w:rPr>
            </w:pPr>
            <w:proofErr w:type="spellStart"/>
            <w:r w:rsidRPr="00F8796C">
              <w:rPr>
                <w:szCs w:val="20"/>
              </w:rPr>
              <w:t>Tezspire</w:t>
            </w:r>
            <w:proofErr w:type="spellEnd"/>
          </w:p>
        </w:tc>
      </w:tr>
    </w:tbl>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6E6D14" w:rsidRPr="0098262F" w14:paraId="13783857" w14:textId="77777777">
        <w:trPr>
          <w:cantSplit/>
          <w:trHeight w:val="20"/>
          <w:jc w:val="center"/>
        </w:trPr>
        <w:tc>
          <w:tcPr>
            <w:tcW w:w="5000" w:type="pct"/>
          </w:tcPr>
          <w:p w14:paraId="11FF8AB0" w14:textId="77777777" w:rsidR="006E6D14" w:rsidRPr="0098262F" w:rsidRDefault="006E6D14">
            <w:pPr>
              <w:pStyle w:val="TableText"/>
            </w:pPr>
            <w:r w:rsidRPr="0098262F">
              <w:rPr>
                <w:b/>
              </w:rPr>
              <w:t xml:space="preserve">Category / Program: </w:t>
            </w:r>
            <w:r w:rsidRPr="0098262F">
              <w:t>General Schedule/Section 100</w:t>
            </w:r>
          </w:p>
        </w:tc>
      </w:tr>
      <w:tr w:rsidR="006E6D14" w:rsidRPr="0098262F" w14:paraId="1775E0D7" w14:textId="77777777">
        <w:trPr>
          <w:cantSplit/>
          <w:trHeight w:val="20"/>
          <w:jc w:val="center"/>
        </w:trPr>
        <w:tc>
          <w:tcPr>
            <w:tcW w:w="5000" w:type="pct"/>
          </w:tcPr>
          <w:p w14:paraId="06161024" w14:textId="77777777" w:rsidR="006E6D14" w:rsidRPr="0098262F" w:rsidRDefault="006E6D14">
            <w:pPr>
              <w:pStyle w:val="TableText"/>
              <w:rPr>
                <w:b/>
              </w:rPr>
            </w:pPr>
            <w:r w:rsidRPr="0098262F">
              <w:rPr>
                <w:b/>
              </w:rPr>
              <w:t>Prescriber type:</w:t>
            </w:r>
            <w:r w:rsidRPr="0098262F">
              <w:t xml:space="preserve"> </w:t>
            </w:r>
            <w:r w:rsidRPr="00E0652F">
              <w:rPr>
                <w:bCs w:val="0"/>
                <w:lang w:eastAsia="en-US" w:bidi="en-US"/>
              </w:rPr>
              <w:fldChar w:fldCharType="begin">
                <w:ffData>
                  <w:name w:val=""/>
                  <w:enabled/>
                  <w:calcOnExit w:val="0"/>
                  <w:checkBox>
                    <w:sizeAuto/>
                    <w:default w:val="1"/>
                  </w:checkBox>
                </w:ffData>
              </w:fldChar>
            </w:r>
            <w:r w:rsidRPr="00E0652F">
              <w:rPr>
                <w:lang w:eastAsia="en-US" w:bidi="en-US"/>
              </w:rPr>
              <w:instrText xml:space="preserve"> FORMCHECKBOX </w:instrText>
            </w:r>
            <w:r w:rsidRPr="00E0652F">
              <w:rPr>
                <w:bCs w:val="0"/>
                <w:lang w:eastAsia="en-US" w:bidi="en-US"/>
              </w:rPr>
            </w:r>
            <w:r w:rsidRPr="00E0652F">
              <w:rPr>
                <w:bCs w:val="0"/>
                <w:lang w:eastAsia="en-US" w:bidi="en-US"/>
              </w:rPr>
              <w:fldChar w:fldCharType="separate"/>
            </w:r>
            <w:r w:rsidRPr="00E0652F">
              <w:rPr>
                <w:bCs w:val="0"/>
                <w:lang w:eastAsia="en-US" w:bidi="en-US"/>
              </w:rPr>
              <w:fldChar w:fldCharType="end"/>
            </w:r>
            <w:r>
              <w:rPr>
                <w:bCs w:val="0"/>
                <w:lang w:eastAsia="en-US" w:bidi="en-US"/>
              </w:rPr>
              <w:t xml:space="preserve"> </w:t>
            </w:r>
            <w:r w:rsidRPr="0098262F">
              <w:t xml:space="preserve">Medical Practitioners </w:t>
            </w:r>
          </w:p>
        </w:tc>
      </w:tr>
      <w:tr w:rsidR="006E6D14" w:rsidRPr="0098262F" w14:paraId="37B65FA1" w14:textId="77777777">
        <w:trPr>
          <w:cantSplit/>
          <w:trHeight w:val="20"/>
          <w:jc w:val="center"/>
        </w:trPr>
        <w:tc>
          <w:tcPr>
            <w:tcW w:w="5000" w:type="pct"/>
          </w:tcPr>
          <w:p w14:paraId="203F4E95" w14:textId="77777777" w:rsidR="006E6D14" w:rsidRPr="0098262F" w:rsidRDefault="006E6D14">
            <w:pPr>
              <w:pStyle w:val="TableText"/>
              <w:rPr>
                <w:rFonts w:eastAsia="Times New Roman"/>
              </w:rPr>
            </w:pPr>
            <w:r w:rsidRPr="0098262F">
              <w:rPr>
                <w:b/>
              </w:rPr>
              <w:t xml:space="preserve">Restriction type: </w:t>
            </w:r>
            <w:r w:rsidRPr="00E0652F">
              <w:rPr>
                <w:bCs w:val="0"/>
                <w:lang w:eastAsia="en-US" w:bidi="en-US"/>
              </w:rPr>
              <w:fldChar w:fldCharType="begin">
                <w:ffData>
                  <w:name w:val=""/>
                  <w:enabled/>
                  <w:calcOnExit w:val="0"/>
                  <w:checkBox>
                    <w:sizeAuto/>
                    <w:default w:val="1"/>
                  </w:checkBox>
                </w:ffData>
              </w:fldChar>
            </w:r>
            <w:r w:rsidRPr="00E0652F">
              <w:rPr>
                <w:lang w:eastAsia="en-US" w:bidi="en-US"/>
              </w:rPr>
              <w:instrText xml:space="preserve"> FORMCHECKBOX </w:instrText>
            </w:r>
            <w:r w:rsidRPr="00E0652F">
              <w:rPr>
                <w:bCs w:val="0"/>
                <w:lang w:eastAsia="en-US" w:bidi="en-US"/>
              </w:rPr>
            </w:r>
            <w:r w:rsidRPr="00E0652F">
              <w:rPr>
                <w:bCs w:val="0"/>
                <w:lang w:eastAsia="en-US" w:bidi="en-US"/>
              </w:rPr>
              <w:fldChar w:fldCharType="separate"/>
            </w:r>
            <w:r w:rsidRPr="00E0652F">
              <w:rPr>
                <w:bCs w:val="0"/>
                <w:lang w:eastAsia="en-US" w:bidi="en-US"/>
              </w:rPr>
              <w:fldChar w:fldCharType="end"/>
            </w:r>
            <w:r w:rsidRPr="0098262F">
              <w:rPr>
                <w:rFonts w:eastAsia="Times New Roman"/>
              </w:rPr>
              <w:t xml:space="preserve">Authority Required (in writing only via post/HPOS upload) </w:t>
            </w:r>
          </w:p>
        </w:tc>
      </w:tr>
      <w:tr w:rsidR="006E6D14" w:rsidRPr="0098262F" w14:paraId="3631A59F" w14:textId="77777777">
        <w:trPr>
          <w:cantSplit/>
          <w:trHeight w:val="20"/>
          <w:jc w:val="center"/>
        </w:trPr>
        <w:tc>
          <w:tcPr>
            <w:tcW w:w="5000" w:type="pct"/>
            <w:vAlign w:val="center"/>
          </w:tcPr>
          <w:p w14:paraId="6A7F717D" w14:textId="77777777" w:rsidR="006E6D14" w:rsidRPr="0098262F" w:rsidRDefault="006E6D14">
            <w:pPr>
              <w:pStyle w:val="TableText"/>
            </w:pPr>
            <w:proofErr w:type="spellStart"/>
            <w:r w:rsidRPr="0098262F">
              <w:rPr>
                <w:b/>
              </w:rPr>
              <w:t>Episodicity</w:t>
            </w:r>
            <w:proofErr w:type="spellEnd"/>
            <w:r w:rsidRPr="0098262F">
              <w:rPr>
                <w:b/>
              </w:rPr>
              <w:t xml:space="preserve">: </w:t>
            </w:r>
            <w:r w:rsidRPr="00A5664D">
              <w:rPr>
                <w:bCs w:val="0"/>
              </w:rPr>
              <w:t>Active</w:t>
            </w:r>
          </w:p>
        </w:tc>
      </w:tr>
      <w:tr w:rsidR="006E6D14" w:rsidRPr="0098262F" w14:paraId="37B6CE34" w14:textId="77777777">
        <w:trPr>
          <w:cantSplit/>
          <w:trHeight w:val="20"/>
          <w:jc w:val="center"/>
        </w:trPr>
        <w:tc>
          <w:tcPr>
            <w:tcW w:w="5000" w:type="pct"/>
            <w:vAlign w:val="center"/>
          </w:tcPr>
          <w:p w14:paraId="29AB9D1B" w14:textId="77777777" w:rsidR="006E6D14" w:rsidRPr="0098262F" w:rsidRDefault="006E6D14">
            <w:pPr>
              <w:pStyle w:val="TableText"/>
              <w:rPr>
                <w:b/>
              </w:rPr>
            </w:pPr>
            <w:r w:rsidRPr="0098262F">
              <w:rPr>
                <w:b/>
              </w:rPr>
              <w:t xml:space="preserve">Severity: </w:t>
            </w:r>
            <w:r w:rsidRPr="00A5664D">
              <w:rPr>
                <w:bCs w:val="0"/>
              </w:rPr>
              <w:t>Uncontrolled Severe</w:t>
            </w:r>
          </w:p>
        </w:tc>
      </w:tr>
      <w:tr w:rsidR="006E6D14" w:rsidRPr="0098262F" w14:paraId="6967608D" w14:textId="77777777">
        <w:trPr>
          <w:cantSplit/>
          <w:trHeight w:val="20"/>
          <w:jc w:val="center"/>
        </w:trPr>
        <w:tc>
          <w:tcPr>
            <w:tcW w:w="5000" w:type="pct"/>
            <w:vAlign w:val="center"/>
          </w:tcPr>
          <w:p w14:paraId="7B117FF9" w14:textId="77777777" w:rsidR="006E6D14" w:rsidRPr="0098262F" w:rsidRDefault="006E6D14">
            <w:pPr>
              <w:pStyle w:val="TableText"/>
              <w:rPr>
                <w:b/>
              </w:rPr>
            </w:pPr>
            <w:r w:rsidRPr="0098262F">
              <w:rPr>
                <w:b/>
              </w:rPr>
              <w:t xml:space="preserve">Condition: </w:t>
            </w:r>
            <w:r w:rsidRPr="00A5664D">
              <w:rPr>
                <w:bCs w:val="0"/>
              </w:rPr>
              <w:t>Uncontrolled severe asthma</w:t>
            </w:r>
          </w:p>
        </w:tc>
      </w:tr>
      <w:tr w:rsidR="006E6D14" w:rsidRPr="0098262F" w14:paraId="3865A772" w14:textId="77777777">
        <w:trPr>
          <w:cantSplit/>
          <w:trHeight w:val="20"/>
          <w:jc w:val="center"/>
        </w:trPr>
        <w:tc>
          <w:tcPr>
            <w:tcW w:w="5000" w:type="pct"/>
            <w:vAlign w:val="center"/>
            <w:hideMark/>
          </w:tcPr>
          <w:p w14:paraId="3DEFED0B" w14:textId="77777777" w:rsidR="006E6D14" w:rsidRPr="0098262F" w:rsidRDefault="006E6D14">
            <w:pPr>
              <w:pStyle w:val="TableText"/>
            </w:pPr>
            <w:r w:rsidRPr="0098262F">
              <w:rPr>
                <w:b/>
              </w:rPr>
              <w:t>Indication:</w:t>
            </w:r>
            <w:r w:rsidRPr="0098262F">
              <w:t xml:space="preserve"> </w:t>
            </w:r>
            <w:r w:rsidRPr="00A5664D">
              <w:t>Uncontrolled severe asthma</w:t>
            </w:r>
          </w:p>
        </w:tc>
      </w:tr>
      <w:tr w:rsidR="006E6D14" w:rsidRPr="0098262F" w14:paraId="54BC3393" w14:textId="77777777">
        <w:trPr>
          <w:cantSplit/>
          <w:trHeight w:val="20"/>
          <w:jc w:val="center"/>
        </w:trPr>
        <w:tc>
          <w:tcPr>
            <w:tcW w:w="5000" w:type="pct"/>
            <w:vAlign w:val="center"/>
            <w:hideMark/>
          </w:tcPr>
          <w:p w14:paraId="2ED5A232" w14:textId="77777777" w:rsidR="006E6D14" w:rsidRPr="0098262F" w:rsidRDefault="006E6D14">
            <w:pPr>
              <w:pStyle w:val="TableText"/>
            </w:pPr>
            <w:r w:rsidRPr="0098262F">
              <w:rPr>
                <w:b/>
              </w:rPr>
              <w:t>Treatment Phase:</w:t>
            </w:r>
            <w:r w:rsidRPr="0098262F">
              <w:t xml:space="preserve"> </w:t>
            </w:r>
            <w:r>
              <w:t xml:space="preserve">Continuing treatment </w:t>
            </w:r>
          </w:p>
        </w:tc>
      </w:tr>
      <w:tr w:rsidR="006E6D14" w:rsidRPr="0098262F" w14:paraId="2E083C5D" w14:textId="77777777">
        <w:trPr>
          <w:cantSplit/>
          <w:trHeight w:val="20"/>
          <w:jc w:val="center"/>
        </w:trPr>
        <w:tc>
          <w:tcPr>
            <w:tcW w:w="5000" w:type="pct"/>
            <w:vAlign w:val="center"/>
            <w:hideMark/>
          </w:tcPr>
          <w:p w14:paraId="53137F52" w14:textId="77777777" w:rsidR="006E6D14" w:rsidRPr="0098262F" w:rsidRDefault="006E6D14">
            <w:pPr>
              <w:pStyle w:val="TableText"/>
            </w:pPr>
            <w:r w:rsidRPr="0098262F">
              <w:rPr>
                <w:b/>
              </w:rPr>
              <w:t>Clinical criteria:</w:t>
            </w:r>
            <w:r>
              <w:rPr>
                <w:b/>
              </w:rPr>
              <w:t xml:space="preserve"> </w:t>
            </w:r>
          </w:p>
        </w:tc>
      </w:tr>
      <w:tr w:rsidR="006E6D14" w:rsidRPr="0098262F" w14:paraId="69E93343" w14:textId="77777777">
        <w:trPr>
          <w:cantSplit/>
          <w:trHeight w:val="20"/>
          <w:jc w:val="center"/>
        </w:trPr>
        <w:tc>
          <w:tcPr>
            <w:tcW w:w="5000" w:type="pct"/>
          </w:tcPr>
          <w:p w14:paraId="0D0091E2" w14:textId="77777777" w:rsidR="006E6D14" w:rsidRPr="0098262F" w:rsidRDefault="006E6D14">
            <w:pPr>
              <w:pStyle w:val="TableText"/>
            </w:pPr>
            <w:r w:rsidRPr="00AC4222">
              <w:t>Patient must have demonstrated or sustained an adequate response to PBS-subsidised treatment with this drug for this condition.</w:t>
            </w:r>
          </w:p>
        </w:tc>
      </w:tr>
      <w:tr w:rsidR="006E6D14" w:rsidRPr="0098262F" w14:paraId="3A0D7D96" w14:textId="77777777">
        <w:trPr>
          <w:cantSplit/>
          <w:trHeight w:val="20"/>
          <w:jc w:val="center"/>
        </w:trPr>
        <w:tc>
          <w:tcPr>
            <w:tcW w:w="5000" w:type="pct"/>
            <w:vAlign w:val="center"/>
          </w:tcPr>
          <w:p w14:paraId="326078F8" w14:textId="77777777" w:rsidR="006E6D14" w:rsidRPr="0098262F" w:rsidRDefault="006E6D14">
            <w:pPr>
              <w:pStyle w:val="TableText"/>
              <w:rPr>
                <w:b/>
              </w:rPr>
            </w:pPr>
            <w:r w:rsidRPr="00B52426">
              <w:rPr>
                <w:b/>
              </w:rPr>
              <w:t>Treatment criteria:</w:t>
            </w:r>
          </w:p>
        </w:tc>
      </w:tr>
      <w:tr w:rsidR="006E6D14" w:rsidRPr="0098262F" w14:paraId="038EE8D0" w14:textId="77777777">
        <w:trPr>
          <w:cantSplit/>
          <w:trHeight w:val="20"/>
          <w:jc w:val="center"/>
        </w:trPr>
        <w:tc>
          <w:tcPr>
            <w:tcW w:w="5000" w:type="pct"/>
            <w:vAlign w:val="center"/>
          </w:tcPr>
          <w:p w14:paraId="3297C5E0" w14:textId="77777777" w:rsidR="006E6D14" w:rsidRPr="0098262F" w:rsidRDefault="006E6D14">
            <w:pPr>
              <w:pStyle w:val="TableText"/>
              <w:rPr>
                <w:b/>
              </w:rPr>
            </w:pPr>
            <w:r w:rsidRPr="00B52426">
              <w:rPr>
                <w:bCs w:val="0"/>
              </w:rPr>
              <w:t>Must be treated by a respiratory physician, clinical immunologist, allergist or general physician experienced in the management of patients with severe asthma.</w:t>
            </w:r>
          </w:p>
        </w:tc>
      </w:tr>
      <w:tr w:rsidR="006E6D14" w:rsidRPr="0098262F" w14:paraId="60190D60" w14:textId="77777777">
        <w:trPr>
          <w:cantSplit/>
          <w:trHeight w:val="20"/>
          <w:jc w:val="center"/>
        </w:trPr>
        <w:tc>
          <w:tcPr>
            <w:tcW w:w="5000" w:type="pct"/>
            <w:vAlign w:val="center"/>
            <w:hideMark/>
          </w:tcPr>
          <w:p w14:paraId="1C861D26" w14:textId="77777777" w:rsidR="006E6D14" w:rsidRPr="0098262F" w:rsidRDefault="006E6D14">
            <w:pPr>
              <w:pStyle w:val="TableText"/>
            </w:pPr>
            <w:r w:rsidRPr="0098262F">
              <w:rPr>
                <w:b/>
              </w:rPr>
              <w:t>Population criteria:</w:t>
            </w:r>
          </w:p>
        </w:tc>
      </w:tr>
      <w:tr w:rsidR="006E6D14" w:rsidRPr="0098262F" w14:paraId="25307408" w14:textId="77777777">
        <w:trPr>
          <w:cantSplit/>
          <w:trHeight w:val="20"/>
          <w:jc w:val="center"/>
        </w:trPr>
        <w:tc>
          <w:tcPr>
            <w:tcW w:w="5000" w:type="pct"/>
            <w:vAlign w:val="center"/>
          </w:tcPr>
          <w:p w14:paraId="3C22FC29" w14:textId="77777777" w:rsidR="006E6D14" w:rsidRPr="0098262F" w:rsidRDefault="006E6D14">
            <w:pPr>
              <w:pStyle w:val="TableText"/>
              <w:rPr>
                <w:color w:val="0066FF"/>
              </w:rPr>
            </w:pPr>
            <w:r w:rsidRPr="00A5664D">
              <w:t>Patients must be aged 12 years or older.</w:t>
            </w:r>
          </w:p>
        </w:tc>
      </w:tr>
    </w:tbl>
    <w:p w14:paraId="084AF19E" w14:textId="17DFD46A" w:rsidR="006E6D14" w:rsidRDefault="006E6D14" w:rsidP="006E6D14">
      <w:pPr>
        <w:pStyle w:val="COMESnumberedpara"/>
      </w:pPr>
      <w:r w:rsidRPr="0052414D">
        <w:t>The submission proposed a Special Pricing Arrangement (SPA) with a published ex-manufacturer price (EMP) of $1,671.78</w:t>
      </w:r>
      <w:r w:rsidRPr="0052414D" w:rsidDel="00B46FD6">
        <w:t xml:space="preserve"> </w:t>
      </w:r>
      <w:r w:rsidRPr="0052414D">
        <w:t xml:space="preserve">per prefilled pen (110 mg/mL) for </w:t>
      </w:r>
      <w:r>
        <w:t>both populations</w:t>
      </w:r>
      <w:r w:rsidRPr="0052414D">
        <w:t>. For the non-eosinophilic and non-allergic SUA</w:t>
      </w:r>
      <w:r>
        <w:t xml:space="preserve"> population</w:t>
      </w:r>
      <w:r w:rsidRPr="0052414D">
        <w:t xml:space="preserve"> the submission proposed an effective EMP of $</w:t>
      </w:r>
      <w:r w:rsidR="00B14769" w:rsidRPr="00B14769">
        <w:rPr>
          <w:highlight w:val="black"/>
        </w:rPr>
        <w:t>&amp;&amp;&amp;&amp;</w:t>
      </w:r>
      <w:r w:rsidRPr="0052414D" w:rsidDel="00737BFD">
        <w:t xml:space="preserve"> </w:t>
      </w:r>
      <w:r w:rsidRPr="0052414D">
        <w:t xml:space="preserve">per prefilled pen (110 mg/mL). The submission did not propose an effective price for the eosinophilic or allergic </w:t>
      </w:r>
      <w:r>
        <w:t xml:space="preserve">SUA </w:t>
      </w:r>
      <w:r w:rsidRPr="0052414D">
        <w:t xml:space="preserve">population as the effective price of dupilumab was not </w:t>
      </w:r>
      <w:r>
        <w:t>known</w:t>
      </w:r>
      <w:r w:rsidRPr="0052414D">
        <w:t>.</w:t>
      </w:r>
    </w:p>
    <w:p w14:paraId="3E23E3D6" w14:textId="77777777" w:rsidR="006E6D14" w:rsidRPr="002A4F7B" w:rsidRDefault="006E6D14" w:rsidP="006E6D14">
      <w:pPr>
        <w:pStyle w:val="COMESnumberedpara"/>
      </w:pPr>
      <w:r w:rsidRPr="0041179C">
        <w:t>The recommended dose</w:t>
      </w:r>
      <w:r>
        <w:t xml:space="preserve"> of </w:t>
      </w:r>
      <w:proofErr w:type="spellStart"/>
      <w:r>
        <w:t>tezepelumab</w:t>
      </w:r>
      <w:proofErr w:type="spellEnd"/>
      <w:r w:rsidRPr="0041179C">
        <w:t xml:space="preserve"> is 210 mg by subcutaneous (SC) injection every 4 weeks.</w:t>
      </w:r>
      <w:r>
        <w:t xml:space="preserve"> </w:t>
      </w:r>
      <w:r w:rsidRPr="00A1730F">
        <w:t xml:space="preserve">The </w:t>
      </w:r>
      <w:r>
        <w:t xml:space="preserve">submission requested a maximum quantity of 1 single dose and 7 repeats for the initial restrictions, which </w:t>
      </w:r>
      <w:r w:rsidRPr="00A1730F">
        <w:t xml:space="preserve">provides 32 weeks of treatment. </w:t>
      </w:r>
      <w:r w:rsidRPr="00AC67A7">
        <w:t xml:space="preserve">The submission </w:t>
      </w:r>
      <w:r>
        <w:t>stated</w:t>
      </w:r>
      <w:r w:rsidRPr="00AC67A7">
        <w:t xml:space="preserve"> that this duration corresponds with the typical timeframe required to assess a response to treatment, which is approximately </w:t>
      </w:r>
      <w:r>
        <w:t>28</w:t>
      </w:r>
      <w:r w:rsidRPr="00AC67A7">
        <w:t xml:space="preserve"> weeks,</w:t>
      </w:r>
      <w:r w:rsidRPr="00A1730F">
        <w:t xml:space="preserve"> and aligns with other biologics for SUA. The </w:t>
      </w:r>
      <w:r>
        <w:t>submission requested 5 repeats</w:t>
      </w:r>
      <w:r w:rsidRPr="00A1730F">
        <w:t xml:space="preserve"> for the continuing </w:t>
      </w:r>
      <w:r>
        <w:t>restrictions, which corresponds to 24 weeks of treatment</w:t>
      </w:r>
      <w:r w:rsidRPr="002A4F7B">
        <w:t>. The durations of therapy allowed by the number of repeats for initial and continuing therapy were consistent with existing PBS listings of other biologics for SUA.</w:t>
      </w:r>
    </w:p>
    <w:p w14:paraId="01E84D61" w14:textId="77777777" w:rsidR="006E6D14" w:rsidRDefault="006E6D14" w:rsidP="006E6D14">
      <w:pPr>
        <w:pStyle w:val="COMESnumberedpara"/>
      </w:pPr>
      <w:r>
        <w:t xml:space="preserve">The submission requested a second initial restriction for the </w:t>
      </w:r>
      <w:r w:rsidRPr="00564751">
        <w:t>eosinophilic</w:t>
      </w:r>
      <w:r>
        <w:t xml:space="preserve"> or </w:t>
      </w:r>
      <w:r w:rsidRPr="00564751">
        <w:t>allergic population</w:t>
      </w:r>
      <w:r>
        <w:t xml:space="preserve"> to allow patients to switch biologic treatment. This is consistent with existing PBS listings for biologics. </w:t>
      </w:r>
      <w:r w:rsidRPr="00A1730F">
        <w:t xml:space="preserve">As there </w:t>
      </w:r>
      <w:r>
        <w:t>are</w:t>
      </w:r>
      <w:r w:rsidRPr="00A1730F">
        <w:t xml:space="preserve"> no other biologic agent</w:t>
      </w:r>
      <w:r>
        <w:t>s</w:t>
      </w:r>
      <w:r w:rsidRPr="00A1730F">
        <w:t xml:space="preserve"> PBS</w:t>
      </w:r>
      <w:r>
        <w:t>-</w:t>
      </w:r>
      <w:r w:rsidRPr="00A1730F">
        <w:t xml:space="preserve">listed for the </w:t>
      </w:r>
      <w:r>
        <w:t>non-eosinophilic or non-allergic population, a second initial restriction was</w:t>
      </w:r>
      <w:r w:rsidRPr="00A1730F">
        <w:t xml:space="preserve"> not requested.</w:t>
      </w:r>
    </w:p>
    <w:p w14:paraId="47ED4466" w14:textId="25A148B1" w:rsidR="006E6D14" w:rsidRPr="00040002" w:rsidRDefault="006E6D14" w:rsidP="006E6D14">
      <w:pPr>
        <w:pStyle w:val="COMESnumberedpara"/>
      </w:pPr>
      <w:r w:rsidRPr="00F07A77">
        <w:t xml:space="preserve">The TGA </w:t>
      </w:r>
      <w:r w:rsidRPr="00BB06DD">
        <w:t xml:space="preserve">indication specifies that </w:t>
      </w:r>
      <w:proofErr w:type="spellStart"/>
      <w:r w:rsidRPr="00BB06DD">
        <w:t>tezepelumab</w:t>
      </w:r>
      <w:proofErr w:type="spellEnd"/>
      <w:r w:rsidRPr="00BB06DD">
        <w:t xml:space="preserve"> is an </w:t>
      </w:r>
      <w:r>
        <w:t>‘</w:t>
      </w:r>
      <w:r w:rsidRPr="00BB06DD">
        <w:t>add on</w:t>
      </w:r>
      <w:r>
        <w:t>’</w:t>
      </w:r>
      <w:r w:rsidRPr="00BB06DD">
        <w:t xml:space="preserve"> maintenance treatment in those who are inadequately controlled despite </w:t>
      </w:r>
      <w:r>
        <w:t>‘</w:t>
      </w:r>
      <w:r w:rsidRPr="00BB06DD">
        <w:t>optimal therapy including medium or high</w:t>
      </w:r>
      <w:r>
        <w:t>-</w:t>
      </w:r>
      <w:r w:rsidRPr="00BB06DD">
        <w:t>dose inhaled corticosteroids plus another non-steroidal medicinal product for maintenance treatment</w:t>
      </w:r>
      <w:r w:rsidR="0000664D">
        <w:t>’</w:t>
      </w:r>
      <w:r w:rsidRPr="00BB06DD">
        <w:t>. The proposed PBS restriction defines optimised asthma therapy as high</w:t>
      </w:r>
      <w:r>
        <w:t>-</w:t>
      </w:r>
      <w:r w:rsidRPr="00BB06DD">
        <w:t xml:space="preserve">dose inhaled corticosteroid (ICS) plus long-acting beta-2 agonist (LABA) therapy for at least 12 months, unless contraindicated or not tolerated, despite formal assessment of and adherence to correct inhaler technique. </w:t>
      </w:r>
      <w:r w:rsidRPr="00EE227E">
        <w:rPr>
          <w:iCs/>
        </w:rPr>
        <w:t>The</w:t>
      </w:r>
      <w:r w:rsidR="001E5B33" w:rsidRPr="00EE227E">
        <w:rPr>
          <w:iCs/>
        </w:rPr>
        <w:t xml:space="preserve"> ESC noted that the</w:t>
      </w:r>
      <w:r w:rsidRPr="00040002">
        <w:t xml:space="preserve"> proposed PBS restriction was narrower than the TGA indication</w:t>
      </w:r>
      <w:r w:rsidR="00EF2839">
        <w:t xml:space="preserve">, as it </w:t>
      </w:r>
      <w:r w:rsidRPr="00040002">
        <w:t>specif</w:t>
      </w:r>
      <w:r w:rsidR="00EF2839">
        <w:t>ies</w:t>
      </w:r>
      <w:r w:rsidRPr="00040002">
        <w:t xml:space="preserve"> optimal therapy as </w:t>
      </w:r>
      <w:r w:rsidR="000A18B0">
        <w:t xml:space="preserve">only </w:t>
      </w:r>
      <w:r w:rsidRPr="00040002">
        <w:t xml:space="preserve">high-dose ICS and </w:t>
      </w:r>
      <w:r w:rsidRPr="00EE227E">
        <w:rPr>
          <w:iCs/>
        </w:rPr>
        <w:t>th</w:t>
      </w:r>
      <w:r w:rsidR="00EF2839" w:rsidRPr="00EE227E">
        <w:rPr>
          <w:iCs/>
        </w:rPr>
        <w:t>e TGA indication includes</w:t>
      </w:r>
      <w:r w:rsidR="00EF2839">
        <w:t xml:space="preserve"> </w:t>
      </w:r>
      <w:r w:rsidRPr="00040002">
        <w:t xml:space="preserve">both medium </w:t>
      </w:r>
      <w:proofErr w:type="gramStart"/>
      <w:r w:rsidRPr="00040002">
        <w:t>or</w:t>
      </w:r>
      <w:proofErr w:type="gramEnd"/>
      <w:r w:rsidRPr="00040002">
        <w:t xml:space="preserve"> high-dose ICS.</w:t>
      </w:r>
      <w:r w:rsidR="00F7020D">
        <w:t xml:space="preserve"> </w:t>
      </w:r>
    </w:p>
    <w:p w14:paraId="37983E66" w14:textId="515B31E0" w:rsidR="0006263A" w:rsidRPr="0006263A" w:rsidRDefault="006E6D14" w:rsidP="0006263A">
      <w:pPr>
        <w:pStyle w:val="COMESnumberedpara"/>
        <w:rPr>
          <w:i/>
        </w:rPr>
      </w:pPr>
      <w:r>
        <w:t xml:space="preserve">The submission stated that, while there are currently no patients receiving </w:t>
      </w:r>
      <w:proofErr w:type="spellStart"/>
      <w:r>
        <w:t>tezepelumab</w:t>
      </w:r>
      <w:proofErr w:type="spellEnd"/>
      <w:r>
        <w:t xml:space="preserve"> in Australia, a </w:t>
      </w:r>
      <w:r w:rsidRPr="00BB06DD">
        <w:t xml:space="preserve">patient access program is </w:t>
      </w:r>
      <w:r w:rsidRPr="0052414D">
        <w:t>planned to commence in November 2025.</w:t>
      </w:r>
      <w:r w:rsidR="00C52AB4">
        <w:t xml:space="preserve"> However,</w:t>
      </w:r>
      <w:r>
        <w:t xml:space="preserve"> </w:t>
      </w:r>
      <w:r w:rsidR="00027349">
        <w:t>n</w:t>
      </w:r>
      <w:r>
        <w:t>o grandfathering restriction was proposed in the submission.</w:t>
      </w:r>
      <w:r w:rsidR="008C1019">
        <w:t xml:space="preserve"> </w:t>
      </w:r>
      <w:r w:rsidR="00913E89" w:rsidRPr="00EE227E">
        <w:rPr>
          <w:iCs/>
        </w:rPr>
        <w:t>The P</w:t>
      </w:r>
      <w:r w:rsidR="008A1152" w:rsidRPr="00EE227E">
        <w:rPr>
          <w:iCs/>
        </w:rPr>
        <w:t>re-</w:t>
      </w:r>
      <w:r w:rsidR="00913E89" w:rsidRPr="00EE227E">
        <w:rPr>
          <w:iCs/>
        </w:rPr>
        <w:t>S</w:t>
      </w:r>
      <w:r w:rsidR="008A1152" w:rsidRPr="00EE227E">
        <w:rPr>
          <w:iCs/>
        </w:rPr>
        <w:t>ub-</w:t>
      </w:r>
      <w:r w:rsidR="00913E89" w:rsidRPr="00EE227E">
        <w:rPr>
          <w:iCs/>
        </w:rPr>
        <w:t>C</w:t>
      </w:r>
      <w:r w:rsidR="008A1152" w:rsidRPr="00EE227E">
        <w:rPr>
          <w:iCs/>
        </w:rPr>
        <w:t xml:space="preserve">ommittee </w:t>
      </w:r>
      <w:r w:rsidR="00913E89" w:rsidRPr="00EE227E">
        <w:rPr>
          <w:iCs/>
        </w:rPr>
        <w:t>R</w:t>
      </w:r>
      <w:r w:rsidR="008A1152" w:rsidRPr="00EE227E">
        <w:rPr>
          <w:iCs/>
        </w:rPr>
        <w:t>esponse (PSCR)</w:t>
      </w:r>
      <w:r w:rsidR="004B24BB" w:rsidRPr="00EE227E">
        <w:rPr>
          <w:iCs/>
        </w:rPr>
        <w:t xml:space="preserve"> </w:t>
      </w:r>
      <w:r w:rsidR="00713A41" w:rsidRPr="00EE227E">
        <w:rPr>
          <w:iCs/>
        </w:rPr>
        <w:t xml:space="preserve">clarified that the patient access program is planned for the eosinophilic or allergic SUA population </w:t>
      </w:r>
      <w:r w:rsidR="00B6308F" w:rsidRPr="00EE227E">
        <w:rPr>
          <w:iCs/>
        </w:rPr>
        <w:t>and</w:t>
      </w:r>
      <w:r w:rsidR="00713A41" w:rsidRPr="00EE227E">
        <w:rPr>
          <w:iCs/>
        </w:rPr>
        <w:t xml:space="preserve"> will include 250 patients. </w:t>
      </w:r>
      <w:r w:rsidR="00B203F5">
        <w:rPr>
          <w:iCs/>
        </w:rPr>
        <w:t>The pre</w:t>
      </w:r>
      <w:r w:rsidR="002A4CCD">
        <w:rPr>
          <w:iCs/>
        </w:rPr>
        <w:t xml:space="preserve">-PBAC Response </w:t>
      </w:r>
      <w:r w:rsidR="006C2677">
        <w:rPr>
          <w:iCs/>
        </w:rPr>
        <w:t xml:space="preserve">noted that </w:t>
      </w:r>
      <w:r w:rsidR="001173DC" w:rsidRPr="001173DC">
        <w:rPr>
          <w:iCs/>
        </w:rPr>
        <w:t>a separate grandfather</w:t>
      </w:r>
      <w:r w:rsidR="00387CA1">
        <w:rPr>
          <w:iCs/>
        </w:rPr>
        <w:t>ing</w:t>
      </w:r>
      <w:r w:rsidR="001173DC" w:rsidRPr="001173DC">
        <w:rPr>
          <w:iCs/>
        </w:rPr>
        <w:t xml:space="preserve"> restriction </w:t>
      </w:r>
      <w:r w:rsidR="00643372">
        <w:rPr>
          <w:iCs/>
        </w:rPr>
        <w:t xml:space="preserve">would be required for </w:t>
      </w:r>
      <w:r w:rsidR="00EC4CB3">
        <w:rPr>
          <w:iCs/>
        </w:rPr>
        <w:t xml:space="preserve">eosinophilic or allergic SUA patients </w:t>
      </w:r>
      <w:r w:rsidR="001173DC" w:rsidRPr="001173DC">
        <w:rPr>
          <w:iCs/>
        </w:rPr>
        <w:t xml:space="preserve">accessing </w:t>
      </w:r>
      <w:proofErr w:type="spellStart"/>
      <w:r w:rsidR="001173DC">
        <w:rPr>
          <w:iCs/>
        </w:rPr>
        <w:t>tezepelumab</w:t>
      </w:r>
      <w:proofErr w:type="spellEnd"/>
      <w:r w:rsidR="001173DC" w:rsidRPr="001173DC">
        <w:rPr>
          <w:iCs/>
        </w:rPr>
        <w:t xml:space="preserve"> under </w:t>
      </w:r>
      <w:r w:rsidR="00EC4CB3">
        <w:rPr>
          <w:iCs/>
        </w:rPr>
        <w:t xml:space="preserve">the sponsors </w:t>
      </w:r>
      <w:r w:rsidR="00F836D6">
        <w:rPr>
          <w:iCs/>
        </w:rPr>
        <w:t xml:space="preserve">proposed </w:t>
      </w:r>
      <w:r w:rsidR="001173DC">
        <w:rPr>
          <w:iCs/>
        </w:rPr>
        <w:t>patient access</w:t>
      </w:r>
      <w:r w:rsidR="001173DC" w:rsidRPr="001173DC">
        <w:rPr>
          <w:iCs/>
        </w:rPr>
        <w:t xml:space="preserve"> program.</w:t>
      </w:r>
      <w:r w:rsidR="001173DC">
        <w:rPr>
          <w:iCs/>
        </w:rPr>
        <w:t xml:space="preserve"> </w:t>
      </w:r>
      <w:bookmarkStart w:id="13" w:name="_Hlk212457457"/>
    </w:p>
    <w:p w14:paraId="1445D04F" w14:textId="08E0EAB1" w:rsidR="008A6A0C" w:rsidRPr="008A6A0C" w:rsidRDefault="008A6A0C" w:rsidP="009C7452">
      <w:pPr>
        <w:pStyle w:val="COMESnumberedpara"/>
        <w:numPr>
          <w:ilvl w:val="0"/>
          <w:numId w:val="0"/>
        </w:numPr>
        <w:ind w:left="720"/>
        <w:rPr>
          <w:i/>
        </w:rPr>
      </w:pPr>
      <w:r w:rsidRPr="008A6A0C">
        <w:rPr>
          <w:i/>
        </w:rPr>
        <w:t>For more detail on PBAC’s view, see section 7 PBAC outcome.</w:t>
      </w:r>
    </w:p>
    <w:p w14:paraId="7075B85C" w14:textId="62A47B7B" w:rsidR="00B50DB8" w:rsidRPr="0098262F" w:rsidDel="00195452" w:rsidRDefault="00203181" w:rsidP="004E18E9">
      <w:pPr>
        <w:pStyle w:val="COMESH2"/>
      </w:pPr>
      <w:bookmarkStart w:id="14" w:name="_Toc209016991"/>
      <w:bookmarkEnd w:id="13"/>
      <w:r w:rsidRPr="0098262F" w:rsidDel="00195452">
        <w:t xml:space="preserve">Population and </w:t>
      </w:r>
      <w:r w:rsidR="008E0D3C" w:rsidRPr="0098262F" w:rsidDel="00195452">
        <w:t>d</w:t>
      </w:r>
      <w:r w:rsidRPr="0098262F" w:rsidDel="00195452">
        <w:t>isease</w:t>
      </w:r>
      <w:bookmarkEnd w:id="14"/>
    </w:p>
    <w:p w14:paraId="74A1076D" w14:textId="77777777" w:rsidR="00B4512B" w:rsidRPr="00A03399" w:rsidRDefault="00B4512B" w:rsidP="00B4512B">
      <w:pPr>
        <w:pStyle w:val="3-BodyText"/>
        <w:numPr>
          <w:ilvl w:val="1"/>
          <w:numId w:val="1"/>
        </w:numPr>
        <w:ind w:left="709"/>
      </w:pPr>
      <w:r w:rsidRPr="00B62290">
        <w:t>Asthma is a heterogeneous disease, characterised by chronic airway inflammation, and defined by the history of respiratory symptoms, such as wheeze, shortness of breath, chest tightness and cough, that vary over time and in intensity, together with variable expiratory airflow limitation.</w:t>
      </w:r>
      <w:r w:rsidRPr="00A03399">
        <w:t xml:space="preserve"> </w:t>
      </w:r>
      <w:r w:rsidRPr="008C7D37">
        <w:t>Around 2.8 million Australians (11% of the total population) were estimated to be living with asthma in 2022.</w:t>
      </w:r>
    </w:p>
    <w:p w14:paraId="60A6DD80" w14:textId="77777777" w:rsidR="00B4512B" w:rsidRPr="0081729A" w:rsidRDefault="00B4512B" w:rsidP="00B4512B">
      <w:pPr>
        <w:pStyle w:val="3-BodyText"/>
        <w:numPr>
          <w:ilvl w:val="1"/>
          <w:numId w:val="1"/>
        </w:numPr>
        <w:ind w:left="709"/>
      </w:pPr>
      <w:r>
        <w:t>The overall patient population considered in this submission are those with SUA. The 2024 GINA guidance for adolescents and adults with difficult-to-treat and severe asthma</w:t>
      </w:r>
      <w:r w:rsidRPr="00673E68">
        <w:rPr>
          <w:vertAlign w:val="superscript"/>
        </w:rPr>
        <w:footnoteReference w:id="1"/>
      </w:r>
      <w:r>
        <w:t xml:space="preserve"> defines uncontrolled asthma as including one or both of the following: </w:t>
      </w:r>
    </w:p>
    <w:p w14:paraId="7C8C6FE8" w14:textId="77777777" w:rsidR="00B4512B" w:rsidRDefault="00B4512B" w:rsidP="005A3B77">
      <w:pPr>
        <w:pStyle w:val="ListParagraph"/>
        <w:numPr>
          <w:ilvl w:val="0"/>
          <w:numId w:val="4"/>
        </w:numPr>
        <w:ind w:left="1134"/>
        <w:jc w:val="both"/>
      </w:pPr>
      <w:r>
        <w:t>poor symptom control (frequent symptoms or reliever use, activity limited by asthma, night waking due to asthma</w:t>
      </w:r>
      <w:proofErr w:type="gramStart"/>
      <w:r>
        <w:t>);</w:t>
      </w:r>
      <w:proofErr w:type="gramEnd"/>
      <w:r>
        <w:t xml:space="preserve"> </w:t>
      </w:r>
    </w:p>
    <w:p w14:paraId="32AE1383" w14:textId="77777777" w:rsidR="00B4512B" w:rsidRDefault="00B4512B" w:rsidP="005A3B77">
      <w:pPr>
        <w:pStyle w:val="ListParagraph"/>
        <w:numPr>
          <w:ilvl w:val="0"/>
          <w:numId w:val="4"/>
        </w:numPr>
        <w:ind w:left="1134"/>
        <w:jc w:val="both"/>
      </w:pPr>
      <w:r>
        <w:t>frequent exacerbations (</w:t>
      </w:r>
      <w:r w:rsidRPr="00A0783A">
        <w:t>≥</w:t>
      </w:r>
      <w:r>
        <w:t>2 per year) requiring oral corticosteroids (OCS), or serious exacerbations (</w:t>
      </w:r>
      <w:r w:rsidRPr="00A0783A">
        <w:t>≥</w:t>
      </w:r>
      <w:r>
        <w:t xml:space="preserve">1 per year) requiring hospitalisation. </w:t>
      </w:r>
    </w:p>
    <w:p w14:paraId="5B2F68B9" w14:textId="77777777" w:rsidR="00B4512B" w:rsidRPr="00A0783A" w:rsidRDefault="00B4512B" w:rsidP="00B4512B">
      <w:pPr>
        <w:ind w:left="774"/>
      </w:pPr>
      <w:r>
        <w:t xml:space="preserve">The 2024 GINA guidance defines severe asthma as that which is uncontrolled despite adherence with maximal optimised high-dose ICS-LABA treatment and management of contributory factors, or that worsens when high-dose treatment is decreased.  </w:t>
      </w:r>
    </w:p>
    <w:p w14:paraId="44D15CC5" w14:textId="77777777" w:rsidR="00B4512B" w:rsidRPr="00564751" w:rsidRDefault="00B4512B" w:rsidP="00B4512B">
      <w:pPr>
        <w:pStyle w:val="3-BodyText"/>
        <w:numPr>
          <w:ilvl w:val="1"/>
          <w:numId w:val="1"/>
        </w:numPr>
        <w:ind w:left="709"/>
      </w:pPr>
      <w:r w:rsidRPr="00A03399">
        <w:t xml:space="preserve">Given the high symptom burden, </w:t>
      </w:r>
      <w:r>
        <w:t xml:space="preserve">SUA </w:t>
      </w:r>
      <w:r w:rsidRPr="00A03399">
        <w:t>has a major impact on health-related quality of life (</w:t>
      </w:r>
      <w:proofErr w:type="spellStart"/>
      <w:r w:rsidRPr="00564751">
        <w:t>HRQoL</w:t>
      </w:r>
      <w:proofErr w:type="spellEnd"/>
      <w:r w:rsidRPr="00564751">
        <w:t>). Asthma that remains uncontrolled despite high</w:t>
      </w:r>
      <w:r>
        <w:t>-</w:t>
      </w:r>
      <w:r w:rsidRPr="00564751">
        <w:t xml:space="preserve">dose ICS and LABA, irrespective of asthma associated biomarkers such as blood eosinophil counts and allergy status, </w:t>
      </w:r>
      <w:r>
        <w:t>is</w:t>
      </w:r>
      <w:r w:rsidRPr="00564751">
        <w:t xml:space="preserve"> associated with significant burden on patients, carers and the healthcare system.</w:t>
      </w:r>
    </w:p>
    <w:p w14:paraId="2EE0CA0F" w14:textId="77777777" w:rsidR="00B4512B" w:rsidRPr="00564751" w:rsidRDefault="00B4512B" w:rsidP="00B4512B">
      <w:pPr>
        <w:pStyle w:val="3-BodyText"/>
        <w:numPr>
          <w:ilvl w:val="1"/>
          <w:numId w:val="1"/>
        </w:numPr>
        <w:ind w:left="709"/>
      </w:pPr>
      <w:r w:rsidRPr="00564751">
        <w:t>Currently, there are 4 biologic therapies on the PBS for the treatment of eosinophilic</w:t>
      </w:r>
      <w:r>
        <w:t xml:space="preserve"> or </w:t>
      </w:r>
      <w:r w:rsidRPr="00564751">
        <w:t xml:space="preserve">allergic </w:t>
      </w:r>
      <w:r>
        <w:t>SUA</w:t>
      </w:r>
      <w:r w:rsidRPr="00564751">
        <w:t xml:space="preserve">: dupilumab, </w:t>
      </w:r>
      <w:proofErr w:type="spellStart"/>
      <w:r w:rsidRPr="00564751">
        <w:t>benralizumab</w:t>
      </w:r>
      <w:proofErr w:type="spellEnd"/>
      <w:r w:rsidRPr="00564751">
        <w:t>, mepolizumab and omalizumab.</w:t>
      </w:r>
      <w:r>
        <w:t xml:space="preserve"> Dupilumab is listed for both eosinophilic and allergic SUA. </w:t>
      </w:r>
      <w:proofErr w:type="spellStart"/>
      <w:r>
        <w:t>B</w:t>
      </w:r>
      <w:r w:rsidRPr="00C43A16">
        <w:t>enralizumab</w:t>
      </w:r>
      <w:proofErr w:type="spellEnd"/>
      <w:r w:rsidRPr="00C43A16">
        <w:t xml:space="preserve"> and mepolizumab </w:t>
      </w:r>
      <w:r>
        <w:t xml:space="preserve">are listed </w:t>
      </w:r>
      <w:r w:rsidRPr="00C43A16">
        <w:t xml:space="preserve">for eosinophilic </w:t>
      </w:r>
      <w:r>
        <w:t>SUA</w:t>
      </w:r>
      <w:r w:rsidRPr="00C43A16">
        <w:t xml:space="preserve"> and omalizumab </w:t>
      </w:r>
      <w:r>
        <w:t xml:space="preserve">is listed </w:t>
      </w:r>
      <w:r w:rsidRPr="00C43A16">
        <w:t xml:space="preserve">for allergic </w:t>
      </w:r>
      <w:r>
        <w:t>SUA</w:t>
      </w:r>
      <w:r w:rsidRPr="00C43A16">
        <w:t>.</w:t>
      </w:r>
      <w:r>
        <w:t xml:space="preserve"> There are currently no PBS-listed therapies for non-eosinophilic and non-allergic SUA. </w:t>
      </w:r>
    </w:p>
    <w:p w14:paraId="70450759" w14:textId="3BCC7CC7" w:rsidR="00980BF2" w:rsidRPr="00EE227E" w:rsidRDefault="00B4512B" w:rsidP="00B4512B">
      <w:pPr>
        <w:pStyle w:val="COMESnumberedpara"/>
        <w:rPr>
          <w:iCs/>
        </w:rPr>
      </w:pPr>
      <w:r w:rsidRPr="00564751">
        <w:t>Tezepelumab has a n</w:t>
      </w:r>
      <w:r>
        <w:t>ovel</w:t>
      </w:r>
      <w:r w:rsidRPr="00564751">
        <w:t xml:space="preserve"> mechanism of action that suppresses multiple downstream inflammatory pathways. Thymic stromal lymphopoietin (TSLP) is an epithelial cytokine that has broad and multifaceted effects on the initiation and persistence of asthma airway inflammation. Tezepelumab is a first-in-class monoclonal antibody that blocks the activity of TSLP.</w:t>
      </w:r>
      <w:r w:rsidR="005A4036">
        <w:t xml:space="preserve"> </w:t>
      </w:r>
      <w:r w:rsidR="00DD5AE8" w:rsidRPr="00EE227E">
        <w:rPr>
          <w:iCs/>
        </w:rPr>
        <w:t>The ES</w:t>
      </w:r>
      <w:r w:rsidR="006B23CD" w:rsidRPr="00EE227E">
        <w:rPr>
          <w:iCs/>
        </w:rPr>
        <w:t>C noted the TSLP blocking action</w:t>
      </w:r>
      <w:r w:rsidR="00427FA6" w:rsidRPr="00EE227E">
        <w:rPr>
          <w:iCs/>
        </w:rPr>
        <w:t xml:space="preserve"> of </w:t>
      </w:r>
      <w:proofErr w:type="spellStart"/>
      <w:r w:rsidR="00427FA6" w:rsidRPr="00EE227E">
        <w:rPr>
          <w:iCs/>
        </w:rPr>
        <w:t>tezepelumab</w:t>
      </w:r>
      <w:proofErr w:type="spellEnd"/>
      <w:r w:rsidR="007C39C7" w:rsidRPr="00EE227E">
        <w:rPr>
          <w:iCs/>
        </w:rPr>
        <w:t xml:space="preserve"> means that</w:t>
      </w:r>
      <w:r w:rsidR="008A51B7" w:rsidRPr="00EE227E">
        <w:rPr>
          <w:iCs/>
        </w:rPr>
        <w:t xml:space="preserve"> it </w:t>
      </w:r>
      <w:r w:rsidR="003E7F6A" w:rsidRPr="00EE227E">
        <w:rPr>
          <w:iCs/>
        </w:rPr>
        <w:t xml:space="preserve">reduces eosinophilic </w:t>
      </w:r>
      <w:r w:rsidR="00564714" w:rsidRPr="00EE227E">
        <w:rPr>
          <w:iCs/>
        </w:rPr>
        <w:t xml:space="preserve">inflammation, allergic </w:t>
      </w:r>
      <w:r w:rsidR="004D0F98" w:rsidRPr="00EE227E">
        <w:rPr>
          <w:iCs/>
        </w:rPr>
        <w:t xml:space="preserve">inflammation </w:t>
      </w:r>
      <w:proofErr w:type="gramStart"/>
      <w:r w:rsidR="008164E1" w:rsidRPr="00EE227E">
        <w:rPr>
          <w:iCs/>
        </w:rPr>
        <w:t xml:space="preserve">and </w:t>
      </w:r>
      <w:r w:rsidR="00A91990" w:rsidRPr="00EE227E">
        <w:rPr>
          <w:iCs/>
        </w:rPr>
        <w:t>also</w:t>
      </w:r>
      <w:proofErr w:type="gramEnd"/>
      <w:r w:rsidR="00A91990" w:rsidRPr="00EE227E">
        <w:rPr>
          <w:iCs/>
        </w:rPr>
        <w:t xml:space="preserve"> neutrophilic inflammation. The ESC </w:t>
      </w:r>
      <w:r w:rsidR="00B7266D" w:rsidRPr="00EE227E">
        <w:rPr>
          <w:iCs/>
        </w:rPr>
        <w:t xml:space="preserve">noted that </w:t>
      </w:r>
      <w:r w:rsidR="003059A4" w:rsidRPr="00EE227E">
        <w:rPr>
          <w:iCs/>
        </w:rPr>
        <w:t xml:space="preserve">Type 2 inflammation is often characterised by elevated </w:t>
      </w:r>
      <w:r w:rsidR="00452097" w:rsidRPr="00EE227E">
        <w:rPr>
          <w:iCs/>
        </w:rPr>
        <w:t>eosinophils or increased fractional exhaled nitric oxide (</w:t>
      </w:r>
      <w:proofErr w:type="spellStart"/>
      <w:r w:rsidR="00452097" w:rsidRPr="00EE227E">
        <w:rPr>
          <w:iCs/>
        </w:rPr>
        <w:t>FeNO</w:t>
      </w:r>
      <w:proofErr w:type="spellEnd"/>
      <w:r w:rsidR="00452097" w:rsidRPr="00EE227E">
        <w:rPr>
          <w:iCs/>
        </w:rPr>
        <w:t>), and it may be accompanied by atopy and elevated IgE.</w:t>
      </w:r>
      <w:r w:rsidR="00452097" w:rsidRPr="00EE227E">
        <w:rPr>
          <w:iCs/>
          <w:vertAlign w:val="superscript"/>
        </w:rPr>
        <w:t>1</w:t>
      </w:r>
      <w:r w:rsidR="00452097" w:rsidRPr="00EE227E">
        <w:rPr>
          <w:iCs/>
        </w:rPr>
        <w:t xml:space="preserve"> Whereas non-Type 2 inflammation is often characterised by increased neutrophils.</w:t>
      </w:r>
      <w:r w:rsidR="00452097" w:rsidRPr="00EE227E">
        <w:rPr>
          <w:iCs/>
          <w:vertAlign w:val="superscript"/>
        </w:rPr>
        <w:t xml:space="preserve">1 </w:t>
      </w:r>
      <w:r w:rsidR="007223A0" w:rsidRPr="00EE227E">
        <w:rPr>
          <w:iCs/>
        </w:rPr>
        <w:t>The ESC advised that</w:t>
      </w:r>
      <w:r w:rsidR="005B5221" w:rsidRPr="00EE227E">
        <w:rPr>
          <w:iCs/>
        </w:rPr>
        <w:t xml:space="preserve"> it is </w:t>
      </w:r>
      <w:proofErr w:type="spellStart"/>
      <w:r w:rsidR="002D5E0B" w:rsidRPr="00EE227E">
        <w:rPr>
          <w:iCs/>
        </w:rPr>
        <w:t>tezepelumab</w:t>
      </w:r>
      <w:r w:rsidR="005802B4" w:rsidRPr="00EE227E">
        <w:rPr>
          <w:iCs/>
        </w:rPr>
        <w:t>’s</w:t>
      </w:r>
      <w:proofErr w:type="spellEnd"/>
      <w:r w:rsidR="005877B8" w:rsidRPr="00EE227E">
        <w:rPr>
          <w:iCs/>
        </w:rPr>
        <w:t xml:space="preserve"> </w:t>
      </w:r>
      <w:r w:rsidR="002D5E0B" w:rsidRPr="00EE227E">
        <w:rPr>
          <w:iCs/>
        </w:rPr>
        <w:t xml:space="preserve"> impact o</w:t>
      </w:r>
      <w:r w:rsidR="00185800" w:rsidRPr="00EE227E">
        <w:rPr>
          <w:iCs/>
        </w:rPr>
        <w:t xml:space="preserve">n </w:t>
      </w:r>
      <w:r w:rsidR="002B0902" w:rsidRPr="00EE227E">
        <w:rPr>
          <w:iCs/>
        </w:rPr>
        <w:t>neutrophilic infla</w:t>
      </w:r>
      <w:r w:rsidR="00F6290E" w:rsidRPr="00EE227E">
        <w:rPr>
          <w:iCs/>
        </w:rPr>
        <w:t xml:space="preserve">mmation that </w:t>
      </w:r>
      <w:r w:rsidR="0015031C" w:rsidRPr="00EE227E">
        <w:rPr>
          <w:iCs/>
        </w:rPr>
        <w:t xml:space="preserve">allows it to be </w:t>
      </w:r>
      <w:r w:rsidR="00BC0A27" w:rsidRPr="00EE227E">
        <w:rPr>
          <w:iCs/>
        </w:rPr>
        <w:t xml:space="preserve">considered for </w:t>
      </w:r>
      <w:r w:rsidR="0015031C" w:rsidRPr="00EE227E">
        <w:rPr>
          <w:iCs/>
        </w:rPr>
        <w:t xml:space="preserve">use </w:t>
      </w:r>
      <w:r w:rsidR="00BC0A27" w:rsidRPr="00EE227E">
        <w:rPr>
          <w:iCs/>
        </w:rPr>
        <w:t xml:space="preserve">in the non-eosinophilic and non-allergic SUA population. </w:t>
      </w:r>
    </w:p>
    <w:p w14:paraId="7DF88B98" w14:textId="6E7C2BA3" w:rsidR="008A6A0C" w:rsidRPr="008A6A0C" w:rsidRDefault="008A6A0C" w:rsidP="008A6A0C">
      <w:pPr>
        <w:pStyle w:val="COMESnumberedpara"/>
        <w:numPr>
          <w:ilvl w:val="0"/>
          <w:numId w:val="0"/>
        </w:numPr>
        <w:ind w:left="720"/>
        <w:rPr>
          <w:i/>
        </w:rPr>
      </w:pPr>
      <w:r w:rsidRPr="008A6A0C">
        <w:rPr>
          <w:i/>
        </w:rPr>
        <w:t>For more detail on PBAC’s view, see section 7 PBAC outcome.</w:t>
      </w:r>
    </w:p>
    <w:p w14:paraId="51E5AE96" w14:textId="103002A2" w:rsidR="00B50DB8" w:rsidRPr="0098262F" w:rsidRDefault="00B50DB8" w:rsidP="004E18E9">
      <w:pPr>
        <w:pStyle w:val="COMESH2"/>
      </w:pPr>
      <w:bookmarkStart w:id="15" w:name="_Toc209016992"/>
      <w:r w:rsidRPr="0098262F">
        <w:t>Comparator</w:t>
      </w:r>
      <w:bookmarkEnd w:id="15"/>
      <w:r w:rsidR="001937FE">
        <w:t xml:space="preserve"> </w:t>
      </w:r>
    </w:p>
    <w:p w14:paraId="734A9F43" w14:textId="18CFDB68" w:rsidR="00626F8B" w:rsidRPr="00040002" w:rsidRDefault="00626F8B" w:rsidP="00626F8B">
      <w:pPr>
        <w:pStyle w:val="COMESnumberedpara"/>
      </w:pPr>
      <w:bookmarkStart w:id="16" w:name="_Toc22897640"/>
      <w:r w:rsidRPr="00E42035">
        <w:t xml:space="preserve">The submission nominated </w:t>
      </w:r>
      <w:r>
        <w:t xml:space="preserve">SoC </w:t>
      </w:r>
      <w:r w:rsidRPr="00E42035">
        <w:t xml:space="preserve">as the comparator </w:t>
      </w:r>
      <w:r w:rsidR="00166613">
        <w:t>for</w:t>
      </w:r>
      <w:r w:rsidR="005A43DA">
        <w:t xml:space="preserve"> the</w:t>
      </w:r>
      <w:r w:rsidRPr="00E42035">
        <w:t xml:space="preserve"> non-</w:t>
      </w:r>
      <w:r>
        <w:t>eosinophilic</w:t>
      </w:r>
      <w:r w:rsidRPr="00E42035">
        <w:t xml:space="preserve"> </w:t>
      </w:r>
      <w:r>
        <w:t>and</w:t>
      </w:r>
      <w:r w:rsidRPr="00E42035">
        <w:t xml:space="preserve"> non-</w:t>
      </w:r>
      <w:r>
        <w:t>a</w:t>
      </w:r>
      <w:r w:rsidRPr="00E42035">
        <w:t xml:space="preserve">llergic </w:t>
      </w:r>
      <w:r>
        <w:t>SUA</w:t>
      </w:r>
      <w:r w:rsidR="005A43DA">
        <w:t xml:space="preserve"> population</w:t>
      </w:r>
      <w:r w:rsidRPr="00E42035">
        <w:t>.</w:t>
      </w:r>
      <w:r>
        <w:t xml:space="preserve"> SoC was stated to include </w:t>
      </w:r>
      <w:r w:rsidRPr="00C43A16">
        <w:t>optimised asthma therapy with high</w:t>
      </w:r>
      <w:r>
        <w:t>-</w:t>
      </w:r>
      <w:r w:rsidRPr="00C43A16">
        <w:t>dose ICS combined with LABA as the primary treatment</w:t>
      </w:r>
      <w:r>
        <w:t xml:space="preserve">, </w:t>
      </w:r>
      <w:r w:rsidRPr="009E204E">
        <w:t xml:space="preserve">with optional add-ons </w:t>
      </w:r>
      <w:r>
        <w:t>(e.g.</w:t>
      </w:r>
      <w:r w:rsidRPr="009E204E">
        <w:t xml:space="preserve"> </w:t>
      </w:r>
      <w:r>
        <w:t>OCS</w:t>
      </w:r>
      <w:r w:rsidRPr="009E204E">
        <w:t xml:space="preserve">, </w:t>
      </w:r>
      <w:r w:rsidRPr="004A16B0">
        <w:t>long-acting muscarinic antagonist</w:t>
      </w:r>
      <w:r w:rsidRPr="009E204E">
        <w:t xml:space="preserve"> </w:t>
      </w:r>
      <w:r>
        <w:t>[</w:t>
      </w:r>
      <w:r w:rsidRPr="009E204E">
        <w:t>LAMA</w:t>
      </w:r>
      <w:r>
        <w:t>]</w:t>
      </w:r>
      <w:r w:rsidRPr="009E204E">
        <w:t xml:space="preserve"> or </w:t>
      </w:r>
      <w:r>
        <w:t>short-acting beta-agonist [</w:t>
      </w:r>
      <w:r w:rsidRPr="009E204E">
        <w:t>SABA</w:t>
      </w:r>
      <w:r>
        <w:t>] inhalers</w:t>
      </w:r>
      <w:r w:rsidRPr="009E204E">
        <w:t>, or azithromycin</w:t>
      </w:r>
      <w:r>
        <w:t>). The submission stated that a</w:t>
      </w:r>
      <w:r w:rsidRPr="00C43A16">
        <w:t xml:space="preserve">vailable biologic therapies for </w:t>
      </w:r>
      <w:r>
        <w:t>SUA</w:t>
      </w:r>
      <w:r w:rsidRPr="00C43A16">
        <w:t xml:space="preserve"> were not considered to be appropriate comparators as there </w:t>
      </w:r>
      <w:r>
        <w:t>is</w:t>
      </w:r>
      <w:r w:rsidRPr="00C43A16">
        <w:t xml:space="preserve"> no overlap between the proposed new population (non-</w:t>
      </w:r>
      <w:r>
        <w:t>eosinophilic</w:t>
      </w:r>
      <w:r w:rsidRPr="00C43A16">
        <w:t xml:space="preserve"> and non-allergic) and the existing reimbursed population (</w:t>
      </w:r>
      <w:r>
        <w:t>eosinophilic</w:t>
      </w:r>
      <w:r w:rsidRPr="00C43A16">
        <w:t xml:space="preserve"> or </w:t>
      </w:r>
      <w:r w:rsidRPr="001F29EF">
        <w:t>allergic</w:t>
      </w:r>
      <w:r w:rsidRPr="00C43A16">
        <w:t>).</w:t>
      </w:r>
      <w:r>
        <w:t xml:space="preserve"> </w:t>
      </w:r>
      <w:r w:rsidRPr="00EE227E">
        <w:rPr>
          <w:iCs/>
        </w:rPr>
        <w:t xml:space="preserve">The </w:t>
      </w:r>
      <w:r w:rsidR="00166613" w:rsidRPr="00EE227E">
        <w:rPr>
          <w:iCs/>
        </w:rPr>
        <w:t xml:space="preserve">ESC considered that </w:t>
      </w:r>
      <w:r w:rsidRPr="00EE227E">
        <w:rPr>
          <w:iCs/>
        </w:rPr>
        <w:t>SoC</w:t>
      </w:r>
      <w:r w:rsidR="00166613" w:rsidRPr="00EE227E">
        <w:rPr>
          <w:iCs/>
        </w:rPr>
        <w:t>, as defined by the submission,</w:t>
      </w:r>
      <w:r w:rsidRPr="00EE227E">
        <w:rPr>
          <w:iCs/>
        </w:rPr>
        <w:t xml:space="preserve"> was </w:t>
      </w:r>
      <w:r w:rsidR="00166613" w:rsidRPr="00EE227E">
        <w:rPr>
          <w:iCs/>
        </w:rPr>
        <w:t xml:space="preserve">the </w:t>
      </w:r>
      <w:r w:rsidRPr="00EE227E">
        <w:rPr>
          <w:iCs/>
        </w:rPr>
        <w:t>appropriate</w:t>
      </w:r>
      <w:r w:rsidR="00166613" w:rsidRPr="00EE227E">
        <w:rPr>
          <w:iCs/>
        </w:rPr>
        <w:t xml:space="preserve"> comparator for the non-eosinophilic and non-allergic SUA population</w:t>
      </w:r>
      <w:r w:rsidRPr="00EE227E">
        <w:rPr>
          <w:iCs/>
        </w:rPr>
        <w:t>.</w:t>
      </w:r>
    </w:p>
    <w:p w14:paraId="10CCCC92" w14:textId="51ACEA03" w:rsidR="00626F8B" w:rsidRPr="00040002" w:rsidRDefault="00626F8B" w:rsidP="00626F8B">
      <w:pPr>
        <w:pStyle w:val="COMESnumberedpara"/>
      </w:pPr>
      <w:r w:rsidRPr="00E42035">
        <w:t xml:space="preserve">The submission nominated dupilumab as the </w:t>
      </w:r>
      <w:r>
        <w:t xml:space="preserve">main </w:t>
      </w:r>
      <w:r w:rsidRPr="00E42035">
        <w:t xml:space="preserve">comparator </w:t>
      </w:r>
      <w:r w:rsidR="005A43DA">
        <w:t>for the</w:t>
      </w:r>
      <w:r w:rsidRPr="00E42035">
        <w:t xml:space="preserve"> </w:t>
      </w:r>
      <w:r>
        <w:t>eosinophilic or a</w:t>
      </w:r>
      <w:r w:rsidRPr="00E42035">
        <w:t xml:space="preserve">llergic </w:t>
      </w:r>
      <w:r>
        <w:t>SUA</w:t>
      </w:r>
      <w:r w:rsidR="005A43DA">
        <w:t xml:space="preserve"> population</w:t>
      </w:r>
      <w:r w:rsidRPr="00E42035">
        <w:t>.</w:t>
      </w:r>
      <w:r>
        <w:t xml:space="preserve"> </w:t>
      </w:r>
      <w:r w:rsidRPr="00E42035">
        <w:t xml:space="preserve">The </w:t>
      </w:r>
      <w:r>
        <w:t xml:space="preserve">submission </w:t>
      </w:r>
      <w:r w:rsidR="005A43DA">
        <w:t>noted that dupilumab is the</w:t>
      </w:r>
      <w:r w:rsidRPr="00C43A16">
        <w:t xml:space="preserve"> only biologic</w:t>
      </w:r>
      <w:r w:rsidR="005A43DA">
        <w:t xml:space="preserve"> that is PBS listed</w:t>
      </w:r>
      <w:r w:rsidRPr="00C43A16">
        <w:t xml:space="preserve"> with a restriction that aligns </w:t>
      </w:r>
      <w:r>
        <w:t>with</w:t>
      </w:r>
      <w:r w:rsidRPr="00C43A16">
        <w:t xml:space="preserve"> that being sought</w:t>
      </w:r>
      <w:r>
        <w:t xml:space="preserve"> for </w:t>
      </w:r>
      <w:proofErr w:type="spellStart"/>
      <w:r>
        <w:t>tezepelumab</w:t>
      </w:r>
      <w:proofErr w:type="spellEnd"/>
      <w:r>
        <w:t xml:space="preserve"> (i.e. it is listed for both</w:t>
      </w:r>
      <w:r w:rsidRPr="00E42035">
        <w:t xml:space="preserve"> </w:t>
      </w:r>
      <w:r w:rsidRPr="00C43A16">
        <w:t xml:space="preserve">eosinophilic or allergic </w:t>
      </w:r>
      <w:r>
        <w:t>SU</w:t>
      </w:r>
      <w:r w:rsidRPr="002D528C">
        <w:t>A</w:t>
      </w:r>
      <w:r>
        <w:t>) and hence it was the medicine most likely to be replaced</w:t>
      </w:r>
      <w:r w:rsidRPr="00C43A16">
        <w:t>.</w:t>
      </w:r>
      <w:r>
        <w:t xml:space="preserve"> The submission </w:t>
      </w:r>
      <w:r w:rsidR="00700F70">
        <w:t xml:space="preserve">noted </w:t>
      </w:r>
      <w:r>
        <w:t>that d</w:t>
      </w:r>
      <w:r w:rsidRPr="00C43A16">
        <w:t xml:space="preserve">upilumab was the most recently recommended biologic for </w:t>
      </w:r>
      <w:r>
        <w:t>SUA</w:t>
      </w:r>
      <w:r w:rsidRPr="00C43A16">
        <w:t xml:space="preserve"> by the PBAC and </w:t>
      </w:r>
      <w:r w:rsidR="00700F70">
        <w:t xml:space="preserve">that the consideration </w:t>
      </w:r>
      <w:r w:rsidRPr="00C43A16">
        <w:t xml:space="preserve">was based on a clinical comparison with </w:t>
      </w:r>
      <w:proofErr w:type="spellStart"/>
      <w:r w:rsidRPr="00C43A16">
        <w:t>benralizumab</w:t>
      </w:r>
      <w:proofErr w:type="spellEnd"/>
      <w:r w:rsidRPr="00C43A16">
        <w:t>, mepolizumab and omalizumab.</w:t>
      </w:r>
      <w:r>
        <w:t xml:space="preserve"> The submission nominated </w:t>
      </w:r>
      <w:proofErr w:type="spellStart"/>
      <w:r>
        <w:t>b</w:t>
      </w:r>
      <w:r w:rsidRPr="00A43977">
        <w:t>enralizumab</w:t>
      </w:r>
      <w:proofErr w:type="spellEnd"/>
      <w:r w:rsidRPr="00A43977">
        <w:t>, mepolizumab and omalizumab as secondary</w:t>
      </w:r>
      <w:r>
        <w:t xml:space="preserve"> </w:t>
      </w:r>
      <w:r w:rsidRPr="001F29EF">
        <w:t>comparators</w:t>
      </w:r>
      <w:r w:rsidRPr="00040002">
        <w:t xml:space="preserve">. </w:t>
      </w:r>
      <w:r w:rsidR="00700F70" w:rsidRPr="00EE227E">
        <w:rPr>
          <w:iCs/>
        </w:rPr>
        <w:t xml:space="preserve">The ESC considered that this </w:t>
      </w:r>
      <w:r w:rsidRPr="00EE227E">
        <w:rPr>
          <w:iCs/>
        </w:rPr>
        <w:t>was appropriate.</w:t>
      </w:r>
    </w:p>
    <w:p w14:paraId="09AA51F6" w14:textId="1BD0C100" w:rsidR="005A7BF9" w:rsidRDefault="00626F8B" w:rsidP="00626F8B">
      <w:pPr>
        <w:pStyle w:val="COMESnumberedpara"/>
      </w:pPr>
      <w:r w:rsidRPr="00040002">
        <w:t xml:space="preserve">In the context of the cost-minimisation approach taken by the submission for the eosinophilic or allergic SUA population,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For the requested population, the following PBS-listed medicines may be considered alternative therapies because they could be replaced in practice: dupilumab, </w:t>
      </w:r>
      <w:proofErr w:type="spellStart"/>
      <w:r w:rsidRPr="00040002">
        <w:t>benralizumab</w:t>
      </w:r>
      <w:proofErr w:type="spellEnd"/>
      <w:r w:rsidRPr="00040002">
        <w:t xml:space="preserve">, mepolizumab and omalizumab. Some of these alternative therapies may be less costly than </w:t>
      </w:r>
      <w:proofErr w:type="spellStart"/>
      <w:r w:rsidRPr="00040002">
        <w:t>tezepelumab</w:t>
      </w:r>
      <w:proofErr w:type="spellEnd"/>
      <w:r w:rsidRPr="00040002">
        <w:t>.</w:t>
      </w:r>
    </w:p>
    <w:p w14:paraId="01494E49" w14:textId="4588C285" w:rsidR="008A6A0C" w:rsidRPr="008A6A0C" w:rsidRDefault="008A6A0C" w:rsidP="008A6A0C">
      <w:pPr>
        <w:pStyle w:val="COMESnumberedpara"/>
        <w:numPr>
          <w:ilvl w:val="0"/>
          <w:numId w:val="0"/>
        </w:numPr>
        <w:ind w:left="720"/>
        <w:rPr>
          <w:i/>
          <w:iCs/>
        </w:rPr>
      </w:pPr>
      <w:r w:rsidRPr="008A6A0C">
        <w:rPr>
          <w:i/>
          <w:iCs/>
        </w:rPr>
        <w:t>For more detail on PBAC’s view, see section 7 PBAC outcome.</w:t>
      </w:r>
    </w:p>
    <w:p w14:paraId="7F9C27C8" w14:textId="77777777" w:rsidR="00223D5A" w:rsidRDefault="00223D5A" w:rsidP="00223D5A">
      <w:pPr>
        <w:pStyle w:val="COMESH2"/>
        <w:numPr>
          <w:ilvl w:val="0"/>
          <w:numId w:val="1"/>
        </w:numPr>
      </w:pPr>
      <w:bookmarkStart w:id="17" w:name="_Toc209016993"/>
      <w:r w:rsidRPr="0098262F">
        <w:t>Consideration of the evidence</w:t>
      </w:r>
      <w:bookmarkEnd w:id="17"/>
    </w:p>
    <w:p w14:paraId="07A1734A" w14:textId="77777777" w:rsidR="000A25A7" w:rsidRPr="006E1229" w:rsidRDefault="000A25A7" w:rsidP="000A25A7">
      <w:pPr>
        <w:pStyle w:val="COMESSubsectionheading"/>
      </w:pPr>
      <w:bookmarkStart w:id="18" w:name="_Hlk76375935"/>
      <w:r w:rsidRPr="006E1229">
        <w:t>Sponsor hearing</w:t>
      </w:r>
    </w:p>
    <w:p w14:paraId="4F6F3325" w14:textId="12911656" w:rsidR="002A010C" w:rsidRDefault="000A25A7" w:rsidP="007A15B5">
      <w:pPr>
        <w:widowControl w:val="0"/>
        <w:numPr>
          <w:ilvl w:val="1"/>
          <w:numId w:val="1"/>
        </w:numPr>
        <w:spacing w:after="120"/>
        <w:rPr>
          <w:rFonts w:asciiTheme="minorHAnsi" w:hAnsiTheme="minorHAnsi"/>
          <w:bCs/>
          <w:snapToGrid w:val="0"/>
        </w:rPr>
      </w:pPr>
      <w:bookmarkStart w:id="19" w:name="_Hlk76382586"/>
      <w:r w:rsidRPr="00836F75">
        <w:rPr>
          <w:rFonts w:asciiTheme="minorHAnsi" w:hAnsiTheme="minorHAnsi"/>
          <w:bCs/>
          <w:snapToGrid w:val="0"/>
        </w:rPr>
        <w:t xml:space="preserve">The sponsor requested a hearing for this item. </w:t>
      </w:r>
      <w:r w:rsidR="002D2F99">
        <w:rPr>
          <w:rFonts w:asciiTheme="minorHAnsi" w:hAnsiTheme="minorHAnsi"/>
          <w:bCs/>
          <w:snapToGrid w:val="0"/>
        </w:rPr>
        <w:t xml:space="preserve">The clinician </w:t>
      </w:r>
      <w:r w:rsidR="00F15B6D">
        <w:rPr>
          <w:rFonts w:asciiTheme="minorHAnsi" w:hAnsiTheme="minorHAnsi"/>
          <w:bCs/>
          <w:snapToGrid w:val="0"/>
        </w:rPr>
        <w:t xml:space="preserve">discussed the </w:t>
      </w:r>
      <w:r w:rsidR="00746FCE">
        <w:rPr>
          <w:rFonts w:asciiTheme="minorHAnsi" w:hAnsiTheme="minorHAnsi"/>
          <w:bCs/>
          <w:snapToGrid w:val="0"/>
        </w:rPr>
        <w:t xml:space="preserve">natural history of the disease and how the drug would be used in practice. </w:t>
      </w:r>
      <w:r w:rsidR="000B03D6">
        <w:rPr>
          <w:rFonts w:asciiTheme="minorHAnsi" w:hAnsiTheme="minorHAnsi"/>
          <w:bCs/>
          <w:snapToGrid w:val="0"/>
        </w:rPr>
        <w:t xml:space="preserve">The clinician emphasised </w:t>
      </w:r>
      <w:r w:rsidR="00490078">
        <w:rPr>
          <w:rFonts w:asciiTheme="minorHAnsi" w:hAnsiTheme="minorHAnsi"/>
          <w:bCs/>
          <w:snapToGrid w:val="0"/>
        </w:rPr>
        <w:t>that</w:t>
      </w:r>
      <w:r w:rsidR="00584B62">
        <w:rPr>
          <w:rFonts w:asciiTheme="minorHAnsi" w:hAnsiTheme="minorHAnsi"/>
          <w:bCs/>
          <w:snapToGrid w:val="0"/>
        </w:rPr>
        <w:t xml:space="preserve"> for patients with </w:t>
      </w:r>
      <w:r w:rsidR="008A164D">
        <w:rPr>
          <w:rFonts w:asciiTheme="minorHAnsi" w:hAnsiTheme="minorHAnsi"/>
          <w:bCs/>
          <w:snapToGrid w:val="0"/>
        </w:rPr>
        <w:t>SUA</w:t>
      </w:r>
      <w:r w:rsidR="00584B62">
        <w:rPr>
          <w:rFonts w:asciiTheme="minorHAnsi" w:hAnsiTheme="minorHAnsi"/>
          <w:bCs/>
          <w:snapToGrid w:val="0"/>
        </w:rPr>
        <w:t>,</w:t>
      </w:r>
      <w:r w:rsidR="00490078">
        <w:rPr>
          <w:rFonts w:asciiTheme="minorHAnsi" w:hAnsiTheme="minorHAnsi"/>
          <w:bCs/>
          <w:snapToGrid w:val="0"/>
        </w:rPr>
        <w:t xml:space="preserve"> </w:t>
      </w:r>
      <w:r w:rsidR="00AE1BBD">
        <w:rPr>
          <w:rFonts w:asciiTheme="minorHAnsi" w:hAnsiTheme="minorHAnsi"/>
          <w:bCs/>
          <w:snapToGrid w:val="0"/>
        </w:rPr>
        <w:t xml:space="preserve">exacerbations </w:t>
      </w:r>
      <w:r w:rsidR="00584B62">
        <w:rPr>
          <w:rFonts w:asciiTheme="minorHAnsi" w:hAnsiTheme="minorHAnsi"/>
          <w:bCs/>
          <w:snapToGrid w:val="0"/>
        </w:rPr>
        <w:t xml:space="preserve">can have a significant impact on the quality of life of patients and </w:t>
      </w:r>
      <w:r w:rsidR="00AE1BBD">
        <w:rPr>
          <w:rFonts w:asciiTheme="minorHAnsi" w:hAnsiTheme="minorHAnsi"/>
          <w:bCs/>
          <w:snapToGrid w:val="0"/>
        </w:rPr>
        <w:t xml:space="preserve">lead to long-term </w:t>
      </w:r>
      <w:r w:rsidR="0024723C">
        <w:rPr>
          <w:rFonts w:asciiTheme="minorHAnsi" w:hAnsiTheme="minorHAnsi"/>
          <w:bCs/>
          <w:snapToGrid w:val="0"/>
        </w:rPr>
        <w:t>airway damage</w:t>
      </w:r>
      <w:r w:rsidR="00584B62">
        <w:rPr>
          <w:rFonts w:asciiTheme="minorHAnsi" w:hAnsiTheme="minorHAnsi"/>
          <w:bCs/>
          <w:snapToGrid w:val="0"/>
        </w:rPr>
        <w:t xml:space="preserve">. </w:t>
      </w:r>
      <w:r w:rsidR="00AE1BBD">
        <w:rPr>
          <w:rFonts w:asciiTheme="minorHAnsi" w:hAnsiTheme="minorHAnsi"/>
          <w:bCs/>
          <w:snapToGrid w:val="0"/>
        </w:rPr>
        <w:t xml:space="preserve"> </w:t>
      </w:r>
      <w:r w:rsidR="00D72513">
        <w:rPr>
          <w:rFonts w:asciiTheme="minorHAnsi" w:hAnsiTheme="minorHAnsi"/>
          <w:bCs/>
          <w:snapToGrid w:val="0"/>
        </w:rPr>
        <w:t>The clinic</w:t>
      </w:r>
      <w:r w:rsidR="00584B62">
        <w:rPr>
          <w:rFonts w:asciiTheme="minorHAnsi" w:hAnsiTheme="minorHAnsi"/>
          <w:bCs/>
          <w:snapToGrid w:val="0"/>
        </w:rPr>
        <w:t>ian</w:t>
      </w:r>
      <w:r w:rsidR="00D72513">
        <w:rPr>
          <w:rFonts w:asciiTheme="minorHAnsi" w:hAnsiTheme="minorHAnsi"/>
          <w:bCs/>
          <w:snapToGrid w:val="0"/>
        </w:rPr>
        <w:t xml:space="preserve"> noted </w:t>
      </w:r>
      <w:r w:rsidR="00F7230B">
        <w:rPr>
          <w:rFonts w:asciiTheme="minorHAnsi" w:hAnsiTheme="minorHAnsi"/>
          <w:bCs/>
          <w:snapToGrid w:val="0"/>
        </w:rPr>
        <w:t xml:space="preserve">that </w:t>
      </w:r>
      <w:r w:rsidR="0078362F">
        <w:rPr>
          <w:rFonts w:asciiTheme="minorHAnsi" w:hAnsiTheme="minorHAnsi"/>
          <w:bCs/>
          <w:snapToGrid w:val="0"/>
        </w:rPr>
        <w:t>m</w:t>
      </w:r>
      <w:r w:rsidR="0078362F" w:rsidRPr="0078362F">
        <w:rPr>
          <w:rFonts w:asciiTheme="minorHAnsi" w:hAnsiTheme="minorHAnsi"/>
          <w:bCs/>
          <w:snapToGrid w:val="0"/>
        </w:rPr>
        <w:t xml:space="preserve">onoclonal antibodies approved in Australia have led to substantial clinical improvements for many patients with </w:t>
      </w:r>
      <w:r w:rsidR="005B04F6">
        <w:rPr>
          <w:rFonts w:asciiTheme="minorHAnsi" w:hAnsiTheme="minorHAnsi"/>
          <w:bCs/>
          <w:snapToGrid w:val="0"/>
        </w:rPr>
        <w:t>SUA</w:t>
      </w:r>
      <w:r w:rsidR="0078362F" w:rsidRPr="0078362F">
        <w:rPr>
          <w:rFonts w:asciiTheme="minorHAnsi" w:hAnsiTheme="minorHAnsi"/>
          <w:bCs/>
          <w:snapToGrid w:val="0"/>
        </w:rPr>
        <w:t>, though some individuals experience only partial benefit.</w:t>
      </w:r>
      <w:r w:rsidR="0017399C">
        <w:rPr>
          <w:rFonts w:asciiTheme="minorHAnsi" w:hAnsiTheme="minorHAnsi"/>
          <w:bCs/>
          <w:snapToGrid w:val="0"/>
        </w:rPr>
        <w:t xml:space="preserve"> The clinician </w:t>
      </w:r>
      <w:r w:rsidR="00AC117A">
        <w:rPr>
          <w:rFonts w:asciiTheme="minorHAnsi" w:hAnsiTheme="minorHAnsi"/>
          <w:bCs/>
          <w:snapToGrid w:val="0"/>
        </w:rPr>
        <w:t xml:space="preserve">noted that </w:t>
      </w:r>
      <w:proofErr w:type="spellStart"/>
      <w:r w:rsidR="00A31F8C">
        <w:rPr>
          <w:rFonts w:asciiTheme="minorHAnsi" w:hAnsiTheme="minorHAnsi"/>
          <w:bCs/>
          <w:snapToGrid w:val="0"/>
        </w:rPr>
        <w:t>tezepelumab</w:t>
      </w:r>
      <w:proofErr w:type="spellEnd"/>
      <w:r w:rsidR="00A31F8C">
        <w:rPr>
          <w:rFonts w:asciiTheme="minorHAnsi" w:hAnsiTheme="minorHAnsi"/>
          <w:bCs/>
          <w:snapToGrid w:val="0"/>
        </w:rPr>
        <w:t xml:space="preserve"> </w:t>
      </w:r>
      <w:r w:rsidR="00265C54">
        <w:rPr>
          <w:rFonts w:asciiTheme="minorHAnsi" w:hAnsiTheme="minorHAnsi"/>
          <w:bCs/>
          <w:snapToGrid w:val="0"/>
        </w:rPr>
        <w:t xml:space="preserve">has a unique mechanism of action, </w:t>
      </w:r>
      <w:r w:rsidR="00AC117A">
        <w:rPr>
          <w:rFonts w:asciiTheme="minorHAnsi" w:hAnsiTheme="minorHAnsi"/>
          <w:bCs/>
          <w:snapToGrid w:val="0"/>
        </w:rPr>
        <w:t>act</w:t>
      </w:r>
      <w:r w:rsidR="00E44627">
        <w:rPr>
          <w:rFonts w:asciiTheme="minorHAnsi" w:hAnsiTheme="minorHAnsi"/>
          <w:bCs/>
          <w:snapToGrid w:val="0"/>
        </w:rPr>
        <w:t>ing</w:t>
      </w:r>
      <w:r w:rsidR="00AC117A">
        <w:rPr>
          <w:rFonts w:asciiTheme="minorHAnsi" w:hAnsiTheme="minorHAnsi"/>
          <w:bCs/>
          <w:snapToGrid w:val="0"/>
        </w:rPr>
        <w:t xml:space="preserve"> upstream in the inflammatory</w:t>
      </w:r>
      <w:r w:rsidR="00987970">
        <w:rPr>
          <w:rFonts w:asciiTheme="minorHAnsi" w:hAnsiTheme="minorHAnsi"/>
          <w:bCs/>
          <w:snapToGrid w:val="0"/>
        </w:rPr>
        <w:t xml:space="preserve"> cascade</w:t>
      </w:r>
      <w:r w:rsidR="00304B44">
        <w:rPr>
          <w:rFonts w:asciiTheme="minorHAnsi" w:hAnsiTheme="minorHAnsi"/>
          <w:bCs/>
          <w:snapToGrid w:val="0"/>
        </w:rPr>
        <w:t xml:space="preserve">, which the clinician </w:t>
      </w:r>
      <w:r w:rsidR="00987970">
        <w:rPr>
          <w:rFonts w:asciiTheme="minorHAnsi" w:hAnsiTheme="minorHAnsi"/>
          <w:bCs/>
          <w:snapToGrid w:val="0"/>
        </w:rPr>
        <w:t>considered</w:t>
      </w:r>
      <w:r w:rsidR="00304B44">
        <w:rPr>
          <w:rFonts w:asciiTheme="minorHAnsi" w:hAnsiTheme="minorHAnsi"/>
          <w:bCs/>
          <w:snapToGrid w:val="0"/>
        </w:rPr>
        <w:t xml:space="preserve"> was clinically important</w:t>
      </w:r>
      <w:r w:rsidR="00131255">
        <w:rPr>
          <w:rFonts w:asciiTheme="minorHAnsi" w:hAnsiTheme="minorHAnsi"/>
          <w:bCs/>
          <w:snapToGrid w:val="0"/>
        </w:rPr>
        <w:t xml:space="preserve"> given that p</w:t>
      </w:r>
      <w:r w:rsidR="00131255" w:rsidRPr="00411543">
        <w:rPr>
          <w:rFonts w:asciiTheme="minorHAnsi" w:hAnsiTheme="minorHAnsi"/>
          <w:bCs/>
          <w:snapToGrid w:val="0"/>
        </w:rPr>
        <w:t xml:space="preserve">henotypic expression in </w:t>
      </w:r>
      <w:r w:rsidR="00131255">
        <w:rPr>
          <w:rFonts w:asciiTheme="minorHAnsi" w:hAnsiTheme="minorHAnsi"/>
          <w:bCs/>
          <w:snapToGrid w:val="0"/>
        </w:rPr>
        <w:t>SUA</w:t>
      </w:r>
      <w:r w:rsidR="00131255" w:rsidRPr="00411543">
        <w:rPr>
          <w:rFonts w:asciiTheme="minorHAnsi" w:hAnsiTheme="minorHAnsi"/>
          <w:bCs/>
          <w:snapToGrid w:val="0"/>
        </w:rPr>
        <w:t xml:space="preserve"> can shift over time in individual patients</w:t>
      </w:r>
      <w:r w:rsidR="00304B44">
        <w:rPr>
          <w:rFonts w:asciiTheme="minorHAnsi" w:hAnsiTheme="minorHAnsi"/>
          <w:bCs/>
          <w:snapToGrid w:val="0"/>
        </w:rPr>
        <w:t>.</w:t>
      </w:r>
      <w:r w:rsidR="00987970">
        <w:rPr>
          <w:rFonts w:asciiTheme="minorHAnsi" w:hAnsiTheme="minorHAnsi"/>
          <w:bCs/>
          <w:snapToGrid w:val="0"/>
        </w:rPr>
        <w:t xml:space="preserve"> </w:t>
      </w:r>
      <w:r w:rsidR="007A15B5">
        <w:rPr>
          <w:rFonts w:asciiTheme="minorHAnsi" w:hAnsiTheme="minorHAnsi"/>
          <w:bCs/>
          <w:snapToGrid w:val="0"/>
        </w:rPr>
        <w:t xml:space="preserve">The clinician </w:t>
      </w:r>
      <w:r w:rsidR="00236C23">
        <w:rPr>
          <w:rFonts w:asciiTheme="minorHAnsi" w:hAnsiTheme="minorHAnsi"/>
          <w:bCs/>
          <w:snapToGrid w:val="0"/>
        </w:rPr>
        <w:t xml:space="preserve">also </w:t>
      </w:r>
      <w:r w:rsidR="007A15B5">
        <w:rPr>
          <w:rFonts w:asciiTheme="minorHAnsi" w:hAnsiTheme="minorHAnsi"/>
          <w:bCs/>
          <w:snapToGrid w:val="0"/>
        </w:rPr>
        <w:t>noted that</w:t>
      </w:r>
      <w:r w:rsidR="001E3459" w:rsidRPr="007A15B5">
        <w:rPr>
          <w:rFonts w:asciiTheme="minorHAnsi" w:hAnsiTheme="minorHAnsi"/>
          <w:bCs/>
          <w:snapToGrid w:val="0"/>
        </w:rPr>
        <w:t xml:space="preserve"> </w:t>
      </w:r>
      <w:r w:rsidR="007150BF">
        <w:rPr>
          <w:rFonts w:asciiTheme="minorHAnsi" w:hAnsiTheme="minorHAnsi"/>
          <w:bCs/>
          <w:snapToGrid w:val="0"/>
        </w:rPr>
        <w:t>i</w:t>
      </w:r>
      <w:r w:rsidR="007150BF" w:rsidRPr="007150BF">
        <w:rPr>
          <w:rFonts w:asciiTheme="minorHAnsi" w:hAnsiTheme="minorHAnsi"/>
          <w:bCs/>
          <w:snapToGrid w:val="0"/>
        </w:rPr>
        <w:t xml:space="preserve">ndividuals with </w:t>
      </w:r>
      <w:r w:rsidR="00006384">
        <w:rPr>
          <w:rFonts w:asciiTheme="minorHAnsi" w:hAnsiTheme="minorHAnsi"/>
          <w:bCs/>
          <w:snapToGrid w:val="0"/>
        </w:rPr>
        <w:t>SUA</w:t>
      </w:r>
      <w:r w:rsidR="002660E0">
        <w:rPr>
          <w:rFonts w:asciiTheme="minorHAnsi" w:hAnsiTheme="minorHAnsi"/>
          <w:bCs/>
          <w:snapToGrid w:val="0"/>
        </w:rPr>
        <w:t xml:space="preserve"> and</w:t>
      </w:r>
      <w:r w:rsidR="007150BF" w:rsidRPr="007150BF">
        <w:rPr>
          <w:rFonts w:asciiTheme="minorHAnsi" w:hAnsiTheme="minorHAnsi"/>
          <w:bCs/>
          <w:snapToGrid w:val="0"/>
        </w:rPr>
        <w:t xml:space="preserve"> type 2 </w:t>
      </w:r>
      <w:r w:rsidR="00CD49F8">
        <w:rPr>
          <w:rFonts w:asciiTheme="minorHAnsi" w:hAnsiTheme="minorHAnsi"/>
          <w:bCs/>
          <w:snapToGrid w:val="0"/>
        </w:rPr>
        <w:t xml:space="preserve">low </w:t>
      </w:r>
      <w:r w:rsidR="007150BF" w:rsidRPr="007150BF">
        <w:rPr>
          <w:rFonts w:asciiTheme="minorHAnsi" w:hAnsiTheme="minorHAnsi"/>
          <w:bCs/>
          <w:snapToGrid w:val="0"/>
        </w:rPr>
        <w:t>inflammation</w:t>
      </w:r>
      <w:r w:rsidR="00620324">
        <w:rPr>
          <w:rFonts w:asciiTheme="minorHAnsi" w:hAnsiTheme="minorHAnsi"/>
          <w:bCs/>
          <w:snapToGrid w:val="0"/>
        </w:rPr>
        <w:t xml:space="preserve"> </w:t>
      </w:r>
      <w:r w:rsidR="00620324" w:rsidRPr="00EE227E">
        <w:rPr>
          <w:iCs/>
        </w:rPr>
        <w:t>(non-eosinophilic and non-allergic)</w:t>
      </w:r>
      <w:r w:rsidR="00236C23">
        <w:rPr>
          <w:iCs/>
        </w:rPr>
        <w:t xml:space="preserve"> currently</w:t>
      </w:r>
      <w:r w:rsidR="00EC7483" w:rsidRPr="007A15B5">
        <w:rPr>
          <w:rFonts w:asciiTheme="minorHAnsi" w:hAnsiTheme="minorHAnsi"/>
          <w:bCs/>
          <w:snapToGrid w:val="0"/>
        </w:rPr>
        <w:t xml:space="preserve"> </w:t>
      </w:r>
      <w:r w:rsidR="007A15B5">
        <w:rPr>
          <w:rFonts w:asciiTheme="minorHAnsi" w:hAnsiTheme="minorHAnsi"/>
          <w:bCs/>
          <w:snapToGrid w:val="0"/>
        </w:rPr>
        <w:t>have limited treatment options</w:t>
      </w:r>
      <w:r w:rsidR="007150BF">
        <w:rPr>
          <w:rFonts w:asciiTheme="minorHAnsi" w:hAnsiTheme="minorHAnsi"/>
          <w:bCs/>
          <w:snapToGrid w:val="0"/>
        </w:rPr>
        <w:t xml:space="preserve"> and are often treated with repeated courses of OCS, which carries significant cumulative risk of multi-system harm</w:t>
      </w:r>
      <w:r w:rsidR="007A15B5">
        <w:rPr>
          <w:rFonts w:asciiTheme="minorHAnsi" w:hAnsiTheme="minorHAnsi"/>
          <w:bCs/>
          <w:snapToGrid w:val="0"/>
        </w:rPr>
        <w:t>.</w:t>
      </w:r>
      <w:r w:rsidR="00EC7483" w:rsidRPr="007A15B5">
        <w:rPr>
          <w:rFonts w:asciiTheme="minorHAnsi" w:hAnsiTheme="minorHAnsi"/>
          <w:bCs/>
          <w:snapToGrid w:val="0"/>
        </w:rPr>
        <w:t xml:space="preserve"> </w:t>
      </w:r>
      <w:r w:rsidR="00620324">
        <w:rPr>
          <w:rFonts w:asciiTheme="minorHAnsi" w:hAnsiTheme="minorHAnsi"/>
          <w:bCs/>
          <w:snapToGrid w:val="0"/>
        </w:rPr>
        <w:t xml:space="preserve">The clinician considered these patients </w:t>
      </w:r>
      <w:r w:rsidR="00E227C3">
        <w:rPr>
          <w:rFonts w:asciiTheme="minorHAnsi" w:hAnsiTheme="minorHAnsi"/>
          <w:bCs/>
          <w:snapToGrid w:val="0"/>
        </w:rPr>
        <w:t xml:space="preserve">would benefit </w:t>
      </w:r>
      <w:r w:rsidR="00684F1C">
        <w:rPr>
          <w:rFonts w:asciiTheme="minorHAnsi" w:hAnsiTheme="minorHAnsi"/>
          <w:bCs/>
          <w:snapToGrid w:val="0"/>
        </w:rPr>
        <w:t>from</w:t>
      </w:r>
      <w:r w:rsidR="00E227C3">
        <w:rPr>
          <w:rFonts w:asciiTheme="minorHAnsi" w:hAnsiTheme="minorHAnsi"/>
          <w:bCs/>
          <w:snapToGrid w:val="0"/>
        </w:rPr>
        <w:t xml:space="preserve"> treatment</w:t>
      </w:r>
      <w:r w:rsidR="00684F1C">
        <w:rPr>
          <w:rFonts w:asciiTheme="minorHAnsi" w:hAnsiTheme="minorHAnsi"/>
          <w:bCs/>
          <w:snapToGrid w:val="0"/>
        </w:rPr>
        <w:t xml:space="preserve"> with</w:t>
      </w:r>
      <w:r w:rsidR="00E227C3">
        <w:rPr>
          <w:rFonts w:asciiTheme="minorHAnsi" w:hAnsiTheme="minorHAnsi"/>
          <w:bCs/>
          <w:snapToGrid w:val="0"/>
        </w:rPr>
        <w:t xml:space="preserve"> </w:t>
      </w:r>
      <w:proofErr w:type="spellStart"/>
      <w:r w:rsidR="00E227C3">
        <w:rPr>
          <w:rFonts w:asciiTheme="minorHAnsi" w:hAnsiTheme="minorHAnsi"/>
          <w:bCs/>
          <w:snapToGrid w:val="0"/>
        </w:rPr>
        <w:t>tezepelumab</w:t>
      </w:r>
      <w:proofErr w:type="spellEnd"/>
      <w:r w:rsidR="00E227C3">
        <w:rPr>
          <w:rFonts w:asciiTheme="minorHAnsi" w:hAnsiTheme="minorHAnsi"/>
          <w:bCs/>
          <w:snapToGrid w:val="0"/>
        </w:rPr>
        <w:t>.</w:t>
      </w:r>
      <w:r w:rsidR="00DA491E">
        <w:rPr>
          <w:rFonts w:asciiTheme="minorHAnsi" w:hAnsiTheme="minorHAnsi"/>
          <w:bCs/>
          <w:snapToGrid w:val="0"/>
        </w:rPr>
        <w:t xml:space="preserve"> </w:t>
      </w:r>
      <w:r w:rsidR="001A4709" w:rsidRPr="00B014EC">
        <w:rPr>
          <w:bCs/>
          <w:snapToGrid w:val="0"/>
        </w:rPr>
        <w:t xml:space="preserve">The PBAC considered that the </w:t>
      </w:r>
      <w:r w:rsidR="00D54252">
        <w:rPr>
          <w:bCs/>
          <w:snapToGrid w:val="0"/>
        </w:rPr>
        <w:t>clinician presentation</w:t>
      </w:r>
      <w:r w:rsidR="001A4709" w:rsidRPr="00B014EC">
        <w:rPr>
          <w:bCs/>
          <w:snapToGrid w:val="0"/>
        </w:rPr>
        <w:t xml:space="preserve"> was informative.</w:t>
      </w:r>
      <w:r w:rsidR="00703762">
        <w:rPr>
          <w:bCs/>
          <w:snapToGrid w:val="0"/>
        </w:rPr>
        <w:t xml:space="preserve"> In addition</w:t>
      </w:r>
      <w:r w:rsidR="00155DF0">
        <w:rPr>
          <w:bCs/>
          <w:snapToGrid w:val="0"/>
        </w:rPr>
        <w:t xml:space="preserve"> to the clinician presentation</w:t>
      </w:r>
      <w:r w:rsidR="00703762">
        <w:rPr>
          <w:bCs/>
          <w:snapToGrid w:val="0"/>
        </w:rPr>
        <w:t>, the PBAC n</w:t>
      </w:r>
      <w:r w:rsidR="004A62E0">
        <w:rPr>
          <w:bCs/>
          <w:snapToGrid w:val="0"/>
        </w:rPr>
        <w:t>oted that the sponsor reiterated p</w:t>
      </w:r>
      <w:r w:rsidR="00FD015B">
        <w:rPr>
          <w:bCs/>
          <w:snapToGrid w:val="0"/>
        </w:rPr>
        <w:t xml:space="preserve">oints previously made regarding the appropriate clinical and pricing comparator for </w:t>
      </w:r>
      <w:r w:rsidR="00881647">
        <w:rPr>
          <w:rFonts w:asciiTheme="minorHAnsi" w:hAnsiTheme="minorHAnsi"/>
          <w:bCs/>
          <w:snapToGrid w:val="0"/>
        </w:rPr>
        <w:t xml:space="preserve">eosinophilic or allergic SUA patients. </w:t>
      </w:r>
    </w:p>
    <w:bookmarkEnd w:id="19"/>
    <w:p w14:paraId="4FE81616" w14:textId="77777777" w:rsidR="000A25A7" w:rsidRPr="006E1229" w:rsidRDefault="000A25A7" w:rsidP="000A25A7">
      <w:pPr>
        <w:pStyle w:val="COMESSubsectionheading"/>
      </w:pPr>
      <w:r w:rsidRPr="006E1229">
        <w:t>Consumer comments</w:t>
      </w:r>
    </w:p>
    <w:p w14:paraId="56965D8B" w14:textId="631AB0C6" w:rsidR="00EC05E5" w:rsidRPr="00EE262B" w:rsidRDefault="00AA1CBD" w:rsidP="00EE262B">
      <w:pPr>
        <w:pStyle w:val="COMESnumberedpara"/>
        <w:rPr>
          <w:iCs/>
        </w:rPr>
      </w:pPr>
      <w:bookmarkStart w:id="20" w:name="_Toc209016994"/>
      <w:bookmarkEnd w:id="18"/>
      <w:r w:rsidRPr="00EE227E">
        <w:rPr>
          <w:iCs/>
        </w:rPr>
        <w:t xml:space="preserve">The </w:t>
      </w:r>
      <w:r w:rsidR="00FF5B27">
        <w:rPr>
          <w:iCs/>
        </w:rPr>
        <w:t>PBAC</w:t>
      </w:r>
      <w:r w:rsidR="00FF5B27" w:rsidRPr="00EE227E">
        <w:rPr>
          <w:iCs/>
        </w:rPr>
        <w:t xml:space="preserve"> </w:t>
      </w:r>
      <w:r w:rsidRPr="00EE227E">
        <w:rPr>
          <w:iCs/>
        </w:rPr>
        <w:t xml:space="preserve">noted and welcomed input from health </w:t>
      </w:r>
      <w:r w:rsidR="00EE262B">
        <w:rPr>
          <w:iCs/>
        </w:rPr>
        <w:t xml:space="preserve">care </w:t>
      </w:r>
      <w:r w:rsidRPr="00EE227E">
        <w:rPr>
          <w:iCs/>
        </w:rPr>
        <w:t xml:space="preserve">professionals (2), a medical organisation (1) and a consumer group/organisation (1) via the </w:t>
      </w:r>
      <w:r w:rsidR="007A4271" w:rsidRPr="00A46D6F">
        <w:rPr>
          <w:bCs/>
          <w:snapToGrid w:val="0"/>
        </w:rPr>
        <w:t>Office of Health Technology Assessment Consultation Hub</w:t>
      </w:r>
      <w:r w:rsidRPr="00EE227E">
        <w:rPr>
          <w:iCs/>
        </w:rPr>
        <w:t xml:space="preserve">. </w:t>
      </w:r>
      <w:r w:rsidR="00EE262B">
        <w:rPr>
          <w:iCs/>
        </w:rPr>
        <w:t xml:space="preserve">Health care professional input </w:t>
      </w:r>
      <w:r w:rsidR="00EC05E5" w:rsidRPr="00EE262B">
        <w:rPr>
          <w:iCs/>
        </w:rPr>
        <w:t xml:space="preserve">emphasised that there is a clinical need for patients with T2-low biomarkers (non-eosinophilic and non-allergic) as they are ineligible, and not suitable, for biologics currently subsidised through the PBS. Comments highlighted that monoclonal antibodies generally have a favourable side effect profile, especially when compared to the cumulative harms associated with long-term OCS use. Comments also noted the high cost of </w:t>
      </w:r>
      <w:proofErr w:type="spellStart"/>
      <w:r w:rsidR="00EC05E5" w:rsidRPr="00EE262B">
        <w:rPr>
          <w:iCs/>
        </w:rPr>
        <w:t>tezepelumab</w:t>
      </w:r>
      <w:proofErr w:type="spellEnd"/>
      <w:r w:rsidR="00EC05E5" w:rsidRPr="00EE262B">
        <w:rPr>
          <w:iCs/>
        </w:rPr>
        <w:t xml:space="preserve"> and considered that the listing of </w:t>
      </w:r>
      <w:proofErr w:type="spellStart"/>
      <w:r w:rsidR="00EC05E5" w:rsidRPr="00EE262B">
        <w:rPr>
          <w:iCs/>
        </w:rPr>
        <w:t>tezepelumab</w:t>
      </w:r>
      <w:proofErr w:type="spellEnd"/>
      <w:r w:rsidR="00EC05E5" w:rsidRPr="00EE262B">
        <w:rPr>
          <w:iCs/>
        </w:rPr>
        <w:t xml:space="preserve"> on the PBS would ensure equitable access to treatment. </w:t>
      </w:r>
    </w:p>
    <w:p w14:paraId="4918827D" w14:textId="5DE7BEF9" w:rsidR="00083405" w:rsidRPr="003A0A1A" w:rsidRDefault="00AA1CBD" w:rsidP="003A0A1A">
      <w:pPr>
        <w:pStyle w:val="COMESnumberedpara"/>
        <w:rPr>
          <w:iCs/>
        </w:rPr>
      </w:pPr>
      <w:r w:rsidRPr="00EE227E">
        <w:t xml:space="preserve">The comments from The Centre of Excellence in Severe Asthma/The Centre of Excellence in Asthma Treatable Traits along with Asthma Australia expressed support for the proposed PBS listing of </w:t>
      </w:r>
      <w:proofErr w:type="spellStart"/>
      <w:r w:rsidRPr="00EE227E">
        <w:t>tezepelumab</w:t>
      </w:r>
      <w:proofErr w:type="spellEnd"/>
      <w:r w:rsidR="00167FB0">
        <w:t xml:space="preserve">. </w:t>
      </w:r>
      <w:r w:rsidR="00114C5B">
        <w:t>The organisations</w:t>
      </w:r>
      <w:r w:rsidR="001A33E0">
        <w:t xml:space="preserve"> </w:t>
      </w:r>
      <w:r w:rsidR="00344BBC">
        <w:t xml:space="preserve">noted the </w:t>
      </w:r>
      <w:r w:rsidR="00344BBC" w:rsidRPr="00344BBC">
        <w:t xml:space="preserve">clinical trial evidence </w:t>
      </w:r>
      <w:r w:rsidR="00FE3F0C">
        <w:t xml:space="preserve">for </w:t>
      </w:r>
      <w:proofErr w:type="spellStart"/>
      <w:r w:rsidR="00FE3F0C">
        <w:t>tezepelumab</w:t>
      </w:r>
      <w:proofErr w:type="spellEnd"/>
      <w:r w:rsidR="00FE3F0C">
        <w:t xml:space="preserve"> </w:t>
      </w:r>
      <w:r w:rsidR="00344BBC" w:rsidRPr="00344BBC">
        <w:t>demonstrat</w:t>
      </w:r>
      <w:r w:rsidR="007C40D6">
        <w:t xml:space="preserve">ed </w:t>
      </w:r>
      <w:r w:rsidR="00FE3F0C">
        <w:t xml:space="preserve">a </w:t>
      </w:r>
      <w:r w:rsidR="00283FA4">
        <w:t>clinical</w:t>
      </w:r>
      <w:r w:rsidR="00344BBC" w:rsidRPr="00344BBC">
        <w:t xml:space="preserve"> benefit </w:t>
      </w:r>
      <w:r w:rsidR="00992BEC">
        <w:t xml:space="preserve">for </w:t>
      </w:r>
      <w:r w:rsidR="00344BBC" w:rsidRPr="00344BBC">
        <w:t xml:space="preserve">both </w:t>
      </w:r>
      <w:r w:rsidR="00992BEC">
        <w:t>t</w:t>
      </w:r>
      <w:r w:rsidR="00344BBC" w:rsidRPr="00344BBC">
        <w:t xml:space="preserve">ype 2-low and </w:t>
      </w:r>
      <w:r w:rsidR="00992BEC">
        <w:t>t</w:t>
      </w:r>
      <w:r w:rsidR="00344BBC" w:rsidRPr="00344BBC">
        <w:t xml:space="preserve">ype 2-high </w:t>
      </w:r>
      <w:r w:rsidR="00352365">
        <w:t>SUA</w:t>
      </w:r>
      <w:r w:rsidR="00344BBC" w:rsidRPr="00344BBC">
        <w:t xml:space="preserve"> patients, showing improvements in exacerbation rates, lung function, and quality of life, with the potential to achieve clinical remission.</w:t>
      </w:r>
      <w:r w:rsidR="00120722">
        <w:t xml:space="preserve"> The organisations emphasised the importance of optimising asthma management in all patients, and to reduce the need for </w:t>
      </w:r>
      <w:r w:rsidR="00F828A2">
        <w:t>OCS</w:t>
      </w:r>
      <w:r w:rsidR="00120722">
        <w:t xml:space="preserve">, which </w:t>
      </w:r>
      <w:r w:rsidR="00B95E2D" w:rsidRPr="00B95E2D">
        <w:t xml:space="preserve">are </w:t>
      </w:r>
      <w:r w:rsidR="00B95E2D">
        <w:t>associated with</w:t>
      </w:r>
      <w:r w:rsidR="00B95E2D" w:rsidRPr="00B95E2D">
        <w:t xml:space="preserve"> </w:t>
      </w:r>
      <w:r w:rsidR="004C61B4">
        <w:t>adverse</w:t>
      </w:r>
      <w:r w:rsidR="00B95E2D">
        <w:t xml:space="preserve"> effects</w:t>
      </w:r>
      <w:r w:rsidR="004C61B4">
        <w:t xml:space="preserve"> to </w:t>
      </w:r>
      <w:r w:rsidR="00B95E2D" w:rsidRPr="00B95E2D">
        <w:t>multiple body systems and include diabetes, dyspepsia, renal impairment, obesity, cataracts, mood disorders, cardiovascular disease and decreased bone density leading to fractures</w:t>
      </w:r>
      <w:r w:rsidR="00167FB0">
        <w:t xml:space="preserve">. The organisations </w:t>
      </w:r>
      <w:r w:rsidR="00167FB0" w:rsidRPr="00EE227E">
        <w:t>highlight</w:t>
      </w:r>
      <w:r w:rsidR="00167FB0">
        <w:t>ed</w:t>
      </w:r>
      <w:r w:rsidR="00167FB0" w:rsidRPr="00EE227E">
        <w:t xml:space="preserve"> that </w:t>
      </w:r>
      <w:proofErr w:type="spellStart"/>
      <w:r w:rsidR="00167FB0" w:rsidRPr="00EE227E">
        <w:t>tezepelumab</w:t>
      </w:r>
      <w:proofErr w:type="spellEnd"/>
      <w:r w:rsidR="00167FB0" w:rsidRPr="00EE227E">
        <w:t xml:space="preserve"> provides a steroid-sparing option for individuals who remain dependent on OCS despite high-dose inhaled therapy, while preserving asthma control.</w:t>
      </w:r>
    </w:p>
    <w:p w14:paraId="609C0765" w14:textId="5FAD2506" w:rsidR="00B60939" w:rsidRPr="0098262F" w:rsidRDefault="00B60939" w:rsidP="002E4F02">
      <w:pPr>
        <w:pStyle w:val="COMESSubsectionheading"/>
      </w:pPr>
      <w:r w:rsidRPr="0098262F">
        <w:t>Clinical trials</w:t>
      </w:r>
      <w:bookmarkEnd w:id="16"/>
      <w:bookmarkEnd w:id="20"/>
    </w:p>
    <w:p w14:paraId="0F370CCB" w14:textId="77777777" w:rsidR="0000425C" w:rsidRPr="008217DB" w:rsidRDefault="0000425C" w:rsidP="0000425C">
      <w:pPr>
        <w:pStyle w:val="3-BodyText"/>
        <w:numPr>
          <w:ilvl w:val="1"/>
          <w:numId w:val="1"/>
        </w:numPr>
        <w:ind w:left="709"/>
      </w:pPr>
      <w:r w:rsidRPr="0098262F">
        <w:t xml:space="preserve">The submission was based on </w:t>
      </w:r>
      <w:bookmarkStart w:id="21" w:name="_Hlk206093539"/>
      <w:r>
        <w:t>3</w:t>
      </w:r>
      <w:r w:rsidRPr="0098262F">
        <w:t xml:space="preserve"> </w:t>
      </w:r>
      <w:r>
        <w:t>randomised, double-blind, placebo-controlled</w:t>
      </w:r>
      <w:r w:rsidRPr="0098262F">
        <w:t xml:space="preserve"> trial</w:t>
      </w:r>
      <w:r>
        <w:t>s</w:t>
      </w:r>
      <w:r w:rsidRPr="0098262F">
        <w:t xml:space="preserve"> comparing </w:t>
      </w:r>
      <w:proofErr w:type="spellStart"/>
      <w:r>
        <w:t>tezepelumab</w:t>
      </w:r>
      <w:proofErr w:type="spellEnd"/>
      <w:r w:rsidRPr="0098262F">
        <w:t xml:space="preserve"> to </w:t>
      </w:r>
      <w:r w:rsidRPr="00B20E87">
        <w:t>placebo</w:t>
      </w:r>
      <w:bookmarkEnd w:id="21"/>
      <w:r>
        <w:t>:</w:t>
      </w:r>
    </w:p>
    <w:p w14:paraId="4DF27E85" w14:textId="6DFC8F97" w:rsidR="0000425C" w:rsidRPr="00E645A0" w:rsidRDefault="0000425C" w:rsidP="005A3B77">
      <w:pPr>
        <w:pStyle w:val="ListParagraph"/>
        <w:numPr>
          <w:ilvl w:val="0"/>
          <w:numId w:val="4"/>
        </w:numPr>
        <w:ind w:left="1134"/>
        <w:jc w:val="both"/>
      </w:pPr>
      <w:r w:rsidRPr="00E645A0">
        <w:t xml:space="preserve">NAVIGATOR (N=1,061) was a Phase III randomised controlled trial (RCT) comparing </w:t>
      </w:r>
      <w:proofErr w:type="spellStart"/>
      <w:r w:rsidRPr="00E645A0">
        <w:t>tezepelumab</w:t>
      </w:r>
      <w:proofErr w:type="spellEnd"/>
      <w:r w:rsidRPr="00E645A0">
        <w:t xml:space="preserve"> (210 mg once every 4 weeks [Q4W] SC) to placebo in adults and adolescents aged 12 to 80 years with SUA.</w:t>
      </w:r>
    </w:p>
    <w:p w14:paraId="6AEC85B0" w14:textId="77777777" w:rsidR="0000425C" w:rsidRPr="00E645A0" w:rsidRDefault="0000425C" w:rsidP="005A3B77">
      <w:pPr>
        <w:pStyle w:val="ListParagraph"/>
        <w:numPr>
          <w:ilvl w:val="0"/>
          <w:numId w:val="4"/>
        </w:numPr>
        <w:ind w:left="1134"/>
        <w:jc w:val="both"/>
      </w:pPr>
      <w:r w:rsidRPr="00E645A0">
        <w:t xml:space="preserve">PATHWAY (N=550) was a Phase II dose-ranging RCT comparing </w:t>
      </w:r>
      <w:proofErr w:type="spellStart"/>
      <w:r w:rsidRPr="00E645A0">
        <w:t>tezepelumab</w:t>
      </w:r>
      <w:proofErr w:type="spellEnd"/>
      <w:r w:rsidRPr="00E645A0">
        <w:t xml:space="preserve"> (70mg Q4W SC, 210mg Q4W SC, 280mg once every 2 weeks [Q2W] SC) to placebo in adults aged 18 to 75 years with SUA.</w:t>
      </w:r>
    </w:p>
    <w:p w14:paraId="0ED194D2" w14:textId="77777777" w:rsidR="0000425C" w:rsidRPr="0068207B" w:rsidRDefault="0000425C" w:rsidP="005A3B77">
      <w:pPr>
        <w:pStyle w:val="ListParagraph"/>
        <w:numPr>
          <w:ilvl w:val="0"/>
          <w:numId w:val="4"/>
        </w:numPr>
        <w:ind w:left="1134"/>
        <w:jc w:val="both"/>
      </w:pPr>
      <w:r w:rsidRPr="00E645A0">
        <w:t xml:space="preserve">SOURCE (N=150) was a Phase III RCT comparing </w:t>
      </w:r>
      <w:proofErr w:type="spellStart"/>
      <w:r w:rsidRPr="00E645A0">
        <w:t>tezepelumab</w:t>
      </w:r>
      <w:proofErr w:type="spellEnd"/>
      <w:r w:rsidRPr="00E645A0">
        <w:t xml:space="preserve"> (210 mg Q4W SC) to placebo in adults aged 18 to 80 years with OCS dependent SUA.</w:t>
      </w:r>
    </w:p>
    <w:p w14:paraId="1946F4B6" w14:textId="2E9BFC2E" w:rsidR="0000425C" w:rsidRPr="0052414D" w:rsidRDefault="0000425C" w:rsidP="0000425C">
      <w:pPr>
        <w:pStyle w:val="3-BodyText"/>
        <w:numPr>
          <w:ilvl w:val="1"/>
          <w:numId w:val="1"/>
        </w:numPr>
        <w:ind w:left="709"/>
      </w:pPr>
      <w:r w:rsidRPr="0052414D">
        <w:t xml:space="preserve">The submission also presented the DESTINATION study which was a Phase III, double-blind, randomised and placebo-controlled extension study. It evaluated the safety and tolerability of </w:t>
      </w:r>
      <w:proofErr w:type="spellStart"/>
      <w:r w:rsidRPr="0052414D">
        <w:t>tezepelumab</w:t>
      </w:r>
      <w:proofErr w:type="spellEnd"/>
      <w:r w:rsidRPr="0052414D">
        <w:t xml:space="preserve"> (210 mg Q4W SC) in adults and adolescents completing the NAVIGATOR and SOURCE trials for up to 2 continuous years of treatment, including 1 year of treatment in predecessor studies. </w:t>
      </w:r>
      <w:r>
        <w:t>Efficacy analyses were performed using the full analysis set (FAS) which consisted of all patients who were randomised and received at least 1 dose of the investigational product in either parent study, irrespective of their protocol adherence and continued participation in either of the studies or their enrolment in the extension study. Efficacy analyses were also performed using the FAS-</w:t>
      </w:r>
      <w:r w:rsidR="006F36F0">
        <w:t>long term extension (</w:t>
      </w:r>
      <w:r>
        <w:t>LTE</w:t>
      </w:r>
      <w:r w:rsidR="006F36F0">
        <w:t>)</w:t>
      </w:r>
      <w:r>
        <w:t xml:space="preserve"> set consisting of patients who were randomi</w:t>
      </w:r>
      <w:r w:rsidR="006F36F0">
        <w:t>s</w:t>
      </w:r>
      <w:r>
        <w:t xml:space="preserve">ed and received at least 1 dose of the investigational product in the DESTINATION study. </w:t>
      </w:r>
      <w:r w:rsidRPr="00DF0AE4">
        <w:t>The FAS-LTE results of the DESTINATION study are presented in the c</w:t>
      </w:r>
      <w:r w:rsidR="00B279F4">
        <w:t>omparative</w:t>
      </w:r>
      <w:r w:rsidRPr="00DF0AE4">
        <w:t xml:space="preserve"> effectiveness section. </w:t>
      </w:r>
    </w:p>
    <w:p w14:paraId="5226BB57" w14:textId="77777777" w:rsidR="0000425C" w:rsidRPr="00040002" w:rsidRDefault="0000425C" w:rsidP="0000425C">
      <w:pPr>
        <w:pStyle w:val="3-BodyText"/>
        <w:numPr>
          <w:ilvl w:val="1"/>
          <w:numId w:val="1"/>
        </w:numPr>
        <w:ind w:left="709"/>
      </w:pPr>
      <w:r w:rsidRPr="0052414D">
        <w:t xml:space="preserve">To support the clinical claim of superiority of </w:t>
      </w:r>
      <w:proofErr w:type="spellStart"/>
      <w:r w:rsidRPr="0052414D">
        <w:t>tezepelumab</w:t>
      </w:r>
      <w:proofErr w:type="spellEnd"/>
      <w:r w:rsidRPr="0052414D">
        <w:t xml:space="preserve"> versus SoC in the non-eosinophilic and non-allergic SUA population, the submission presented </w:t>
      </w:r>
      <w:r w:rsidRPr="00321743">
        <w:t>post-hoc</w:t>
      </w:r>
      <w:r w:rsidRPr="0052414D">
        <w:t xml:space="preserve"> subgroup analyses of th</w:t>
      </w:r>
      <w:r>
        <w:t>is</w:t>
      </w:r>
      <w:r w:rsidRPr="0052414D">
        <w:t xml:space="preserve"> population who were on high-dose ICS from the NAVIGATOR and PATHWAY clinical trials</w:t>
      </w:r>
      <w:r w:rsidRPr="00040002">
        <w:t>. The data used to inform the clinical claim for this population were different to that used to inform the economic evaluation. The economic evaluation for this population was informed by</w:t>
      </w:r>
      <w:r w:rsidRPr="00040002" w:rsidDel="00521FEF">
        <w:t xml:space="preserve"> </w:t>
      </w:r>
      <w:r w:rsidRPr="00040002">
        <w:t xml:space="preserve">data from a subgroup of pooled patients from the SOURCE and NAVIGATOR trials who were on high-dose ICS and were classified as either non-eosinophilic </w:t>
      </w:r>
      <w:r w:rsidRPr="00040002" w:rsidDel="00B930A8">
        <w:t>or</w:t>
      </w:r>
      <w:r w:rsidRPr="00040002">
        <w:t xml:space="preserve"> non-allergic. </w:t>
      </w:r>
    </w:p>
    <w:p w14:paraId="32EDCE8D" w14:textId="1CEDBC11" w:rsidR="0000425C" w:rsidRDefault="0000425C" w:rsidP="0000425C">
      <w:pPr>
        <w:pStyle w:val="3-BodyText"/>
        <w:numPr>
          <w:ilvl w:val="1"/>
          <w:numId w:val="1"/>
        </w:numPr>
        <w:ind w:left="709"/>
      </w:pPr>
      <w:bookmarkStart w:id="22" w:name="_Hlk206096196"/>
      <w:r w:rsidRPr="00576D7F">
        <w:t>No head</w:t>
      </w:r>
      <w:r>
        <w:t>-</w:t>
      </w:r>
      <w:r w:rsidRPr="00576D7F">
        <w:t>to</w:t>
      </w:r>
      <w:r>
        <w:t>-</w:t>
      </w:r>
      <w:r w:rsidRPr="00576D7F">
        <w:t xml:space="preserve">head trials comparing </w:t>
      </w:r>
      <w:proofErr w:type="spellStart"/>
      <w:r w:rsidRPr="00576D7F">
        <w:t>tezepelumab</w:t>
      </w:r>
      <w:proofErr w:type="spellEnd"/>
      <w:r w:rsidRPr="00576D7F">
        <w:t xml:space="preserve"> to dupilumab </w:t>
      </w:r>
      <w:r>
        <w:t xml:space="preserve">or the secondary </w:t>
      </w:r>
      <w:r w:rsidRPr="00576D7F">
        <w:t>comparator</w:t>
      </w:r>
      <w:r>
        <w:t>s (</w:t>
      </w:r>
      <w:proofErr w:type="spellStart"/>
      <w:r w:rsidRPr="00576D7F">
        <w:t>benralizumab</w:t>
      </w:r>
      <w:proofErr w:type="spellEnd"/>
      <w:r w:rsidRPr="00576D7F">
        <w:t xml:space="preserve">, mepolizumab, </w:t>
      </w:r>
      <w:r>
        <w:t xml:space="preserve">and </w:t>
      </w:r>
      <w:r w:rsidRPr="00576D7F">
        <w:t>omalizumab</w:t>
      </w:r>
      <w:r>
        <w:t>) were identified</w:t>
      </w:r>
      <w:r w:rsidRPr="00576D7F">
        <w:t xml:space="preserve"> </w:t>
      </w:r>
      <w:r>
        <w:t xml:space="preserve">for the eosinophilic or allergic SUA patient population. As such, the </w:t>
      </w:r>
      <w:r w:rsidRPr="00576D7F">
        <w:t>submission conducted a series of indirect treatment comparisons</w:t>
      </w:r>
      <w:r>
        <w:t>, based on</w:t>
      </w:r>
      <w:r w:rsidRPr="00576D7F">
        <w:t xml:space="preserve"> meta-analysed outcomes f</w:t>
      </w:r>
      <w:r>
        <w:t>rom</w:t>
      </w:r>
      <w:r w:rsidRPr="00576D7F">
        <w:t xml:space="preserve"> </w:t>
      </w:r>
      <w:r>
        <w:t xml:space="preserve">post-hoc subgroups from the </w:t>
      </w:r>
      <w:proofErr w:type="spellStart"/>
      <w:r>
        <w:t>tezepelumab</w:t>
      </w:r>
      <w:proofErr w:type="spellEnd"/>
      <w:r>
        <w:t xml:space="preserve"> trials (NAVIGATOR, PATHWAY and SOURCE) and 14 comparator trials of </w:t>
      </w:r>
      <w:r w:rsidRPr="00576D7F">
        <w:t>dupilumab</w:t>
      </w:r>
      <w:r>
        <w:t xml:space="preserve"> (QUEST, DRI12544, VENTURE)</w:t>
      </w:r>
      <w:r w:rsidRPr="00576D7F">
        <w:t xml:space="preserve">, </w:t>
      </w:r>
      <w:proofErr w:type="spellStart"/>
      <w:r w:rsidRPr="00576D7F">
        <w:t>benralizumab</w:t>
      </w:r>
      <w:proofErr w:type="spellEnd"/>
      <w:r>
        <w:t xml:space="preserve"> (CALIMA, SIROCCO, ZONDA, ANDHI, MIRACLE)</w:t>
      </w:r>
      <w:r w:rsidRPr="00576D7F">
        <w:t xml:space="preserve">, mepolizumab </w:t>
      </w:r>
      <w:r>
        <w:t xml:space="preserve">(MENSA, MUSCA, SIRIUS, 201536) </w:t>
      </w:r>
      <w:r w:rsidRPr="00576D7F">
        <w:t xml:space="preserve">and omalizumab </w:t>
      </w:r>
      <w:r>
        <w:t>(EXTRA, INNOVATE) with placebo as the common reference.</w:t>
      </w:r>
      <w:bookmarkEnd w:id="22"/>
    </w:p>
    <w:p w14:paraId="46BCBE12" w14:textId="42AEC1CD" w:rsidR="005D090F" w:rsidRDefault="005D090F" w:rsidP="00C033B2">
      <w:pPr>
        <w:pStyle w:val="COMESnumberedpara"/>
      </w:pPr>
      <w:r>
        <w:t xml:space="preserve">The evaluation </w:t>
      </w:r>
      <w:r w:rsidR="00C033B2">
        <w:t xml:space="preserve">noted </w:t>
      </w:r>
      <w:proofErr w:type="gramStart"/>
      <w:r w:rsidR="00C033B2">
        <w:t>a number of</w:t>
      </w:r>
      <w:proofErr w:type="gramEnd"/>
      <w:r w:rsidR="00B47EF3">
        <w:t xml:space="preserve"> </w:t>
      </w:r>
      <w:r w:rsidRPr="00711550">
        <w:t xml:space="preserve">issues </w:t>
      </w:r>
      <w:r w:rsidR="003D3978">
        <w:t>related to</w:t>
      </w:r>
      <w:r w:rsidRPr="00711550">
        <w:t xml:space="preserve"> the </w:t>
      </w:r>
      <w:proofErr w:type="spellStart"/>
      <w:r w:rsidRPr="00711550">
        <w:t>tezepelumab</w:t>
      </w:r>
      <w:proofErr w:type="spellEnd"/>
      <w:r w:rsidRPr="00711550">
        <w:t xml:space="preserve"> </w:t>
      </w:r>
      <w:r>
        <w:t>versus</w:t>
      </w:r>
      <w:r w:rsidRPr="00711550">
        <w:t xml:space="preserve"> dupilumab</w:t>
      </w:r>
      <w:r>
        <w:t xml:space="preserve"> </w:t>
      </w:r>
      <w:r w:rsidR="0053352F">
        <w:t>indirect treatment comparisons</w:t>
      </w:r>
      <w:r>
        <w:t xml:space="preserve">. </w:t>
      </w:r>
      <w:r w:rsidRPr="00711550">
        <w:t>The publicly available dupilumab data</w:t>
      </w:r>
      <w:r>
        <w:t xml:space="preserve"> used</w:t>
      </w:r>
      <w:r w:rsidRPr="00711550">
        <w:t xml:space="preserve"> for the subgroup +</w:t>
      </w:r>
      <w:r w:rsidRPr="00DC2FD5">
        <w:t xml:space="preserve"> </w:t>
      </w:r>
      <w:r w:rsidRPr="00711550">
        <w:t xml:space="preserve">high-dose ICS </w:t>
      </w:r>
      <w:r>
        <w:t xml:space="preserve">analysis </w:t>
      </w:r>
      <w:r w:rsidRPr="00711550">
        <w:t xml:space="preserve">were available only for the </w:t>
      </w:r>
      <w:r w:rsidR="00C128D0">
        <w:t xml:space="preserve">intention to treat </w:t>
      </w:r>
      <w:r w:rsidR="000910EE">
        <w:t>(</w:t>
      </w:r>
      <w:r w:rsidR="00C128D0" w:rsidRPr="0076788D">
        <w:t>ITT</w:t>
      </w:r>
      <w:r w:rsidR="000910EE">
        <w:t>)</w:t>
      </w:r>
      <w:r w:rsidRPr="00711550">
        <w:t xml:space="preserve"> population and the </w:t>
      </w:r>
      <w:r>
        <w:t xml:space="preserve">eosinophilic </w:t>
      </w:r>
      <w:r w:rsidRPr="00711550">
        <w:t xml:space="preserve">subgroup (not the allergic subgroup). Therefore, patients on both medium-dose ICS and high-dose ICS were included to compare </w:t>
      </w:r>
      <w:proofErr w:type="spellStart"/>
      <w:r w:rsidRPr="00711550">
        <w:t>tezepelumab</w:t>
      </w:r>
      <w:proofErr w:type="spellEnd"/>
      <w:r w:rsidRPr="00711550">
        <w:t xml:space="preserve"> and dupilumab for the allergic</w:t>
      </w:r>
      <w:r>
        <w:t xml:space="preserve"> </w:t>
      </w:r>
      <w:r w:rsidRPr="00711550">
        <w:t>population.</w:t>
      </w:r>
      <w:r>
        <w:t xml:space="preserve"> </w:t>
      </w:r>
      <w:r w:rsidR="00B47EF3">
        <w:t>Furthermore,</w:t>
      </w:r>
      <w:r>
        <w:t xml:space="preserve"> the SOURCE and VENTURE trials did not report results for an allergic subgroup, so an </w:t>
      </w:r>
      <w:r w:rsidR="008C04C6">
        <w:t xml:space="preserve">indirect treatment comparison </w:t>
      </w:r>
      <w:r>
        <w:t xml:space="preserve">could not be performed for an allergic subgroup on OCS. </w:t>
      </w:r>
    </w:p>
    <w:p w14:paraId="28496FDC" w14:textId="556D344E" w:rsidR="00C033B2" w:rsidRPr="00EE227E" w:rsidRDefault="00C033B2" w:rsidP="00C033B2">
      <w:pPr>
        <w:pStyle w:val="COMESnumberedpara"/>
        <w:rPr>
          <w:iCs/>
        </w:rPr>
      </w:pPr>
      <w:r w:rsidRPr="00ED1994">
        <w:t xml:space="preserve">There were also key differences in trial and patient baseline characteristics that may </w:t>
      </w:r>
      <w:r w:rsidR="004357E4" w:rsidRPr="00ED1994">
        <w:t xml:space="preserve">have </w:t>
      </w:r>
      <w:r w:rsidRPr="00ED1994">
        <w:t>influence</w:t>
      </w:r>
      <w:r w:rsidR="004357E4" w:rsidRPr="00ED1994">
        <w:t>d</w:t>
      </w:r>
      <w:r w:rsidRPr="00ED1994">
        <w:t xml:space="preserve"> the transitivity of the </w:t>
      </w:r>
      <w:r w:rsidR="0053352F">
        <w:t>indirect treatment comparisons</w:t>
      </w:r>
      <w:r w:rsidR="00481661" w:rsidRPr="00ED1994">
        <w:t>.</w:t>
      </w:r>
      <w:r w:rsidR="00481661">
        <w:rPr>
          <w:i/>
          <w:iCs/>
        </w:rPr>
        <w:t xml:space="preserve"> </w:t>
      </w:r>
      <w:r w:rsidR="00481661" w:rsidRPr="00481661">
        <w:t xml:space="preserve">In July 2022, the ESC noted that patients in the NAVIGATOR trial of </w:t>
      </w:r>
      <w:proofErr w:type="spellStart"/>
      <w:r w:rsidR="00481661" w:rsidRPr="00481661">
        <w:t>tezepelumab</w:t>
      </w:r>
      <w:proofErr w:type="spellEnd"/>
      <w:r w:rsidR="00481661" w:rsidRPr="00481661">
        <w:t xml:space="preserve"> appeared to have more severe asthma than those included in the other trials based on differences in event rates in the placebo groups and higher number of exacerbations and portion on high ICS. The</w:t>
      </w:r>
      <w:r w:rsidR="00481661" w:rsidRPr="00481661" w:rsidDel="004A2783">
        <w:t xml:space="preserve"> </w:t>
      </w:r>
      <w:r w:rsidR="00481661" w:rsidRPr="00481661">
        <w:t>ESC previously noted that transitivity concerns were also raised during the PBAC consideration of dupilumab in November 2020, and at that time, the dupilumab populations were noted to have relatively less severe asthma than the comparator populations (</w:t>
      </w:r>
      <w:r w:rsidR="00481661" w:rsidRPr="00481661" w:rsidDel="004A2783">
        <w:t xml:space="preserve">para. </w:t>
      </w:r>
      <w:r w:rsidR="00481661" w:rsidRPr="00481661">
        <w:t xml:space="preserve">6.57, </w:t>
      </w:r>
      <w:proofErr w:type="spellStart"/>
      <w:r w:rsidR="00481661" w:rsidRPr="00481661">
        <w:t>tezepelumab</w:t>
      </w:r>
      <w:proofErr w:type="spellEnd"/>
      <w:r w:rsidR="00481661" w:rsidRPr="00481661">
        <w:t xml:space="preserve"> ESC advice, July 2022 PBAC Meeting)</w:t>
      </w:r>
      <w:r w:rsidRPr="00EE227E">
        <w:rPr>
          <w:iCs/>
        </w:rPr>
        <w:t xml:space="preserve"> (further discussed in paragraph</w:t>
      </w:r>
      <w:r w:rsidR="00481661" w:rsidRPr="00EE227E">
        <w:rPr>
          <w:iCs/>
        </w:rPr>
        <w:t>s</w:t>
      </w:r>
      <w:r w:rsidRPr="00EE227E">
        <w:rPr>
          <w:iCs/>
        </w:rPr>
        <w:t xml:space="preserve"> </w:t>
      </w:r>
      <w:r w:rsidR="00481661" w:rsidRPr="00EE227E">
        <w:rPr>
          <w:iCs/>
        </w:rPr>
        <w:fldChar w:fldCharType="begin"/>
      </w:r>
      <w:r w:rsidR="00481661" w:rsidRPr="00EE227E">
        <w:rPr>
          <w:iCs/>
        </w:rPr>
        <w:instrText xml:space="preserve"> REF _Ref211439689 \r \h </w:instrText>
      </w:r>
      <w:r w:rsidR="00481661" w:rsidRPr="00EE227E">
        <w:rPr>
          <w:iCs/>
        </w:rPr>
      </w:r>
      <w:r w:rsidR="00481661" w:rsidRPr="00EE227E">
        <w:rPr>
          <w:iCs/>
        </w:rPr>
        <w:fldChar w:fldCharType="separate"/>
      </w:r>
      <w:r w:rsidR="0078760A">
        <w:rPr>
          <w:iCs/>
        </w:rPr>
        <w:t>6.13</w:t>
      </w:r>
      <w:r w:rsidR="00481661" w:rsidRPr="00EE227E">
        <w:rPr>
          <w:iCs/>
        </w:rPr>
        <w:fldChar w:fldCharType="end"/>
      </w:r>
      <w:r w:rsidR="00481661" w:rsidRPr="00EE227E">
        <w:rPr>
          <w:rFonts w:cstheme="minorHAnsi"/>
          <w:iCs/>
        </w:rPr>
        <w:t>−</w:t>
      </w:r>
      <w:r w:rsidR="00481661" w:rsidRPr="00EE227E">
        <w:rPr>
          <w:iCs/>
        </w:rPr>
        <w:fldChar w:fldCharType="begin"/>
      </w:r>
      <w:r w:rsidR="00481661" w:rsidRPr="00EE227E">
        <w:rPr>
          <w:iCs/>
        </w:rPr>
        <w:instrText xml:space="preserve"> REF _Ref211439863 \r \h </w:instrText>
      </w:r>
      <w:r w:rsidR="00481661" w:rsidRPr="00EE227E">
        <w:rPr>
          <w:iCs/>
        </w:rPr>
      </w:r>
      <w:r w:rsidR="00481661" w:rsidRPr="00EE227E">
        <w:rPr>
          <w:iCs/>
        </w:rPr>
        <w:fldChar w:fldCharType="separate"/>
      </w:r>
      <w:r w:rsidR="0078760A">
        <w:rPr>
          <w:iCs/>
        </w:rPr>
        <w:t>6.14</w:t>
      </w:r>
      <w:r w:rsidR="00481661" w:rsidRPr="00EE227E">
        <w:rPr>
          <w:iCs/>
        </w:rPr>
        <w:fldChar w:fldCharType="end"/>
      </w:r>
      <w:r w:rsidR="00481661" w:rsidRPr="00EE227E">
        <w:rPr>
          <w:iCs/>
        </w:rPr>
        <w:t>).</w:t>
      </w:r>
    </w:p>
    <w:p w14:paraId="6819B7CF" w14:textId="7B979B88" w:rsidR="0000425C" w:rsidRPr="007C68B6" w:rsidRDefault="0000425C" w:rsidP="0000425C">
      <w:pPr>
        <w:pStyle w:val="3-BodyText"/>
        <w:numPr>
          <w:ilvl w:val="1"/>
          <w:numId w:val="1"/>
        </w:numPr>
        <w:ind w:left="709"/>
      </w:pPr>
      <w:r w:rsidRPr="0098262F">
        <w:t>Details of the trials presented in the submission are provided in</w:t>
      </w:r>
      <w:r>
        <w:t xml:space="preserve"> </w:t>
      </w:r>
      <w:r>
        <w:fldChar w:fldCharType="begin"/>
      </w:r>
      <w:r>
        <w:instrText xml:space="preserve"> REF _Ref206422173 \h  \* MERGEFORMAT </w:instrText>
      </w:r>
      <w:r>
        <w:fldChar w:fldCharType="separate"/>
      </w:r>
      <w:r w:rsidR="0078760A">
        <w:t>Table 2</w:t>
      </w:r>
      <w:r>
        <w:fldChar w:fldCharType="end"/>
      </w:r>
      <w:r>
        <w:t>.</w:t>
      </w:r>
    </w:p>
    <w:p w14:paraId="3DAD7011" w14:textId="1D0340C4" w:rsidR="0000425C" w:rsidRDefault="0000425C" w:rsidP="007A6BD6">
      <w:pPr>
        <w:pStyle w:val="COMtablefigcaption"/>
        <w:keepLines/>
      </w:pPr>
      <w:bookmarkStart w:id="23" w:name="_Ref206422173"/>
      <w:r>
        <w:t xml:space="preserve">Table </w:t>
      </w:r>
      <w:r w:rsidR="001146FA">
        <w:fldChar w:fldCharType="begin"/>
      </w:r>
      <w:r w:rsidR="001146FA">
        <w:instrText xml:space="preserve"> SEQ Table \* ARABIC </w:instrText>
      </w:r>
      <w:r w:rsidR="001146FA">
        <w:fldChar w:fldCharType="separate"/>
      </w:r>
      <w:r w:rsidR="0078760A">
        <w:rPr>
          <w:noProof/>
        </w:rPr>
        <w:t>2</w:t>
      </w:r>
      <w:r w:rsidR="001146FA">
        <w:rPr>
          <w:noProof/>
        </w:rPr>
        <w:fldChar w:fldCharType="end"/>
      </w:r>
      <w:bookmarkEnd w:id="23"/>
      <w:r w:rsidRPr="00AE4B02">
        <w:t>: Trials and associated reports presented in the submission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398"/>
        <w:gridCol w:w="5118"/>
        <w:gridCol w:w="2501"/>
      </w:tblGrid>
      <w:tr w:rsidR="0000425C" w:rsidRPr="00632672" w14:paraId="0D0C2D5A" w14:textId="77777777" w:rsidTr="007A6BD6">
        <w:trPr>
          <w:cantSplit/>
          <w:tblHeader/>
          <w:jc w:val="center"/>
        </w:trPr>
        <w:tc>
          <w:tcPr>
            <w:tcW w:w="775" w:type="pct"/>
            <w:vAlign w:val="center"/>
          </w:tcPr>
          <w:p w14:paraId="41B11D48" w14:textId="77777777" w:rsidR="0000425C" w:rsidRPr="00632672" w:rsidRDefault="0000425C" w:rsidP="007A6BD6">
            <w:pPr>
              <w:pStyle w:val="In-tableHeading"/>
              <w:jc w:val="center"/>
              <w:rPr>
                <w:lang w:val="en-AU"/>
              </w:rPr>
            </w:pPr>
            <w:r w:rsidRPr="00632672">
              <w:rPr>
                <w:lang w:val="en-AU"/>
              </w:rPr>
              <w:t>Trial ID</w:t>
            </w:r>
          </w:p>
        </w:tc>
        <w:tc>
          <w:tcPr>
            <w:tcW w:w="2838" w:type="pct"/>
            <w:vAlign w:val="center"/>
          </w:tcPr>
          <w:p w14:paraId="42BD3C95" w14:textId="77777777" w:rsidR="0000425C" w:rsidRPr="00632672" w:rsidRDefault="0000425C" w:rsidP="007A6BD6">
            <w:pPr>
              <w:pStyle w:val="In-tableHeading"/>
              <w:jc w:val="center"/>
              <w:rPr>
                <w:lang w:val="en-AU"/>
              </w:rPr>
            </w:pPr>
            <w:r w:rsidRPr="00632672">
              <w:rPr>
                <w:lang w:val="en-AU"/>
              </w:rPr>
              <w:t>Protocol title/ Publication title</w:t>
            </w:r>
          </w:p>
        </w:tc>
        <w:tc>
          <w:tcPr>
            <w:tcW w:w="1387" w:type="pct"/>
            <w:vAlign w:val="center"/>
          </w:tcPr>
          <w:p w14:paraId="70C9E968" w14:textId="77777777" w:rsidR="0000425C" w:rsidRPr="00632672" w:rsidRDefault="0000425C" w:rsidP="007A6BD6">
            <w:pPr>
              <w:pStyle w:val="In-tableHeading"/>
              <w:jc w:val="center"/>
              <w:rPr>
                <w:lang w:val="en-AU"/>
              </w:rPr>
            </w:pPr>
            <w:r w:rsidRPr="00632672">
              <w:rPr>
                <w:lang w:val="en-AU"/>
              </w:rPr>
              <w:t>Publication citation</w:t>
            </w:r>
          </w:p>
        </w:tc>
      </w:tr>
      <w:tr w:rsidR="0000425C" w:rsidRPr="00632672" w14:paraId="23F28081" w14:textId="77777777" w:rsidTr="007A6BD6">
        <w:trPr>
          <w:cantSplit/>
          <w:jc w:val="center"/>
        </w:trPr>
        <w:tc>
          <w:tcPr>
            <w:tcW w:w="5000" w:type="pct"/>
            <w:gridSpan w:val="3"/>
            <w:tcBorders>
              <w:top w:val="single" w:sz="4" w:space="0" w:color="auto"/>
            </w:tcBorders>
            <w:vAlign w:val="center"/>
          </w:tcPr>
          <w:p w14:paraId="27347ED5" w14:textId="77777777" w:rsidR="0000425C" w:rsidRPr="00584832" w:rsidRDefault="0000425C" w:rsidP="007A6BD6">
            <w:pPr>
              <w:pStyle w:val="TableText"/>
              <w:rPr>
                <w:b/>
                <w:bCs w:val="0"/>
                <w:iCs/>
                <w:szCs w:val="18"/>
              </w:rPr>
            </w:pPr>
            <w:r w:rsidRPr="00584832">
              <w:rPr>
                <w:b/>
                <w:bCs w:val="0"/>
                <w:iCs/>
                <w:szCs w:val="18"/>
              </w:rPr>
              <w:t>Tezepelumab</w:t>
            </w:r>
          </w:p>
        </w:tc>
      </w:tr>
      <w:tr w:rsidR="0000425C" w:rsidRPr="00632672" w14:paraId="1E8331BA" w14:textId="77777777" w:rsidTr="007A6BD6">
        <w:trPr>
          <w:cantSplit/>
          <w:jc w:val="center"/>
        </w:trPr>
        <w:tc>
          <w:tcPr>
            <w:tcW w:w="775" w:type="pct"/>
            <w:vMerge w:val="restart"/>
            <w:tcBorders>
              <w:top w:val="single" w:sz="4" w:space="0" w:color="auto"/>
            </w:tcBorders>
            <w:vAlign w:val="center"/>
          </w:tcPr>
          <w:p w14:paraId="2938A783" w14:textId="77777777" w:rsidR="0000425C" w:rsidRPr="00632672" w:rsidRDefault="0000425C" w:rsidP="007A6BD6">
            <w:pPr>
              <w:pStyle w:val="TableText"/>
            </w:pPr>
            <w:r w:rsidRPr="00632672">
              <w:t>NAVIGATOR</w:t>
            </w:r>
          </w:p>
        </w:tc>
        <w:tc>
          <w:tcPr>
            <w:tcW w:w="2838" w:type="pct"/>
            <w:tcBorders>
              <w:top w:val="single" w:sz="4" w:space="0" w:color="auto"/>
              <w:bottom w:val="nil"/>
            </w:tcBorders>
            <w:vAlign w:val="center"/>
          </w:tcPr>
          <w:p w14:paraId="7D7F0D79" w14:textId="77777777" w:rsidR="0000425C" w:rsidRPr="00632672" w:rsidRDefault="0000425C" w:rsidP="007A6BD6">
            <w:pPr>
              <w:pStyle w:val="TableText"/>
              <w:rPr>
                <w:szCs w:val="18"/>
              </w:rPr>
            </w:pPr>
            <w:r w:rsidRPr="00632672">
              <w:rPr>
                <w:szCs w:val="18"/>
              </w:rPr>
              <w:t>A Multicentre, Randomised, Double-Blind, Placebo Controlled, Parallel Group, Phase 3 Study to Evaluate the Efficacy and Safety of Tezepelumab in Adults and Adolescents with Severe Uncontrolled Asthma (NAVIGATOR)</w:t>
            </w:r>
          </w:p>
        </w:tc>
        <w:tc>
          <w:tcPr>
            <w:tcW w:w="1387" w:type="pct"/>
            <w:tcBorders>
              <w:top w:val="single" w:sz="4" w:space="0" w:color="auto"/>
              <w:bottom w:val="nil"/>
            </w:tcBorders>
            <w:vAlign w:val="center"/>
          </w:tcPr>
          <w:p w14:paraId="0E34E6B4" w14:textId="77777777" w:rsidR="0000425C" w:rsidRPr="00632672" w:rsidRDefault="0000425C" w:rsidP="007A6BD6">
            <w:pPr>
              <w:pStyle w:val="TableText"/>
              <w:rPr>
                <w:iCs/>
                <w:szCs w:val="18"/>
              </w:rPr>
            </w:pPr>
            <w:r w:rsidRPr="00632672">
              <w:rPr>
                <w:iCs/>
                <w:szCs w:val="18"/>
              </w:rPr>
              <w:t>26 February 2021</w:t>
            </w:r>
          </w:p>
        </w:tc>
      </w:tr>
      <w:tr w:rsidR="0000425C" w:rsidRPr="00632672" w14:paraId="48400CEC" w14:textId="77777777" w:rsidTr="007A6BD6">
        <w:trPr>
          <w:cantSplit/>
          <w:jc w:val="center"/>
        </w:trPr>
        <w:tc>
          <w:tcPr>
            <w:tcW w:w="775" w:type="pct"/>
            <w:vMerge/>
            <w:tcBorders>
              <w:bottom w:val="single" w:sz="4" w:space="0" w:color="auto"/>
            </w:tcBorders>
            <w:vAlign w:val="center"/>
          </w:tcPr>
          <w:p w14:paraId="2A17781A" w14:textId="77777777" w:rsidR="0000425C" w:rsidRPr="00632672" w:rsidRDefault="0000425C" w:rsidP="007A6BD6">
            <w:pPr>
              <w:pStyle w:val="TableText"/>
            </w:pPr>
          </w:p>
        </w:tc>
        <w:tc>
          <w:tcPr>
            <w:tcW w:w="2838" w:type="pct"/>
            <w:tcBorders>
              <w:top w:val="nil"/>
              <w:bottom w:val="single" w:sz="4" w:space="0" w:color="auto"/>
            </w:tcBorders>
            <w:vAlign w:val="center"/>
          </w:tcPr>
          <w:p w14:paraId="61673484" w14:textId="77777777" w:rsidR="0000425C" w:rsidRPr="00632672" w:rsidRDefault="0000425C" w:rsidP="007A6BD6">
            <w:pPr>
              <w:pStyle w:val="TableText"/>
              <w:rPr>
                <w:szCs w:val="18"/>
              </w:rPr>
            </w:pPr>
            <w:r w:rsidRPr="00632672">
              <w:rPr>
                <w:szCs w:val="18"/>
              </w:rPr>
              <w:t>Menzies-Gow A,</w:t>
            </w:r>
            <w:r w:rsidRPr="00632672">
              <w:t xml:space="preserve"> </w:t>
            </w:r>
            <w:r w:rsidRPr="00632672">
              <w:rPr>
                <w:szCs w:val="18"/>
              </w:rPr>
              <w:t>Corren J et al. Tezepelumab in adults and adolescents with SUA.</w:t>
            </w:r>
          </w:p>
        </w:tc>
        <w:tc>
          <w:tcPr>
            <w:tcW w:w="1387" w:type="pct"/>
            <w:tcBorders>
              <w:top w:val="nil"/>
              <w:bottom w:val="single" w:sz="4" w:space="0" w:color="auto"/>
            </w:tcBorders>
            <w:vAlign w:val="center"/>
          </w:tcPr>
          <w:p w14:paraId="4F569933" w14:textId="77777777" w:rsidR="0000425C" w:rsidRPr="00632672" w:rsidRDefault="0000425C" w:rsidP="007A6BD6">
            <w:pPr>
              <w:pStyle w:val="TableText"/>
              <w:rPr>
                <w:i/>
                <w:szCs w:val="18"/>
              </w:rPr>
            </w:pPr>
            <w:r w:rsidRPr="00632672">
              <w:rPr>
                <w:i/>
                <w:szCs w:val="18"/>
              </w:rPr>
              <w:t xml:space="preserve">NEJM </w:t>
            </w:r>
            <w:r w:rsidRPr="00E94101">
              <w:rPr>
                <w:iCs/>
                <w:szCs w:val="18"/>
              </w:rPr>
              <w:t>2021;384(19):1800-1809</w:t>
            </w:r>
            <w:r w:rsidRPr="00632672">
              <w:rPr>
                <w:i/>
                <w:szCs w:val="18"/>
              </w:rPr>
              <w:t xml:space="preserve">. </w:t>
            </w:r>
          </w:p>
        </w:tc>
      </w:tr>
      <w:tr w:rsidR="0000425C" w:rsidRPr="00632672" w14:paraId="152696B6" w14:textId="77777777" w:rsidTr="007A6BD6">
        <w:trPr>
          <w:cantSplit/>
          <w:jc w:val="center"/>
        </w:trPr>
        <w:tc>
          <w:tcPr>
            <w:tcW w:w="775" w:type="pct"/>
            <w:vMerge w:val="restart"/>
            <w:tcBorders>
              <w:top w:val="single" w:sz="4" w:space="0" w:color="auto"/>
            </w:tcBorders>
            <w:vAlign w:val="center"/>
          </w:tcPr>
          <w:p w14:paraId="5C3C99F1" w14:textId="77777777" w:rsidR="0000425C" w:rsidRPr="00632672" w:rsidRDefault="0000425C" w:rsidP="007A6BD6">
            <w:pPr>
              <w:pStyle w:val="TableText"/>
            </w:pPr>
            <w:r w:rsidRPr="00632672">
              <w:t>PATHWAY</w:t>
            </w:r>
          </w:p>
        </w:tc>
        <w:tc>
          <w:tcPr>
            <w:tcW w:w="2838" w:type="pct"/>
            <w:tcBorders>
              <w:top w:val="single" w:sz="4" w:space="0" w:color="auto"/>
              <w:bottom w:val="nil"/>
            </w:tcBorders>
            <w:vAlign w:val="center"/>
          </w:tcPr>
          <w:p w14:paraId="1BEA9516" w14:textId="77777777" w:rsidR="0000425C" w:rsidRPr="00632672" w:rsidRDefault="0000425C" w:rsidP="007A6BD6">
            <w:pPr>
              <w:pStyle w:val="TableText"/>
              <w:rPr>
                <w:szCs w:val="18"/>
              </w:rPr>
            </w:pPr>
            <w:r w:rsidRPr="00632672">
              <w:rPr>
                <w:szCs w:val="18"/>
              </w:rPr>
              <w:t>A Phase 2 Randomized, Double-blind, Placebo-controlled Study to Evaluate the Efficacy and Safety of MEDI9929 in Adult Subjects with Inadequately Controlled, Severe Asthma</w:t>
            </w:r>
          </w:p>
        </w:tc>
        <w:tc>
          <w:tcPr>
            <w:tcW w:w="1387" w:type="pct"/>
            <w:tcBorders>
              <w:top w:val="single" w:sz="4" w:space="0" w:color="auto"/>
              <w:bottom w:val="nil"/>
            </w:tcBorders>
            <w:vAlign w:val="center"/>
          </w:tcPr>
          <w:p w14:paraId="11661B00" w14:textId="77777777" w:rsidR="0000425C" w:rsidRPr="00632672" w:rsidRDefault="0000425C" w:rsidP="007A6BD6">
            <w:pPr>
              <w:pStyle w:val="TableText"/>
              <w:rPr>
                <w:iCs/>
                <w:szCs w:val="18"/>
              </w:rPr>
            </w:pPr>
            <w:r w:rsidRPr="00632672">
              <w:rPr>
                <w:iCs/>
                <w:szCs w:val="18"/>
              </w:rPr>
              <w:t>05 April 2018</w:t>
            </w:r>
          </w:p>
        </w:tc>
      </w:tr>
      <w:tr w:rsidR="0000425C" w:rsidRPr="00632672" w14:paraId="5D270FED" w14:textId="77777777" w:rsidTr="007A6BD6">
        <w:trPr>
          <w:cantSplit/>
          <w:jc w:val="center"/>
        </w:trPr>
        <w:tc>
          <w:tcPr>
            <w:tcW w:w="775" w:type="pct"/>
            <w:vMerge/>
            <w:tcBorders>
              <w:bottom w:val="single" w:sz="4" w:space="0" w:color="auto"/>
            </w:tcBorders>
            <w:vAlign w:val="center"/>
          </w:tcPr>
          <w:p w14:paraId="04707114" w14:textId="77777777" w:rsidR="0000425C" w:rsidRPr="00632672" w:rsidRDefault="0000425C" w:rsidP="007A6BD6">
            <w:pPr>
              <w:pStyle w:val="TableText"/>
            </w:pPr>
          </w:p>
        </w:tc>
        <w:tc>
          <w:tcPr>
            <w:tcW w:w="2838" w:type="pct"/>
            <w:tcBorders>
              <w:top w:val="nil"/>
              <w:bottom w:val="single" w:sz="4" w:space="0" w:color="auto"/>
            </w:tcBorders>
            <w:vAlign w:val="center"/>
          </w:tcPr>
          <w:p w14:paraId="68AEBF24" w14:textId="77777777" w:rsidR="0000425C" w:rsidRPr="00632672" w:rsidRDefault="0000425C" w:rsidP="007A6BD6">
            <w:pPr>
              <w:pStyle w:val="TableText"/>
              <w:rPr>
                <w:szCs w:val="18"/>
              </w:rPr>
            </w:pPr>
            <w:r w:rsidRPr="00632672">
              <w:rPr>
                <w:szCs w:val="18"/>
              </w:rPr>
              <w:t>Corren J, Parnes J. R et al. Tezepelumab in adults with uncontrolled asthma.</w:t>
            </w:r>
          </w:p>
        </w:tc>
        <w:tc>
          <w:tcPr>
            <w:tcW w:w="1387" w:type="pct"/>
            <w:tcBorders>
              <w:top w:val="nil"/>
              <w:bottom w:val="single" w:sz="4" w:space="0" w:color="auto"/>
            </w:tcBorders>
            <w:vAlign w:val="center"/>
          </w:tcPr>
          <w:p w14:paraId="12E7AEBC" w14:textId="77777777" w:rsidR="0000425C" w:rsidRPr="00632672" w:rsidRDefault="0000425C" w:rsidP="007A6BD6">
            <w:pPr>
              <w:pStyle w:val="TableText"/>
              <w:rPr>
                <w:i/>
                <w:szCs w:val="18"/>
              </w:rPr>
            </w:pPr>
            <w:r w:rsidRPr="00632672">
              <w:rPr>
                <w:i/>
                <w:szCs w:val="18"/>
              </w:rPr>
              <w:t xml:space="preserve">NEJM </w:t>
            </w:r>
            <w:r w:rsidRPr="00E94101">
              <w:rPr>
                <w:iCs/>
                <w:szCs w:val="18"/>
              </w:rPr>
              <w:t>2017;377(10): 936-946</w:t>
            </w:r>
            <w:r w:rsidRPr="00632672">
              <w:rPr>
                <w:i/>
                <w:szCs w:val="18"/>
              </w:rPr>
              <w:t xml:space="preserve">. </w:t>
            </w:r>
          </w:p>
        </w:tc>
      </w:tr>
      <w:tr w:rsidR="0000425C" w:rsidRPr="00632672" w14:paraId="0DBE2091" w14:textId="77777777" w:rsidTr="007A6BD6">
        <w:trPr>
          <w:cantSplit/>
          <w:jc w:val="center"/>
        </w:trPr>
        <w:tc>
          <w:tcPr>
            <w:tcW w:w="775" w:type="pct"/>
            <w:vMerge w:val="restart"/>
            <w:tcBorders>
              <w:top w:val="single" w:sz="4" w:space="0" w:color="auto"/>
            </w:tcBorders>
            <w:vAlign w:val="center"/>
          </w:tcPr>
          <w:p w14:paraId="3E9AE8B0" w14:textId="77777777" w:rsidR="0000425C" w:rsidRPr="00632672" w:rsidRDefault="0000425C" w:rsidP="007A6BD6">
            <w:pPr>
              <w:pStyle w:val="TableText"/>
            </w:pPr>
            <w:r w:rsidRPr="00632672">
              <w:t>SOURCE</w:t>
            </w:r>
          </w:p>
        </w:tc>
        <w:tc>
          <w:tcPr>
            <w:tcW w:w="2838" w:type="pct"/>
            <w:tcBorders>
              <w:top w:val="single" w:sz="4" w:space="0" w:color="auto"/>
              <w:bottom w:val="nil"/>
            </w:tcBorders>
            <w:vAlign w:val="center"/>
          </w:tcPr>
          <w:p w14:paraId="57DD8FDD" w14:textId="77777777" w:rsidR="0000425C" w:rsidRPr="00632672" w:rsidRDefault="0000425C" w:rsidP="007A6BD6">
            <w:pPr>
              <w:pStyle w:val="TableText"/>
              <w:rPr>
                <w:szCs w:val="18"/>
              </w:rPr>
            </w:pPr>
            <w:r w:rsidRPr="00632672">
              <w:rPr>
                <w:szCs w:val="18"/>
              </w:rPr>
              <w:t>A Multicentre, Randomized, Double-Blind, Placebo Controlled, Phase 3 Study to Evaluate the Efficacy and Safety of Tezepelumab in Reducing Oral Corticosteroid Use in Adults with Oral Corticosteroid Dependent Asthma (SOURCE)</w:t>
            </w:r>
          </w:p>
        </w:tc>
        <w:tc>
          <w:tcPr>
            <w:tcW w:w="1387" w:type="pct"/>
            <w:tcBorders>
              <w:top w:val="single" w:sz="4" w:space="0" w:color="auto"/>
              <w:bottom w:val="nil"/>
            </w:tcBorders>
            <w:vAlign w:val="center"/>
          </w:tcPr>
          <w:p w14:paraId="69E4E8A6" w14:textId="77777777" w:rsidR="0000425C" w:rsidRPr="00632672" w:rsidRDefault="0000425C" w:rsidP="007A6BD6">
            <w:pPr>
              <w:pStyle w:val="TableText"/>
              <w:rPr>
                <w:iCs/>
                <w:szCs w:val="18"/>
              </w:rPr>
            </w:pPr>
            <w:r w:rsidRPr="00632672">
              <w:rPr>
                <w:iCs/>
                <w:szCs w:val="18"/>
              </w:rPr>
              <w:t>22 March 2021</w:t>
            </w:r>
          </w:p>
        </w:tc>
      </w:tr>
      <w:tr w:rsidR="0000425C" w:rsidRPr="00632672" w14:paraId="1D8681B8" w14:textId="77777777" w:rsidTr="007A6BD6">
        <w:trPr>
          <w:cantSplit/>
          <w:jc w:val="center"/>
        </w:trPr>
        <w:tc>
          <w:tcPr>
            <w:tcW w:w="775" w:type="pct"/>
            <w:vMerge/>
            <w:tcBorders>
              <w:bottom w:val="single" w:sz="4" w:space="0" w:color="auto"/>
            </w:tcBorders>
            <w:vAlign w:val="center"/>
          </w:tcPr>
          <w:p w14:paraId="51F4229B" w14:textId="77777777" w:rsidR="0000425C" w:rsidRPr="00632672" w:rsidRDefault="0000425C" w:rsidP="007A6BD6">
            <w:pPr>
              <w:pStyle w:val="TableText"/>
            </w:pPr>
          </w:p>
        </w:tc>
        <w:tc>
          <w:tcPr>
            <w:tcW w:w="2838" w:type="pct"/>
            <w:tcBorders>
              <w:top w:val="nil"/>
              <w:bottom w:val="single" w:sz="4" w:space="0" w:color="auto"/>
            </w:tcBorders>
            <w:vAlign w:val="center"/>
          </w:tcPr>
          <w:p w14:paraId="1DE07C89" w14:textId="77777777" w:rsidR="0000425C" w:rsidRPr="00632672" w:rsidRDefault="0000425C" w:rsidP="007A6BD6">
            <w:pPr>
              <w:pStyle w:val="TableText"/>
              <w:rPr>
                <w:szCs w:val="18"/>
              </w:rPr>
            </w:pPr>
            <w:r w:rsidRPr="00632672">
              <w:rPr>
                <w:szCs w:val="18"/>
              </w:rPr>
              <w:t xml:space="preserve">Wechsler ME, Menzies-Gow A, et al. SOURCE study group. Evaluation of the oral corticosteroid-sparing effect of </w:t>
            </w:r>
            <w:proofErr w:type="spellStart"/>
            <w:r w:rsidRPr="00632672">
              <w:rPr>
                <w:szCs w:val="18"/>
              </w:rPr>
              <w:t>tezepelumab</w:t>
            </w:r>
            <w:proofErr w:type="spellEnd"/>
            <w:r w:rsidRPr="00632672">
              <w:rPr>
                <w:szCs w:val="18"/>
              </w:rPr>
              <w:t xml:space="preserve"> in adults with oral corticosteroid-dependent asthma (SOURCE): a randomised, placebo-controlled, phase 3 study. </w:t>
            </w:r>
          </w:p>
        </w:tc>
        <w:tc>
          <w:tcPr>
            <w:tcW w:w="1387" w:type="pct"/>
            <w:tcBorders>
              <w:top w:val="nil"/>
              <w:bottom w:val="single" w:sz="4" w:space="0" w:color="auto"/>
            </w:tcBorders>
            <w:vAlign w:val="center"/>
          </w:tcPr>
          <w:p w14:paraId="481660A5" w14:textId="77777777" w:rsidR="0000425C" w:rsidRPr="00632672" w:rsidRDefault="0000425C" w:rsidP="007A6BD6">
            <w:pPr>
              <w:pStyle w:val="TableText"/>
              <w:rPr>
                <w:i/>
                <w:szCs w:val="18"/>
              </w:rPr>
            </w:pPr>
            <w:r w:rsidRPr="00632672">
              <w:rPr>
                <w:i/>
                <w:szCs w:val="18"/>
              </w:rPr>
              <w:t>Lancet Respir Med</w:t>
            </w:r>
            <w:r w:rsidRPr="00E94101">
              <w:rPr>
                <w:iCs/>
                <w:szCs w:val="18"/>
              </w:rPr>
              <w:t>. 2022 Jul;10(7):650-660.</w:t>
            </w:r>
          </w:p>
        </w:tc>
      </w:tr>
      <w:tr w:rsidR="0000425C" w:rsidRPr="00632672" w14:paraId="418AC79D" w14:textId="77777777" w:rsidTr="007A6BD6">
        <w:trPr>
          <w:cantSplit/>
          <w:trHeight w:val="1034"/>
          <w:jc w:val="center"/>
        </w:trPr>
        <w:tc>
          <w:tcPr>
            <w:tcW w:w="775" w:type="pct"/>
            <w:vMerge w:val="restart"/>
            <w:vAlign w:val="center"/>
          </w:tcPr>
          <w:p w14:paraId="4C2B3946" w14:textId="77777777" w:rsidR="0000425C" w:rsidRPr="00632672" w:rsidRDefault="0000425C" w:rsidP="007A6BD6">
            <w:pPr>
              <w:pStyle w:val="TableText"/>
            </w:pPr>
            <w:r w:rsidRPr="00A75944">
              <w:t>DESTINATION</w:t>
            </w:r>
          </w:p>
        </w:tc>
        <w:tc>
          <w:tcPr>
            <w:tcW w:w="2838" w:type="pct"/>
            <w:tcBorders>
              <w:top w:val="nil"/>
            </w:tcBorders>
            <w:vAlign w:val="center"/>
          </w:tcPr>
          <w:p w14:paraId="31410C92" w14:textId="77777777" w:rsidR="0000425C" w:rsidRPr="00632672" w:rsidRDefault="0000425C" w:rsidP="007A6BD6">
            <w:pPr>
              <w:pStyle w:val="TableText"/>
              <w:rPr>
                <w:szCs w:val="18"/>
              </w:rPr>
            </w:pPr>
            <w:r w:rsidRPr="00A75944">
              <w:rPr>
                <w:szCs w:val="18"/>
              </w:rPr>
              <w:t xml:space="preserve">A Multicentre, Double-blind, Randomised, Placebo Controlled, Parallel Group, Phase 3, Safety Extension Study to Evaluate the Safety and Tolerability of Tezepelumab in Adults and Adolescents with Severe Uncontrolled Asthma (DESTINATION) </w:t>
            </w:r>
          </w:p>
        </w:tc>
        <w:tc>
          <w:tcPr>
            <w:tcW w:w="1387" w:type="pct"/>
            <w:tcBorders>
              <w:top w:val="nil"/>
            </w:tcBorders>
            <w:vAlign w:val="center"/>
          </w:tcPr>
          <w:p w14:paraId="278C0439" w14:textId="77777777" w:rsidR="0000425C" w:rsidRPr="00632672" w:rsidRDefault="0000425C" w:rsidP="007A6BD6">
            <w:pPr>
              <w:pStyle w:val="TableText"/>
              <w:rPr>
                <w:i/>
                <w:szCs w:val="18"/>
              </w:rPr>
            </w:pPr>
            <w:r w:rsidRPr="002B7FA2">
              <w:rPr>
                <w:iCs/>
                <w:szCs w:val="18"/>
              </w:rPr>
              <w:t>08 April 2022</w:t>
            </w:r>
          </w:p>
        </w:tc>
      </w:tr>
      <w:tr w:rsidR="0000425C" w:rsidRPr="00632672" w14:paraId="1D514B9B" w14:textId="77777777" w:rsidTr="007A6BD6">
        <w:trPr>
          <w:cantSplit/>
          <w:jc w:val="center"/>
        </w:trPr>
        <w:tc>
          <w:tcPr>
            <w:tcW w:w="775" w:type="pct"/>
            <w:vMerge/>
            <w:tcBorders>
              <w:bottom w:val="single" w:sz="4" w:space="0" w:color="auto"/>
            </w:tcBorders>
            <w:vAlign w:val="center"/>
          </w:tcPr>
          <w:p w14:paraId="0418A1C3" w14:textId="77777777" w:rsidR="0000425C" w:rsidRPr="00A75944" w:rsidRDefault="0000425C" w:rsidP="007A6BD6">
            <w:pPr>
              <w:pStyle w:val="TableText"/>
            </w:pPr>
          </w:p>
        </w:tc>
        <w:tc>
          <w:tcPr>
            <w:tcW w:w="2838" w:type="pct"/>
            <w:tcBorders>
              <w:top w:val="nil"/>
              <w:bottom w:val="single" w:sz="4" w:space="0" w:color="auto"/>
            </w:tcBorders>
            <w:vAlign w:val="center"/>
          </w:tcPr>
          <w:p w14:paraId="40027382" w14:textId="77777777" w:rsidR="0000425C" w:rsidRPr="00632672" w:rsidRDefault="0000425C" w:rsidP="007A6BD6">
            <w:pPr>
              <w:pStyle w:val="TableText"/>
              <w:rPr>
                <w:szCs w:val="18"/>
              </w:rPr>
            </w:pPr>
            <w:r w:rsidRPr="00A75944">
              <w:rPr>
                <w:szCs w:val="18"/>
              </w:rPr>
              <w:t>Menzies-Gow A, Wechsler ME</w:t>
            </w:r>
            <w:r>
              <w:rPr>
                <w:szCs w:val="18"/>
              </w:rPr>
              <w:t xml:space="preserve"> et al</w:t>
            </w:r>
            <w:r w:rsidRPr="00A75944">
              <w:rPr>
                <w:szCs w:val="18"/>
              </w:rPr>
              <w:t xml:space="preserve">; DESTINATION study investigators. Long-term safety and efficacy of </w:t>
            </w:r>
            <w:proofErr w:type="spellStart"/>
            <w:r w:rsidRPr="00A75944">
              <w:rPr>
                <w:szCs w:val="18"/>
              </w:rPr>
              <w:t>tezepelumab</w:t>
            </w:r>
            <w:proofErr w:type="spellEnd"/>
            <w:r w:rsidRPr="00A75944">
              <w:rPr>
                <w:szCs w:val="18"/>
              </w:rPr>
              <w:t xml:space="preserve"> in people with severe, uncontrolled asthma (DESTINATION): a randomised, placebo-controlled extension study. </w:t>
            </w:r>
          </w:p>
        </w:tc>
        <w:tc>
          <w:tcPr>
            <w:tcW w:w="1387" w:type="pct"/>
            <w:tcBorders>
              <w:top w:val="nil"/>
              <w:bottom w:val="single" w:sz="4" w:space="0" w:color="auto"/>
            </w:tcBorders>
            <w:vAlign w:val="center"/>
          </w:tcPr>
          <w:p w14:paraId="39160883" w14:textId="77777777" w:rsidR="0000425C" w:rsidRPr="00632672" w:rsidRDefault="0000425C" w:rsidP="007A6BD6">
            <w:pPr>
              <w:pStyle w:val="TableText"/>
              <w:rPr>
                <w:i/>
                <w:szCs w:val="18"/>
              </w:rPr>
            </w:pPr>
            <w:r w:rsidRPr="002B7FA2">
              <w:rPr>
                <w:i/>
                <w:szCs w:val="18"/>
              </w:rPr>
              <w:t xml:space="preserve">Lancet Respir Med. </w:t>
            </w:r>
            <w:r w:rsidRPr="002B7FA2">
              <w:rPr>
                <w:iCs/>
                <w:szCs w:val="18"/>
              </w:rPr>
              <w:t>2023 May;11(5):425-438</w:t>
            </w:r>
            <w:r>
              <w:rPr>
                <w:iCs/>
                <w:szCs w:val="18"/>
              </w:rPr>
              <w:t>.</w:t>
            </w:r>
          </w:p>
        </w:tc>
      </w:tr>
      <w:tr w:rsidR="0000425C" w:rsidRPr="00632672" w14:paraId="4ABE4B03" w14:textId="77777777" w:rsidTr="007A6BD6">
        <w:trPr>
          <w:cantSplit/>
          <w:jc w:val="center"/>
        </w:trPr>
        <w:tc>
          <w:tcPr>
            <w:tcW w:w="5000" w:type="pct"/>
            <w:gridSpan w:val="3"/>
            <w:tcBorders>
              <w:bottom w:val="single" w:sz="4" w:space="0" w:color="auto"/>
            </w:tcBorders>
            <w:vAlign w:val="center"/>
          </w:tcPr>
          <w:p w14:paraId="52CE2DC2" w14:textId="77777777" w:rsidR="0000425C" w:rsidRPr="00706D77" w:rsidRDefault="0000425C" w:rsidP="007A6BD6">
            <w:pPr>
              <w:pStyle w:val="TableText"/>
              <w:keepNext w:val="0"/>
              <w:keepLines w:val="0"/>
              <w:rPr>
                <w:b/>
                <w:bCs w:val="0"/>
                <w:iCs/>
                <w:szCs w:val="18"/>
              </w:rPr>
            </w:pPr>
            <w:r w:rsidRPr="00706D77">
              <w:rPr>
                <w:b/>
                <w:bCs w:val="0"/>
                <w:iCs/>
                <w:szCs w:val="18"/>
              </w:rPr>
              <w:t xml:space="preserve">Dupilumab </w:t>
            </w:r>
          </w:p>
        </w:tc>
      </w:tr>
      <w:tr w:rsidR="0000425C" w:rsidRPr="00632672" w14:paraId="5908181D" w14:textId="77777777" w:rsidTr="007A6BD6">
        <w:trPr>
          <w:cantSplit/>
          <w:jc w:val="center"/>
        </w:trPr>
        <w:tc>
          <w:tcPr>
            <w:tcW w:w="775" w:type="pct"/>
            <w:vMerge w:val="restart"/>
            <w:shd w:val="clear" w:color="auto" w:fill="B8CCE4" w:themeFill="accent1" w:themeFillTint="66"/>
            <w:vAlign w:val="center"/>
          </w:tcPr>
          <w:p w14:paraId="01507C46" w14:textId="77777777" w:rsidR="0000425C" w:rsidRPr="00632672" w:rsidRDefault="0000425C" w:rsidP="007A6BD6">
            <w:pPr>
              <w:pStyle w:val="TableText"/>
              <w:keepNext w:val="0"/>
              <w:keepLines w:val="0"/>
              <w:rPr>
                <w:szCs w:val="20"/>
              </w:rPr>
            </w:pPr>
            <w:r w:rsidRPr="00632672">
              <w:rPr>
                <w:szCs w:val="20"/>
              </w:rPr>
              <w:t>QUEST</w:t>
            </w:r>
          </w:p>
          <w:p w14:paraId="07BC362A" w14:textId="77777777" w:rsidR="0000425C" w:rsidRPr="00632672" w:rsidRDefault="0000425C" w:rsidP="007A6BD6">
            <w:pPr>
              <w:pStyle w:val="TableText"/>
              <w:keepNext w:val="0"/>
              <w:keepLines w:val="0"/>
              <w:rPr>
                <w:szCs w:val="20"/>
              </w:rPr>
            </w:pPr>
            <w:r w:rsidRPr="00632672">
              <w:rPr>
                <w:szCs w:val="20"/>
              </w:rPr>
              <w:t>EFC13579</w:t>
            </w:r>
          </w:p>
          <w:p w14:paraId="5A76AD98" w14:textId="77777777" w:rsidR="0000425C" w:rsidRPr="00632672" w:rsidRDefault="0000425C" w:rsidP="007A6BD6">
            <w:pPr>
              <w:pStyle w:val="TableText"/>
              <w:keepNext w:val="0"/>
              <w:keepLines w:val="0"/>
              <w:rPr>
                <w:szCs w:val="20"/>
              </w:rPr>
            </w:pPr>
            <w:r w:rsidRPr="00632672">
              <w:rPr>
                <w:szCs w:val="20"/>
              </w:rPr>
              <w:t>NCT02528214</w:t>
            </w:r>
          </w:p>
          <w:p w14:paraId="15EE7860" w14:textId="77777777" w:rsidR="0000425C" w:rsidRPr="00632672" w:rsidRDefault="0000425C" w:rsidP="007A6BD6">
            <w:pPr>
              <w:pStyle w:val="TableText"/>
              <w:keepNext w:val="0"/>
              <w:keepLines w:val="0"/>
              <w:rPr>
                <w:szCs w:val="20"/>
              </w:rPr>
            </w:pPr>
          </w:p>
          <w:p w14:paraId="788CB611" w14:textId="77777777" w:rsidR="0000425C" w:rsidRPr="00632672" w:rsidRDefault="0000425C" w:rsidP="007A6BD6">
            <w:pPr>
              <w:pStyle w:val="TableText"/>
              <w:keepNext w:val="0"/>
              <w:keepLines w:val="0"/>
            </w:pPr>
          </w:p>
        </w:tc>
        <w:tc>
          <w:tcPr>
            <w:tcW w:w="2838" w:type="pct"/>
            <w:tcBorders>
              <w:bottom w:val="nil"/>
            </w:tcBorders>
            <w:shd w:val="clear" w:color="auto" w:fill="B8CCE4" w:themeFill="accent1" w:themeFillTint="66"/>
          </w:tcPr>
          <w:p w14:paraId="4931970C" w14:textId="77777777" w:rsidR="0000425C" w:rsidRPr="00632672" w:rsidRDefault="0000425C" w:rsidP="007A6BD6">
            <w:pPr>
              <w:pStyle w:val="TableText"/>
              <w:keepNext w:val="0"/>
              <w:keepLines w:val="0"/>
              <w:rPr>
                <w:szCs w:val="18"/>
              </w:rPr>
            </w:pPr>
            <w:r w:rsidRPr="00632672">
              <w:rPr>
                <w:szCs w:val="20"/>
              </w:rPr>
              <w:t>A randomised, double blind, placebo-controlled, parallel group study to evaluate the efficacy and safety of dupilumab in patients with persistent asthma. Clinical study report.</w:t>
            </w:r>
          </w:p>
        </w:tc>
        <w:tc>
          <w:tcPr>
            <w:tcW w:w="1387" w:type="pct"/>
            <w:tcBorders>
              <w:bottom w:val="nil"/>
            </w:tcBorders>
            <w:shd w:val="clear" w:color="auto" w:fill="B8CCE4" w:themeFill="accent1" w:themeFillTint="66"/>
            <w:vAlign w:val="center"/>
          </w:tcPr>
          <w:p w14:paraId="0E7C7E5B" w14:textId="77777777" w:rsidR="0000425C" w:rsidRPr="00632672" w:rsidRDefault="0000425C" w:rsidP="007A6BD6">
            <w:pPr>
              <w:pStyle w:val="TableText"/>
              <w:keepNext w:val="0"/>
              <w:keepLines w:val="0"/>
              <w:rPr>
                <w:i/>
                <w:szCs w:val="18"/>
              </w:rPr>
            </w:pPr>
            <w:r w:rsidRPr="00632672">
              <w:rPr>
                <w:szCs w:val="20"/>
              </w:rPr>
              <w:t>November 2017</w:t>
            </w:r>
          </w:p>
        </w:tc>
      </w:tr>
      <w:tr w:rsidR="0000425C" w:rsidRPr="00632672" w14:paraId="3D5F905B" w14:textId="77777777" w:rsidTr="007A6BD6">
        <w:trPr>
          <w:cantSplit/>
          <w:jc w:val="center"/>
        </w:trPr>
        <w:tc>
          <w:tcPr>
            <w:tcW w:w="775" w:type="pct"/>
            <w:vMerge/>
            <w:shd w:val="clear" w:color="auto" w:fill="B8CCE4" w:themeFill="accent1" w:themeFillTint="66"/>
            <w:vAlign w:val="center"/>
          </w:tcPr>
          <w:p w14:paraId="2691ED13" w14:textId="77777777" w:rsidR="0000425C" w:rsidRPr="00632672" w:rsidRDefault="0000425C" w:rsidP="007A6BD6">
            <w:pPr>
              <w:pStyle w:val="TableText"/>
              <w:keepNext w:val="0"/>
              <w:keepLines w:val="0"/>
            </w:pPr>
          </w:p>
        </w:tc>
        <w:tc>
          <w:tcPr>
            <w:tcW w:w="2838" w:type="pct"/>
            <w:tcBorders>
              <w:top w:val="nil"/>
              <w:bottom w:val="nil"/>
            </w:tcBorders>
            <w:shd w:val="clear" w:color="auto" w:fill="B8CCE4" w:themeFill="accent1" w:themeFillTint="66"/>
          </w:tcPr>
          <w:p w14:paraId="4740B1E4" w14:textId="77777777" w:rsidR="0000425C" w:rsidRPr="00632672" w:rsidRDefault="0000425C" w:rsidP="007A6BD6">
            <w:pPr>
              <w:pStyle w:val="TableText"/>
              <w:keepNext w:val="0"/>
              <w:keepLines w:val="0"/>
              <w:rPr>
                <w:szCs w:val="18"/>
              </w:rPr>
            </w:pPr>
            <w:r w:rsidRPr="00632672">
              <w:rPr>
                <w:szCs w:val="20"/>
              </w:rPr>
              <w:t>Busse W, Maspero J, Rabe K, et al. Liberty asthma QUEST: Phase 3 randomised, double-blind, placebo-controlled, parallel-group study to evaluate dupilumab efficacy/safety in patients with uncontrolled, moderate-to-severe asthma.</w:t>
            </w:r>
          </w:p>
        </w:tc>
        <w:tc>
          <w:tcPr>
            <w:tcW w:w="1387" w:type="pct"/>
            <w:tcBorders>
              <w:top w:val="nil"/>
              <w:bottom w:val="nil"/>
            </w:tcBorders>
            <w:shd w:val="clear" w:color="auto" w:fill="B8CCE4" w:themeFill="accent1" w:themeFillTint="66"/>
            <w:vAlign w:val="center"/>
          </w:tcPr>
          <w:p w14:paraId="17F55651" w14:textId="77777777" w:rsidR="0000425C" w:rsidRPr="00632672" w:rsidRDefault="0000425C" w:rsidP="007A6BD6">
            <w:pPr>
              <w:pStyle w:val="In-tableHeading"/>
              <w:keepNext w:val="0"/>
              <w:keepLines w:val="0"/>
              <w:rPr>
                <w:b w:val="0"/>
                <w:bCs/>
                <w:szCs w:val="20"/>
                <w:lang w:val="en-AU"/>
              </w:rPr>
            </w:pPr>
            <w:r w:rsidRPr="00632672">
              <w:rPr>
                <w:b w:val="0"/>
                <w:bCs/>
                <w:i/>
                <w:szCs w:val="20"/>
                <w:lang w:val="en-AU"/>
              </w:rPr>
              <w:t>Adv Ther</w:t>
            </w:r>
            <w:r w:rsidRPr="00632672">
              <w:rPr>
                <w:b w:val="0"/>
                <w:bCs/>
                <w:szCs w:val="20"/>
                <w:lang w:val="en-AU"/>
              </w:rPr>
              <w:t xml:space="preserve"> 2018; 35(5):737-748</w:t>
            </w:r>
          </w:p>
          <w:p w14:paraId="39FD16C7" w14:textId="77777777" w:rsidR="0000425C" w:rsidRPr="00632672" w:rsidRDefault="0000425C" w:rsidP="007A6BD6">
            <w:pPr>
              <w:pStyle w:val="TableText"/>
              <w:keepNext w:val="0"/>
              <w:keepLines w:val="0"/>
              <w:rPr>
                <w:i/>
                <w:szCs w:val="18"/>
              </w:rPr>
            </w:pPr>
          </w:p>
        </w:tc>
      </w:tr>
      <w:tr w:rsidR="0000425C" w:rsidRPr="00632672" w14:paraId="56007B85" w14:textId="77777777" w:rsidTr="007A6BD6">
        <w:trPr>
          <w:cantSplit/>
          <w:jc w:val="center"/>
        </w:trPr>
        <w:tc>
          <w:tcPr>
            <w:tcW w:w="775" w:type="pct"/>
            <w:vMerge/>
            <w:tcBorders>
              <w:bottom w:val="single" w:sz="4" w:space="0" w:color="auto"/>
            </w:tcBorders>
            <w:shd w:val="clear" w:color="auto" w:fill="B8CCE4" w:themeFill="accent1" w:themeFillTint="66"/>
            <w:vAlign w:val="center"/>
          </w:tcPr>
          <w:p w14:paraId="1631D884" w14:textId="77777777" w:rsidR="0000425C" w:rsidRPr="00632672" w:rsidRDefault="0000425C" w:rsidP="007A6BD6">
            <w:pPr>
              <w:pStyle w:val="TableText"/>
              <w:keepNext w:val="0"/>
              <w:keepLines w:val="0"/>
            </w:pPr>
          </w:p>
        </w:tc>
        <w:tc>
          <w:tcPr>
            <w:tcW w:w="2838" w:type="pct"/>
            <w:tcBorders>
              <w:top w:val="nil"/>
              <w:bottom w:val="single" w:sz="4" w:space="0" w:color="auto"/>
            </w:tcBorders>
            <w:shd w:val="clear" w:color="auto" w:fill="B8CCE4" w:themeFill="accent1" w:themeFillTint="66"/>
          </w:tcPr>
          <w:p w14:paraId="114BF12F" w14:textId="77777777" w:rsidR="0000425C" w:rsidRPr="00632672" w:rsidRDefault="0000425C" w:rsidP="007A6BD6">
            <w:pPr>
              <w:pStyle w:val="TableText"/>
              <w:keepNext w:val="0"/>
              <w:keepLines w:val="0"/>
              <w:rPr>
                <w:szCs w:val="18"/>
              </w:rPr>
            </w:pPr>
            <w:r w:rsidRPr="00632672">
              <w:rPr>
                <w:szCs w:val="20"/>
              </w:rPr>
              <w:t>Corren J, Castro M, O’Riordan T, et al. Dupilumab efficacy in patients with uncontrolled, moderate-to-severe allergic asthma.</w:t>
            </w:r>
          </w:p>
        </w:tc>
        <w:tc>
          <w:tcPr>
            <w:tcW w:w="1387" w:type="pct"/>
            <w:tcBorders>
              <w:top w:val="nil"/>
              <w:bottom w:val="single" w:sz="4" w:space="0" w:color="auto"/>
            </w:tcBorders>
            <w:shd w:val="clear" w:color="auto" w:fill="B8CCE4" w:themeFill="accent1" w:themeFillTint="66"/>
            <w:vAlign w:val="center"/>
          </w:tcPr>
          <w:p w14:paraId="29705884" w14:textId="77777777" w:rsidR="0000425C" w:rsidRPr="00632672" w:rsidRDefault="0000425C" w:rsidP="007A6BD6">
            <w:pPr>
              <w:pStyle w:val="TableText"/>
              <w:keepNext w:val="0"/>
              <w:keepLines w:val="0"/>
              <w:rPr>
                <w:i/>
                <w:szCs w:val="18"/>
              </w:rPr>
            </w:pPr>
            <w:r w:rsidRPr="00632672">
              <w:rPr>
                <w:i/>
                <w:szCs w:val="20"/>
              </w:rPr>
              <w:t xml:space="preserve">J Allergy Clin Immunol </w:t>
            </w:r>
            <w:proofErr w:type="spellStart"/>
            <w:r w:rsidRPr="00632672">
              <w:rPr>
                <w:i/>
                <w:szCs w:val="20"/>
              </w:rPr>
              <w:t>Pract</w:t>
            </w:r>
            <w:proofErr w:type="spellEnd"/>
            <w:r w:rsidRPr="00632672">
              <w:rPr>
                <w:i/>
                <w:szCs w:val="20"/>
              </w:rPr>
              <w:t xml:space="preserve"> </w:t>
            </w:r>
            <w:r w:rsidRPr="00632672">
              <w:rPr>
                <w:szCs w:val="20"/>
              </w:rPr>
              <w:t>2020; 8(2):516-526.</w:t>
            </w:r>
          </w:p>
        </w:tc>
      </w:tr>
      <w:tr w:rsidR="0000425C" w:rsidRPr="00632672" w14:paraId="6E2178C3" w14:textId="77777777" w:rsidTr="007A6BD6">
        <w:trPr>
          <w:cantSplit/>
          <w:jc w:val="center"/>
        </w:trPr>
        <w:tc>
          <w:tcPr>
            <w:tcW w:w="775" w:type="pct"/>
            <w:vMerge w:val="restart"/>
            <w:shd w:val="clear" w:color="auto" w:fill="B8CCE4" w:themeFill="accent1" w:themeFillTint="66"/>
            <w:vAlign w:val="center"/>
          </w:tcPr>
          <w:p w14:paraId="6B8F86AA" w14:textId="77777777" w:rsidR="0000425C" w:rsidRPr="00632672" w:rsidRDefault="0000425C" w:rsidP="007A6BD6">
            <w:pPr>
              <w:pStyle w:val="TableText"/>
              <w:keepNext w:val="0"/>
              <w:keepLines w:val="0"/>
              <w:rPr>
                <w:szCs w:val="20"/>
              </w:rPr>
            </w:pPr>
            <w:r w:rsidRPr="00632672">
              <w:rPr>
                <w:szCs w:val="20"/>
              </w:rPr>
              <w:t>DRI2544</w:t>
            </w:r>
          </w:p>
          <w:p w14:paraId="7C2E106E" w14:textId="77777777" w:rsidR="0000425C" w:rsidRPr="00632672" w:rsidRDefault="0000425C" w:rsidP="007A6BD6">
            <w:pPr>
              <w:pStyle w:val="TableText"/>
              <w:keepNext w:val="0"/>
              <w:keepLines w:val="0"/>
              <w:rPr>
                <w:szCs w:val="20"/>
              </w:rPr>
            </w:pPr>
          </w:p>
          <w:p w14:paraId="0E3942BA" w14:textId="77777777" w:rsidR="0000425C" w:rsidRPr="00632672" w:rsidRDefault="0000425C" w:rsidP="007A6BD6">
            <w:pPr>
              <w:pStyle w:val="TableText"/>
              <w:keepNext w:val="0"/>
              <w:keepLines w:val="0"/>
            </w:pPr>
          </w:p>
        </w:tc>
        <w:tc>
          <w:tcPr>
            <w:tcW w:w="2838" w:type="pct"/>
            <w:tcBorders>
              <w:bottom w:val="nil"/>
            </w:tcBorders>
            <w:shd w:val="clear" w:color="auto" w:fill="B8CCE4" w:themeFill="accent1" w:themeFillTint="66"/>
          </w:tcPr>
          <w:p w14:paraId="45C1894D" w14:textId="77777777" w:rsidR="0000425C" w:rsidRPr="00632672" w:rsidRDefault="0000425C" w:rsidP="007A6BD6">
            <w:pPr>
              <w:pStyle w:val="TableText"/>
              <w:keepNext w:val="0"/>
              <w:keepLines w:val="0"/>
              <w:rPr>
                <w:szCs w:val="18"/>
              </w:rPr>
            </w:pPr>
            <w:r w:rsidRPr="00632672">
              <w:rPr>
                <w:szCs w:val="20"/>
              </w:rPr>
              <w:t>A randomised, double blind, placebo-controlled, dose-ranging study to evaluate dupilumab in patients with moderate to severe uncontrolled asthma. Clinical study report.</w:t>
            </w:r>
          </w:p>
        </w:tc>
        <w:tc>
          <w:tcPr>
            <w:tcW w:w="1387" w:type="pct"/>
            <w:tcBorders>
              <w:bottom w:val="nil"/>
            </w:tcBorders>
            <w:shd w:val="clear" w:color="auto" w:fill="B8CCE4" w:themeFill="accent1" w:themeFillTint="66"/>
            <w:vAlign w:val="center"/>
          </w:tcPr>
          <w:p w14:paraId="2CBD1D80" w14:textId="77777777" w:rsidR="0000425C" w:rsidRPr="00632672" w:rsidRDefault="0000425C" w:rsidP="007A6BD6">
            <w:pPr>
              <w:pStyle w:val="TableText"/>
              <w:keepNext w:val="0"/>
              <w:keepLines w:val="0"/>
              <w:rPr>
                <w:i/>
                <w:szCs w:val="18"/>
              </w:rPr>
            </w:pPr>
            <w:r w:rsidRPr="00632672">
              <w:rPr>
                <w:szCs w:val="20"/>
              </w:rPr>
              <w:t>February 2016</w:t>
            </w:r>
          </w:p>
        </w:tc>
      </w:tr>
      <w:tr w:rsidR="0000425C" w:rsidRPr="00632672" w14:paraId="1CE60D62" w14:textId="77777777" w:rsidTr="007A6BD6">
        <w:trPr>
          <w:cantSplit/>
          <w:jc w:val="center"/>
        </w:trPr>
        <w:tc>
          <w:tcPr>
            <w:tcW w:w="775" w:type="pct"/>
            <w:vMerge/>
            <w:tcBorders>
              <w:bottom w:val="single" w:sz="4" w:space="0" w:color="auto"/>
            </w:tcBorders>
            <w:shd w:val="clear" w:color="auto" w:fill="B8CCE4" w:themeFill="accent1" w:themeFillTint="66"/>
            <w:vAlign w:val="center"/>
          </w:tcPr>
          <w:p w14:paraId="1522B2B3" w14:textId="77777777" w:rsidR="0000425C" w:rsidRPr="00632672" w:rsidRDefault="0000425C" w:rsidP="007A6BD6">
            <w:pPr>
              <w:pStyle w:val="TableText"/>
              <w:keepNext w:val="0"/>
              <w:keepLines w:val="0"/>
            </w:pPr>
          </w:p>
        </w:tc>
        <w:tc>
          <w:tcPr>
            <w:tcW w:w="2838" w:type="pct"/>
            <w:tcBorders>
              <w:top w:val="nil"/>
              <w:bottom w:val="single" w:sz="4" w:space="0" w:color="auto"/>
            </w:tcBorders>
            <w:shd w:val="clear" w:color="auto" w:fill="B8CCE4" w:themeFill="accent1" w:themeFillTint="66"/>
          </w:tcPr>
          <w:p w14:paraId="6F2E3931" w14:textId="77777777" w:rsidR="0000425C" w:rsidRPr="00632672" w:rsidRDefault="0000425C" w:rsidP="007A6BD6">
            <w:pPr>
              <w:pStyle w:val="TableText"/>
              <w:keepNext w:val="0"/>
              <w:keepLines w:val="0"/>
              <w:rPr>
                <w:szCs w:val="18"/>
              </w:rPr>
            </w:pPr>
            <w:r w:rsidRPr="00632672">
              <w:rPr>
                <w:szCs w:val="20"/>
              </w:rPr>
              <w:t>Wenzel S, Castro M, Corren J, et al. Dupilumab efficacy and safety in adults with uncontrolled persistent asthma despite use of medium-to-high-dose inhaled corticosteroids plus a long-acting ß</w:t>
            </w:r>
            <w:r w:rsidRPr="00632672">
              <w:rPr>
                <w:szCs w:val="20"/>
                <w:vertAlign w:val="subscript"/>
              </w:rPr>
              <w:t>2</w:t>
            </w:r>
            <w:r w:rsidRPr="00632672">
              <w:rPr>
                <w:szCs w:val="20"/>
              </w:rPr>
              <w:t xml:space="preserve"> agonist: a randomised double-blind placebo-controlled pivotal phase 2b dose-ranging trial.</w:t>
            </w:r>
          </w:p>
        </w:tc>
        <w:tc>
          <w:tcPr>
            <w:tcW w:w="1387" w:type="pct"/>
            <w:tcBorders>
              <w:top w:val="nil"/>
              <w:bottom w:val="single" w:sz="4" w:space="0" w:color="auto"/>
            </w:tcBorders>
            <w:shd w:val="clear" w:color="auto" w:fill="B8CCE4" w:themeFill="accent1" w:themeFillTint="66"/>
            <w:vAlign w:val="center"/>
          </w:tcPr>
          <w:p w14:paraId="5B550788" w14:textId="77777777" w:rsidR="0000425C" w:rsidRPr="00632672" w:rsidRDefault="0000425C" w:rsidP="007A6BD6">
            <w:pPr>
              <w:pStyle w:val="TableText"/>
              <w:keepNext w:val="0"/>
              <w:keepLines w:val="0"/>
              <w:rPr>
                <w:szCs w:val="20"/>
              </w:rPr>
            </w:pPr>
            <w:r w:rsidRPr="00632672">
              <w:rPr>
                <w:i/>
                <w:szCs w:val="20"/>
              </w:rPr>
              <w:t xml:space="preserve">Lancet </w:t>
            </w:r>
            <w:r w:rsidRPr="00632672">
              <w:rPr>
                <w:szCs w:val="20"/>
              </w:rPr>
              <w:t>2016; 388:31-44.</w:t>
            </w:r>
          </w:p>
          <w:p w14:paraId="680EDAA0" w14:textId="77777777" w:rsidR="0000425C" w:rsidRPr="00632672" w:rsidRDefault="0000425C" w:rsidP="007A6BD6">
            <w:pPr>
              <w:pStyle w:val="TableText"/>
              <w:keepNext w:val="0"/>
              <w:keepLines w:val="0"/>
              <w:rPr>
                <w:i/>
                <w:szCs w:val="18"/>
              </w:rPr>
            </w:pPr>
          </w:p>
        </w:tc>
      </w:tr>
      <w:tr w:rsidR="0000425C" w:rsidRPr="00632672" w14:paraId="4F1EBE69" w14:textId="77777777" w:rsidTr="007A6BD6">
        <w:trPr>
          <w:cantSplit/>
          <w:jc w:val="center"/>
        </w:trPr>
        <w:tc>
          <w:tcPr>
            <w:tcW w:w="775" w:type="pct"/>
            <w:vMerge w:val="restart"/>
            <w:tcBorders>
              <w:top w:val="single" w:sz="4" w:space="0" w:color="auto"/>
            </w:tcBorders>
            <w:shd w:val="clear" w:color="auto" w:fill="B8CCE4" w:themeFill="accent1" w:themeFillTint="66"/>
            <w:vAlign w:val="center"/>
          </w:tcPr>
          <w:p w14:paraId="409C3999" w14:textId="77777777" w:rsidR="0000425C" w:rsidRPr="00632672" w:rsidRDefault="0000425C" w:rsidP="007A6BD6">
            <w:pPr>
              <w:pStyle w:val="TableText"/>
              <w:keepNext w:val="0"/>
              <w:keepLines w:val="0"/>
              <w:rPr>
                <w:szCs w:val="20"/>
              </w:rPr>
            </w:pPr>
            <w:r w:rsidRPr="00632672">
              <w:rPr>
                <w:szCs w:val="20"/>
              </w:rPr>
              <w:t>VENTURE</w:t>
            </w:r>
          </w:p>
          <w:p w14:paraId="445A89FC" w14:textId="77777777" w:rsidR="0000425C" w:rsidRPr="00632672" w:rsidRDefault="0000425C" w:rsidP="007A6BD6">
            <w:pPr>
              <w:pStyle w:val="TableText"/>
              <w:keepNext w:val="0"/>
              <w:keepLines w:val="0"/>
            </w:pPr>
            <w:r w:rsidRPr="00632672">
              <w:rPr>
                <w:szCs w:val="20"/>
              </w:rPr>
              <w:t>EFC13691</w:t>
            </w:r>
          </w:p>
        </w:tc>
        <w:tc>
          <w:tcPr>
            <w:tcW w:w="2838" w:type="pct"/>
            <w:tcBorders>
              <w:top w:val="single" w:sz="4" w:space="0" w:color="auto"/>
              <w:bottom w:val="nil"/>
            </w:tcBorders>
            <w:shd w:val="clear" w:color="auto" w:fill="B8CCE4" w:themeFill="accent1" w:themeFillTint="66"/>
          </w:tcPr>
          <w:p w14:paraId="606C557F" w14:textId="77777777" w:rsidR="0000425C" w:rsidRPr="00632672" w:rsidRDefault="0000425C" w:rsidP="007A6BD6">
            <w:pPr>
              <w:pStyle w:val="TableText"/>
              <w:keepNext w:val="0"/>
              <w:keepLines w:val="0"/>
              <w:rPr>
                <w:szCs w:val="18"/>
              </w:rPr>
            </w:pPr>
            <w:r w:rsidRPr="00632672">
              <w:rPr>
                <w:szCs w:val="20"/>
              </w:rPr>
              <w:t>A randomised, double-blind, placebo-controlled study to evaluate the efficacy and safety of dupilumab in patients with severe steroid dependent asthma. Clinical study report.</w:t>
            </w:r>
          </w:p>
        </w:tc>
        <w:tc>
          <w:tcPr>
            <w:tcW w:w="1387" w:type="pct"/>
            <w:tcBorders>
              <w:top w:val="single" w:sz="4" w:space="0" w:color="auto"/>
              <w:bottom w:val="nil"/>
            </w:tcBorders>
            <w:shd w:val="clear" w:color="auto" w:fill="B8CCE4" w:themeFill="accent1" w:themeFillTint="66"/>
            <w:vAlign w:val="center"/>
          </w:tcPr>
          <w:p w14:paraId="3718D7E2" w14:textId="77777777" w:rsidR="0000425C" w:rsidRPr="00632672" w:rsidRDefault="0000425C" w:rsidP="007A6BD6">
            <w:pPr>
              <w:pStyle w:val="TableText"/>
              <w:keepNext w:val="0"/>
              <w:keepLines w:val="0"/>
              <w:rPr>
                <w:i/>
                <w:szCs w:val="18"/>
              </w:rPr>
            </w:pPr>
            <w:r w:rsidRPr="00632672">
              <w:rPr>
                <w:iCs/>
                <w:szCs w:val="20"/>
              </w:rPr>
              <w:t>December 2017</w:t>
            </w:r>
          </w:p>
        </w:tc>
      </w:tr>
      <w:tr w:rsidR="0000425C" w:rsidRPr="00632672" w14:paraId="75D6F958" w14:textId="77777777" w:rsidTr="007A6BD6">
        <w:trPr>
          <w:cantSplit/>
          <w:jc w:val="center"/>
        </w:trPr>
        <w:tc>
          <w:tcPr>
            <w:tcW w:w="775" w:type="pct"/>
            <w:vMerge/>
            <w:tcBorders>
              <w:bottom w:val="single" w:sz="4" w:space="0" w:color="auto"/>
            </w:tcBorders>
            <w:shd w:val="clear" w:color="auto" w:fill="B8CCE4" w:themeFill="accent1" w:themeFillTint="66"/>
            <w:vAlign w:val="center"/>
          </w:tcPr>
          <w:p w14:paraId="697B9CA8" w14:textId="77777777" w:rsidR="0000425C" w:rsidRPr="00632672" w:rsidRDefault="0000425C" w:rsidP="007A6BD6">
            <w:pPr>
              <w:pStyle w:val="TableText"/>
              <w:keepNext w:val="0"/>
              <w:keepLines w:val="0"/>
            </w:pPr>
          </w:p>
        </w:tc>
        <w:tc>
          <w:tcPr>
            <w:tcW w:w="2838" w:type="pct"/>
            <w:tcBorders>
              <w:top w:val="nil"/>
              <w:bottom w:val="single" w:sz="4" w:space="0" w:color="auto"/>
            </w:tcBorders>
            <w:shd w:val="clear" w:color="auto" w:fill="B8CCE4" w:themeFill="accent1" w:themeFillTint="66"/>
          </w:tcPr>
          <w:p w14:paraId="4635C30E" w14:textId="77777777" w:rsidR="0000425C" w:rsidRPr="00632672" w:rsidRDefault="0000425C" w:rsidP="007A6BD6">
            <w:pPr>
              <w:pStyle w:val="TableText"/>
              <w:keepNext w:val="0"/>
              <w:keepLines w:val="0"/>
              <w:rPr>
                <w:szCs w:val="18"/>
              </w:rPr>
            </w:pPr>
            <w:r w:rsidRPr="00632672">
              <w:rPr>
                <w:szCs w:val="20"/>
              </w:rPr>
              <w:t xml:space="preserve">Rabe K, Nair P, </w:t>
            </w:r>
            <w:proofErr w:type="spellStart"/>
            <w:r w:rsidRPr="00632672">
              <w:rPr>
                <w:szCs w:val="20"/>
              </w:rPr>
              <w:t>Brusselle</w:t>
            </w:r>
            <w:proofErr w:type="spellEnd"/>
            <w:r w:rsidRPr="00632672">
              <w:rPr>
                <w:szCs w:val="20"/>
              </w:rPr>
              <w:t xml:space="preserve"> G, et al. Efficacy and safety of dupilumab in glucocorticoid-dependent severe asthma. </w:t>
            </w:r>
          </w:p>
        </w:tc>
        <w:tc>
          <w:tcPr>
            <w:tcW w:w="1387" w:type="pct"/>
            <w:tcBorders>
              <w:top w:val="nil"/>
              <w:bottom w:val="single" w:sz="4" w:space="0" w:color="auto"/>
            </w:tcBorders>
            <w:shd w:val="clear" w:color="auto" w:fill="B8CCE4" w:themeFill="accent1" w:themeFillTint="66"/>
            <w:vAlign w:val="center"/>
          </w:tcPr>
          <w:p w14:paraId="1788CAC1" w14:textId="77777777" w:rsidR="0000425C" w:rsidRPr="00632672" w:rsidRDefault="0000425C" w:rsidP="007A6BD6">
            <w:pPr>
              <w:pStyle w:val="TableText"/>
              <w:keepNext w:val="0"/>
              <w:keepLines w:val="0"/>
              <w:rPr>
                <w:i/>
                <w:szCs w:val="18"/>
              </w:rPr>
            </w:pPr>
            <w:r w:rsidRPr="00632672">
              <w:rPr>
                <w:i/>
                <w:iCs/>
                <w:szCs w:val="20"/>
              </w:rPr>
              <w:t xml:space="preserve">N Engl J Med </w:t>
            </w:r>
            <w:r w:rsidRPr="00632672">
              <w:rPr>
                <w:iCs/>
                <w:szCs w:val="20"/>
              </w:rPr>
              <w:t>2018;</w:t>
            </w:r>
            <w:r w:rsidRPr="00632672">
              <w:rPr>
                <w:i/>
                <w:iCs/>
                <w:szCs w:val="20"/>
              </w:rPr>
              <w:t xml:space="preserve"> </w:t>
            </w:r>
            <w:r w:rsidRPr="00632672">
              <w:rPr>
                <w:szCs w:val="20"/>
              </w:rPr>
              <w:t>378:2475-85.</w:t>
            </w:r>
          </w:p>
        </w:tc>
      </w:tr>
      <w:tr w:rsidR="0000425C" w:rsidRPr="00632672" w14:paraId="5838C775" w14:textId="77777777" w:rsidTr="007A6BD6">
        <w:trPr>
          <w:cantSplit/>
          <w:jc w:val="center"/>
        </w:trPr>
        <w:tc>
          <w:tcPr>
            <w:tcW w:w="5000" w:type="pct"/>
            <w:gridSpan w:val="3"/>
            <w:tcBorders>
              <w:bottom w:val="single" w:sz="4" w:space="0" w:color="auto"/>
            </w:tcBorders>
            <w:shd w:val="clear" w:color="auto" w:fill="B8CCE4" w:themeFill="accent1" w:themeFillTint="66"/>
            <w:vAlign w:val="center"/>
          </w:tcPr>
          <w:p w14:paraId="53289DC1" w14:textId="77777777" w:rsidR="0000425C" w:rsidRPr="00706D77" w:rsidRDefault="0000425C" w:rsidP="007A6BD6">
            <w:pPr>
              <w:pStyle w:val="TableText"/>
              <w:keepNext w:val="0"/>
              <w:keepLines w:val="0"/>
              <w:rPr>
                <w:b/>
                <w:bCs w:val="0"/>
                <w:szCs w:val="20"/>
              </w:rPr>
            </w:pPr>
            <w:proofErr w:type="spellStart"/>
            <w:r w:rsidRPr="00706D77">
              <w:rPr>
                <w:b/>
                <w:bCs w:val="0"/>
                <w:szCs w:val="20"/>
              </w:rPr>
              <w:t>Benralizumab</w:t>
            </w:r>
            <w:proofErr w:type="spellEnd"/>
          </w:p>
        </w:tc>
      </w:tr>
      <w:tr w:rsidR="0000425C" w:rsidRPr="00632672" w14:paraId="17D49A41" w14:textId="77777777" w:rsidTr="007A6BD6">
        <w:trPr>
          <w:cantSplit/>
          <w:jc w:val="center"/>
        </w:trPr>
        <w:tc>
          <w:tcPr>
            <w:tcW w:w="775" w:type="pct"/>
            <w:tcBorders>
              <w:top w:val="single" w:sz="4" w:space="0" w:color="auto"/>
            </w:tcBorders>
            <w:shd w:val="clear" w:color="auto" w:fill="B8CCE4" w:themeFill="accent1" w:themeFillTint="66"/>
            <w:vAlign w:val="center"/>
          </w:tcPr>
          <w:p w14:paraId="1548C53F" w14:textId="77777777" w:rsidR="0000425C" w:rsidRPr="00632672" w:rsidRDefault="0000425C" w:rsidP="007A6BD6">
            <w:pPr>
              <w:pStyle w:val="TableText"/>
              <w:keepNext w:val="0"/>
              <w:keepLines w:val="0"/>
              <w:rPr>
                <w:szCs w:val="20"/>
              </w:rPr>
            </w:pPr>
            <w:r w:rsidRPr="00632672">
              <w:rPr>
                <w:szCs w:val="20"/>
              </w:rPr>
              <w:t>SIROCCO</w:t>
            </w:r>
          </w:p>
          <w:p w14:paraId="23C3D163" w14:textId="77777777" w:rsidR="0000425C" w:rsidRPr="00632672" w:rsidRDefault="0000425C" w:rsidP="007A6BD6">
            <w:pPr>
              <w:pStyle w:val="TableText"/>
              <w:keepNext w:val="0"/>
              <w:keepLines w:val="0"/>
            </w:pPr>
          </w:p>
        </w:tc>
        <w:tc>
          <w:tcPr>
            <w:tcW w:w="2838" w:type="pct"/>
            <w:tcBorders>
              <w:top w:val="single" w:sz="4" w:space="0" w:color="auto"/>
            </w:tcBorders>
            <w:shd w:val="clear" w:color="auto" w:fill="B8CCE4" w:themeFill="accent1" w:themeFillTint="66"/>
            <w:vAlign w:val="center"/>
          </w:tcPr>
          <w:p w14:paraId="2A449217" w14:textId="77777777" w:rsidR="0000425C" w:rsidRPr="00632672" w:rsidRDefault="0000425C" w:rsidP="007A6BD6">
            <w:pPr>
              <w:pStyle w:val="TableText"/>
              <w:keepNext w:val="0"/>
              <w:keepLines w:val="0"/>
              <w:rPr>
                <w:szCs w:val="18"/>
              </w:rPr>
            </w:pPr>
            <w:r w:rsidRPr="00632672">
              <w:rPr>
                <w:szCs w:val="20"/>
              </w:rPr>
              <w:t xml:space="preserve">Bleecker E, FitzGerald J, Chanez P, et al. Efficacy and safety of </w:t>
            </w:r>
            <w:proofErr w:type="spellStart"/>
            <w:r w:rsidRPr="00632672">
              <w:rPr>
                <w:szCs w:val="20"/>
              </w:rPr>
              <w:t>benralizumab</w:t>
            </w:r>
            <w:proofErr w:type="spellEnd"/>
            <w:r w:rsidRPr="00632672">
              <w:rPr>
                <w:szCs w:val="20"/>
              </w:rPr>
              <w:t xml:space="preserve"> for patients with severe asthma uncontrolled with high-dosage inhaled corticosteroids and long-acting β2-agonists (SIROCCO): a randomised, multicentre, placebo-controlled phase 3 trial.</w:t>
            </w:r>
          </w:p>
        </w:tc>
        <w:tc>
          <w:tcPr>
            <w:tcW w:w="1387" w:type="pct"/>
            <w:tcBorders>
              <w:top w:val="single" w:sz="4" w:space="0" w:color="auto"/>
            </w:tcBorders>
            <w:shd w:val="clear" w:color="auto" w:fill="B8CCE4" w:themeFill="accent1" w:themeFillTint="66"/>
            <w:vAlign w:val="center"/>
          </w:tcPr>
          <w:p w14:paraId="23A54F01" w14:textId="77777777" w:rsidR="0000425C" w:rsidRPr="00632672" w:rsidRDefault="0000425C" w:rsidP="007A6BD6">
            <w:pPr>
              <w:pStyle w:val="TableText"/>
              <w:keepNext w:val="0"/>
              <w:keepLines w:val="0"/>
              <w:rPr>
                <w:i/>
                <w:szCs w:val="18"/>
              </w:rPr>
            </w:pPr>
            <w:r w:rsidRPr="00632672">
              <w:rPr>
                <w:i/>
                <w:iCs/>
                <w:szCs w:val="20"/>
              </w:rPr>
              <w:t xml:space="preserve">Lancet </w:t>
            </w:r>
            <w:r w:rsidRPr="00632672">
              <w:rPr>
                <w:iCs/>
                <w:szCs w:val="20"/>
              </w:rPr>
              <w:t>2016</w:t>
            </w:r>
            <w:r w:rsidRPr="00632672">
              <w:rPr>
                <w:i/>
                <w:iCs/>
                <w:szCs w:val="20"/>
              </w:rPr>
              <w:t>; 388</w:t>
            </w:r>
            <w:r w:rsidRPr="00632672">
              <w:rPr>
                <w:szCs w:val="20"/>
              </w:rPr>
              <w:t>:2115-27.</w:t>
            </w:r>
          </w:p>
        </w:tc>
      </w:tr>
      <w:tr w:rsidR="0000425C" w:rsidRPr="00632672" w14:paraId="7533044C" w14:textId="77777777" w:rsidTr="007A6BD6">
        <w:trPr>
          <w:cantSplit/>
          <w:jc w:val="center"/>
        </w:trPr>
        <w:tc>
          <w:tcPr>
            <w:tcW w:w="775" w:type="pct"/>
            <w:tcBorders>
              <w:top w:val="nil"/>
              <w:bottom w:val="single" w:sz="4" w:space="0" w:color="auto"/>
            </w:tcBorders>
            <w:shd w:val="clear" w:color="auto" w:fill="B8CCE4" w:themeFill="accent1" w:themeFillTint="66"/>
            <w:vAlign w:val="center"/>
          </w:tcPr>
          <w:p w14:paraId="522E6EA1" w14:textId="77777777" w:rsidR="0000425C" w:rsidRPr="00632672" w:rsidRDefault="0000425C" w:rsidP="007A6BD6">
            <w:pPr>
              <w:pStyle w:val="TableText"/>
              <w:keepNext w:val="0"/>
              <w:keepLines w:val="0"/>
              <w:rPr>
                <w:szCs w:val="20"/>
              </w:rPr>
            </w:pPr>
            <w:r w:rsidRPr="00632672">
              <w:rPr>
                <w:szCs w:val="20"/>
              </w:rPr>
              <w:t>CALIMA</w:t>
            </w:r>
          </w:p>
          <w:p w14:paraId="5A56E71C" w14:textId="77777777" w:rsidR="0000425C" w:rsidRPr="00632672" w:rsidRDefault="0000425C" w:rsidP="007A6BD6">
            <w:pPr>
              <w:pStyle w:val="TableText"/>
              <w:keepNext w:val="0"/>
              <w:keepLines w:val="0"/>
            </w:pPr>
          </w:p>
        </w:tc>
        <w:tc>
          <w:tcPr>
            <w:tcW w:w="2838" w:type="pct"/>
            <w:tcBorders>
              <w:top w:val="nil"/>
              <w:bottom w:val="single" w:sz="4" w:space="0" w:color="auto"/>
            </w:tcBorders>
            <w:shd w:val="clear" w:color="auto" w:fill="B8CCE4" w:themeFill="accent1" w:themeFillTint="66"/>
            <w:vAlign w:val="center"/>
          </w:tcPr>
          <w:p w14:paraId="52ED0818" w14:textId="77777777" w:rsidR="0000425C" w:rsidRPr="00632672" w:rsidRDefault="0000425C" w:rsidP="007A6BD6">
            <w:pPr>
              <w:pStyle w:val="TableText"/>
              <w:keepNext w:val="0"/>
              <w:keepLines w:val="0"/>
              <w:rPr>
                <w:szCs w:val="18"/>
              </w:rPr>
            </w:pPr>
            <w:r w:rsidRPr="00632672">
              <w:rPr>
                <w:szCs w:val="20"/>
              </w:rPr>
              <w:t xml:space="preserve">FitzGerald J, Bleecker E, Nair, P, et al. </w:t>
            </w:r>
            <w:proofErr w:type="spellStart"/>
            <w:r w:rsidRPr="00632672">
              <w:rPr>
                <w:szCs w:val="20"/>
              </w:rPr>
              <w:t>Benralizumab</w:t>
            </w:r>
            <w:proofErr w:type="spellEnd"/>
            <w:r w:rsidRPr="00632672">
              <w:rPr>
                <w:szCs w:val="20"/>
              </w:rPr>
              <w:t>, an anti-interleukin-5 receptor α monoclonal antibody, as add-on treatment for patients with severe, uncontrolled, eosinophilic asthma (CALIMA): a randomised, double-blind, placebo-controlled phase 3 trial.</w:t>
            </w:r>
          </w:p>
        </w:tc>
        <w:tc>
          <w:tcPr>
            <w:tcW w:w="1387" w:type="pct"/>
            <w:tcBorders>
              <w:top w:val="nil"/>
              <w:bottom w:val="single" w:sz="4" w:space="0" w:color="auto"/>
            </w:tcBorders>
            <w:shd w:val="clear" w:color="auto" w:fill="B8CCE4" w:themeFill="accent1" w:themeFillTint="66"/>
            <w:vAlign w:val="center"/>
          </w:tcPr>
          <w:p w14:paraId="6A5C6246" w14:textId="77777777" w:rsidR="0000425C" w:rsidRPr="00632672" w:rsidRDefault="0000425C" w:rsidP="007A6BD6">
            <w:pPr>
              <w:pStyle w:val="TableText"/>
              <w:keepNext w:val="0"/>
              <w:keepLines w:val="0"/>
              <w:rPr>
                <w:i/>
                <w:szCs w:val="18"/>
              </w:rPr>
            </w:pPr>
            <w:r w:rsidRPr="00632672">
              <w:rPr>
                <w:i/>
                <w:iCs/>
                <w:szCs w:val="20"/>
              </w:rPr>
              <w:t xml:space="preserve">Lancet </w:t>
            </w:r>
            <w:r w:rsidRPr="00632672">
              <w:rPr>
                <w:iCs/>
                <w:szCs w:val="20"/>
              </w:rPr>
              <w:t>2016</w:t>
            </w:r>
            <w:r w:rsidRPr="00632672">
              <w:rPr>
                <w:i/>
                <w:iCs/>
                <w:szCs w:val="20"/>
              </w:rPr>
              <w:t>; 388</w:t>
            </w:r>
            <w:r w:rsidRPr="00632672">
              <w:rPr>
                <w:szCs w:val="20"/>
              </w:rPr>
              <w:t>:2128-41</w:t>
            </w:r>
          </w:p>
        </w:tc>
      </w:tr>
      <w:tr w:rsidR="0000425C" w:rsidRPr="00632672" w14:paraId="1E10601F" w14:textId="77777777" w:rsidTr="007A6BD6">
        <w:trPr>
          <w:cantSplit/>
          <w:jc w:val="center"/>
        </w:trPr>
        <w:tc>
          <w:tcPr>
            <w:tcW w:w="775" w:type="pct"/>
            <w:tcBorders>
              <w:top w:val="nil"/>
              <w:bottom w:val="single" w:sz="4" w:space="0" w:color="auto"/>
            </w:tcBorders>
            <w:shd w:val="clear" w:color="auto" w:fill="B8CCE4" w:themeFill="accent1" w:themeFillTint="66"/>
            <w:vAlign w:val="center"/>
          </w:tcPr>
          <w:p w14:paraId="4138D4E4" w14:textId="77777777" w:rsidR="0000425C" w:rsidRPr="00632672" w:rsidRDefault="0000425C" w:rsidP="007A6BD6">
            <w:pPr>
              <w:pStyle w:val="TableText"/>
              <w:keepNext w:val="0"/>
              <w:keepLines w:val="0"/>
              <w:rPr>
                <w:szCs w:val="20"/>
              </w:rPr>
            </w:pPr>
            <w:r w:rsidRPr="00632672">
              <w:rPr>
                <w:szCs w:val="20"/>
              </w:rPr>
              <w:t>ZONDA</w:t>
            </w:r>
          </w:p>
          <w:p w14:paraId="3C4BFD47" w14:textId="77777777" w:rsidR="0000425C" w:rsidRPr="00632672" w:rsidRDefault="0000425C" w:rsidP="007A6BD6">
            <w:pPr>
              <w:pStyle w:val="TableText"/>
              <w:keepNext w:val="0"/>
              <w:keepLines w:val="0"/>
            </w:pPr>
          </w:p>
        </w:tc>
        <w:tc>
          <w:tcPr>
            <w:tcW w:w="2838" w:type="pct"/>
            <w:tcBorders>
              <w:top w:val="nil"/>
              <w:bottom w:val="single" w:sz="4" w:space="0" w:color="auto"/>
            </w:tcBorders>
            <w:shd w:val="clear" w:color="auto" w:fill="B8CCE4" w:themeFill="accent1" w:themeFillTint="66"/>
          </w:tcPr>
          <w:p w14:paraId="4A406D73" w14:textId="77777777" w:rsidR="0000425C" w:rsidRPr="00632672" w:rsidRDefault="0000425C" w:rsidP="007A6BD6">
            <w:pPr>
              <w:pStyle w:val="TableText"/>
              <w:keepNext w:val="0"/>
              <w:keepLines w:val="0"/>
              <w:rPr>
                <w:szCs w:val="18"/>
              </w:rPr>
            </w:pPr>
            <w:r w:rsidRPr="00632672">
              <w:rPr>
                <w:szCs w:val="20"/>
              </w:rPr>
              <w:t xml:space="preserve">Nair P, Wenzel S, Rabe K, et al. Oral glucocorticoid–sparing effect of </w:t>
            </w:r>
            <w:proofErr w:type="spellStart"/>
            <w:r w:rsidRPr="00632672">
              <w:rPr>
                <w:szCs w:val="20"/>
              </w:rPr>
              <w:t>benralizumab</w:t>
            </w:r>
            <w:proofErr w:type="spellEnd"/>
            <w:r w:rsidRPr="00632672">
              <w:rPr>
                <w:szCs w:val="20"/>
              </w:rPr>
              <w:t xml:space="preserve"> in severe asthma.</w:t>
            </w:r>
          </w:p>
        </w:tc>
        <w:tc>
          <w:tcPr>
            <w:tcW w:w="1387" w:type="pct"/>
            <w:tcBorders>
              <w:top w:val="nil"/>
              <w:bottom w:val="single" w:sz="4" w:space="0" w:color="auto"/>
            </w:tcBorders>
            <w:shd w:val="clear" w:color="auto" w:fill="B8CCE4" w:themeFill="accent1" w:themeFillTint="66"/>
            <w:vAlign w:val="center"/>
          </w:tcPr>
          <w:p w14:paraId="24B3BAC2" w14:textId="77777777" w:rsidR="0000425C" w:rsidRPr="00632672" w:rsidRDefault="0000425C" w:rsidP="007A6BD6">
            <w:pPr>
              <w:pStyle w:val="TableText"/>
              <w:keepNext w:val="0"/>
              <w:keepLines w:val="0"/>
              <w:rPr>
                <w:i/>
                <w:szCs w:val="18"/>
              </w:rPr>
            </w:pPr>
            <w:r w:rsidRPr="00632672">
              <w:rPr>
                <w:i/>
                <w:iCs/>
                <w:szCs w:val="20"/>
              </w:rPr>
              <w:t xml:space="preserve">N Engl J Med </w:t>
            </w:r>
            <w:r w:rsidRPr="00632672">
              <w:rPr>
                <w:iCs/>
                <w:szCs w:val="20"/>
              </w:rPr>
              <w:t>2017; 376</w:t>
            </w:r>
            <w:r w:rsidRPr="00632672">
              <w:rPr>
                <w:szCs w:val="20"/>
              </w:rPr>
              <w:t>:2448-58</w:t>
            </w:r>
          </w:p>
        </w:tc>
      </w:tr>
      <w:tr w:rsidR="0000425C" w:rsidRPr="00632672" w14:paraId="6A10BBDC" w14:textId="77777777" w:rsidTr="007A6BD6">
        <w:trPr>
          <w:cantSplit/>
          <w:jc w:val="center"/>
        </w:trPr>
        <w:tc>
          <w:tcPr>
            <w:tcW w:w="775" w:type="pct"/>
            <w:tcBorders>
              <w:top w:val="nil"/>
              <w:bottom w:val="single" w:sz="4" w:space="0" w:color="auto"/>
            </w:tcBorders>
            <w:vAlign w:val="center"/>
          </w:tcPr>
          <w:p w14:paraId="75444F37" w14:textId="77777777" w:rsidR="0000425C" w:rsidRPr="00632672" w:rsidRDefault="0000425C" w:rsidP="007A6BD6">
            <w:pPr>
              <w:pStyle w:val="TableText"/>
              <w:keepNext w:val="0"/>
              <w:keepLines w:val="0"/>
              <w:rPr>
                <w:szCs w:val="20"/>
              </w:rPr>
            </w:pPr>
            <w:r w:rsidRPr="00632672">
              <w:rPr>
                <w:szCs w:val="20"/>
              </w:rPr>
              <w:t>ANDHI</w:t>
            </w:r>
          </w:p>
        </w:tc>
        <w:tc>
          <w:tcPr>
            <w:tcW w:w="2838" w:type="pct"/>
            <w:tcBorders>
              <w:top w:val="nil"/>
              <w:bottom w:val="single" w:sz="4" w:space="0" w:color="auto"/>
            </w:tcBorders>
            <w:vAlign w:val="center"/>
          </w:tcPr>
          <w:p w14:paraId="589FD588" w14:textId="77777777" w:rsidR="0000425C" w:rsidRPr="00632672" w:rsidRDefault="0000425C" w:rsidP="007A6BD6">
            <w:pPr>
              <w:pStyle w:val="TableText"/>
              <w:keepNext w:val="0"/>
              <w:keepLines w:val="0"/>
              <w:rPr>
                <w:szCs w:val="20"/>
              </w:rPr>
            </w:pPr>
            <w:r w:rsidRPr="00632672">
              <w:rPr>
                <w:szCs w:val="20"/>
              </w:rPr>
              <w:t xml:space="preserve">Harrison TW, Chanez P, Menzella F et al. Onset of effect and impact on health-related quality of life, exacerbation rate, lung function, and nasal polyposis symptoms for patients with severe eosinophilic asthma treated with </w:t>
            </w:r>
            <w:proofErr w:type="spellStart"/>
            <w:r w:rsidRPr="00632672">
              <w:rPr>
                <w:szCs w:val="20"/>
              </w:rPr>
              <w:t>benralizumab</w:t>
            </w:r>
            <w:proofErr w:type="spellEnd"/>
            <w:r w:rsidRPr="00632672">
              <w:rPr>
                <w:szCs w:val="20"/>
              </w:rPr>
              <w:t xml:space="preserve"> (ANDHI): a randomised, controlled, phase 3b trial.</w:t>
            </w:r>
          </w:p>
        </w:tc>
        <w:tc>
          <w:tcPr>
            <w:tcW w:w="1387" w:type="pct"/>
            <w:tcBorders>
              <w:top w:val="nil"/>
              <w:bottom w:val="single" w:sz="4" w:space="0" w:color="auto"/>
            </w:tcBorders>
            <w:vAlign w:val="center"/>
          </w:tcPr>
          <w:p w14:paraId="06CFB99F" w14:textId="77777777" w:rsidR="0000425C" w:rsidRPr="00632672" w:rsidRDefault="0000425C" w:rsidP="007A6BD6">
            <w:pPr>
              <w:pStyle w:val="TableText"/>
              <w:keepNext w:val="0"/>
              <w:keepLines w:val="0"/>
              <w:rPr>
                <w:i/>
                <w:iCs/>
                <w:szCs w:val="20"/>
              </w:rPr>
            </w:pPr>
            <w:r w:rsidRPr="00632672">
              <w:rPr>
                <w:i/>
                <w:iCs/>
                <w:szCs w:val="20"/>
              </w:rPr>
              <w:t xml:space="preserve">The Lancet Respiratory Medicine </w:t>
            </w:r>
            <w:r w:rsidRPr="00E94101">
              <w:rPr>
                <w:szCs w:val="20"/>
              </w:rPr>
              <w:t>2021;9(3):260-274.</w:t>
            </w:r>
          </w:p>
        </w:tc>
      </w:tr>
      <w:tr w:rsidR="0000425C" w:rsidRPr="00632672" w14:paraId="30B652BB" w14:textId="77777777" w:rsidTr="007A6BD6">
        <w:trPr>
          <w:cantSplit/>
          <w:jc w:val="center"/>
        </w:trPr>
        <w:tc>
          <w:tcPr>
            <w:tcW w:w="775" w:type="pct"/>
            <w:tcBorders>
              <w:top w:val="nil"/>
              <w:bottom w:val="single" w:sz="4" w:space="0" w:color="auto"/>
            </w:tcBorders>
            <w:vAlign w:val="center"/>
          </w:tcPr>
          <w:p w14:paraId="1F03E27B" w14:textId="77777777" w:rsidR="0000425C" w:rsidRPr="00632672" w:rsidRDefault="0000425C" w:rsidP="007A6BD6">
            <w:pPr>
              <w:pStyle w:val="TableText"/>
              <w:keepNext w:val="0"/>
              <w:keepLines w:val="0"/>
              <w:rPr>
                <w:szCs w:val="20"/>
              </w:rPr>
            </w:pPr>
            <w:r w:rsidRPr="00632672">
              <w:rPr>
                <w:szCs w:val="20"/>
              </w:rPr>
              <w:t>MIRACLE</w:t>
            </w:r>
          </w:p>
        </w:tc>
        <w:tc>
          <w:tcPr>
            <w:tcW w:w="2838" w:type="pct"/>
            <w:tcBorders>
              <w:top w:val="nil"/>
              <w:bottom w:val="single" w:sz="4" w:space="0" w:color="auto"/>
            </w:tcBorders>
          </w:tcPr>
          <w:p w14:paraId="73145050" w14:textId="77777777" w:rsidR="0000425C" w:rsidRPr="00632672" w:rsidRDefault="0000425C" w:rsidP="007A6BD6">
            <w:pPr>
              <w:pStyle w:val="TableText"/>
              <w:keepNext w:val="0"/>
              <w:keepLines w:val="0"/>
              <w:rPr>
                <w:szCs w:val="20"/>
              </w:rPr>
            </w:pPr>
            <w:r w:rsidRPr="00632672">
              <w:rPr>
                <w:szCs w:val="20"/>
              </w:rPr>
              <w:t xml:space="preserve">Lai K, Sun D, Dai R et al. </w:t>
            </w:r>
            <w:proofErr w:type="spellStart"/>
            <w:r w:rsidRPr="00632672">
              <w:rPr>
                <w:szCs w:val="20"/>
              </w:rPr>
              <w:t>Benralizumab</w:t>
            </w:r>
            <w:proofErr w:type="spellEnd"/>
            <w:r w:rsidRPr="00632672">
              <w:rPr>
                <w:szCs w:val="20"/>
              </w:rPr>
              <w:t xml:space="preserve"> efficacy and safety in severe asthma: A randomized trial in Asia.</w:t>
            </w:r>
          </w:p>
        </w:tc>
        <w:tc>
          <w:tcPr>
            <w:tcW w:w="1387" w:type="pct"/>
            <w:tcBorders>
              <w:top w:val="nil"/>
              <w:bottom w:val="single" w:sz="4" w:space="0" w:color="auto"/>
            </w:tcBorders>
            <w:vAlign w:val="center"/>
          </w:tcPr>
          <w:p w14:paraId="6D59FFC6" w14:textId="77777777" w:rsidR="0000425C" w:rsidRPr="00632672" w:rsidRDefault="0000425C" w:rsidP="007A6BD6">
            <w:pPr>
              <w:pStyle w:val="TableText"/>
              <w:keepNext w:val="0"/>
              <w:keepLines w:val="0"/>
              <w:rPr>
                <w:i/>
                <w:iCs/>
                <w:szCs w:val="20"/>
              </w:rPr>
            </w:pPr>
            <w:r w:rsidRPr="00632672">
              <w:rPr>
                <w:i/>
                <w:iCs/>
                <w:szCs w:val="20"/>
              </w:rPr>
              <w:t xml:space="preserve">Respir Med. </w:t>
            </w:r>
            <w:r w:rsidRPr="00E94101">
              <w:rPr>
                <w:szCs w:val="20"/>
              </w:rPr>
              <w:t>2024;229(1):107611.</w:t>
            </w:r>
          </w:p>
        </w:tc>
      </w:tr>
      <w:tr w:rsidR="0000425C" w:rsidRPr="00632672" w14:paraId="0EF98332" w14:textId="77777777" w:rsidTr="007A6BD6">
        <w:trPr>
          <w:cantSplit/>
          <w:jc w:val="center"/>
        </w:trPr>
        <w:tc>
          <w:tcPr>
            <w:tcW w:w="5000" w:type="pct"/>
            <w:gridSpan w:val="3"/>
            <w:tcBorders>
              <w:top w:val="nil"/>
              <w:bottom w:val="single" w:sz="4" w:space="0" w:color="auto"/>
            </w:tcBorders>
            <w:vAlign w:val="center"/>
          </w:tcPr>
          <w:p w14:paraId="5D9096E4" w14:textId="77777777" w:rsidR="0000425C" w:rsidRPr="00706D77" w:rsidRDefault="0000425C" w:rsidP="007A6BD6">
            <w:pPr>
              <w:pStyle w:val="TableText"/>
              <w:keepNext w:val="0"/>
              <w:keepLines w:val="0"/>
              <w:rPr>
                <w:b/>
                <w:bCs w:val="0"/>
                <w:szCs w:val="20"/>
              </w:rPr>
            </w:pPr>
            <w:r w:rsidRPr="00706D77">
              <w:rPr>
                <w:b/>
                <w:bCs w:val="0"/>
                <w:szCs w:val="20"/>
              </w:rPr>
              <w:t xml:space="preserve">Mepolizumab </w:t>
            </w:r>
          </w:p>
        </w:tc>
      </w:tr>
      <w:tr w:rsidR="0000425C" w:rsidRPr="00632672" w14:paraId="2C5555A9" w14:textId="77777777" w:rsidTr="007A6BD6">
        <w:trPr>
          <w:cantSplit/>
          <w:jc w:val="center"/>
        </w:trPr>
        <w:tc>
          <w:tcPr>
            <w:tcW w:w="775" w:type="pct"/>
            <w:tcBorders>
              <w:top w:val="nil"/>
              <w:bottom w:val="single" w:sz="4" w:space="0" w:color="auto"/>
            </w:tcBorders>
            <w:shd w:val="clear" w:color="auto" w:fill="B8CCE4" w:themeFill="accent1" w:themeFillTint="66"/>
            <w:vAlign w:val="center"/>
          </w:tcPr>
          <w:p w14:paraId="152ACAE4" w14:textId="77777777" w:rsidR="0000425C" w:rsidRPr="00632672" w:rsidRDefault="0000425C" w:rsidP="007A6BD6">
            <w:pPr>
              <w:pStyle w:val="TableText"/>
              <w:keepNext w:val="0"/>
              <w:keepLines w:val="0"/>
              <w:rPr>
                <w:szCs w:val="20"/>
              </w:rPr>
            </w:pPr>
            <w:r w:rsidRPr="00632672">
              <w:rPr>
                <w:szCs w:val="20"/>
              </w:rPr>
              <w:t>MENSA</w:t>
            </w:r>
          </w:p>
          <w:p w14:paraId="25B6495F" w14:textId="77777777" w:rsidR="0000425C" w:rsidRPr="00632672" w:rsidRDefault="0000425C" w:rsidP="007A6BD6">
            <w:pPr>
              <w:pStyle w:val="TableText"/>
              <w:keepNext w:val="0"/>
              <w:keepLines w:val="0"/>
            </w:pPr>
          </w:p>
        </w:tc>
        <w:tc>
          <w:tcPr>
            <w:tcW w:w="2838" w:type="pct"/>
            <w:tcBorders>
              <w:top w:val="nil"/>
              <w:bottom w:val="single" w:sz="4" w:space="0" w:color="auto"/>
            </w:tcBorders>
            <w:shd w:val="clear" w:color="auto" w:fill="B8CCE4" w:themeFill="accent1" w:themeFillTint="66"/>
          </w:tcPr>
          <w:p w14:paraId="5D29925C" w14:textId="77777777" w:rsidR="0000425C" w:rsidRPr="00632672" w:rsidRDefault="0000425C" w:rsidP="007A6BD6">
            <w:pPr>
              <w:pStyle w:val="TableText"/>
              <w:keepNext w:val="0"/>
              <w:keepLines w:val="0"/>
              <w:rPr>
                <w:szCs w:val="18"/>
              </w:rPr>
            </w:pPr>
            <w:r w:rsidRPr="00632672">
              <w:rPr>
                <w:szCs w:val="20"/>
              </w:rPr>
              <w:t xml:space="preserve">Ortega H, Liu M, </w:t>
            </w:r>
            <w:proofErr w:type="spellStart"/>
            <w:r w:rsidRPr="00632672">
              <w:rPr>
                <w:szCs w:val="20"/>
              </w:rPr>
              <w:t>Pavord</w:t>
            </w:r>
            <w:proofErr w:type="spellEnd"/>
            <w:r w:rsidRPr="00632672">
              <w:rPr>
                <w:szCs w:val="20"/>
              </w:rPr>
              <w:t xml:space="preserve"> I, et al. Mepolizumab Treatment in Patients with Severe Eosinophilic Asthma. </w:t>
            </w:r>
          </w:p>
        </w:tc>
        <w:tc>
          <w:tcPr>
            <w:tcW w:w="1387" w:type="pct"/>
            <w:tcBorders>
              <w:top w:val="nil"/>
              <w:bottom w:val="single" w:sz="4" w:space="0" w:color="auto"/>
            </w:tcBorders>
            <w:shd w:val="clear" w:color="auto" w:fill="B8CCE4" w:themeFill="accent1" w:themeFillTint="66"/>
            <w:vAlign w:val="center"/>
          </w:tcPr>
          <w:p w14:paraId="1EE0ACE3" w14:textId="77777777" w:rsidR="0000425C" w:rsidRPr="00632672" w:rsidRDefault="0000425C" w:rsidP="007A6BD6">
            <w:pPr>
              <w:pStyle w:val="TableText"/>
              <w:keepNext w:val="0"/>
              <w:keepLines w:val="0"/>
              <w:rPr>
                <w:i/>
                <w:szCs w:val="18"/>
              </w:rPr>
            </w:pPr>
            <w:r w:rsidRPr="00632672">
              <w:rPr>
                <w:i/>
                <w:szCs w:val="20"/>
              </w:rPr>
              <w:t>N Engl J Med</w:t>
            </w:r>
            <w:r w:rsidRPr="00632672">
              <w:rPr>
                <w:szCs w:val="20"/>
              </w:rPr>
              <w:t xml:space="preserve"> 2014; 371:1198-207.</w:t>
            </w:r>
          </w:p>
        </w:tc>
      </w:tr>
      <w:tr w:rsidR="0000425C" w:rsidRPr="00632672" w14:paraId="3CF1A304" w14:textId="77777777" w:rsidTr="007A6BD6">
        <w:trPr>
          <w:cantSplit/>
          <w:jc w:val="center"/>
        </w:trPr>
        <w:tc>
          <w:tcPr>
            <w:tcW w:w="775" w:type="pct"/>
            <w:tcBorders>
              <w:top w:val="nil"/>
              <w:bottom w:val="single" w:sz="4" w:space="0" w:color="auto"/>
            </w:tcBorders>
            <w:shd w:val="clear" w:color="auto" w:fill="B8CCE4" w:themeFill="accent1" w:themeFillTint="66"/>
            <w:vAlign w:val="center"/>
          </w:tcPr>
          <w:p w14:paraId="60C3FC06" w14:textId="77777777" w:rsidR="0000425C" w:rsidRPr="00632672" w:rsidRDefault="0000425C" w:rsidP="007A6BD6">
            <w:pPr>
              <w:pStyle w:val="TableText"/>
              <w:keepNext w:val="0"/>
              <w:keepLines w:val="0"/>
              <w:rPr>
                <w:szCs w:val="20"/>
              </w:rPr>
            </w:pPr>
            <w:r w:rsidRPr="00632672">
              <w:rPr>
                <w:szCs w:val="20"/>
              </w:rPr>
              <w:t>MUSCA</w:t>
            </w:r>
          </w:p>
          <w:p w14:paraId="59A864E5" w14:textId="77777777" w:rsidR="0000425C" w:rsidRPr="00632672" w:rsidRDefault="0000425C" w:rsidP="007A6BD6">
            <w:pPr>
              <w:pStyle w:val="TableText"/>
              <w:keepNext w:val="0"/>
              <w:keepLines w:val="0"/>
            </w:pPr>
          </w:p>
        </w:tc>
        <w:tc>
          <w:tcPr>
            <w:tcW w:w="2838" w:type="pct"/>
            <w:tcBorders>
              <w:top w:val="nil"/>
              <w:bottom w:val="single" w:sz="4" w:space="0" w:color="auto"/>
            </w:tcBorders>
            <w:shd w:val="clear" w:color="auto" w:fill="B8CCE4" w:themeFill="accent1" w:themeFillTint="66"/>
          </w:tcPr>
          <w:p w14:paraId="2C33828E" w14:textId="77777777" w:rsidR="0000425C" w:rsidRPr="00632672" w:rsidRDefault="0000425C" w:rsidP="007A6BD6">
            <w:pPr>
              <w:pStyle w:val="TableText"/>
              <w:keepNext w:val="0"/>
              <w:keepLines w:val="0"/>
              <w:rPr>
                <w:szCs w:val="18"/>
              </w:rPr>
            </w:pPr>
            <w:r w:rsidRPr="00632672">
              <w:rPr>
                <w:szCs w:val="20"/>
              </w:rPr>
              <w:t xml:space="preserve">Chupp G, Bradford E, Albers F, et al. Efficacy of mepolizumab add-on therapy on health-related quality of life and markers of asthma control in severe eosinophilic asthma (MUSCA): a randomised, double-blind, placebo-controlled, parallel-group, multicentre, phase 3b trial. </w:t>
            </w:r>
          </w:p>
        </w:tc>
        <w:tc>
          <w:tcPr>
            <w:tcW w:w="1387" w:type="pct"/>
            <w:tcBorders>
              <w:top w:val="nil"/>
              <w:bottom w:val="single" w:sz="4" w:space="0" w:color="auto"/>
            </w:tcBorders>
            <w:shd w:val="clear" w:color="auto" w:fill="B8CCE4" w:themeFill="accent1" w:themeFillTint="66"/>
            <w:vAlign w:val="center"/>
          </w:tcPr>
          <w:p w14:paraId="4F244180" w14:textId="77777777" w:rsidR="0000425C" w:rsidRPr="00632672" w:rsidRDefault="0000425C" w:rsidP="007A6BD6">
            <w:pPr>
              <w:pStyle w:val="TableText"/>
              <w:keepNext w:val="0"/>
              <w:keepLines w:val="0"/>
              <w:rPr>
                <w:i/>
                <w:szCs w:val="18"/>
              </w:rPr>
            </w:pPr>
            <w:r w:rsidRPr="00632672">
              <w:rPr>
                <w:i/>
                <w:szCs w:val="20"/>
              </w:rPr>
              <w:t>Lancet Respir Med 2017; 5:390-400.</w:t>
            </w:r>
          </w:p>
        </w:tc>
      </w:tr>
      <w:tr w:rsidR="0000425C" w:rsidRPr="00632672" w14:paraId="723DD072" w14:textId="77777777" w:rsidTr="007A6BD6">
        <w:trPr>
          <w:cantSplit/>
          <w:jc w:val="center"/>
        </w:trPr>
        <w:tc>
          <w:tcPr>
            <w:tcW w:w="775" w:type="pct"/>
            <w:tcBorders>
              <w:top w:val="nil"/>
              <w:bottom w:val="single" w:sz="4" w:space="0" w:color="auto"/>
            </w:tcBorders>
            <w:shd w:val="clear" w:color="auto" w:fill="B8CCE4" w:themeFill="accent1" w:themeFillTint="66"/>
            <w:vAlign w:val="center"/>
          </w:tcPr>
          <w:p w14:paraId="1D07B04A" w14:textId="77777777" w:rsidR="0000425C" w:rsidRPr="00632672" w:rsidRDefault="0000425C" w:rsidP="007A6BD6">
            <w:pPr>
              <w:pStyle w:val="TableText"/>
              <w:keepNext w:val="0"/>
              <w:keepLines w:val="0"/>
              <w:rPr>
                <w:szCs w:val="20"/>
              </w:rPr>
            </w:pPr>
            <w:r w:rsidRPr="00632672">
              <w:rPr>
                <w:szCs w:val="20"/>
              </w:rPr>
              <w:t>SIRIUS</w:t>
            </w:r>
          </w:p>
          <w:p w14:paraId="4B02C692" w14:textId="77777777" w:rsidR="0000425C" w:rsidRPr="00632672" w:rsidRDefault="0000425C" w:rsidP="007A6BD6">
            <w:pPr>
              <w:pStyle w:val="TableText"/>
              <w:keepNext w:val="0"/>
              <w:keepLines w:val="0"/>
            </w:pPr>
          </w:p>
        </w:tc>
        <w:tc>
          <w:tcPr>
            <w:tcW w:w="2838" w:type="pct"/>
            <w:tcBorders>
              <w:top w:val="nil"/>
              <w:bottom w:val="single" w:sz="4" w:space="0" w:color="auto"/>
            </w:tcBorders>
            <w:shd w:val="clear" w:color="auto" w:fill="B8CCE4" w:themeFill="accent1" w:themeFillTint="66"/>
          </w:tcPr>
          <w:p w14:paraId="4488B803" w14:textId="77777777" w:rsidR="0000425C" w:rsidRPr="00632672" w:rsidRDefault="0000425C" w:rsidP="007A6BD6">
            <w:pPr>
              <w:pStyle w:val="TableText"/>
              <w:keepNext w:val="0"/>
              <w:keepLines w:val="0"/>
              <w:rPr>
                <w:szCs w:val="18"/>
              </w:rPr>
            </w:pPr>
            <w:r w:rsidRPr="00632672">
              <w:rPr>
                <w:rFonts w:cs="Arial"/>
                <w:szCs w:val="20"/>
              </w:rPr>
              <w:t>Bel E, Wenzel S, Thompson P, et al. Oral glucocorticoid-sparing effect of mepolizumab in eosinophilic asthma.</w:t>
            </w:r>
          </w:p>
        </w:tc>
        <w:tc>
          <w:tcPr>
            <w:tcW w:w="1387" w:type="pct"/>
            <w:tcBorders>
              <w:top w:val="nil"/>
              <w:bottom w:val="single" w:sz="4" w:space="0" w:color="auto"/>
            </w:tcBorders>
            <w:shd w:val="clear" w:color="auto" w:fill="B8CCE4" w:themeFill="accent1" w:themeFillTint="66"/>
            <w:vAlign w:val="center"/>
          </w:tcPr>
          <w:p w14:paraId="4C083749" w14:textId="77777777" w:rsidR="0000425C" w:rsidRPr="00632672" w:rsidRDefault="0000425C" w:rsidP="007A6BD6">
            <w:pPr>
              <w:pStyle w:val="TableText"/>
              <w:keepNext w:val="0"/>
              <w:keepLines w:val="0"/>
              <w:rPr>
                <w:i/>
                <w:szCs w:val="18"/>
              </w:rPr>
            </w:pPr>
            <w:r w:rsidRPr="00632672">
              <w:rPr>
                <w:i/>
                <w:iCs/>
                <w:szCs w:val="20"/>
              </w:rPr>
              <w:t xml:space="preserve">N Engl J Med </w:t>
            </w:r>
            <w:r w:rsidRPr="00632672">
              <w:rPr>
                <w:iCs/>
                <w:szCs w:val="20"/>
              </w:rPr>
              <w:t>2014</w:t>
            </w:r>
            <w:r w:rsidRPr="00632672">
              <w:rPr>
                <w:i/>
                <w:iCs/>
                <w:szCs w:val="20"/>
              </w:rPr>
              <w:t>;</w:t>
            </w:r>
            <w:r w:rsidRPr="00632672">
              <w:rPr>
                <w:iCs/>
                <w:szCs w:val="20"/>
              </w:rPr>
              <w:t xml:space="preserve"> 371</w:t>
            </w:r>
            <w:r w:rsidRPr="00632672">
              <w:rPr>
                <w:szCs w:val="20"/>
              </w:rPr>
              <w:t xml:space="preserve">:1189-97. </w:t>
            </w:r>
          </w:p>
        </w:tc>
      </w:tr>
      <w:tr w:rsidR="0000425C" w:rsidRPr="00632672" w14:paraId="6A33C959" w14:textId="77777777" w:rsidTr="007A6BD6">
        <w:trPr>
          <w:cantSplit/>
          <w:jc w:val="center"/>
        </w:trPr>
        <w:tc>
          <w:tcPr>
            <w:tcW w:w="775" w:type="pct"/>
            <w:tcBorders>
              <w:top w:val="nil"/>
              <w:bottom w:val="single" w:sz="4" w:space="0" w:color="auto"/>
            </w:tcBorders>
            <w:vAlign w:val="center"/>
          </w:tcPr>
          <w:p w14:paraId="487298F4" w14:textId="77777777" w:rsidR="0000425C" w:rsidRPr="00632672" w:rsidRDefault="0000425C" w:rsidP="007A6BD6">
            <w:pPr>
              <w:pStyle w:val="TableText"/>
              <w:keepNext w:val="0"/>
              <w:keepLines w:val="0"/>
              <w:rPr>
                <w:szCs w:val="20"/>
              </w:rPr>
            </w:pPr>
            <w:r w:rsidRPr="00632672">
              <w:rPr>
                <w:szCs w:val="20"/>
              </w:rPr>
              <w:t>201536</w:t>
            </w:r>
          </w:p>
        </w:tc>
        <w:tc>
          <w:tcPr>
            <w:tcW w:w="2838" w:type="pct"/>
            <w:tcBorders>
              <w:top w:val="nil"/>
              <w:bottom w:val="single" w:sz="4" w:space="0" w:color="auto"/>
            </w:tcBorders>
          </w:tcPr>
          <w:p w14:paraId="6F62A613" w14:textId="77777777" w:rsidR="0000425C" w:rsidRPr="00632672" w:rsidRDefault="0000425C" w:rsidP="007A6BD6">
            <w:pPr>
              <w:pStyle w:val="TableText"/>
              <w:keepNext w:val="0"/>
              <w:keepLines w:val="0"/>
              <w:rPr>
                <w:rFonts w:cs="Arial"/>
                <w:szCs w:val="20"/>
              </w:rPr>
            </w:pPr>
            <w:r w:rsidRPr="00632672">
              <w:rPr>
                <w:rFonts w:cs="Arial"/>
                <w:szCs w:val="20"/>
              </w:rPr>
              <w:t>Chen R, Wei L, Dai Y et al. Efficacy and safety of mepolizumab in a Chinese population with severe asthma: a phase III, randomised, double-blind, placebo-controlled trial.</w:t>
            </w:r>
          </w:p>
        </w:tc>
        <w:tc>
          <w:tcPr>
            <w:tcW w:w="1387" w:type="pct"/>
            <w:tcBorders>
              <w:top w:val="nil"/>
              <w:bottom w:val="single" w:sz="4" w:space="0" w:color="auto"/>
            </w:tcBorders>
            <w:vAlign w:val="center"/>
          </w:tcPr>
          <w:p w14:paraId="368A1426" w14:textId="77777777" w:rsidR="0000425C" w:rsidRPr="00632672" w:rsidRDefault="0000425C" w:rsidP="007A6BD6">
            <w:pPr>
              <w:pStyle w:val="TableText"/>
              <w:keepNext w:val="0"/>
              <w:keepLines w:val="0"/>
              <w:rPr>
                <w:i/>
                <w:iCs/>
                <w:szCs w:val="20"/>
              </w:rPr>
            </w:pPr>
            <w:r w:rsidRPr="00632672">
              <w:rPr>
                <w:i/>
                <w:iCs/>
                <w:szCs w:val="20"/>
              </w:rPr>
              <w:t xml:space="preserve">ERJ Open Res. </w:t>
            </w:r>
            <w:r w:rsidRPr="00E94101">
              <w:rPr>
                <w:szCs w:val="20"/>
              </w:rPr>
              <w:t>2024;10(3</w:t>
            </w:r>
            <w:proofErr w:type="gramStart"/>
            <w:r w:rsidRPr="00E94101">
              <w:rPr>
                <w:szCs w:val="20"/>
              </w:rPr>
              <w:t>):1:14</w:t>
            </w:r>
            <w:proofErr w:type="gramEnd"/>
            <w:r w:rsidRPr="00E94101">
              <w:rPr>
                <w:szCs w:val="20"/>
              </w:rPr>
              <w:t>.</w:t>
            </w:r>
          </w:p>
        </w:tc>
      </w:tr>
      <w:tr w:rsidR="0000425C" w:rsidRPr="00632672" w14:paraId="6ECFA79B" w14:textId="77777777" w:rsidTr="007A6BD6">
        <w:trPr>
          <w:cantSplit/>
          <w:jc w:val="center"/>
        </w:trPr>
        <w:tc>
          <w:tcPr>
            <w:tcW w:w="5000" w:type="pct"/>
            <w:gridSpan w:val="3"/>
            <w:tcBorders>
              <w:top w:val="nil"/>
              <w:bottom w:val="single" w:sz="4" w:space="0" w:color="auto"/>
            </w:tcBorders>
            <w:vAlign w:val="center"/>
          </w:tcPr>
          <w:p w14:paraId="5FC0497A" w14:textId="77777777" w:rsidR="0000425C" w:rsidRPr="00706D77" w:rsidRDefault="0000425C" w:rsidP="007A6BD6">
            <w:pPr>
              <w:pStyle w:val="TableText"/>
              <w:keepNext w:val="0"/>
              <w:keepLines w:val="0"/>
              <w:rPr>
                <w:b/>
                <w:bCs w:val="0"/>
                <w:szCs w:val="20"/>
              </w:rPr>
            </w:pPr>
            <w:r w:rsidRPr="00706D77">
              <w:rPr>
                <w:b/>
                <w:bCs w:val="0"/>
                <w:szCs w:val="20"/>
              </w:rPr>
              <w:t>Omalizumab</w:t>
            </w:r>
          </w:p>
        </w:tc>
      </w:tr>
      <w:tr w:rsidR="0000425C" w:rsidRPr="00632672" w14:paraId="2B9F6367" w14:textId="77777777" w:rsidTr="007A6BD6">
        <w:trPr>
          <w:cantSplit/>
          <w:jc w:val="center"/>
        </w:trPr>
        <w:tc>
          <w:tcPr>
            <w:tcW w:w="775" w:type="pct"/>
            <w:tcBorders>
              <w:top w:val="nil"/>
              <w:bottom w:val="single" w:sz="4" w:space="0" w:color="auto"/>
            </w:tcBorders>
            <w:shd w:val="clear" w:color="auto" w:fill="B8CCE4" w:themeFill="accent1" w:themeFillTint="66"/>
            <w:vAlign w:val="center"/>
          </w:tcPr>
          <w:p w14:paraId="2F5DE0CB" w14:textId="77777777" w:rsidR="0000425C" w:rsidRPr="00632672" w:rsidRDefault="0000425C" w:rsidP="007A6BD6">
            <w:pPr>
              <w:pStyle w:val="TableText"/>
              <w:keepNext w:val="0"/>
              <w:keepLines w:val="0"/>
              <w:rPr>
                <w:szCs w:val="20"/>
              </w:rPr>
            </w:pPr>
            <w:r w:rsidRPr="00632672">
              <w:rPr>
                <w:szCs w:val="20"/>
              </w:rPr>
              <w:t>EXTRA</w:t>
            </w:r>
          </w:p>
          <w:p w14:paraId="3F858C69" w14:textId="77777777" w:rsidR="0000425C" w:rsidRPr="00632672" w:rsidRDefault="0000425C" w:rsidP="007A6BD6">
            <w:pPr>
              <w:pStyle w:val="TableText"/>
              <w:keepNext w:val="0"/>
              <w:keepLines w:val="0"/>
            </w:pPr>
          </w:p>
        </w:tc>
        <w:tc>
          <w:tcPr>
            <w:tcW w:w="2838" w:type="pct"/>
            <w:tcBorders>
              <w:top w:val="nil"/>
              <w:bottom w:val="single" w:sz="4" w:space="0" w:color="auto"/>
            </w:tcBorders>
            <w:shd w:val="clear" w:color="auto" w:fill="B8CCE4" w:themeFill="accent1" w:themeFillTint="66"/>
          </w:tcPr>
          <w:p w14:paraId="0168689F" w14:textId="77777777" w:rsidR="0000425C" w:rsidRPr="00632672" w:rsidRDefault="0000425C" w:rsidP="007A6BD6">
            <w:pPr>
              <w:pStyle w:val="TableText"/>
              <w:keepNext w:val="0"/>
              <w:keepLines w:val="0"/>
              <w:rPr>
                <w:szCs w:val="18"/>
              </w:rPr>
            </w:pPr>
            <w:r w:rsidRPr="00632672">
              <w:rPr>
                <w:szCs w:val="20"/>
              </w:rPr>
              <w:t xml:space="preserve">Hanania N, Alpan O, </w:t>
            </w:r>
            <w:proofErr w:type="spellStart"/>
            <w:r w:rsidRPr="00632672">
              <w:rPr>
                <w:szCs w:val="20"/>
              </w:rPr>
              <w:t>Hamilos</w:t>
            </w:r>
            <w:proofErr w:type="spellEnd"/>
            <w:r w:rsidRPr="00632672">
              <w:rPr>
                <w:szCs w:val="20"/>
              </w:rPr>
              <w:t xml:space="preserve"> D, et al. Omalizumab in severe allergic asthma inadequately controlled with standard therapy.</w:t>
            </w:r>
          </w:p>
        </w:tc>
        <w:tc>
          <w:tcPr>
            <w:tcW w:w="1387" w:type="pct"/>
            <w:tcBorders>
              <w:top w:val="nil"/>
              <w:bottom w:val="single" w:sz="4" w:space="0" w:color="auto"/>
            </w:tcBorders>
            <w:shd w:val="clear" w:color="auto" w:fill="B8CCE4" w:themeFill="accent1" w:themeFillTint="66"/>
            <w:vAlign w:val="center"/>
          </w:tcPr>
          <w:p w14:paraId="1D825263" w14:textId="77777777" w:rsidR="0000425C" w:rsidRPr="00632672" w:rsidRDefault="0000425C" w:rsidP="007A6BD6">
            <w:pPr>
              <w:pStyle w:val="TableText"/>
              <w:keepNext w:val="0"/>
              <w:keepLines w:val="0"/>
              <w:rPr>
                <w:i/>
                <w:szCs w:val="18"/>
              </w:rPr>
            </w:pPr>
            <w:r w:rsidRPr="00632672">
              <w:rPr>
                <w:i/>
                <w:iCs/>
                <w:szCs w:val="20"/>
              </w:rPr>
              <w:t xml:space="preserve">Ann Intern Med </w:t>
            </w:r>
            <w:r w:rsidRPr="00632672">
              <w:rPr>
                <w:iCs/>
                <w:szCs w:val="20"/>
              </w:rPr>
              <w:t>2011; 154</w:t>
            </w:r>
            <w:r w:rsidRPr="00632672">
              <w:rPr>
                <w:szCs w:val="20"/>
              </w:rPr>
              <w:t>:573-582.</w:t>
            </w:r>
          </w:p>
        </w:tc>
      </w:tr>
      <w:tr w:rsidR="0000425C" w:rsidRPr="00632672" w14:paraId="5F7C4EA3" w14:textId="77777777" w:rsidTr="007A6BD6">
        <w:trPr>
          <w:cantSplit/>
          <w:jc w:val="center"/>
        </w:trPr>
        <w:tc>
          <w:tcPr>
            <w:tcW w:w="775" w:type="pct"/>
            <w:tcBorders>
              <w:top w:val="nil"/>
              <w:bottom w:val="single" w:sz="4" w:space="0" w:color="auto"/>
            </w:tcBorders>
            <w:shd w:val="clear" w:color="auto" w:fill="B8CCE4" w:themeFill="accent1" w:themeFillTint="66"/>
            <w:vAlign w:val="center"/>
          </w:tcPr>
          <w:p w14:paraId="1CB537AE" w14:textId="77777777" w:rsidR="0000425C" w:rsidRPr="00632672" w:rsidRDefault="0000425C" w:rsidP="007A6BD6">
            <w:pPr>
              <w:pStyle w:val="TableText"/>
              <w:keepNext w:val="0"/>
              <w:keepLines w:val="0"/>
              <w:rPr>
                <w:szCs w:val="20"/>
              </w:rPr>
            </w:pPr>
            <w:r w:rsidRPr="00632672">
              <w:rPr>
                <w:szCs w:val="20"/>
              </w:rPr>
              <w:t>INNOVATE</w:t>
            </w:r>
          </w:p>
          <w:p w14:paraId="6F25D474" w14:textId="77777777" w:rsidR="0000425C" w:rsidRPr="00632672" w:rsidRDefault="0000425C" w:rsidP="007A6BD6">
            <w:pPr>
              <w:pStyle w:val="TableText"/>
              <w:keepNext w:val="0"/>
              <w:keepLines w:val="0"/>
            </w:pPr>
          </w:p>
        </w:tc>
        <w:tc>
          <w:tcPr>
            <w:tcW w:w="2838" w:type="pct"/>
            <w:tcBorders>
              <w:top w:val="nil"/>
              <w:bottom w:val="single" w:sz="4" w:space="0" w:color="auto"/>
            </w:tcBorders>
            <w:shd w:val="clear" w:color="auto" w:fill="B8CCE4" w:themeFill="accent1" w:themeFillTint="66"/>
          </w:tcPr>
          <w:p w14:paraId="19545E37" w14:textId="77777777" w:rsidR="0000425C" w:rsidRPr="00632672" w:rsidRDefault="0000425C" w:rsidP="007A6BD6">
            <w:pPr>
              <w:pStyle w:val="TableText"/>
              <w:keepNext w:val="0"/>
              <w:keepLines w:val="0"/>
              <w:rPr>
                <w:szCs w:val="18"/>
              </w:rPr>
            </w:pPr>
            <w:r w:rsidRPr="00632672">
              <w:rPr>
                <w:szCs w:val="20"/>
              </w:rPr>
              <w:t>Humbert M, Beasley R, Ayres J, et al. Benefits of omalizumab as add</w:t>
            </w:r>
            <w:r w:rsidRPr="00632672">
              <w:rPr>
                <w:rFonts w:ascii="Cambria Math" w:hAnsi="Cambria Math" w:cs="Cambria Math"/>
                <w:szCs w:val="20"/>
              </w:rPr>
              <w:t>‐</w:t>
            </w:r>
            <w:r w:rsidRPr="00632672">
              <w:rPr>
                <w:szCs w:val="20"/>
              </w:rPr>
              <w:t xml:space="preserve">on therapy in patients with severe persistent asthma who are inadequately controlled despite best available therapy (GINA 2002 step 4 treatment): INNOVATE </w:t>
            </w:r>
          </w:p>
        </w:tc>
        <w:tc>
          <w:tcPr>
            <w:tcW w:w="1387" w:type="pct"/>
            <w:tcBorders>
              <w:top w:val="nil"/>
              <w:bottom w:val="single" w:sz="4" w:space="0" w:color="auto"/>
            </w:tcBorders>
            <w:shd w:val="clear" w:color="auto" w:fill="B8CCE4" w:themeFill="accent1" w:themeFillTint="66"/>
            <w:vAlign w:val="center"/>
          </w:tcPr>
          <w:p w14:paraId="54AF2DC9" w14:textId="77777777" w:rsidR="0000425C" w:rsidRPr="00632672" w:rsidRDefault="0000425C" w:rsidP="007A6BD6">
            <w:pPr>
              <w:pStyle w:val="TableText"/>
              <w:keepNext w:val="0"/>
              <w:keepLines w:val="0"/>
              <w:rPr>
                <w:i/>
                <w:szCs w:val="18"/>
              </w:rPr>
            </w:pPr>
            <w:r w:rsidRPr="00632672">
              <w:rPr>
                <w:i/>
                <w:iCs/>
                <w:szCs w:val="20"/>
              </w:rPr>
              <w:t xml:space="preserve">Allergy </w:t>
            </w:r>
            <w:r w:rsidRPr="00632672">
              <w:rPr>
                <w:iCs/>
                <w:szCs w:val="20"/>
              </w:rPr>
              <w:t>2005; 60</w:t>
            </w:r>
            <w:r w:rsidRPr="00632672">
              <w:rPr>
                <w:szCs w:val="20"/>
              </w:rPr>
              <w:t>:309-16.</w:t>
            </w:r>
          </w:p>
        </w:tc>
      </w:tr>
    </w:tbl>
    <w:p w14:paraId="3EE19C28" w14:textId="77777777" w:rsidR="0000425C" w:rsidRDefault="0000425C" w:rsidP="0000425C">
      <w:pPr>
        <w:pStyle w:val="TableFigureFooter"/>
        <w:rPr>
          <w:shd w:val="clear" w:color="auto" w:fill="FFFFFF" w:themeFill="background1"/>
        </w:rPr>
      </w:pPr>
      <w:r w:rsidRPr="006E1E67">
        <w:t xml:space="preserve">Source: Table 2-9, pp42-43; Table 2-11, p45 of the submission and Table 1, p1; Table 3, p3; Table 5, p4 of the Attachment 2.9 TEZE </w:t>
      </w:r>
      <w:proofErr w:type="spellStart"/>
      <w:r w:rsidRPr="007A59C1">
        <w:rPr>
          <w:shd w:val="clear" w:color="auto" w:fill="FFFFFF" w:themeFill="background1"/>
        </w:rPr>
        <w:t>submission_Section</w:t>
      </w:r>
      <w:proofErr w:type="spellEnd"/>
      <w:r w:rsidRPr="006E1E67">
        <w:t xml:space="preserve"> 2 Additional </w:t>
      </w:r>
      <w:proofErr w:type="spellStart"/>
      <w:r w:rsidRPr="006E1E67">
        <w:t>Comparators_May</w:t>
      </w:r>
      <w:proofErr w:type="spellEnd"/>
      <w:r w:rsidRPr="006E1E67">
        <w:t xml:space="preserve"> 2025 </w:t>
      </w:r>
      <w:r w:rsidRPr="006E1E67">
        <w:rPr>
          <w:shd w:val="clear" w:color="auto" w:fill="FFFFFF" w:themeFill="background1"/>
        </w:rPr>
        <w:t>and para., 6.3, dupilumab PSD, November 2020 PBAC Meeting.</w:t>
      </w:r>
    </w:p>
    <w:p w14:paraId="7030754F" w14:textId="77777777" w:rsidR="0000425C" w:rsidRPr="00EE227E" w:rsidRDefault="0000425C" w:rsidP="0000425C">
      <w:pPr>
        <w:pStyle w:val="TableFigureFooter"/>
        <w:rPr>
          <w:iCs/>
        </w:rPr>
      </w:pPr>
      <w:r w:rsidRPr="00EE227E">
        <w:rPr>
          <w:iCs/>
          <w:shd w:val="clear" w:color="auto" w:fill="B8CCE4" w:themeFill="accent1" w:themeFillTint="66"/>
        </w:rPr>
        <w:t>Blue shading</w:t>
      </w:r>
      <w:r w:rsidRPr="00EE227E">
        <w:rPr>
          <w:iCs/>
        </w:rPr>
        <w:t xml:space="preserve"> indicates previously seen by the PBAC.</w:t>
      </w:r>
    </w:p>
    <w:p w14:paraId="0E113C2E" w14:textId="14125FBA" w:rsidR="0000425C" w:rsidRPr="00FA43A9" w:rsidRDefault="0000425C" w:rsidP="0000425C">
      <w:pPr>
        <w:pStyle w:val="3-BodyText"/>
        <w:numPr>
          <w:ilvl w:val="1"/>
          <w:numId w:val="1"/>
        </w:numPr>
        <w:ind w:left="709"/>
      </w:pPr>
      <w:r w:rsidRPr="0098262F">
        <w:t xml:space="preserve">The key features of the </w:t>
      </w:r>
      <w:proofErr w:type="spellStart"/>
      <w:r>
        <w:t>tezepelumab</w:t>
      </w:r>
      <w:proofErr w:type="spellEnd"/>
      <w:r>
        <w:t xml:space="preserve"> and the primary comparator dupilumab </w:t>
      </w:r>
      <w:r w:rsidRPr="0098262F">
        <w:t>direct randomised trials are summarised in</w:t>
      </w:r>
      <w:r>
        <w:t xml:space="preserve"> </w:t>
      </w:r>
      <w:r>
        <w:fldChar w:fldCharType="begin"/>
      </w:r>
      <w:r>
        <w:instrText xml:space="preserve"> REF _Ref206422255 \h  \* MERGEFORMAT </w:instrText>
      </w:r>
      <w:r>
        <w:fldChar w:fldCharType="separate"/>
      </w:r>
      <w:r w:rsidR="0078760A">
        <w:t>Table 3</w:t>
      </w:r>
      <w:r>
        <w:fldChar w:fldCharType="end"/>
      </w:r>
      <w:r>
        <w:t>.</w:t>
      </w:r>
    </w:p>
    <w:p w14:paraId="463E7A84" w14:textId="53A180BD" w:rsidR="0000425C" w:rsidRDefault="0000425C" w:rsidP="007A6BD6">
      <w:pPr>
        <w:pStyle w:val="COMtablefigcaption"/>
        <w:keepLines/>
      </w:pPr>
      <w:bookmarkStart w:id="24" w:name="_Ref206422255"/>
      <w:r>
        <w:t xml:space="preserve">Table </w:t>
      </w:r>
      <w:r w:rsidR="001146FA">
        <w:fldChar w:fldCharType="begin"/>
      </w:r>
      <w:r w:rsidR="001146FA">
        <w:instrText xml:space="preserve"> SEQ Table \* ARABIC </w:instrText>
      </w:r>
      <w:r w:rsidR="001146FA">
        <w:fldChar w:fldCharType="separate"/>
      </w:r>
      <w:r w:rsidR="0078760A">
        <w:rPr>
          <w:noProof/>
        </w:rPr>
        <w:t>3</w:t>
      </w:r>
      <w:r w:rsidR="001146FA">
        <w:rPr>
          <w:noProof/>
        </w:rPr>
        <w:fldChar w:fldCharType="end"/>
      </w:r>
      <w:bookmarkEnd w:id="24"/>
      <w:r>
        <w:t xml:space="preserve">: </w:t>
      </w:r>
      <w:r w:rsidRPr="00CF33E0">
        <w:t>Key features of the included evidence</w:t>
      </w:r>
    </w:p>
    <w:tbl>
      <w:tblPr>
        <w:tblStyle w:val="HTAtableplain1"/>
        <w:tblW w:w="5000" w:type="pct"/>
        <w:jc w:val="center"/>
        <w:shd w:val="clear" w:color="auto" w:fill="FFFFFF" w:themeFill="background1"/>
        <w:tblLayout w:type="fixed"/>
        <w:tblLook w:val="04A0" w:firstRow="1" w:lastRow="0" w:firstColumn="1" w:lastColumn="0" w:noHBand="0" w:noVBand="1"/>
        <w:tblCaption w:val="Key features of the included evidence"/>
      </w:tblPr>
      <w:tblGrid>
        <w:gridCol w:w="1415"/>
        <w:gridCol w:w="848"/>
        <w:gridCol w:w="992"/>
        <w:gridCol w:w="1046"/>
        <w:gridCol w:w="1789"/>
        <w:gridCol w:w="1558"/>
        <w:gridCol w:w="1369"/>
      </w:tblGrid>
      <w:tr w:rsidR="0000425C" w:rsidRPr="00D84BB3" w14:paraId="65FDC5C9" w14:textId="77777777" w:rsidTr="007A6BD6">
        <w:trPr>
          <w:cantSplit/>
          <w:tblHeader/>
          <w:jc w:val="center"/>
        </w:trPr>
        <w:tc>
          <w:tcPr>
            <w:tcW w:w="785" w:type="pct"/>
            <w:shd w:val="clear" w:color="auto" w:fill="FFFFFF" w:themeFill="background1"/>
            <w:vAlign w:val="center"/>
          </w:tcPr>
          <w:p w14:paraId="65EEF091" w14:textId="77777777" w:rsidR="0000425C" w:rsidRPr="00D84BB3" w:rsidRDefault="0000425C" w:rsidP="007A6BD6">
            <w:pPr>
              <w:keepNext/>
              <w:keepLines/>
              <w:spacing w:line="240" w:lineRule="auto"/>
              <w:jc w:val="center"/>
              <w:rPr>
                <w:rFonts w:ascii="Arial Narrow" w:eastAsiaTheme="majorEastAsia" w:hAnsi="Arial Narrow" w:cstheme="majorBidi"/>
                <w:b/>
                <w:sz w:val="20"/>
                <w:szCs w:val="20"/>
                <w:lang w:bidi="en-US"/>
              </w:rPr>
            </w:pPr>
            <w:r w:rsidRPr="00D84BB3">
              <w:rPr>
                <w:rFonts w:ascii="Arial Narrow" w:eastAsiaTheme="majorEastAsia" w:hAnsi="Arial Narrow" w:cstheme="majorBidi"/>
                <w:b/>
                <w:sz w:val="20"/>
                <w:szCs w:val="20"/>
                <w:lang w:bidi="en-US"/>
              </w:rPr>
              <w:t>Trial</w:t>
            </w:r>
          </w:p>
        </w:tc>
        <w:tc>
          <w:tcPr>
            <w:tcW w:w="470" w:type="pct"/>
            <w:shd w:val="clear" w:color="auto" w:fill="FFFFFF" w:themeFill="background1"/>
            <w:vAlign w:val="center"/>
          </w:tcPr>
          <w:p w14:paraId="1A8FE9FB" w14:textId="77777777" w:rsidR="0000425C" w:rsidRPr="00D84BB3" w:rsidRDefault="0000425C" w:rsidP="007A6BD6">
            <w:pPr>
              <w:keepNext/>
              <w:keepLines/>
              <w:spacing w:line="240" w:lineRule="auto"/>
              <w:jc w:val="center"/>
              <w:rPr>
                <w:rFonts w:ascii="Arial Narrow" w:eastAsiaTheme="majorEastAsia" w:hAnsi="Arial Narrow" w:cstheme="majorBidi"/>
                <w:b/>
                <w:sz w:val="20"/>
                <w:szCs w:val="20"/>
                <w:lang w:bidi="en-US"/>
              </w:rPr>
            </w:pPr>
            <w:r w:rsidRPr="00D84BB3">
              <w:rPr>
                <w:rFonts w:ascii="Arial Narrow" w:eastAsiaTheme="majorEastAsia" w:hAnsi="Arial Narrow" w:cstheme="majorBidi"/>
                <w:b/>
                <w:sz w:val="20"/>
                <w:szCs w:val="20"/>
                <w:lang w:bidi="en-US"/>
              </w:rPr>
              <w:t>N</w:t>
            </w:r>
          </w:p>
        </w:tc>
        <w:tc>
          <w:tcPr>
            <w:tcW w:w="550" w:type="pct"/>
            <w:shd w:val="clear" w:color="auto" w:fill="FFFFFF" w:themeFill="background1"/>
            <w:vAlign w:val="center"/>
          </w:tcPr>
          <w:p w14:paraId="1E100CF7" w14:textId="77777777" w:rsidR="0000425C" w:rsidRPr="00D84BB3" w:rsidRDefault="0000425C" w:rsidP="007A6BD6">
            <w:pPr>
              <w:keepNext/>
              <w:keepLines/>
              <w:spacing w:line="240" w:lineRule="auto"/>
              <w:jc w:val="center"/>
              <w:rPr>
                <w:rFonts w:ascii="Arial Narrow" w:eastAsiaTheme="majorEastAsia" w:hAnsi="Arial Narrow" w:cstheme="majorBidi"/>
                <w:b/>
                <w:sz w:val="20"/>
                <w:szCs w:val="20"/>
                <w:lang w:bidi="en-US"/>
              </w:rPr>
            </w:pPr>
            <w:r w:rsidRPr="00D84BB3">
              <w:rPr>
                <w:rFonts w:ascii="Arial Narrow" w:eastAsiaTheme="majorEastAsia" w:hAnsi="Arial Narrow" w:cstheme="majorBidi"/>
                <w:b/>
                <w:sz w:val="20"/>
                <w:szCs w:val="20"/>
                <w:lang w:bidi="en-US"/>
              </w:rPr>
              <w:t>Design</w:t>
            </w:r>
          </w:p>
          <w:p w14:paraId="68CE1DD8" w14:textId="77777777" w:rsidR="0000425C" w:rsidRPr="00D84BB3" w:rsidRDefault="0000425C" w:rsidP="007A6BD6">
            <w:pPr>
              <w:keepNext/>
              <w:keepLines/>
              <w:spacing w:line="240" w:lineRule="auto"/>
              <w:jc w:val="center"/>
              <w:rPr>
                <w:rFonts w:ascii="Arial Narrow" w:eastAsiaTheme="majorEastAsia" w:hAnsi="Arial Narrow" w:cstheme="majorBidi"/>
                <w:b/>
                <w:sz w:val="20"/>
                <w:szCs w:val="20"/>
                <w:lang w:bidi="en-US"/>
              </w:rPr>
            </w:pPr>
            <w:r>
              <w:rPr>
                <w:rFonts w:ascii="Arial Narrow" w:eastAsiaTheme="majorEastAsia" w:hAnsi="Arial Narrow" w:cstheme="majorBidi"/>
                <w:b/>
                <w:sz w:val="20"/>
                <w:szCs w:val="20"/>
                <w:lang w:bidi="en-US"/>
              </w:rPr>
              <w:t xml:space="preserve">/ </w:t>
            </w:r>
            <w:r w:rsidRPr="00D84BB3">
              <w:rPr>
                <w:rFonts w:ascii="Arial Narrow" w:eastAsiaTheme="majorEastAsia" w:hAnsi="Arial Narrow" w:cstheme="majorBidi"/>
                <w:b/>
                <w:sz w:val="20"/>
                <w:szCs w:val="20"/>
                <w:lang w:bidi="en-US"/>
              </w:rPr>
              <w:t>Duration</w:t>
            </w:r>
          </w:p>
        </w:tc>
        <w:tc>
          <w:tcPr>
            <w:tcW w:w="580" w:type="pct"/>
            <w:shd w:val="clear" w:color="auto" w:fill="FFFFFF" w:themeFill="background1"/>
            <w:vAlign w:val="center"/>
          </w:tcPr>
          <w:p w14:paraId="465BD790" w14:textId="77777777" w:rsidR="0000425C" w:rsidRPr="00D84BB3" w:rsidRDefault="0000425C" w:rsidP="007A6BD6">
            <w:pPr>
              <w:keepNext/>
              <w:keepLines/>
              <w:spacing w:line="240" w:lineRule="auto"/>
              <w:jc w:val="center"/>
              <w:rPr>
                <w:rFonts w:ascii="Arial Narrow" w:eastAsiaTheme="majorEastAsia" w:hAnsi="Arial Narrow" w:cstheme="majorBidi"/>
                <w:b/>
                <w:sz w:val="20"/>
                <w:szCs w:val="20"/>
                <w:lang w:bidi="en-US"/>
              </w:rPr>
            </w:pPr>
            <w:r w:rsidRPr="00D84BB3">
              <w:rPr>
                <w:rFonts w:ascii="Arial Narrow" w:eastAsiaTheme="majorEastAsia" w:hAnsi="Arial Narrow" w:cstheme="majorBidi"/>
                <w:b/>
                <w:sz w:val="20"/>
                <w:szCs w:val="20"/>
                <w:lang w:bidi="en-US"/>
              </w:rPr>
              <w:t>Risk of bias</w:t>
            </w:r>
          </w:p>
        </w:tc>
        <w:tc>
          <w:tcPr>
            <w:tcW w:w="992" w:type="pct"/>
            <w:shd w:val="clear" w:color="auto" w:fill="FFFFFF" w:themeFill="background1"/>
            <w:vAlign w:val="center"/>
          </w:tcPr>
          <w:p w14:paraId="4C697EF6" w14:textId="77777777" w:rsidR="0000425C" w:rsidRPr="00D84BB3" w:rsidRDefault="0000425C" w:rsidP="007A6BD6">
            <w:pPr>
              <w:keepNext/>
              <w:keepLines/>
              <w:spacing w:line="240" w:lineRule="auto"/>
              <w:jc w:val="center"/>
              <w:rPr>
                <w:rFonts w:ascii="Arial Narrow" w:eastAsiaTheme="majorEastAsia" w:hAnsi="Arial Narrow" w:cstheme="majorBidi"/>
                <w:b/>
                <w:sz w:val="20"/>
                <w:szCs w:val="20"/>
                <w:lang w:bidi="en-US"/>
              </w:rPr>
            </w:pPr>
            <w:r>
              <w:rPr>
                <w:rFonts w:ascii="Arial Narrow" w:eastAsiaTheme="majorEastAsia" w:hAnsi="Arial Narrow" w:cstheme="majorBidi"/>
                <w:b/>
                <w:sz w:val="20"/>
                <w:szCs w:val="20"/>
                <w:lang w:bidi="en-US"/>
              </w:rPr>
              <w:t>Patient</w:t>
            </w:r>
            <w:r w:rsidRPr="00D84BB3">
              <w:rPr>
                <w:rFonts w:ascii="Arial Narrow" w:eastAsiaTheme="majorEastAsia" w:hAnsi="Arial Narrow" w:cstheme="majorBidi"/>
                <w:b/>
                <w:sz w:val="20"/>
                <w:szCs w:val="20"/>
                <w:lang w:bidi="en-US"/>
              </w:rPr>
              <w:t xml:space="preserve"> population</w:t>
            </w:r>
          </w:p>
        </w:tc>
        <w:tc>
          <w:tcPr>
            <w:tcW w:w="864" w:type="pct"/>
            <w:shd w:val="clear" w:color="auto" w:fill="FFFFFF" w:themeFill="background1"/>
            <w:vAlign w:val="center"/>
          </w:tcPr>
          <w:p w14:paraId="0638806F" w14:textId="77777777" w:rsidR="0000425C" w:rsidRPr="00D84BB3" w:rsidRDefault="0000425C" w:rsidP="007A6BD6">
            <w:pPr>
              <w:keepNext/>
              <w:keepLines/>
              <w:spacing w:line="240" w:lineRule="auto"/>
              <w:jc w:val="center"/>
              <w:rPr>
                <w:rFonts w:ascii="Arial Narrow" w:eastAsiaTheme="majorEastAsia" w:hAnsi="Arial Narrow" w:cstheme="majorBidi"/>
                <w:b/>
                <w:sz w:val="20"/>
                <w:szCs w:val="20"/>
                <w:lang w:bidi="en-US"/>
              </w:rPr>
            </w:pPr>
            <w:r>
              <w:rPr>
                <w:rFonts w:ascii="Arial Narrow" w:eastAsiaTheme="majorEastAsia" w:hAnsi="Arial Narrow" w:cstheme="majorBidi"/>
                <w:b/>
                <w:sz w:val="20"/>
                <w:szCs w:val="20"/>
                <w:lang w:bidi="en-US"/>
              </w:rPr>
              <w:t>Outcomes</w:t>
            </w:r>
          </w:p>
        </w:tc>
        <w:tc>
          <w:tcPr>
            <w:tcW w:w="758" w:type="pct"/>
            <w:shd w:val="clear" w:color="auto" w:fill="FFFFFF" w:themeFill="background1"/>
            <w:vAlign w:val="center"/>
          </w:tcPr>
          <w:p w14:paraId="40A3C65D" w14:textId="77777777" w:rsidR="0000425C" w:rsidRPr="00D84BB3" w:rsidRDefault="0000425C" w:rsidP="007A6BD6">
            <w:pPr>
              <w:keepNext/>
              <w:keepLines/>
              <w:spacing w:line="240" w:lineRule="auto"/>
              <w:jc w:val="center"/>
              <w:rPr>
                <w:rFonts w:ascii="Arial Narrow" w:eastAsiaTheme="majorEastAsia" w:hAnsi="Arial Narrow" w:cstheme="majorBidi"/>
                <w:b/>
                <w:sz w:val="20"/>
                <w:szCs w:val="20"/>
                <w:lang w:bidi="en-US"/>
              </w:rPr>
            </w:pPr>
            <w:r>
              <w:rPr>
                <w:rFonts w:ascii="Arial Narrow" w:eastAsiaTheme="majorEastAsia" w:hAnsi="Arial Narrow" w:cstheme="majorBidi"/>
                <w:b/>
                <w:sz w:val="20"/>
                <w:szCs w:val="20"/>
                <w:lang w:bidi="en-US"/>
              </w:rPr>
              <w:t>Use in modelled evaluation</w:t>
            </w:r>
          </w:p>
        </w:tc>
      </w:tr>
      <w:tr w:rsidR="0000425C" w:rsidRPr="00D84BB3" w14:paraId="44F706D6" w14:textId="77777777" w:rsidTr="007A6BD6">
        <w:trPr>
          <w:cantSplit/>
          <w:jc w:val="center"/>
        </w:trPr>
        <w:tc>
          <w:tcPr>
            <w:tcW w:w="5000" w:type="pct"/>
            <w:gridSpan w:val="7"/>
            <w:shd w:val="clear" w:color="auto" w:fill="FFFFFF" w:themeFill="background1"/>
          </w:tcPr>
          <w:p w14:paraId="53998E5A" w14:textId="77777777" w:rsidR="0000425C" w:rsidRPr="00D84BB3" w:rsidRDefault="0000425C" w:rsidP="007A6BD6">
            <w:pPr>
              <w:keepNext/>
              <w:keepLines/>
              <w:spacing w:line="240" w:lineRule="auto"/>
              <w:jc w:val="left"/>
              <w:rPr>
                <w:rFonts w:ascii="Arial Narrow" w:eastAsiaTheme="majorEastAsia" w:hAnsi="Arial Narrow" w:cstheme="majorBidi"/>
                <w:b/>
                <w:sz w:val="20"/>
                <w:szCs w:val="20"/>
                <w:lang w:bidi="en-US"/>
              </w:rPr>
            </w:pPr>
            <w:r w:rsidRPr="00D84BB3">
              <w:rPr>
                <w:rFonts w:ascii="Arial Narrow" w:eastAsiaTheme="majorEastAsia" w:hAnsi="Arial Narrow" w:cstheme="majorBidi"/>
                <w:b/>
                <w:sz w:val="20"/>
                <w:szCs w:val="20"/>
                <w:lang w:bidi="en-US"/>
              </w:rPr>
              <w:t xml:space="preserve">Tezepelumab </w:t>
            </w:r>
            <w:r>
              <w:rPr>
                <w:rFonts w:ascii="Arial Narrow" w:eastAsiaTheme="majorEastAsia" w:hAnsi="Arial Narrow" w:cstheme="majorBidi"/>
                <w:b/>
                <w:sz w:val="20"/>
                <w:szCs w:val="20"/>
                <w:lang w:bidi="en-US"/>
              </w:rPr>
              <w:t>versus placebo</w:t>
            </w:r>
          </w:p>
        </w:tc>
      </w:tr>
      <w:tr w:rsidR="0000425C" w:rsidRPr="00D84BB3" w14:paraId="0CEC6BB4" w14:textId="77777777" w:rsidTr="007A6BD6">
        <w:trPr>
          <w:cantSplit/>
          <w:jc w:val="center"/>
        </w:trPr>
        <w:tc>
          <w:tcPr>
            <w:tcW w:w="785" w:type="pct"/>
            <w:shd w:val="clear" w:color="auto" w:fill="FFFFFF" w:themeFill="background1"/>
          </w:tcPr>
          <w:p w14:paraId="53CE080C" w14:textId="77777777" w:rsidR="0000425C" w:rsidRPr="00D84BB3" w:rsidRDefault="0000425C" w:rsidP="007A6BD6">
            <w:pPr>
              <w:keepNext/>
              <w:keepLines/>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NAVIGATOR</w:t>
            </w:r>
          </w:p>
        </w:tc>
        <w:tc>
          <w:tcPr>
            <w:tcW w:w="470" w:type="pct"/>
            <w:shd w:val="clear" w:color="auto" w:fill="FFFFFF" w:themeFill="background1"/>
          </w:tcPr>
          <w:p w14:paraId="22179911" w14:textId="77777777" w:rsidR="0000425C" w:rsidRPr="00D84BB3" w:rsidRDefault="0000425C" w:rsidP="007A6BD6">
            <w:pPr>
              <w:keepNext/>
              <w:keepLines/>
              <w:spacing w:line="240" w:lineRule="auto"/>
              <w:jc w:val="center"/>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1</w:t>
            </w:r>
            <w:r>
              <w:rPr>
                <w:rFonts w:ascii="Arial Narrow" w:eastAsiaTheme="majorEastAsia" w:hAnsi="Arial Narrow" w:cstheme="majorBidi"/>
                <w:bCs/>
                <w:sz w:val="20"/>
                <w:szCs w:val="20"/>
                <w:lang w:bidi="en-US"/>
              </w:rPr>
              <w:t>,</w:t>
            </w:r>
            <w:r w:rsidRPr="00D84BB3">
              <w:rPr>
                <w:rFonts w:ascii="Arial Narrow" w:eastAsiaTheme="majorEastAsia" w:hAnsi="Arial Narrow" w:cstheme="majorBidi"/>
                <w:bCs/>
                <w:sz w:val="20"/>
                <w:szCs w:val="20"/>
                <w:lang w:bidi="en-US"/>
              </w:rPr>
              <w:t>061</w:t>
            </w:r>
          </w:p>
        </w:tc>
        <w:tc>
          <w:tcPr>
            <w:tcW w:w="550" w:type="pct"/>
            <w:shd w:val="clear" w:color="auto" w:fill="FFFFFF" w:themeFill="background1"/>
          </w:tcPr>
          <w:p w14:paraId="7E57D972" w14:textId="77777777" w:rsidR="0000425C" w:rsidRPr="00D84BB3" w:rsidRDefault="0000425C" w:rsidP="007A6BD6">
            <w:pPr>
              <w:keepNext/>
              <w:keepLines/>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R, DB, MC</w:t>
            </w:r>
          </w:p>
          <w:p w14:paraId="0B3DD411" w14:textId="77777777" w:rsidR="0000425C" w:rsidRPr="00D84BB3" w:rsidRDefault="0000425C" w:rsidP="007A6BD6">
            <w:pPr>
              <w:keepNext/>
              <w:keepLines/>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52 weeks</w:t>
            </w:r>
          </w:p>
        </w:tc>
        <w:tc>
          <w:tcPr>
            <w:tcW w:w="580" w:type="pct"/>
            <w:shd w:val="clear" w:color="auto" w:fill="FFFFFF" w:themeFill="background1"/>
          </w:tcPr>
          <w:p w14:paraId="5DFD4825" w14:textId="77777777" w:rsidR="0000425C" w:rsidRPr="003E14BA" w:rsidRDefault="0000425C" w:rsidP="007A6BD6">
            <w:pPr>
              <w:keepNext/>
              <w:keepLines/>
              <w:spacing w:line="240" w:lineRule="auto"/>
              <w:jc w:val="left"/>
              <w:rPr>
                <w:rFonts w:ascii="Arial Narrow" w:eastAsiaTheme="majorEastAsia" w:hAnsi="Arial Narrow" w:cstheme="majorBidi"/>
                <w:sz w:val="20"/>
                <w:szCs w:val="20"/>
                <w:lang w:bidi="en-US"/>
              </w:rPr>
            </w:pPr>
            <w:r w:rsidRPr="003E14BA">
              <w:rPr>
                <w:rFonts w:ascii="Arial Narrow" w:eastAsiaTheme="majorEastAsia" w:hAnsi="Arial Narrow" w:cstheme="majorBidi"/>
                <w:sz w:val="20"/>
                <w:szCs w:val="20"/>
                <w:lang w:bidi="en-US"/>
              </w:rPr>
              <w:t xml:space="preserve">Low </w:t>
            </w:r>
          </w:p>
        </w:tc>
        <w:tc>
          <w:tcPr>
            <w:tcW w:w="992" w:type="pct"/>
            <w:shd w:val="clear" w:color="auto" w:fill="FFFFFF" w:themeFill="background1"/>
          </w:tcPr>
          <w:p w14:paraId="58C5A794" w14:textId="77777777" w:rsidR="0000425C" w:rsidRPr="0052414D" w:rsidRDefault="0000425C" w:rsidP="007A6BD6">
            <w:pPr>
              <w:keepNext/>
              <w:keepLines/>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Adults and adolescents with moderate-to-severe uncontrolled asthma</w:t>
            </w:r>
          </w:p>
        </w:tc>
        <w:tc>
          <w:tcPr>
            <w:tcW w:w="864" w:type="pct"/>
            <w:shd w:val="clear" w:color="auto" w:fill="FFFFFF" w:themeFill="background1"/>
          </w:tcPr>
          <w:p w14:paraId="31BAC770" w14:textId="77777777" w:rsidR="0000425C" w:rsidRPr="0052414D" w:rsidRDefault="0000425C" w:rsidP="007A6BD6">
            <w:pPr>
              <w:keepNext/>
              <w:keepLines/>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Primary: AAER</w:t>
            </w:r>
          </w:p>
          <w:p w14:paraId="6581D207" w14:textId="77777777" w:rsidR="0000425C" w:rsidRPr="0052414D" w:rsidRDefault="0000425C" w:rsidP="007A6BD6">
            <w:pPr>
              <w:keepNext/>
              <w:keepLines/>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Secondary:</w:t>
            </w:r>
          </w:p>
          <w:p w14:paraId="4063352D" w14:textId="77777777" w:rsidR="0000425C" w:rsidRPr="0052414D" w:rsidRDefault="0000425C" w:rsidP="007A6BD6">
            <w:pPr>
              <w:keepNext/>
              <w:keepLines/>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FEV1</w:t>
            </w:r>
          </w:p>
          <w:p w14:paraId="38FBE8FF" w14:textId="77777777" w:rsidR="0000425C" w:rsidRPr="0052414D" w:rsidRDefault="0000425C" w:rsidP="007A6BD6">
            <w:pPr>
              <w:keepNext/>
              <w:keepLines/>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AQLQ(S)+12</w:t>
            </w:r>
          </w:p>
          <w:p w14:paraId="33265CD3" w14:textId="77777777" w:rsidR="0000425C" w:rsidRPr="0052414D" w:rsidRDefault="0000425C" w:rsidP="007A6BD6">
            <w:pPr>
              <w:keepNext/>
              <w:keepLines/>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ACQ-6</w:t>
            </w:r>
          </w:p>
        </w:tc>
        <w:tc>
          <w:tcPr>
            <w:tcW w:w="758" w:type="pct"/>
            <w:shd w:val="clear" w:color="auto" w:fill="FFFFFF" w:themeFill="background1"/>
          </w:tcPr>
          <w:p w14:paraId="61C3CA7D" w14:textId="77777777" w:rsidR="0000425C" w:rsidRPr="0052414D" w:rsidRDefault="0000425C" w:rsidP="007A6BD6">
            <w:pPr>
              <w:keepNext/>
              <w:keepLines/>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AAER</w:t>
            </w:r>
          </w:p>
          <w:p w14:paraId="2F3C1453" w14:textId="77777777" w:rsidR="0000425C" w:rsidRPr="0052414D" w:rsidRDefault="0000425C" w:rsidP="007A6BD6">
            <w:pPr>
              <w:keepNext/>
              <w:keepLines/>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ACQ-6</w:t>
            </w:r>
          </w:p>
          <w:p w14:paraId="2EE471BF" w14:textId="77777777" w:rsidR="0000425C" w:rsidRPr="0052414D" w:rsidRDefault="0000425C" w:rsidP="007A6BD6">
            <w:pPr>
              <w:keepNext/>
              <w:keepLines/>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EQ-5D-5L</w:t>
            </w:r>
          </w:p>
        </w:tc>
      </w:tr>
      <w:tr w:rsidR="0000425C" w:rsidRPr="00D84BB3" w14:paraId="317CD46A" w14:textId="77777777" w:rsidTr="007A6BD6">
        <w:trPr>
          <w:cantSplit/>
          <w:jc w:val="center"/>
        </w:trPr>
        <w:tc>
          <w:tcPr>
            <w:tcW w:w="785" w:type="pct"/>
            <w:shd w:val="clear" w:color="auto" w:fill="FFFFFF" w:themeFill="background1"/>
          </w:tcPr>
          <w:p w14:paraId="64EC9E86"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PATHWAY</w:t>
            </w:r>
          </w:p>
        </w:tc>
        <w:tc>
          <w:tcPr>
            <w:tcW w:w="470" w:type="pct"/>
            <w:shd w:val="clear" w:color="auto" w:fill="FFFFFF" w:themeFill="background1"/>
          </w:tcPr>
          <w:p w14:paraId="648A551E" w14:textId="77777777" w:rsidR="0000425C" w:rsidRPr="00B1342C" w:rsidRDefault="0000425C" w:rsidP="007A6BD6">
            <w:pPr>
              <w:spacing w:line="240" w:lineRule="auto"/>
              <w:jc w:val="center"/>
              <w:rPr>
                <w:rFonts w:ascii="Arial Narrow" w:eastAsiaTheme="majorEastAsia" w:hAnsi="Arial Narrow" w:cstheme="majorBidi"/>
                <w:bCs/>
                <w:sz w:val="20"/>
                <w:szCs w:val="20"/>
                <w:lang w:bidi="en-US"/>
              </w:rPr>
            </w:pPr>
            <w:r w:rsidRPr="00B1342C">
              <w:rPr>
                <w:rFonts w:ascii="Arial Narrow" w:eastAsiaTheme="majorEastAsia" w:hAnsi="Arial Narrow" w:cstheme="majorBidi"/>
                <w:bCs/>
                <w:sz w:val="20"/>
                <w:szCs w:val="20"/>
                <w:lang w:bidi="en-US"/>
              </w:rPr>
              <w:t>550 (275)</w:t>
            </w:r>
            <w:r>
              <w:rPr>
                <w:rFonts w:ascii="Arial Narrow" w:eastAsiaTheme="majorEastAsia" w:hAnsi="Arial Narrow" w:cstheme="majorBidi"/>
                <w:bCs/>
                <w:sz w:val="20"/>
                <w:szCs w:val="20"/>
                <w:lang w:bidi="en-US"/>
              </w:rPr>
              <w:t xml:space="preserve"> </w:t>
            </w:r>
            <w:r>
              <w:rPr>
                <w:rFonts w:ascii="Arial Narrow" w:eastAsiaTheme="majorEastAsia" w:hAnsi="Arial Narrow" w:cstheme="majorBidi"/>
                <w:bCs/>
                <w:sz w:val="20"/>
                <w:szCs w:val="20"/>
                <w:vertAlign w:val="superscript"/>
                <w:lang w:bidi="en-US"/>
              </w:rPr>
              <w:t>a</w:t>
            </w:r>
          </w:p>
        </w:tc>
        <w:tc>
          <w:tcPr>
            <w:tcW w:w="550" w:type="pct"/>
            <w:shd w:val="clear" w:color="auto" w:fill="FFFFFF" w:themeFill="background1"/>
          </w:tcPr>
          <w:p w14:paraId="29F042F5"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R, DB, MC</w:t>
            </w:r>
          </w:p>
          <w:p w14:paraId="0145696E"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52 weeks</w:t>
            </w:r>
          </w:p>
        </w:tc>
        <w:tc>
          <w:tcPr>
            <w:tcW w:w="580" w:type="pct"/>
            <w:shd w:val="clear" w:color="auto" w:fill="FFFFFF" w:themeFill="background1"/>
          </w:tcPr>
          <w:p w14:paraId="5EEA4BD2" w14:textId="77777777" w:rsidR="0000425C" w:rsidRPr="003E14BA" w:rsidRDefault="0000425C" w:rsidP="007A6BD6">
            <w:pPr>
              <w:spacing w:line="240" w:lineRule="auto"/>
              <w:jc w:val="left"/>
              <w:rPr>
                <w:rFonts w:ascii="Arial Narrow" w:eastAsiaTheme="majorEastAsia" w:hAnsi="Arial Narrow" w:cstheme="majorBidi"/>
                <w:sz w:val="20"/>
                <w:szCs w:val="20"/>
                <w:lang w:bidi="en-US"/>
              </w:rPr>
            </w:pPr>
            <w:r w:rsidRPr="003E14BA">
              <w:rPr>
                <w:rFonts w:ascii="Arial Narrow" w:eastAsiaTheme="majorEastAsia" w:hAnsi="Arial Narrow" w:cstheme="majorBidi"/>
                <w:sz w:val="20"/>
                <w:szCs w:val="20"/>
                <w:lang w:bidi="en-US"/>
              </w:rPr>
              <w:t>Low</w:t>
            </w:r>
          </w:p>
        </w:tc>
        <w:tc>
          <w:tcPr>
            <w:tcW w:w="992" w:type="pct"/>
            <w:shd w:val="clear" w:color="auto" w:fill="FFFFFF" w:themeFill="background1"/>
          </w:tcPr>
          <w:p w14:paraId="5D6B8D3B"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Adults and adolescents with moderate-to-severe uncontrolled asthma</w:t>
            </w:r>
          </w:p>
        </w:tc>
        <w:tc>
          <w:tcPr>
            <w:tcW w:w="864" w:type="pct"/>
            <w:shd w:val="clear" w:color="auto" w:fill="FFFFFF" w:themeFill="background1"/>
          </w:tcPr>
          <w:p w14:paraId="021602DA"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Primary: AAER</w:t>
            </w:r>
          </w:p>
          <w:p w14:paraId="217826AF"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Secondary:</w:t>
            </w:r>
          </w:p>
          <w:p w14:paraId="1970D7FA"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FEV1</w:t>
            </w:r>
          </w:p>
          <w:p w14:paraId="191A587B"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AQLQ(S)+12</w:t>
            </w:r>
          </w:p>
          <w:p w14:paraId="22C1252D"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ACQ-6</w:t>
            </w:r>
          </w:p>
          <w:p w14:paraId="66BBF58E"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p>
        </w:tc>
        <w:tc>
          <w:tcPr>
            <w:tcW w:w="758" w:type="pct"/>
            <w:shd w:val="clear" w:color="auto" w:fill="FFFFFF" w:themeFill="background1"/>
          </w:tcPr>
          <w:p w14:paraId="53C829FE"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Not used</w:t>
            </w:r>
          </w:p>
          <w:p w14:paraId="40FFD435"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p>
        </w:tc>
      </w:tr>
      <w:tr w:rsidR="0000425C" w:rsidRPr="00D84BB3" w14:paraId="75C5BDEF" w14:textId="77777777" w:rsidTr="007A6BD6">
        <w:trPr>
          <w:cantSplit/>
          <w:jc w:val="center"/>
        </w:trPr>
        <w:tc>
          <w:tcPr>
            <w:tcW w:w="785" w:type="pct"/>
            <w:tcBorders>
              <w:bottom w:val="single" w:sz="4" w:space="0" w:color="auto"/>
            </w:tcBorders>
            <w:shd w:val="clear" w:color="auto" w:fill="FFFFFF" w:themeFill="background1"/>
          </w:tcPr>
          <w:p w14:paraId="1CEDB436"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SOURCE</w:t>
            </w:r>
          </w:p>
        </w:tc>
        <w:tc>
          <w:tcPr>
            <w:tcW w:w="470" w:type="pct"/>
            <w:tcBorders>
              <w:bottom w:val="single" w:sz="4" w:space="0" w:color="auto"/>
            </w:tcBorders>
            <w:shd w:val="clear" w:color="auto" w:fill="FFFFFF" w:themeFill="background1"/>
          </w:tcPr>
          <w:p w14:paraId="66273CF4" w14:textId="77777777" w:rsidR="0000425C" w:rsidRPr="00B1342C" w:rsidRDefault="0000425C" w:rsidP="007A6BD6">
            <w:pPr>
              <w:spacing w:line="240" w:lineRule="auto"/>
              <w:jc w:val="left"/>
              <w:rPr>
                <w:rFonts w:ascii="Arial Narrow" w:eastAsiaTheme="majorEastAsia" w:hAnsi="Arial Narrow" w:cstheme="majorBidi"/>
                <w:bCs/>
                <w:sz w:val="20"/>
                <w:szCs w:val="20"/>
                <w:lang w:bidi="en-US"/>
              </w:rPr>
            </w:pPr>
            <w:r w:rsidRPr="00B1342C">
              <w:rPr>
                <w:rFonts w:ascii="Arial Narrow" w:eastAsiaTheme="majorEastAsia" w:hAnsi="Arial Narrow" w:cstheme="majorBidi"/>
                <w:bCs/>
                <w:sz w:val="20"/>
                <w:szCs w:val="20"/>
                <w:lang w:bidi="en-US"/>
              </w:rPr>
              <w:t>150</w:t>
            </w:r>
          </w:p>
        </w:tc>
        <w:tc>
          <w:tcPr>
            <w:tcW w:w="550" w:type="pct"/>
            <w:tcBorders>
              <w:bottom w:val="single" w:sz="4" w:space="0" w:color="auto"/>
            </w:tcBorders>
            <w:shd w:val="clear" w:color="auto" w:fill="FFFFFF" w:themeFill="background1"/>
          </w:tcPr>
          <w:p w14:paraId="0A5A4578"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R, DB, MC</w:t>
            </w:r>
          </w:p>
          <w:p w14:paraId="4427C47E"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48 weeks</w:t>
            </w:r>
          </w:p>
        </w:tc>
        <w:tc>
          <w:tcPr>
            <w:tcW w:w="580" w:type="pct"/>
            <w:tcBorders>
              <w:bottom w:val="single" w:sz="4" w:space="0" w:color="auto"/>
            </w:tcBorders>
            <w:shd w:val="clear" w:color="auto" w:fill="FFFFFF" w:themeFill="background1"/>
          </w:tcPr>
          <w:p w14:paraId="44A9DC95" w14:textId="77777777" w:rsidR="0000425C" w:rsidRPr="003E14BA" w:rsidRDefault="0000425C" w:rsidP="007A6BD6">
            <w:pPr>
              <w:spacing w:line="240" w:lineRule="auto"/>
              <w:jc w:val="left"/>
              <w:rPr>
                <w:rFonts w:ascii="Arial Narrow" w:eastAsiaTheme="majorEastAsia" w:hAnsi="Arial Narrow" w:cstheme="majorBidi"/>
                <w:sz w:val="20"/>
                <w:szCs w:val="20"/>
                <w:lang w:bidi="en-US"/>
              </w:rPr>
            </w:pPr>
            <w:r w:rsidRPr="003E14BA">
              <w:rPr>
                <w:rFonts w:ascii="Arial Narrow" w:eastAsiaTheme="majorEastAsia" w:hAnsi="Arial Narrow" w:cstheme="majorBidi"/>
                <w:sz w:val="20"/>
                <w:szCs w:val="20"/>
                <w:lang w:bidi="en-US"/>
              </w:rPr>
              <w:t>Low</w:t>
            </w:r>
          </w:p>
        </w:tc>
        <w:tc>
          <w:tcPr>
            <w:tcW w:w="992" w:type="pct"/>
            <w:tcBorders>
              <w:bottom w:val="single" w:sz="4" w:space="0" w:color="auto"/>
            </w:tcBorders>
            <w:shd w:val="clear" w:color="auto" w:fill="FFFFFF" w:themeFill="background1"/>
          </w:tcPr>
          <w:p w14:paraId="43800C8E"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Adults with OCS-dependent, severe asthma</w:t>
            </w:r>
          </w:p>
        </w:tc>
        <w:tc>
          <w:tcPr>
            <w:tcW w:w="864" w:type="pct"/>
            <w:tcBorders>
              <w:bottom w:val="single" w:sz="4" w:space="0" w:color="auto"/>
            </w:tcBorders>
            <w:shd w:val="clear" w:color="auto" w:fill="FFFFFF" w:themeFill="background1"/>
          </w:tcPr>
          <w:p w14:paraId="226E87EB"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Primary:</w:t>
            </w:r>
          </w:p>
          <w:p w14:paraId="0560FE2B"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Categorised % reduction in daily OCS dose while not losing asthma control</w:t>
            </w:r>
          </w:p>
          <w:p w14:paraId="75036925"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Secondary:</w:t>
            </w:r>
          </w:p>
          <w:p w14:paraId="1EE5B31E"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AAER</w:t>
            </w:r>
          </w:p>
          <w:p w14:paraId="6D155758"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FEV1</w:t>
            </w:r>
          </w:p>
          <w:p w14:paraId="66C4B5D1"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AQLQ(S)+</w:t>
            </w:r>
          </w:p>
        </w:tc>
        <w:tc>
          <w:tcPr>
            <w:tcW w:w="758" w:type="pct"/>
            <w:tcBorders>
              <w:bottom w:val="single" w:sz="4" w:space="0" w:color="auto"/>
            </w:tcBorders>
            <w:shd w:val="clear" w:color="auto" w:fill="FFFFFF" w:themeFill="background1"/>
          </w:tcPr>
          <w:p w14:paraId="237FEDAA"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AAER</w:t>
            </w:r>
          </w:p>
          <w:p w14:paraId="7DCD6B52"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ACQ-6</w:t>
            </w:r>
          </w:p>
          <w:p w14:paraId="4C9B1D74"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EQ-5D-5L</w:t>
            </w:r>
          </w:p>
        </w:tc>
      </w:tr>
      <w:tr w:rsidR="0000425C" w:rsidRPr="00D84BB3" w14:paraId="058219BA" w14:textId="77777777" w:rsidTr="007A6BD6">
        <w:trPr>
          <w:cantSplit/>
          <w:jc w:val="center"/>
        </w:trPr>
        <w:tc>
          <w:tcPr>
            <w:tcW w:w="785" w:type="pct"/>
            <w:tcBorders>
              <w:bottom w:val="single" w:sz="4" w:space="0" w:color="auto"/>
            </w:tcBorders>
            <w:shd w:val="clear" w:color="auto" w:fill="FFFFFF" w:themeFill="background1"/>
          </w:tcPr>
          <w:p w14:paraId="3E146F03" w14:textId="77777777" w:rsidR="0000425C" w:rsidRPr="006403E1" w:rsidRDefault="0000425C" w:rsidP="007A6BD6">
            <w:pPr>
              <w:pStyle w:val="TableText"/>
              <w:keepNext w:val="0"/>
              <w:keepLines w:val="0"/>
              <w:spacing w:line="240" w:lineRule="auto"/>
              <w:rPr>
                <w:szCs w:val="20"/>
              </w:rPr>
            </w:pPr>
            <w:r w:rsidRPr="006403E1">
              <w:rPr>
                <w:szCs w:val="20"/>
              </w:rPr>
              <w:t>DESTINATION</w:t>
            </w:r>
          </w:p>
          <w:p w14:paraId="30F3A33A" w14:textId="77777777" w:rsidR="0000425C" w:rsidRPr="006403E1" w:rsidRDefault="0000425C" w:rsidP="007A6BD6">
            <w:pPr>
              <w:spacing w:line="240" w:lineRule="auto"/>
              <w:jc w:val="left"/>
              <w:rPr>
                <w:rFonts w:ascii="Arial Narrow" w:eastAsiaTheme="majorEastAsia" w:hAnsi="Arial Narrow" w:cstheme="majorBidi"/>
                <w:bCs/>
                <w:sz w:val="20"/>
                <w:szCs w:val="20"/>
                <w:lang w:bidi="en-US"/>
              </w:rPr>
            </w:pPr>
            <w:r w:rsidRPr="006403E1">
              <w:rPr>
                <w:rFonts w:ascii="Arial Narrow" w:hAnsi="Arial Narrow"/>
                <w:sz w:val="20"/>
                <w:szCs w:val="20"/>
              </w:rPr>
              <w:t>(NAVIGATOR)</w:t>
            </w:r>
          </w:p>
        </w:tc>
        <w:tc>
          <w:tcPr>
            <w:tcW w:w="470" w:type="pct"/>
            <w:tcBorders>
              <w:bottom w:val="single" w:sz="4" w:space="0" w:color="auto"/>
            </w:tcBorders>
            <w:shd w:val="clear" w:color="auto" w:fill="FFFFFF" w:themeFill="background1"/>
          </w:tcPr>
          <w:p w14:paraId="0DC9B972" w14:textId="77777777" w:rsidR="0000425C" w:rsidRPr="006403E1" w:rsidRDefault="0000425C" w:rsidP="007A6BD6">
            <w:pPr>
              <w:spacing w:line="240" w:lineRule="auto"/>
              <w:jc w:val="center"/>
              <w:rPr>
                <w:rFonts w:ascii="Arial Narrow" w:eastAsiaTheme="majorEastAsia" w:hAnsi="Arial Narrow" w:cstheme="majorBidi"/>
                <w:bCs/>
                <w:sz w:val="20"/>
                <w:szCs w:val="20"/>
                <w:lang w:bidi="en-US"/>
              </w:rPr>
            </w:pPr>
            <w:r w:rsidRPr="006403E1">
              <w:rPr>
                <w:rFonts w:ascii="Arial Narrow" w:hAnsi="Arial Narrow"/>
                <w:sz w:val="20"/>
                <w:szCs w:val="20"/>
              </w:rPr>
              <w:t>1059</w:t>
            </w:r>
          </w:p>
        </w:tc>
        <w:tc>
          <w:tcPr>
            <w:tcW w:w="550" w:type="pct"/>
            <w:tcBorders>
              <w:bottom w:val="single" w:sz="4" w:space="0" w:color="auto"/>
            </w:tcBorders>
            <w:shd w:val="clear" w:color="auto" w:fill="FFFFFF" w:themeFill="background1"/>
          </w:tcPr>
          <w:p w14:paraId="0EDC07EF" w14:textId="77777777" w:rsidR="0000425C" w:rsidRPr="006403E1" w:rsidRDefault="0000425C" w:rsidP="007A6BD6">
            <w:pPr>
              <w:pStyle w:val="TableText"/>
              <w:keepNext w:val="0"/>
              <w:keepLines w:val="0"/>
              <w:spacing w:line="240" w:lineRule="auto"/>
              <w:rPr>
                <w:szCs w:val="20"/>
              </w:rPr>
            </w:pPr>
            <w:r w:rsidRPr="006403E1">
              <w:rPr>
                <w:szCs w:val="20"/>
              </w:rPr>
              <w:t>R, DB, MC</w:t>
            </w:r>
          </w:p>
          <w:p w14:paraId="2A29142C" w14:textId="77777777" w:rsidR="0000425C" w:rsidRPr="006403E1" w:rsidRDefault="0000425C" w:rsidP="007A6BD6">
            <w:pPr>
              <w:spacing w:line="240" w:lineRule="auto"/>
              <w:jc w:val="left"/>
              <w:rPr>
                <w:rFonts w:ascii="Arial Narrow" w:eastAsiaTheme="majorEastAsia" w:hAnsi="Arial Narrow" w:cstheme="majorBidi"/>
                <w:bCs/>
                <w:sz w:val="20"/>
                <w:szCs w:val="20"/>
                <w:lang w:bidi="en-US"/>
              </w:rPr>
            </w:pPr>
            <w:r w:rsidRPr="006403E1">
              <w:rPr>
                <w:rFonts w:ascii="Arial Narrow" w:hAnsi="Arial Narrow"/>
                <w:sz w:val="20"/>
                <w:szCs w:val="20"/>
              </w:rPr>
              <w:t>104 weeks</w:t>
            </w:r>
          </w:p>
        </w:tc>
        <w:tc>
          <w:tcPr>
            <w:tcW w:w="580" w:type="pct"/>
            <w:tcBorders>
              <w:bottom w:val="single" w:sz="4" w:space="0" w:color="auto"/>
            </w:tcBorders>
            <w:shd w:val="clear" w:color="auto" w:fill="FFFFFF" w:themeFill="background1"/>
          </w:tcPr>
          <w:p w14:paraId="04F7A63E" w14:textId="77777777" w:rsidR="0000425C" w:rsidRPr="003E14BA" w:rsidRDefault="0000425C" w:rsidP="007A6BD6">
            <w:pPr>
              <w:spacing w:line="240" w:lineRule="auto"/>
              <w:jc w:val="left"/>
              <w:rPr>
                <w:rFonts w:ascii="Arial Narrow" w:eastAsiaTheme="majorEastAsia" w:hAnsi="Arial Narrow" w:cstheme="majorBidi"/>
                <w:sz w:val="20"/>
                <w:szCs w:val="20"/>
                <w:lang w:bidi="en-US"/>
              </w:rPr>
            </w:pPr>
            <w:r w:rsidRPr="003E14BA">
              <w:rPr>
                <w:rFonts w:ascii="Arial Narrow" w:hAnsi="Arial Narrow"/>
                <w:sz w:val="20"/>
                <w:szCs w:val="20"/>
                <w:lang w:bidi="en-US"/>
              </w:rPr>
              <w:t>Moderate</w:t>
            </w:r>
            <w:r w:rsidRPr="003E14BA">
              <w:rPr>
                <w:rFonts w:ascii="Arial Narrow" w:hAnsi="Arial Narrow"/>
                <w:sz w:val="20"/>
                <w:szCs w:val="20"/>
                <w:vertAlign w:val="superscript"/>
                <w:lang w:bidi="en-US"/>
              </w:rPr>
              <w:t xml:space="preserve"> </w:t>
            </w:r>
          </w:p>
        </w:tc>
        <w:tc>
          <w:tcPr>
            <w:tcW w:w="992" w:type="pct"/>
            <w:tcBorders>
              <w:bottom w:val="single" w:sz="4" w:space="0" w:color="auto"/>
            </w:tcBorders>
            <w:shd w:val="clear" w:color="auto" w:fill="FFFFFF" w:themeFill="background1"/>
          </w:tcPr>
          <w:p w14:paraId="2BB14C3A" w14:textId="77777777" w:rsidR="0000425C" w:rsidRPr="0052414D" w:rsidRDefault="0000425C" w:rsidP="007A6BD6">
            <w:pPr>
              <w:pStyle w:val="TableText"/>
              <w:keepNext w:val="0"/>
              <w:keepLines w:val="0"/>
              <w:spacing w:line="240" w:lineRule="auto"/>
              <w:rPr>
                <w:szCs w:val="20"/>
              </w:rPr>
            </w:pPr>
            <w:r w:rsidRPr="0052414D">
              <w:rPr>
                <w:szCs w:val="20"/>
              </w:rPr>
              <w:t>Adult and adolescent subjects with moderate-to-severe uncontrolled asthma who were included in the NAVIGATOR trial</w:t>
            </w:r>
          </w:p>
        </w:tc>
        <w:tc>
          <w:tcPr>
            <w:tcW w:w="864" w:type="pct"/>
            <w:vMerge w:val="restart"/>
            <w:shd w:val="clear" w:color="auto" w:fill="FFFFFF" w:themeFill="background1"/>
          </w:tcPr>
          <w:p w14:paraId="4BC60D49"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Pr>
                <w:rFonts w:ascii="Arial Narrow" w:eastAsiaTheme="majorEastAsia" w:hAnsi="Arial Narrow" w:cstheme="majorBidi"/>
                <w:bCs/>
                <w:sz w:val="20"/>
                <w:szCs w:val="20"/>
                <w:lang w:bidi="en-US"/>
              </w:rPr>
              <w:t xml:space="preserve">Primary: </w:t>
            </w:r>
            <w:r w:rsidRPr="0052414D">
              <w:rPr>
                <w:rFonts w:ascii="Arial Narrow" w:eastAsiaTheme="majorEastAsia" w:hAnsi="Arial Narrow" w:cstheme="majorBidi"/>
                <w:bCs/>
                <w:sz w:val="20"/>
                <w:szCs w:val="20"/>
                <w:lang w:bidi="en-US"/>
              </w:rPr>
              <w:t>Exposure-adjusted incidence rates of</w:t>
            </w:r>
            <w:r>
              <w:rPr>
                <w:rFonts w:ascii="Arial Narrow" w:eastAsiaTheme="majorEastAsia" w:hAnsi="Arial Narrow" w:cstheme="majorBidi"/>
                <w:bCs/>
                <w:sz w:val="20"/>
                <w:szCs w:val="20"/>
                <w:lang w:bidi="en-US"/>
              </w:rPr>
              <w:t xml:space="preserve"> </w:t>
            </w:r>
            <w:r w:rsidRPr="0052414D">
              <w:rPr>
                <w:rFonts w:ascii="Arial Narrow" w:eastAsiaTheme="majorEastAsia" w:hAnsi="Arial Narrow" w:cstheme="majorBidi"/>
                <w:bCs/>
                <w:sz w:val="20"/>
                <w:szCs w:val="20"/>
                <w:lang w:bidi="en-US"/>
              </w:rPr>
              <w:t>AEs/SAEs</w:t>
            </w:r>
            <w:r>
              <w:rPr>
                <w:rFonts w:ascii="Arial Narrow" w:eastAsiaTheme="majorEastAsia" w:hAnsi="Arial Narrow" w:cstheme="majorBidi"/>
                <w:bCs/>
                <w:sz w:val="20"/>
                <w:szCs w:val="20"/>
                <w:lang w:bidi="en-US"/>
              </w:rPr>
              <w:t xml:space="preserve"> over 104 weeks</w:t>
            </w:r>
          </w:p>
          <w:p w14:paraId="07F8768D"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Pr>
                <w:rFonts w:ascii="Arial Narrow" w:eastAsiaTheme="majorEastAsia" w:hAnsi="Arial Narrow" w:cstheme="majorBidi"/>
                <w:bCs/>
                <w:sz w:val="20"/>
                <w:szCs w:val="20"/>
                <w:lang w:bidi="en-US"/>
              </w:rPr>
              <w:t xml:space="preserve">Secondary: </w:t>
            </w:r>
            <w:r w:rsidRPr="0052414D">
              <w:rPr>
                <w:rFonts w:ascii="Arial Narrow" w:eastAsiaTheme="majorEastAsia" w:hAnsi="Arial Narrow" w:cstheme="majorBidi"/>
                <w:bCs/>
                <w:sz w:val="20"/>
                <w:szCs w:val="20"/>
                <w:lang w:bidi="en-US"/>
              </w:rPr>
              <w:t xml:space="preserve">AAER </w:t>
            </w:r>
            <w:r>
              <w:rPr>
                <w:rFonts w:ascii="Arial Narrow" w:eastAsiaTheme="majorEastAsia" w:hAnsi="Arial Narrow" w:cstheme="majorBidi"/>
                <w:bCs/>
                <w:sz w:val="20"/>
                <w:szCs w:val="20"/>
                <w:lang w:bidi="en-US"/>
              </w:rPr>
              <w:t>over 104 weeks</w:t>
            </w:r>
          </w:p>
        </w:tc>
        <w:tc>
          <w:tcPr>
            <w:tcW w:w="758" w:type="pct"/>
            <w:vMerge w:val="restart"/>
            <w:shd w:val="clear" w:color="auto" w:fill="FFFFFF" w:themeFill="background1"/>
          </w:tcPr>
          <w:p w14:paraId="61E8A835"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r w:rsidRPr="0052414D">
              <w:rPr>
                <w:rFonts w:ascii="Arial Narrow" w:eastAsiaTheme="majorEastAsia" w:hAnsi="Arial Narrow" w:cstheme="majorBidi"/>
                <w:bCs/>
                <w:sz w:val="20"/>
                <w:szCs w:val="20"/>
                <w:lang w:bidi="en-US"/>
              </w:rPr>
              <w:t>AEs</w:t>
            </w:r>
          </w:p>
          <w:p w14:paraId="3589E0CE" w14:textId="77777777" w:rsidR="0000425C" w:rsidRPr="0052414D" w:rsidRDefault="0000425C" w:rsidP="007A6BD6">
            <w:pPr>
              <w:spacing w:line="240" w:lineRule="auto"/>
              <w:jc w:val="left"/>
              <w:rPr>
                <w:rFonts w:ascii="Arial Narrow" w:eastAsiaTheme="majorEastAsia" w:hAnsi="Arial Narrow" w:cstheme="majorBidi"/>
                <w:bCs/>
                <w:sz w:val="20"/>
                <w:szCs w:val="20"/>
                <w:lang w:bidi="en-US"/>
              </w:rPr>
            </w:pPr>
          </w:p>
        </w:tc>
      </w:tr>
      <w:tr w:rsidR="0000425C" w:rsidRPr="00D84BB3" w14:paraId="64A3032B" w14:textId="77777777" w:rsidTr="007A6BD6">
        <w:trPr>
          <w:cantSplit/>
          <w:jc w:val="center"/>
        </w:trPr>
        <w:tc>
          <w:tcPr>
            <w:tcW w:w="785" w:type="pct"/>
            <w:tcBorders>
              <w:top w:val="single" w:sz="4" w:space="0" w:color="auto"/>
            </w:tcBorders>
            <w:shd w:val="clear" w:color="auto" w:fill="FFFFFF" w:themeFill="background1"/>
          </w:tcPr>
          <w:p w14:paraId="6B21B4B5" w14:textId="77777777" w:rsidR="0000425C" w:rsidRPr="006403E1" w:rsidRDefault="0000425C" w:rsidP="007A6BD6">
            <w:pPr>
              <w:pStyle w:val="TableText"/>
              <w:keepNext w:val="0"/>
              <w:keepLines w:val="0"/>
              <w:spacing w:line="240" w:lineRule="auto"/>
              <w:rPr>
                <w:szCs w:val="20"/>
              </w:rPr>
            </w:pPr>
            <w:r w:rsidRPr="006403E1">
              <w:rPr>
                <w:szCs w:val="20"/>
              </w:rPr>
              <w:t>DESTINATION</w:t>
            </w:r>
          </w:p>
          <w:p w14:paraId="071E702E" w14:textId="77777777" w:rsidR="0000425C" w:rsidRPr="006403E1" w:rsidRDefault="0000425C" w:rsidP="007A6BD6">
            <w:pPr>
              <w:spacing w:line="240" w:lineRule="auto"/>
              <w:jc w:val="left"/>
              <w:rPr>
                <w:rFonts w:ascii="Arial Narrow" w:eastAsiaTheme="majorEastAsia" w:hAnsi="Arial Narrow" w:cstheme="majorBidi"/>
                <w:bCs/>
                <w:sz w:val="20"/>
                <w:szCs w:val="20"/>
                <w:lang w:bidi="en-US"/>
              </w:rPr>
            </w:pPr>
            <w:r w:rsidRPr="006403E1">
              <w:rPr>
                <w:rFonts w:ascii="Arial Narrow" w:hAnsi="Arial Narrow"/>
                <w:sz w:val="20"/>
                <w:szCs w:val="20"/>
              </w:rPr>
              <w:t>(SOURCE)</w:t>
            </w:r>
          </w:p>
        </w:tc>
        <w:tc>
          <w:tcPr>
            <w:tcW w:w="470" w:type="pct"/>
            <w:tcBorders>
              <w:top w:val="single" w:sz="4" w:space="0" w:color="auto"/>
            </w:tcBorders>
            <w:shd w:val="clear" w:color="auto" w:fill="FFFFFF" w:themeFill="background1"/>
          </w:tcPr>
          <w:p w14:paraId="35C241E5" w14:textId="77777777" w:rsidR="0000425C" w:rsidRPr="006403E1" w:rsidRDefault="0000425C" w:rsidP="007A6BD6">
            <w:pPr>
              <w:spacing w:line="240" w:lineRule="auto"/>
              <w:jc w:val="center"/>
              <w:rPr>
                <w:rFonts w:ascii="Arial Narrow" w:eastAsiaTheme="majorEastAsia" w:hAnsi="Arial Narrow" w:cstheme="majorBidi"/>
                <w:bCs/>
                <w:sz w:val="20"/>
                <w:szCs w:val="20"/>
                <w:lang w:bidi="en-US"/>
              </w:rPr>
            </w:pPr>
            <w:r w:rsidRPr="00C309C5">
              <w:rPr>
                <w:rFonts w:ascii="Arial Narrow" w:hAnsi="Arial Narrow"/>
                <w:sz w:val="20"/>
                <w:szCs w:val="20"/>
              </w:rPr>
              <w:t>150</w:t>
            </w:r>
          </w:p>
        </w:tc>
        <w:tc>
          <w:tcPr>
            <w:tcW w:w="550" w:type="pct"/>
            <w:tcBorders>
              <w:top w:val="single" w:sz="4" w:space="0" w:color="auto"/>
            </w:tcBorders>
            <w:shd w:val="clear" w:color="auto" w:fill="FFFFFF" w:themeFill="background1"/>
          </w:tcPr>
          <w:p w14:paraId="7866B5F8" w14:textId="77777777" w:rsidR="0000425C" w:rsidRPr="006403E1" w:rsidRDefault="0000425C" w:rsidP="007A6BD6">
            <w:pPr>
              <w:pStyle w:val="TableText"/>
              <w:keepNext w:val="0"/>
              <w:keepLines w:val="0"/>
              <w:spacing w:line="240" w:lineRule="auto"/>
              <w:rPr>
                <w:szCs w:val="20"/>
              </w:rPr>
            </w:pPr>
            <w:r w:rsidRPr="006403E1">
              <w:rPr>
                <w:szCs w:val="20"/>
              </w:rPr>
              <w:t>R, DB, MC</w:t>
            </w:r>
          </w:p>
          <w:p w14:paraId="175FEBC0" w14:textId="77777777" w:rsidR="0000425C" w:rsidRPr="006403E1" w:rsidRDefault="0000425C" w:rsidP="007A6BD6">
            <w:pPr>
              <w:spacing w:line="240" w:lineRule="auto"/>
              <w:jc w:val="left"/>
              <w:rPr>
                <w:rFonts w:ascii="Arial Narrow" w:eastAsiaTheme="majorEastAsia" w:hAnsi="Arial Narrow" w:cstheme="majorBidi"/>
                <w:bCs/>
                <w:sz w:val="20"/>
                <w:szCs w:val="20"/>
                <w:lang w:bidi="en-US"/>
              </w:rPr>
            </w:pPr>
            <w:r w:rsidRPr="006403E1">
              <w:rPr>
                <w:rFonts w:ascii="Arial Narrow" w:hAnsi="Arial Narrow"/>
                <w:sz w:val="20"/>
                <w:szCs w:val="20"/>
              </w:rPr>
              <w:t>104 weeks</w:t>
            </w:r>
          </w:p>
        </w:tc>
        <w:tc>
          <w:tcPr>
            <w:tcW w:w="580" w:type="pct"/>
            <w:tcBorders>
              <w:top w:val="single" w:sz="4" w:space="0" w:color="auto"/>
            </w:tcBorders>
            <w:shd w:val="clear" w:color="auto" w:fill="FFFFFF" w:themeFill="background1"/>
          </w:tcPr>
          <w:p w14:paraId="55E3D394" w14:textId="77777777" w:rsidR="0000425C" w:rsidRPr="003E14BA" w:rsidRDefault="0000425C" w:rsidP="007A6BD6">
            <w:pPr>
              <w:spacing w:line="240" w:lineRule="auto"/>
              <w:jc w:val="left"/>
              <w:rPr>
                <w:rFonts w:ascii="Arial Narrow" w:eastAsiaTheme="majorEastAsia" w:hAnsi="Arial Narrow" w:cstheme="majorBidi"/>
                <w:sz w:val="20"/>
                <w:szCs w:val="20"/>
                <w:lang w:bidi="en-US"/>
              </w:rPr>
            </w:pPr>
            <w:r w:rsidRPr="003E14BA">
              <w:rPr>
                <w:rFonts w:ascii="Arial Narrow" w:hAnsi="Arial Narrow"/>
                <w:sz w:val="20"/>
                <w:szCs w:val="20"/>
              </w:rPr>
              <w:t>Moderate</w:t>
            </w:r>
            <w:r w:rsidRPr="003E14BA">
              <w:rPr>
                <w:rFonts w:ascii="Arial Narrow" w:hAnsi="Arial Narrow"/>
                <w:sz w:val="20"/>
                <w:szCs w:val="20"/>
                <w:vertAlign w:val="superscript"/>
              </w:rPr>
              <w:t xml:space="preserve"> </w:t>
            </w:r>
          </w:p>
        </w:tc>
        <w:tc>
          <w:tcPr>
            <w:tcW w:w="992" w:type="pct"/>
            <w:tcBorders>
              <w:top w:val="single" w:sz="4" w:space="0" w:color="auto"/>
            </w:tcBorders>
            <w:shd w:val="clear" w:color="auto" w:fill="FFFFFF" w:themeFill="background1"/>
          </w:tcPr>
          <w:p w14:paraId="2038C2C3" w14:textId="77777777" w:rsidR="0000425C" w:rsidRPr="007E00F7" w:rsidRDefault="0000425C" w:rsidP="007A6BD6">
            <w:pPr>
              <w:pStyle w:val="TableText"/>
              <w:keepNext w:val="0"/>
              <w:keepLines w:val="0"/>
              <w:spacing w:line="240" w:lineRule="auto"/>
              <w:rPr>
                <w:szCs w:val="20"/>
              </w:rPr>
            </w:pPr>
            <w:r w:rsidRPr="006403E1">
              <w:rPr>
                <w:szCs w:val="20"/>
              </w:rPr>
              <w:t xml:space="preserve">Adults with </w:t>
            </w:r>
            <w:r>
              <w:rPr>
                <w:szCs w:val="20"/>
              </w:rPr>
              <w:t xml:space="preserve">OCS dependent, </w:t>
            </w:r>
            <w:r w:rsidRPr="006403E1">
              <w:rPr>
                <w:szCs w:val="20"/>
              </w:rPr>
              <w:t>severe asthma who were included in the SOURCE trial</w:t>
            </w:r>
          </w:p>
        </w:tc>
        <w:tc>
          <w:tcPr>
            <w:tcW w:w="864" w:type="pct"/>
            <w:vMerge/>
            <w:shd w:val="clear" w:color="auto" w:fill="FFFFFF" w:themeFill="background1"/>
          </w:tcPr>
          <w:p w14:paraId="3C947F31" w14:textId="77777777" w:rsidR="0000425C" w:rsidRDefault="0000425C" w:rsidP="007A6BD6">
            <w:pPr>
              <w:spacing w:line="240" w:lineRule="auto"/>
              <w:jc w:val="left"/>
              <w:rPr>
                <w:rFonts w:ascii="Arial Narrow" w:eastAsiaTheme="majorEastAsia" w:hAnsi="Arial Narrow" w:cstheme="majorBidi"/>
                <w:bCs/>
                <w:sz w:val="20"/>
                <w:szCs w:val="20"/>
                <w:lang w:bidi="en-US"/>
              </w:rPr>
            </w:pPr>
          </w:p>
        </w:tc>
        <w:tc>
          <w:tcPr>
            <w:tcW w:w="758" w:type="pct"/>
            <w:vMerge/>
            <w:shd w:val="clear" w:color="auto" w:fill="FFFFFF" w:themeFill="background1"/>
          </w:tcPr>
          <w:p w14:paraId="27E0582A" w14:textId="77777777" w:rsidR="0000425C" w:rsidRDefault="0000425C" w:rsidP="007A6BD6">
            <w:pPr>
              <w:spacing w:line="240" w:lineRule="auto"/>
              <w:jc w:val="left"/>
              <w:rPr>
                <w:rFonts w:ascii="Arial Narrow" w:eastAsiaTheme="majorEastAsia" w:hAnsi="Arial Narrow" w:cstheme="majorBidi"/>
                <w:bCs/>
                <w:sz w:val="20"/>
                <w:szCs w:val="20"/>
                <w:lang w:bidi="en-US"/>
              </w:rPr>
            </w:pPr>
          </w:p>
        </w:tc>
      </w:tr>
      <w:tr w:rsidR="0000425C" w:rsidRPr="00D84BB3" w14:paraId="6DDDBC55" w14:textId="77777777" w:rsidTr="007A6BD6">
        <w:trPr>
          <w:cantSplit/>
          <w:tblHeader/>
          <w:jc w:val="center"/>
        </w:trPr>
        <w:tc>
          <w:tcPr>
            <w:tcW w:w="5000" w:type="pct"/>
            <w:gridSpan w:val="7"/>
            <w:shd w:val="clear" w:color="auto" w:fill="B8CCE4" w:themeFill="accent1" w:themeFillTint="66"/>
          </w:tcPr>
          <w:p w14:paraId="5CBD8680" w14:textId="77777777" w:rsidR="0000425C" w:rsidRPr="00B1342C" w:rsidRDefault="0000425C" w:rsidP="007A6BD6">
            <w:pPr>
              <w:spacing w:line="240" w:lineRule="auto"/>
              <w:jc w:val="left"/>
              <w:rPr>
                <w:rFonts w:ascii="Arial Narrow" w:eastAsiaTheme="majorEastAsia" w:hAnsi="Arial Narrow" w:cstheme="majorBidi"/>
                <w:b/>
                <w:sz w:val="20"/>
                <w:szCs w:val="20"/>
                <w:lang w:bidi="en-US"/>
              </w:rPr>
            </w:pPr>
            <w:r w:rsidRPr="00B1342C">
              <w:rPr>
                <w:rFonts w:ascii="Arial Narrow" w:eastAsiaTheme="majorEastAsia" w:hAnsi="Arial Narrow" w:cstheme="majorBidi"/>
                <w:b/>
                <w:sz w:val="20"/>
                <w:szCs w:val="20"/>
                <w:lang w:bidi="en-US"/>
              </w:rPr>
              <w:t xml:space="preserve">Dupilumab </w:t>
            </w:r>
            <w:r>
              <w:rPr>
                <w:rFonts w:ascii="Arial Narrow" w:eastAsiaTheme="majorEastAsia" w:hAnsi="Arial Narrow" w:cstheme="majorBidi"/>
                <w:b/>
                <w:sz w:val="20"/>
                <w:szCs w:val="20"/>
                <w:lang w:bidi="en-US"/>
              </w:rPr>
              <w:t>versus placebo</w:t>
            </w:r>
          </w:p>
        </w:tc>
      </w:tr>
      <w:tr w:rsidR="0000425C" w:rsidRPr="00D84BB3" w14:paraId="7C347E16" w14:textId="77777777" w:rsidTr="007A6BD6">
        <w:trPr>
          <w:cantSplit/>
          <w:jc w:val="center"/>
        </w:trPr>
        <w:tc>
          <w:tcPr>
            <w:tcW w:w="785" w:type="pct"/>
            <w:shd w:val="clear" w:color="auto" w:fill="B8CCE4" w:themeFill="accent1" w:themeFillTint="66"/>
          </w:tcPr>
          <w:p w14:paraId="6E8EEEEE"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QUEST</w:t>
            </w:r>
          </w:p>
        </w:tc>
        <w:tc>
          <w:tcPr>
            <w:tcW w:w="470" w:type="pct"/>
            <w:shd w:val="clear" w:color="auto" w:fill="B8CCE4" w:themeFill="accent1" w:themeFillTint="66"/>
          </w:tcPr>
          <w:p w14:paraId="7C710995" w14:textId="77777777" w:rsidR="0000425C" w:rsidRPr="00B1342C" w:rsidRDefault="0000425C" w:rsidP="007A6BD6">
            <w:pPr>
              <w:spacing w:line="240" w:lineRule="auto"/>
              <w:jc w:val="center"/>
              <w:rPr>
                <w:rFonts w:ascii="Arial Narrow" w:eastAsiaTheme="majorEastAsia" w:hAnsi="Arial Narrow" w:cstheme="majorBidi"/>
                <w:bCs/>
                <w:sz w:val="20"/>
                <w:szCs w:val="20"/>
                <w:lang w:bidi="en-US"/>
              </w:rPr>
            </w:pPr>
            <w:r w:rsidRPr="00B1342C">
              <w:rPr>
                <w:rFonts w:ascii="Arial Narrow" w:eastAsiaTheme="majorEastAsia" w:hAnsi="Arial Narrow" w:cstheme="majorBidi"/>
                <w:bCs/>
                <w:sz w:val="20"/>
                <w:szCs w:val="20"/>
                <w:lang w:bidi="en-US"/>
              </w:rPr>
              <w:t>1902 (938)</w:t>
            </w:r>
            <w:r>
              <w:rPr>
                <w:rFonts w:ascii="Arial Narrow" w:eastAsiaTheme="majorEastAsia" w:hAnsi="Arial Narrow" w:cstheme="majorBidi"/>
                <w:bCs/>
                <w:sz w:val="20"/>
                <w:szCs w:val="20"/>
                <w:lang w:bidi="en-US"/>
              </w:rPr>
              <w:t xml:space="preserve"> </w:t>
            </w:r>
            <w:r w:rsidRPr="00EC56B7">
              <w:rPr>
                <w:rFonts w:ascii="Arial Narrow" w:eastAsiaTheme="majorEastAsia" w:hAnsi="Arial Narrow" w:cstheme="majorBidi"/>
                <w:bCs/>
                <w:sz w:val="20"/>
                <w:szCs w:val="20"/>
                <w:vertAlign w:val="superscript"/>
                <w:lang w:bidi="en-US"/>
              </w:rPr>
              <w:t>b</w:t>
            </w:r>
          </w:p>
        </w:tc>
        <w:tc>
          <w:tcPr>
            <w:tcW w:w="550" w:type="pct"/>
            <w:shd w:val="clear" w:color="auto" w:fill="B8CCE4" w:themeFill="accent1" w:themeFillTint="66"/>
          </w:tcPr>
          <w:p w14:paraId="17899357"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R, DB, MC</w:t>
            </w:r>
          </w:p>
          <w:p w14:paraId="13E62DFA"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52 weeks</w:t>
            </w:r>
          </w:p>
        </w:tc>
        <w:tc>
          <w:tcPr>
            <w:tcW w:w="580" w:type="pct"/>
            <w:shd w:val="clear" w:color="auto" w:fill="B8CCE4" w:themeFill="accent1" w:themeFillTint="66"/>
          </w:tcPr>
          <w:p w14:paraId="007E7A3C"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Low</w:t>
            </w:r>
          </w:p>
        </w:tc>
        <w:tc>
          <w:tcPr>
            <w:tcW w:w="992" w:type="pct"/>
            <w:shd w:val="clear" w:color="auto" w:fill="B8CCE4" w:themeFill="accent1" w:themeFillTint="66"/>
          </w:tcPr>
          <w:p w14:paraId="0F23FBEF"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Adults and adolescents with moderate-to-severe uncontrolled asthma</w:t>
            </w:r>
          </w:p>
          <w:p w14:paraId="7284B2C6"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p>
        </w:tc>
        <w:tc>
          <w:tcPr>
            <w:tcW w:w="864" w:type="pct"/>
            <w:shd w:val="clear" w:color="auto" w:fill="B8CCE4" w:themeFill="accent1" w:themeFillTint="66"/>
          </w:tcPr>
          <w:p w14:paraId="67CB4F0D"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AASER</w:t>
            </w:r>
            <w:r>
              <w:rPr>
                <w:rFonts w:ascii="Arial Narrow" w:eastAsiaTheme="majorEastAsia" w:hAnsi="Arial Narrow" w:cstheme="majorBidi"/>
                <w:bCs/>
                <w:sz w:val="20"/>
                <w:szCs w:val="20"/>
                <w:lang w:bidi="en-US"/>
              </w:rPr>
              <w:t xml:space="preserve"> </w:t>
            </w:r>
            <w:r>
              <w:rPr>
                <w:rFonts w:ascii="Arial Narrow" w:eastAsiaTheme="majorEastAsia" w:hAnsi="Arial Narrow" w:cstheme="majorBidi"/>
                <w:bCs/>
                <w:sz w:val="20"/>
                <w:szCs w:val="20"/>
                <w:vertAlign w:val="superscript"/>
                <w:lang w:bidi="en-US"/>
              </w:rPr>
              <w:t>d</w:t>
            </w:r>
          </w:p>
          <w:p w14:paraId="7DA4845B"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FEV1 change from baseline at week 12</w:t>
            </w:r>
          </w:p>
        </w:tc>
        <w:tc>
          <w:tcPr>
            <w:tcW w:w="758" w:type="pct"/>
            <w:shd w:val="clear" w:color="auto" w:fill="B8CCE4" w:themeFill="accent1" w:themeFillTint="66"/>
          </w:tcPr>
          <w:p w14:paraId="2B7680B6"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Pr>
                <w:rFonts w:ascii="Arial Narrow" w:eastAsiaTheme="majorEastAsia" w:hAnsi="Arial Narrow" w:cstheme="majorBidi"/>
                <w:bCs/>
                <w:sz w:val="20"/>
                <w:szCs w:val="20"/>
                <w:lang w:bidi="en-US"/>
              </w:rPr>
              <w:t>AAER</w:t>
            </w:r>
          </w:p>
        </w:tc>
      </w:tr>
      <w:tr w:rsidR="0000425C" w:rsidRPr="00D84BB3" w14:paraId="58971A25" w14:textId="77777777" w:rsidTr="007A6BD6">
        <w:trPr>
          <w:cantSplit/>
          <w:jc w:val="center"/>
        </w:trPr>
        <w:tc>
          <w:tcPr>
            <w:tcW w:w="785" w:type="pct"/>
            <w:shd w:val="clear" w:color="auto" w:fill="B8CCE4" w:themeFill="accent1" w:themeFillTint="66"/>
          </w:tcPr>
          <w:p w14:paraId="04D60623"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DRI12544</w:t>
            </w:r>
          </w:p>
        </w:tc>
        <w:tc>
          <w:tcPr>
            <w:tcW w:w="470" w:type="pct"/>
            <w:shd w:val="clear" w:color="auto" w:fill="B8CCE4" w:themeFill="accent1" w:themeFillTint="66"/>
          </w:tcPr>
          <w:p w14:paraId="21B60ECF" w14:textId="77777777" w:rsidR="0000425C" w:rsidRPr="00D84BB3" w:rsidRDefault="0000425C" w:rsidP="007A6BD6">
            <w:pPr>
              <w:spacing w:line="240" w:lineRule="auto"/>
              <w:jc w:val="center"/>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308 (315)</w:t>
            </w:r>
            <w:r>
              <w:rPr>
                <w:rFonts w:ascii="Arial Narrow" w:eastAsiaTheme="majorEastAsia" w:hAnsi="Arial Narrow" w:cstheme="majorBidi"/>
                <w:bCs/>
                <w:sz w:val="20"/>
                <w:szCs w:val="20"/>
                <w:lang w:bidi="en-US"/>
              </w:rPr>
              <w:t xml:space="preserve"> </w:t>
            </w:r>
          </w:p>
        </w:tc>
        <w:tc>
          <w:tcPr>
            <w:tcW w:w="550" w:type="pct"/>
            <w:shd w:val="clear" w:color="auto" w:fill="B8CCE4" w:themeFill="accent1" w:themeFillTint="66"/>
          </w:tcPr>
          <w:p w14:paraId="6062E779"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R, DB, MC</w:t>
            </w:r>
          </w:p>
          <w:p w14:paraId="4D5709B6"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24 weeks</w:t>
            </w:r>
          </w:p>
        </w:tc>
        <w:tc>
          <w:tcPr>
            <w:tcW w:w="580" w:type="pct"/>
            <w:shd w:val="clear" w:color="auto" w:fill="B8CCE4" w:themeFill="accent1" w:themeFillTint="66"/>
          </w:tcPr>
          <w:p w14:paraId="1F1C7585"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Low</w:t>
            </w:r>
          </w:p>
        </w:tc>
        <w:tc>
          <w:tcPr>
            <w:tcW w:w="992" w:type="pct"/>
            <w:shd w:val="clear" w:color="auto" w:fill="B8CCE4" w:themeFill="accent1" w:themeFillTint="66"/>
          </w:tcPr>
          <w:p w14:paraId="21D52019"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Adults with moderate-to-severe uncontrolled asthma</w:t>
            </w:r>
          </w:p>
        </w:tc>
        <w:tc>
          <w:tcPr>
            <w:tcW w:w="864" w:type="pct"/>
            <w:shd w:val="clear" w:color="auto" w:fill="B8CCE4" w:themeFill="accent1" w:themeFillTint="66"/>
          </w:tcPr>
          <w:p w14:paraId="083D1C14"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FEV1 (L) change from baseline at week 12</w:t>
            </w:r>
          </w:p>
          <w:p w14:paraId="2B6AD933"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w:t>
            </w:r>
            <w:r w:rsidRPr="00E97D3A">
              <w:rPr>
                <w:rFonts w:ascii="Arial Narrow" w:eastAsiaTheme="majorEastAsia" w:hAnsi="Arial Narrow" w:cstheme="majorBidi"/>
                <w:bCs/>
                <w:sz w:val="20"/>
                <w:szCs w:val="20"/>
                <w:lang w:bidi="en-US"/>
              </w:rPr>
              <w:t>AASER</w:t>
            </w:r>
            <w:r>
              <w:rPr>
                <w:rFonts w:ascii="Arial Narrow" w:eastAsiaTheme="majorEastAsia" w:hAnsi="Arial Narrow" w:cstheme="majorBidi"/>
                <w:bCs/>
                <w:sz w:val="20"/>
                <w:szCs w:val="20"/>
                <w:lang w:bidi="en-US"/>
              </w:rPr>
              <w:t xml:space="preserve"> </w:t>
            </w:r>
            <w:r w:rsidRPr="00E42865">
              <w:rPr>
                <w:rFonts w:ascii="Arial Narrow" w:eastAsiaTheme="majorEastAsia" w:hAnsi="Arial Narrow" w:cstheme="majorBidi"/>
                <w:bCs/>
                <w:sz w:val="20"/>
                <w:szCs w:val="20"/>
                <w:vertAlign w:val="superscript"/>
                <w:lang w:bidi="en-US"/>
              </w:rPr>
              <w:t>d</w:t>
            </w:r>
            <w:r w:rsidRPr="00D84BB3">
              <w:rPr>
                <w:rFonts w:ascii="Arial Narrow" w:eastAsiaTheme="majorEastAsia" w:hAnsi="Arial Narrow" w:cstheme="majorBidi"/>
                <w:bCs/>
                <w:sz w:val="20"/>
                <w:szCs w:val="20"/>
                <w:lang w:bidi="en-US"/>
              </w:rPr>
              <w:t xml:space="preserve"> was a secondary outcome) </w:t>
            </w:r>
          </w:p>
        </w:tc>
        <w:tc>
          <w:tcPr>
            <w:tcW w:w="758" w:type="pct"/>
            <w:shd w:val="clear" w:color="auto" w:fill="B8CCE4" w:themeFill="accent1" w:themeFillTint="66"/>
          </w:tcPr>
          <w:p w14:paraId="3D1B3A44"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Pr>
                <w:rFonts w:ascii="Arial Narrow" w:eastAsiaTheme="majorEastAsia" w:hAnsi="Arial Narrow" w:cstheme="majorBidi"/>
                <w:bCs/>
                <w:sz w:val="20"/>
                <w:szCs w:val="20"/>
                <w:lang w:bidi="en-US"/>
              </w:rPr>
              <w:t>AAER</w:t>
            </w:r>
          </w:p>
        </w:tc>
      </w:tr>
      <w:tr w:rsidR="0000425C" w:rsidRPr="00D84BB3" w14:paraId="0F1F20DC" w14:textId="77777777" w:rsidTr="007A6BD6">
        <w:trPr>
          <w:cantSplit/>
          <w:jc w:val="center"/>
        </w:trPr>
        <w:tc>
          <w:tcPr>
            <w:tcW w:w="785" w:type="pct"/>
            <w:shd w:val="clear" w:color="auto" w:fill="B8CCE4" w:themeFill="accent1" w:themeFillTint="66"/>
          </w:tcPr>
          <w:p w14:paraId="37D2D64F"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VENTURE</w:t>
            </w:r>
          </w:p>
        </w:tc>
        <w:tc>
          <w:tcPr>
            <w:tcW w:w="470" w:type="pct"/>
            <w:shd w:val="clear" w:color="auto" w:fill="B8CCE4" w:themeFill="accent1" w:themeFillTint="66"/>
          </w:tcPr>
          <w:p w14:paraId="2E745883" w14:textId="77777777" w:rsidR="0000425C" w:rsidRPr="00D84BB3" w:rsidRDefault="0000425C" w:rsidP="007A6BD6">
            <w:pPr>
              <w:spacing w:line="240" w:lineRule="auto"/>
              <w:jc w:val="center"/>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210</w:t>
            </w:r>
          </w:p>
        </w:tc>
        <w:tc>
          <w:tcPr>
            <w:tcW w:w="550" w:type="pct"/>
            <w:shd w:val="clear" w:color="auto" w:fill="B8CCE4" w:themeFill="accent1" w:themeFillTint="66"/>
          </w:tcPr>
          <w:p w14:paraId="40745BD4"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R, DB, MC</w:t>
            </w:r>
          </w:p>
          <w:p w14:paraId="4AF39D5F"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24 weeks</w:t>
            </w:r>
          </w:p>
        </w:tc>
        <w:tc>
          <w:tcPr>
            <w:tcW w:w="580" w:type="pct"/>
            <w:shd w:val="clear" w:color="auto" w:fill="B8CCE4" w:themeFill="accent1" w:themeFillTint="66"/>
          </w:tcPr>
          <w:p w14:paraId="7EE918AE"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Low</w:t>
            </w:r>
          </w:p>
        </w:tc>
        <w:tc>
          <w:tcPr>
            <w:tcW w:w="992" w:type="pct"/>
            <w:shd w:val="clear" w:color="auto" w:fill="B8CCE4" w:themeFill="accent1" w:themeFillTint="66"/>
          </w:tcPr>
          <w:p w14:paraId="4F64BCE0"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Adults with OCS</w:t>
            </w:r>
            <w:r>
              <w:rPr>
                <w:rFonts w:ascii="Arial Narrow" w:eastAsiaTheme="majorEastAsia" w:hAnsi="Arial Narrow" w:cstheme="majorBidi"/>
                <w:bCs/>
                <w:sz w:val="20"/>
                <w:szCs w:val="20"/>
                <w:lang w:bidi="en-US"/>
              </w:rPr>
              <w:t>-</w:t>
            </w:r>
            <w:r w:rsidRPr="00D84BB3">
              <w:rPr>
                <w:rFonts w:ascii="Arial Narrow" w:eastAsiaTheme="majorEastAsia" w:hAnsi="Arial Narrow" w:cstheme="majorBidi"/>
                <w:bCs/>
                <w:sz w:val="20"/>
                <w:szCs w:val="20"/>
                <w:lang w:bidi="en-US"/>
              </w:rPr>
              <w:t>dependent, severe asthma</w:t>
            </w:r>
          </w:p>
        </w:tc>
        <w:tc>
          <w:tcPr>
            <w:tcW w:w="864" w:type="pct"/>
            <w:shd w:val="clear" w:color="auto" w:fill="B8CCE4" w:themeFill="accent1" w:themeFillTint="66"/>
          </w:tcPr>
          <w:p w14:paraId="66AECC57"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Percentage reduction in OCS dose at week 24</w:t>
            </w:r>
          </w:p>
          <w:p w14:paraId="5AE2262E"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sidRPr="00D84BB3">
              <w:rPr>
                <w:rFonts w:ascii="Arial Narrow" w:eastAsiaTheme="majorEastAsia" w:hAnsi="Arial Narrow" w:cstheme="majorBidi"/>
                <w:bCs/>
                <w:sz w:val="20"/>
                <w:szCs w:val="20"/>
                <w:lang w:bidi="en-US"/>
              </w:rPr>
              <w:t>(AASER</w:t>
            </w:r>
            <w:r>
              <w:rPr>
                <w:rFonts w:ascii="Arial Narrow" w:eastAsiaTheme="majorEastAsia" w:hAnsi="Arial Narrow" w:cstheme="majorBidi"/>
                <w:bCs/>
                <w:sz w:val="20"/>
                <w:szCs w:val="20"/>
                <w:lang w:bidi="en-US"/>
              </w:rPr>
              <w:t xml:space="preserve"> </w:t>
            </w:r>
            <w:r w:rsidRPr="00E42865">
              <w:rPr>
                <w:rFonts w:ascii="Arial Narrow" w:eastAsiaTheme="majorEastAsia" w:hAnsi="Arial Narrow" w:cstheme="majorBidi"/>
                <w:bCs/>
                <w:sz w:val="20"/>
                <w:szCs w:val="20"/>
                <w:vertAlign w:val="superscript"/>
                <w:lang w:bidi="en-US"/>
              </w:rPr>
              <w:t>d</w:t>
            </w:r>
            <w:r w:rsidRPr="00D84BB3">
              <w:rPr>
                <w:rFonts w:ascii="Arial Narrow" w:eastAsiaTheme="majorEastAsia" w:hAnsi="Arial Narrow" w:cstheme="majorBidi"/>
                <w:bCs/>
                <w:sz w:val="20"/>
                <w:szCs w:val="20"/>
                <w:lang w:bidi="en-US"/>
              </w:rPr>
              <w:t xml:space="preserve"> was a secondary outcome)</w:t>
            </w:r>
          </w:p>
        </w:tc>
        <w:tc>
          <w:tcPr>
            <w:tcW w:w="758" w:type="pct"/>
            <w:shd w:val="clear" w:color="auto" w:fill="B8CCE4" w:themeFill="accent1" w:themeFillTint="66"/>
          </w:tcPr>
          <w:p w14:paraId="30DFA73A" w14:textId="77777777" w:rsidR="0000425C" w:rsidRPr="00D84BB3" w:rsidRDefault="0000425C" w:rsidP="007A6BD6">
            <w:pPr>
              <w:spacing w:line="240" w:lineRule="auto"/>
              <w:jc w:val="left"/>
              <w:rPr>
                <w:rFonts w:ascii="Arial Narrow" w:eastAsiaTheme="majorEastAsia" w:hAnsi="Arial Narrow" w:cstheme="majorBidi"/>
                <w:bCs/>
                <w:sz w:val="20"/>
                <w:szCs w:val="20"/>
                <w:lang w:bidi="en-US"/>
              </w:rPr>
            </w:pPr>
            <w:r>
              <w:rPr>
                <w:rFonts w:ascii="Arial Narrow" w:eastAsiaTheme="majorEastAsia" w:hAnsi="Arial Narrow" w:cstheme="majorBidi"/>
                <w:bCs/>
                <w:sz w:val="20"/>
                <w:szCs w:val="20"/>
                <w:lang w:bidi="en-US"/>
              </w:rPr>
              <w:t>AAER</w:t>
            </w:r>
          </w:p>
        </w:tc>
      </w:tr>
    </w:tbl>
    <w:p w14:paraId="383C41A8" w14:textId="77777777" w:rsidR="0000425C" w:rsidRPr="00D84BB3" w:rsidRDefault="0000425C" w:rsidP="0000425C">
      <w:pPr>
        <w:pStyle w:val="TableFigureFooter"/>
        <w:rPr>
          <w:rFonts w:eastAsiaTheme="majorEastAsia"/>
        </w:rPr>
      </w:pPr>
      <w:r w:rsidRPr="00D84BB3">
        <w:rPr>
          <w:rFonts w:eastAsiaTheme="majorEastAsia"/>
        </w:rPr>
        <w:t>Source: Based on Table 2-19, pp59-60 of the submission and adapted from 6.02</w:t>
      </w:r>
      <w:r>
        <w:rPr>
          <w:rFonts w:eastAsiaTheme="majorEastAsia"/>
        </w:rPr>
        <w:t>,</w:t>
      </w:r>
      <w:r w:rsidRPr="00D84BB3">
        <w:rPr>
          <w:rFonts w:eastAsiaTheme="majorEastAsia"/>
        </w:rPr>
        <w:t xml:space="preserve"> </w:t>
      </w:r>
      <w:r>
        <w:rPr>
          <w:rFonts w:eastAsiaTheme="majorEastAsia"/>
        </w:rPr>
        <w:t>d</w:t>
      </w:r>
      <w:r w:rsidRPr="00D84BB3">
        <w:rPr>
          <w:rFonts w:eastAsiaTheme="majorEastAsia"/>
        </w:rPr>
        <w:t>upilumab PSD – November 2020 PBAC meeting</w:t>
      </w:r>
      <w:r>
        <w:rPr>
          <w:rFonts w:eastAsiaTheme="majorEastAsia"/>
        </w:rPr>
        <w:t>.</w:t>
      </w:r>
    </w:p>
    <w:p w14:paraId="7AAFAA89" w14:textId="77777777" w:rsidR="0000425C" w:rsidRPr="00D84BB3" w:rsidRDefault="0000425C" w:rsidP="0000425C">
      <w:pPr>
        <w:pStyle w:val="TableFigureFooter"/>
        <w:rPr>
          <w:rFonts w:eastAsiaTheme="majorEastAsia"/>
        </w:rPr>
      </w:pPr>
      <w:r w:rsidRPr="00D84BB3">
        <w:rPr>
          <w:rFonts w:eastAsiaTheme="majorEastAsia"/>
        </w:rPr>
        <w:t>AAER = annual asthma exacerbation rate; AASER = annual asthma severe exacerbation rate; AER = asthma exacerbation rate; DB =</w:t>
      </w:r>
      <w:r>
        <w:rPr>
          <w:rFonts w:eastAsiaTheme="majorEastAsia"/>
        </w:rPr>
        <w:t xml:space="preserve"> </w:t>
      </w:r>
      <w:r w:rsidRPr="00D84BB3">
        <w:rPr>
          <w:rFonts w:eastAsiaTheme="majorEastAsia"/>
        </w:rPr>
        <w:t>Double blind; DUPI = dupilumab;</w:t>
      </w:r>
      <w:r>
        <w:rPr>
          <w:rFonts w:eastAsiaTheme="majorEastAsia"/>
        </w:rPr>
        <w:t xml:space="preserve"> </w:t>
      </w:r>
      <w:proofErr w:type="spellStart"/>
      <w:r>
        <w:rPr>
          <w:rFonts w:eastAsiaTheme="majorEastAsia"/>
        </w:rPr>
        <w:t>EOSic</w:t>
      </w:r>
      <w:proofErr w:type="spellEnd"/>
      <w:r>
        <w:rPr>
          <w:rFonts w:eastAsiaTheme="majorEastAsia"/>
        </w:rPr>
        <w:t xml:space="preserve"> = eosinophilic; </w:t>
      </w:r>
      <w:r w:rsidRPr="00D84BB3">
        <w:rPr>
          <w:rFonts w:eastAsiaTheme="majorEastAsia"/>
        </w:rPr>
        <w:t xml:space="preserve">FEV1 = forced expiratory volume in 1 second; IV = intravenous; MC = multicentre; </w:t>
      </w:r>
      <w:r>
        <w:rPr>
          <w:rFonts w:eastAsiaTheme="majorEastAsia"/>
        </w:rPr>
        <w:t xml:space="preserve">NA = Not Applicable; </w:t>
      </w:r>
      <w:r w:rsidRPr="00D84BB3">
        <w:rPr>
          <w:rFonts w:eastAsiaTheme="majorEastAsia"/>
        </w:rPr>
        <w:t xml:space="preserve">OCS = oral corticosteroid; PBO = placebo; Q2W = every 2 weeks; Q4W = every 4 weeks; Q8W = every 8 weeks; R = randomised; SC = subcutaneous; TEZE = </w:t>
      </w:r>
      <w:proofErr w:type="spellStart"/>
      <w:r w:rsidRPr="00D84BB3">
        <w:rPr>
          <w:rFonts w:eastAsiaTheme="majorEastAsia"/>
        </w:rPr>
        <w:t>tezepelumab</w:t>
      </w:r>
      <w:proofErr w:type="spellEnd"/>
    </w:p>
    <w:p w14:paraId="402E482D" w14:textId="77777777" w:rsidR="0000425C" w:rsidRDefault="0000425C" w:rsidP="0000425C">
      <w:pPr>
        <w:pStyle w:val="TableFigureFooter"/>
        <w:rPr>
          <w:rFonts w:eastAsiaTheme="majorEastAsia"/>
        </w:rPr>
      </w:pPr>
      <w:r w:rsidRPr="00D84BB3">
        <w:rPr>
          <w:rFonts w:eastAsiaTheme="majorEastAsia"/>
          <w:shd w:val="clear" w:color="auto" w:fill="B8CCE4" w:themeFill="accent1" w:themeFillTint="66"/>
        </w:rPr>
        <w:t>Blue shading</w:t>
      </w:r>
      <w:r>
        <w:rPr>
          <w:rFonts w:eastAsiaTheme="majorEastAsia"/>
        </w:rPr>
        <w:t xml:space="preserve"> indicates p</w:t>
      </w:r>
      <w:r w:rsidRPr="00D84BB3">
        <w:rPr>
          <w:rFonts w:eastAsiaTheme="majorEastAsia"/>
        </w:rPr>
        <w:t>reviously seen by the PBAC.</w:t>
      </w:r>
    </w:p>
    <w:p w14:paraId="4A93AA4F" w14:textId="77777777" w:rsidR="0000425C" w:rsidRDefault="0000425C" w:rsidP="0000425C">
      <w:pPr>
        <w:pStyle w:val="TableFigureFooter"/>
        <w:rPr>
          <w:rFonts w:eastAsiaTheme="majorEastAsia"/>
        </w:rPr>
      </w:pPr>
      <w:r>
        <w:rPr>
          <w:rFonts w:eastAsiaTheme="majorEastAsia"/>
          <w:vertAlign w:val="superscript"/>
        </w:rPr>
        <w:t>a</w:t>
      </w:r>
      <w:r>
        <w:rPr>
          <w:rFonts w:eastAsiaTheme="majorEastAsia"/>
        </w:rPr>
        <w:t xml:space="preserve"> </w:t>
      </w:r>
      <w:r w:rsidRPr="00A85026">
        <w:rPr>
          <w:szCs w:val="18"/>
        </w:rPr>
        <w:t xml:space="preserve">Excludes </w:t>
      </w:r>
      <w:r>
        <w:rPr>
          <w:szCs w:val="18"/>
        </w:rPr>
        <w:t>patients</w:t>
      </w:r>
      <w:r w:rsidRPr="00A85026">
        <w:rPr>
          <w:szCs w:val="18"/>
        </w:rPr>
        <w:t xml:space="preserve"> from the TEZE 70 mg Q4W and TEZE 280 mg Q2W arms because they are not relevant to this submission. </w:t>
      </w:r>
      <w:r>
        <w:rPr>
          <w:rFonts w:eastAsiaTheme="majorEastAsia"/>
        </w:rPr>
        <w:t xml:space="preserve"> </w:t>
      </w:r>
    </w:p>
    <w:p w14:paraId="1DF968E0" w14:textId="77777777" w:rsidR="0000425C" w:rsidRDefault="0000425C" w:rsidP="0000425C">
      <w:pPr>
        <w:pStyle w:val="TableFigureFooter"/>
        <w:rPr>
          <w:szCs w:val="18"/>
        </w:rPr>
      </w:pPr>
      <w:r>
        <w:rPr>
          <w:rFonts w:eastAsiaTheme="majorEastAsia"/>
          <w:vertAlign w:val="superscript"/>
        </w:rPr>
        <w:t xml:space="preserve">b </w:t>
      </w:r>
      <w:r w:rsidRPr="00A85026">
        <w:rPr>
          <w:szCs w:val="18"/>
        </w:rPr>
        <w:t xml:space="preserve">Excludes </w:t>
      </w:r>
      <w:r>
        <w:rPr>
          <w:szCs w:val="18"/>
        </w:rPr>
        <w:t>patients</w:t>
      </w:r>
      <w:r w:rsidRPr="00A85026">
        <w:rPr>
          <w:szCs w:val="18"/>
        </w:rPr>
        <w:t xml:space="preserve"> from the DUPI 300 mg Q2W and PBO 2.00 mL arms because they are not relevant to this submission</w:t>
      </w:r>
    </w:p>
    <w:p w14:paraId="04391A7E" w14:textId="77777777" w:rsidR="0000425C" w:rsidRPr="007D57FF" w:rsidRDefault="0000425C" w:rsidP="0000425C">
      <w:pPr>
        <w:pStyle w:val="TableFigureFooter"/>
        <w:rPr>
          <w:vertAlign w:val="superscript"/>
        </w:rPr>
      </w:pPr>
      <w:r>
        <w:rPr>
          <w:vertAlign w:val="superscript"/>
        </w:rPr>
        <w:t xml:space="preserve">c </w:t>
      </w:r>
      <w:r w:rsidRPr="00A85026">
        <w:rPr>
          <w:szCs w:val="18"/>
        </w:rPr>
        <w:t xml:space="preserve">Excludes </w:t>
      </w:r>
      <w:r>
        <w:rPr>
          <w:szCs w:val="18"/>
        </w:rPr>
        <w:t>patients</w:t>
      </w:r>
      <w:r w:rsidRPr="00A85026">
        <w:rPr>
          <w:szCs w:val="18"/>
        </w:rPr>
        <w:t xml:space="preserve"> from the DUPI 200 mg Q4W, DUPI 300 mg Q4W and DUPI 300 mg Q2W arms because they are not relevant to this submission.</w:t>
      </w:r>
    </w:p>
    <w:p w14:paraId="1DBA0155" w14:textId="77777777" w:rsidR="0000425C" w:rsidRPr="003A4276" w:rsidRDefault="0000425C" w:rsidP="0000425C">
      <w:pPr>
        <w:pStyle w:val="TableFigureFooter"/>
        <w:rPr>
          <w:rFonts w:eastAsiaTheme="majorEastAsia"/>
        </w:rPr>
      </w:pPr>
      <w:r>
        <w:rPr>
          <w:rFonts w:eastAsiaTheme="majorEastAsia"/>
          <w:vertAlign w:val="superscript"/>
        </w:rPr>
        <w:t xml:space="preserve">d </w:t>
      </w:r>
      <w:r w:rsidRPr="00A85026">
        <w:rPr>
          <w:szCs w:val="18"/>
        </w:rPr>
        <w:t>While called annual severe asthma exacerbation rate (AASER) the definition of this outcome was the same as AAER in the other studies.</w:t>
      </w:r>
    </w:p>
    <w:p w14:paraId="03D1DE25" w14:textId="17CC1F90" w:rsidR="0000425C" w:rsidRPr="00E42865" w:rsidRDefault="0000425C" w:rsidP="0000425C">
      <w:pPr>
        <w:pStyle w:val="3-BodyText"/>
        <w:numPr>
          <w:ilvl w:val="1"/>
          <w:numId w:val="1"/>
        </w:numPr>
        <w:ind w:left="709"/>
      </w:pPr>
      <w:r w:rsidRPr="00E42865">
        <w:t xml:space="preserve">The </w:t>
      </w:r>
      <w:r w:rsidR="00092F15">
        <w:t xml:space="preserve">evaluator considered the </w:t>
      </w:r>
      <w:r w:rsidRPr="00E42865">
        <w:t xml:space="preserve">risk of bias in the randomised </w:t>
      </w:r>
      <w:proofErr w:type="spellStart"/>
      <w:r w:rsidRPr="00E42865">
        <w:t>tezepelumab</w:t>
      </w:r>
      <w:proofErr w:type="spellEnd"/>
      <w:r w:rsidRPr="00E42865">
        <w:t xml:space="preserve"> trials was low and risk of bias in the extension study was moderate due to selection and reporting bias. </w:t>
      </w:r>
    </w:p>
    <w:p w14:paraId="2543D0C3" w14:textId="66CC2226" w:rsidR="0000425C" w:rsidRDefault="0000425C" w:rsidP="0000425C">
      <w:pPr>
        <w:pStyle w:val="3-BodyText"/>
        <w:numPr>
          <w:ilvl w:val="1"/>
          <w:numId w:val="1"/>
        </w:numPr>
        <w:ind w:left="709"/>
      </w:pPr>
      <w:bookmarkStart w:id="25" w:name="_Ref211439689"/>
      <w:r w:rsidRPr="0052414D">
        <w:t xml:space="preserve">Key differences in trial and patient </w:t>
      </w:r>
      <w:r>
        <w:t xml:space="preserve">baseline </w:t>
      </w:r>
      <w:r w:rsidRPr="0052414D">
        <w:t xml:space="preserve">characteristics that might influence the transitivity of the indirect </w:t>
      </w:r>
      <w:r>
        <w:t xml:space="preserve">treatment </w:t>
      </w:r>
      <w:r w:rsidRPr="0052414D">
        <w:t>comparisons</w:t>
      </w:r>
      <w:r>
        <w:t xml:space="preserve"> are summarised for the relevant subgroups in </w:t>
      </w:r>
      <w:r>
        <w:fldChar w:fldCharType="begin"/>
      </w:r>
      <w:r>
        <w:instrText xml:space="preserve"> REF _Ref208217347 \h  \* MERGEFORMAT </w:instrText>
      </w:r>
      <w:r>
        <w:fldChar w:fldCharType="separate"/>
      </w:r>
      <w:r w:rsidR="0078760A" w:rsidRPr="0055360B">
        <w:t xml:space="preserve">Table </w:t>
      </w:r>
      <w:r w:rsidR="0078760A">
        <w:t>4</w:t>
      </w:r>
      <w:r>
        <w:fldChar w:fldCharType="end"/>
      </w:r>
      <w:r>
        <w:t xml:space="preserve">. All indirect treatment comparisons were based on </w:t>
      </w:r>
      <w:r w:rsidRPr="00141929">
        <w:t>post hoc</w:t>
      </w:r>
      <w:r>
        <w:t xml:space="preserve"> subgroups. </w:t>
      </w:r>
      <w:bookmarkEnd w:id="25"/>
    </w:p>
    <w:p w14:paraId="35AC9FD5" w14:textId="1DC7BA06" w:rsidR="0000425C" w:rsidRPr="0055360B" w:rsidRDefault="0000425C" w:rsidP="0000425C">
      <w:pPr>
        <w:pStyle w:val="TableFigureHeading"/>
      </w:pPr>
      <w:bookmarkStart w:id="26" w:name="_Ref208217347"/>
      <w:r w:rsidRPr="0055360B">
        <w:t xml:space="preserve">Table </w:t>
      </w:r>
      <w:r w:rsidR="001146FA">
        <w:fldChar w:fldCharType="begin"/>
      </w:r>
      <w:r w:rsidR="001146FA">
        <w:instrText xml:space="preserve"> SEQ Table \* ARABIC </w:instrText>
      </w:r>
      <w:r w:rsidR="001146FA">
        <w:fldChar w:fldCharType="separate"/>
      </w:r>
      <w:r w:rsidR="0078760A">
        <w:rPr>
          <w:noProof/>
        </w:rPr>
        <w:t>4</w:t>
      </w:r>
      <w:r w:rsidR="001146FA">
        <w:rPr>
          <w:noProof/>
        </w:rPr>
        <w:fldChar w:fldCharType="end"/>
      </w:r>
      <w:bookmarkEnd w:id="26"/>
      <w:r w:rsidRPr="0055360B">
        <w:t>: Differences that might influence the transitivity of the indirect comparisons</w:t>
      </w:r>
    </w:p>
    <w:tbl>
      <w:tblPr>
        <w:tblStyle w:val="TableGrid"/>
        <w:tblW w:w="0" w:type="auto"/>
        <w:jc w:val="center"/>
        <w:tblLook w:val="04A0" w:firstRow="1" w:lastRow="0" w:firstColumn="1" w:lastColumn="0" w:noHBand="0" w:noVBand="1"/>
        <w:tblCaption w:val="Differences that might influence the transitivity of the indirect comparisons"/>
      </w:tblPr>
      <w:tblGrid>
        <w:gridCol w:w="2405"/>
        <w:gridCol w:w="3606"/>
        <w:gridCol w:w="3006"/>
      </w:tblGrid>
      <w:tr w:rsidR="0000425C" w14:paraId="689928BB" w14:textId="77777777" w:rsidTr="007A6BD6">
        <w:trPr>
          <w:jc w:val="center"/>
        </w:trPr>
        <w:tc>
          <w:tcPr>
            <w:tcW w:w="2405" w:type="dxa"/>
            <w:tcBorders>
              <w:top w:val="single" w:sz="4" w:space="0" w:color="auto"/>
              <w:left w:val="single" w:sz="4" w:space="0" w:color="auto"/>
              <w:bottom w:val="single" w:sz="4" w:space="0" w:color="auto"/>
              <w:right w:val="single" w:sz="4" w:space="0" w:color="auto"/>
            </w:tcBorders>
          </w:tcPr>
          <w:p w14:paraId="3A7C83CC" w14:textId="77777777" w:rsidR="0000425C" w:rsidRDefault="0000425C" w:rsidP="007A6BD6">
            <w:pPr>
              <w:pStyle w:val="TableFigureHeading"/>
            </w:pPr>
          </w:p>
        </w:tc>
        <w:tc>
          <w:tcPr>
            <w:tcW w:w="3606" w:type="dxa"/>
            <w:tcBorders>
              <w:top w:val="single" w:sz="4" w:space="0" w:color="auto"/>
              <w:left w:val="single" w:sz="4" w:space="0" w:color="auto"/>
              <w:bottom w:val="single" w:sz="4" w:space="0" w:color="auto"/>
              <w:right w:val="single" w:sz="4" w:space="0" w:color="auto"/>
            </w:tcBorders>
          </w:tcPr>
          <w:p w14:paraId="55D905A5" w14:textId="77777777" w:rsidR="0000425C" w:rsidRDefault="0000425C" w:rsidP="007A6BD6">
            <w:pPr>
              <w:pStyle w:val="TableFigureHeading"/>
            </w:pPr>
            <w:r>
              <w:t>Tezepelumab vs placebo</w:t>
            </w:r>
          </w:p>
        </w:tc>
        <w:tc>
          <w:tcPr>
            <w:tcW w:w="3006" w:type="dxa"/>
            <w:tcBorders>
              <w:top w:val="single" w:sz="4" w:space="0" w:color="auto"/>
              <w:left w:val="single" w:sz="4" w:space="0" w:color="auto"/>
              <w:bottom w:val="single" w:sz="4" w:space="0" w:color="auto"/>
              <w:right w:val="single" w:sz="4" w:space="0" w:color="auto"/>
            </w:tcBorders>
          </w:tcPr>
          <w:p w14:paraId="01BA714C" w14:textId="77777777" w:rsidR="0000425C" w:rsidRDefault="0000425C" w:rsidP="007A6BD6">
            <w:pPr>
              <w:pStyle w:val="TableFigureHeading"/>
            </w:pPr>
            <w:r>
              <w:t>Dupilumab versus placebo</w:t>
            </w:r>
          </w:p>
        </w:tc>
      </w:tr>
      <w:tr w:rsidR="0000425C" w14:paraId="152DDC60" w14:textId="77777777" w:rsidTr="007A6BD6">
        <w:trPr>
          <w:jc w:val="center"/>
        </w:trPr>
        <w:tc>
          <w:tcPr>
            <w:tcW w:w="9017" w:type="dxa"/>
            <w:gridSpan w:val="3"/>
            <w:tcBorders>
              <w:top w:val="single" w:sz="4" w:space="0" w:color="auto"/>
              <w:left w:val="single" w:sz="4" w:space="0" w:color="auto"/>
              <w:bottom w:val="single" w:sz="4" w:space="0" w:color="auto"/>
              <w:right w:val="single" w:sz="4" w:space="0" w:color="auto"/>
            </w:tcBorders>
          </w:tcPr>
          <w:p w14:paraId="56BC69A6" w14:textId="77777777" w:rsidR="0000425C" w:rsidRDefault="0000425C" w:rsidP="007A6BD6">
            <w:pPr>
              <w:pStyle w:val="TableFigureHeading"/>
            </w:pPr>
            <w:r w:rsidRPr="00DF6B30">
              <w:rPr>
                <w:lang w:val="da-DK"/>
              </w:rPr>
              <w:t xml:space="preserve">EOSic </w:t>
            </w:r>
            <w:r>
              <w:rPr>
                <w:lang w:val="da-DK"/>
              </w:rPr>
              <w:t xml:space="preserve">(EOS </w:t>
            </w:r>
            <w:r w:rsidRPr="000D6B0B">
              <w:rPr>
                <w:szCs w:val="20"/>
              </w:rPr>
              <w:t>≥300 cells/</w:t>
            </w:r>
            <w:proofErr w:type="spellStart"/>
            <w:r w:rsidRPr="000D6B0B">
              <w:rPr>
                <w:szCs w:val="20"/>
              </w:rPr>
              <w:t>μL</w:t>
            </w:r>
            <w:proofErr w:type="spellEnd"/>
            <w:r>
              <w:rPr>
                <w:szCs w:val="20"/>
              </w:rPr>
              <w:t>)</w:t>
            </w:r>
            <w:r w:rsidRPr="00DF6B30">
              <w:rPr>
                <w:lang w:val="da-DK"/>
              </w:rPr>
              <w:t xml:space="preserve"> + H</w:t>
            </w:r>
            <w:r>
              <w:rPr>
                <w:lang w:val="da-DK"/>
              </w:rPr>
              <w:t>igh ICS with no</w:t>
            </w:r>
            <w:r w:rsidRPr="00DF6B30">
              <w:rPr>
                <w:lang w:val="da-DK"/>
              </w:rPr>
              <w:t xml:space="preserve"> OCS</w:t>
            </w:r>
            <w:r>
              <w:rPr>
                <w:lang w:val="da-DK"/>
              </w:rPr>
              <w:t xml:space="preserve"> subgroup</w:t>
            </w:r>
          </w:p>
        </w:tc>
      </w:tr>
      <w:tr w:rsidR="0000425C" w14:paraId="22D51D25" w14:textId="77777777" w:rsidTr="007A6BD6">
        <w:trPr>
          <w:jc w:val="center"/>
        </w:trPr>
        <w:tc>
          <w:tcPr>
            <w:tcW w:w="2405" w:type="dxa"/>
            <w:tcBorders>
              <w:top w:val="single" w:sz="4" w:space="0" w:color="auto"/>
              <w:bottom w:val="single" w:sz="4" w:space="0" w:color="auto"/>
            </w:tcBorders>
          </w:tcPr>
          <w:p w14:paraId="1B6C04E7" w14:textId="77777777" w:rsidR="0000425C" w:rsidRPr="0076788D" w:rsidRDefault="0000425C" w:rsidP="007A6BD6">
            <w:pPr>
              <w:pStyle w:val="TableFigureHeading"/>
              <w:rPr>
                <w:b w:val="0"/>
                <w:bCs w:val="0"/>
              </w:rPr>
            </w:pPr>
            <w:r w:rsidRPr="0076788D">
              <w:rPr>
                <w:b w:val="0"/>
                <w:bCs w:val="0"/>
                <w:color w:val="000000" w:themeColor="text1"/>
                <w:lang w:eastAsia="zh-CN"/>
              </w:rPr>
              <w:t>Trials or relevant subgroups</w:t>
            </w:r>
          </w:p>
        </w:tc>
        <w:tc>
          <w:tcPr>
            <w:tcW w:w="3606" w:type="dxa"/>
            <w:tcBorders>
              <w:top w:val="single" w:sz="4" w:space="0" w:color="auto"/>
              <w:bottom w:val="single" w:sz="4" w:space="0" w:color="auto"/>
            </w:tcBorders>
          </w:tcPr>
          <w:p w14:paraId="1A04C3F9" w14:textId="77777777" w:rsidR="0000425C" w:rsidRPr="0076788D" w:rsidRDefault="0000425C" w:rsidP="007A6BD6">
            <w:pPr>
              <w:pStyle w:val="TableText"/>
              <w:rPr>
                <w:bCs w:val="0"/>
                <w:color w:val="000000" w:themeColor="text1"/>
                <w:lang w:eastAsia="zh-CN"/>
              </w:rPr>
            </w:pPr>
            <w:r w:rsidRPr="0076788D">
              <w:rPr>
                <w:bCs w:val="0"/>
                <w:color w:val="000000" w:themeColor="text1"/>
                <w:lang w:eastAsia="zh-CN"/>
              </w:rPr>
              <w:t>NAVIGATOR: N=152 vs 166</w:t>
            </w:r>
          </w:p>
          <w:p w14:paraId="43DEE7D2" w14:textId="77777777" w:rsidR="0000425C" w:rsidRPr="0076788D" w:rsidRDefault="0000425C" w:rsidP="007A6BD6">
            <w:pPr>
              <w:pStyle w:val="TableFigureHeading"/>
              <w:rPr>
                <w:b w:val="0"/>
                <w:bCs w:val="0"/>
              </w:rPr>
            </w:pPr>
            <w:r w:rsidRPr="0076788D">
              <w:rPr>
                <w:b w:val="0"/>
                <w:bCs w:val="0"/>
                <w:color w:val="000000" w:themeColor="text1"/>
                <w:lang w:eastAsia="zh-CN"/>
              </w:rPr>
              <w:t>PATHWAY: N=29 vs 22</w:t>
            </w:r>
          </w:p>
        </w:tc>
        <w:tc>
          <w:tcPr>
            <w:tcW w:w="3006" w:type="dxa"/>
            <w:tcBorders>
              <w:top w:val="single" w:sz="4" w:space="0" w:color="auto"/>
              <w:bottom w:val="single" w:sz="4" w:space="0" w:color="auto"/>
            </w:tcBorders>
          </w:tcPr>
          <w:p w14:paraId="59703E40" w14:textId="77777777" w:rsidR="0000425C" w:rsidRPr="0076788D" w:rsidRDefault="0000425C" w:rsidP="007A6BD6">
            <w:pPr>
              <w:pStyle w:val="TableText"/>
              <w:rPr>
                <w:bCs w:val="0"/>
                <w:color w:val="000000" w:themeColor="text1"/>
                <w:lang w:eastAsia="zh-CN"/>
              </w:rPr>
            </w:pPr>
            <w:r w:rsidRPr="0076788D">
              <w:rPr>
                <w:bCs w:val="0"/>
                <w:color w:val="000000" w:themeColor="text1"/>
                <w:lang w:eastAsia="zh-CN"/>
              </w:rPr>
              <w:t>QUEST: N=128 vs N=80</w:t>
            </w:r>
          </w:p>
          <w:p w14:paraId="42110AB8" w14:textId="77777777" w:rsidR="0000425C" w:rsidRPr="0076788D" w:rsidRDefault="0000425C" w:rsidP="007A6BD6">
            <w:pPr>
              <w:pStyle w:val="TableFigureHeading"/>
              <w:rPr>
                <w:b w:val="0"/>
                <w:bCs w:val="0"/>
              </w:rPr>
            </w:pPr>
            <w:r w:rsidRPr="0076788D">
              <w:rPr>
                <w:b w:val="0"/>
                <w:bCs w:val="0"/>
                <w:color w:val="000000" w:themeColor="text1"/>
                <w:lang w:eastAsia="zh-CN"/>
              </w:rPr>
              <w:t>DRI12544: N=37 vs 35</w:t>
            </w:r>
          </w:p>
        </w:tc>
      </w:tr>
      <w:tr w:rsidR="0000425C" w14:paraId="7C65EF08" w14:textId="77777777" w:rsidTr="007A6BD6">
        <w:trPr>
          <w:jc w:val="center"/>
        </w:trPr>
        <w:tc>
          <w:tcPr>
            <w:tcW w:w="2405" w:type="dxa"/>
            <w:tcBorders>
              <w:bottom w:val="single" w:sz="4" w:space="0" w:color="auto"/>
            </w:tcBorders>
          </w:tcPr>
          <w:p w14:paraId="64CBE849" w14:textId="77777777" w:rsidR="0000425C" w:rsidRPr="0076788D" w:rsidRDefault="0000425C" w:rsidP="007A6BD6">
            <w:pPr>
              <w:pStyle w:val="TableFigureHeading"/>
              <w:rPr>
                <w:b w:val="0"/>
                <w:bCs w:val="0"/>
              </w:rPr>
            </w:pPr>
            <w:r w:rsidRPr="0076788D">
              <w:rPr>
                <w:b w:val="0"/>
                <w:bCs w:val="0"/>
                <w:color w:val="000000" w:themeColor="text1"/>
                <w:lang w:eastAsia="zh-CN"/>
              </w:rPr>
              <w:t>Exacerbations in previous 12 months (mean)</w:t>
            </w:r>
          </w:p>
        </w:tc>
        <w:tc>
          <w:tcPr>
            <w:tcW w:w="3606" w:type="dxa"/>
            <w:tcBorders>
              <w:bottom w:val="single" w:sz="4" w:space="0" w:color="auto"/>
            </w:tcBorders>
          </w:tcPr>
          <w:p w14:paraId="7D9B1C2C" w14:textId="77777777" w:rsidR="0000425C" w:rsidRPr="0076788D" w:rsidRDefault="0000425C" w:rsidP="007A6BD6">
            <w:pPr>
              <w:pStyle w:val="TableText"/>
              <w:rPr>
                <w:bCs w:val="0"/>
                <w:color w:val="000000" w:themeColor="text1"/>
                <w:lang w:eastAsia="zh-CN"/>
              </w:rPr>
            </w:pPr>
            <w:r w:rsidRPr="0076788D">
              <w:rPr>
                <w:bCs w:val="0"/>
                <w:color w:val="000000" w:themeColor="text1"/>
                <w:lang w:eastAsia="zh-CN"/>
              </w:rPr>
              <w:t>NAVIGATOR: 3.07 vs 3.00</w:t>
            </w:r>
          </w:p>
          <w:p w14:paraId="4294B427" w14:textId="77777777" w:rsidR="0000425C" w:rsidRPr="0076788D" w:rsidRDefault="0000425C" w:rsidP="007A6BD6">
            <w:pPr>
              <w:pStyle w:val="TableFigureHeading"/>
              <w:rPr>
                <w:b w:val="0"/>
                <w:bCs w:val="0"/>
              </w:rPr>
            </w:pPr>
            <w:r w:rsidRPr="0076788D">
              <w:rPr>
                <w:b w:val="0"/>
                <w:bCs w:val="0"/>
                <w:color w:val="000000" w:themeColor="text1"/>
                <w:lang w:eastAsia="zh-CN"/>
              </w:rPr>
              <w:t>PATHWAY: 2.66 vs 2.55</w:t>
            </w:r>
          </w:p>
        </w:tc>
        <w:tc>
          <w:tcPr>
            <w:tcW w:w="3006" w:type="dxa"/>
            <w:tcBorders>
              <w:bottom w:val="single" w:sz="4" w:space="0" w:color="auto"/>
            </w:tcBorders>
          </w:tcPr>
          <w:p w14:paraId="5DD012DC" w14:textId="77777777" w:rsidR="0000425C" w:rsidRPr="0076788D" w:rsidRDefault="0000425C" w:rsidP="007A6BD6">
            <w:pPr>
              <w:pStyle w:val="TableText"/>
              <w:rPr>
                <w:bCs w:val="0"/>
                <w:color w:val="000000" w:themeColor="text1"/>
                <w:lang w:eastAsia="zh-CN"/>
              </w:rPr>
            </w:pPr>
            <w:r w:rsidRPr="0076788D">
              <w:rPr>
                <w:bCs w:val="0"/>
                <w:color w:val="000000" w:themeColor="text1"/>
                <w:lang w:eastAsia="zh-CN"/>
              </w:rPr>
              <w:t>QUEST: 2.3 vs 2.4</w:t>
            </w:r>
          </w:p>
          <w:p w14:paraId="127061D5" w14:textId="77777777" w:rsidR="0000425C" w:rsidRPr="0076788D" w:rsidRDefault="0000425C" w:rsidP="007A6BD6">
            <w:pPr>
              <w:pStyle w:val="TableFigureHeading"/>
              <w:rPr>
                <w:b w:val="0"/>
                <w:bCs w:val="0"/>
              </w:rPr>
            </w:pPr>
            <w:r w:rsidRPr="0076788D">
              <w:rPr>
                <w:b w:val="0"/>
                <w:bCs w:val="0"/>
                <w:color w:val="000000" w:themeColor="text1"/>
                <w:lang w:eastAsia="zh-CN"/>
              </w:rPr>
              <w:t>DRI12544: 0.7 vs 1.1</w:t>
            </w:r>
          </w:p>
        </w:tc>
      </w:tr>
      <w:tr w:rsidR="0000425C" w14:paraId="767C971C" w14:textId="77777777" w:rsidTr="007A6BD6">
        <w:trPr>
          <w:jc w:val="center"/>
        </w:trPr>
        <w:tc>
          <w:tcPr>
            <w:tcW w:w="2405" w:type="dxa"/>
            <w:tcBorders>
              <w:top w:val="single" w:sz="4" w:space="0" w:color="auto"/>
              <w:left w:val="single" w:sz="4" w:space="0" w:color="auto"/>
              <w:bottom w:val="single" w:sz="4" w:space="0" w:color="auto"/>
              <w:right w:val="single" w:sz="4" w:space="0" w:color="auto"/>
            </w:tcBorders>
          </w:tcPr>
          <w:p w14:paraId="6D90111F" w14:textId="77777777" w:rsidR="0000425C" w:rsidRPr="0076788D" w:rsidRDefault="0000425C" w:rsidP="007A6BD6">
            <w:pPr>
              <w:pStyle w:val="TableFigureHeading"/>
              <w:rPr>
                <w:b w:val="0"/>
                <w:bCs w:val="0"/>
              </w:rPr>
            </w:pPr>
            <w:r w:rsidRPr="0076788D">
              <w:rPr>
                <w:b w:val="0"/>
                <w:bCs w:val="0"/>
                <w:color w:val="000000" w:themeColor="text1"/>
                <w:lang w:eastAsia="zh-CN"/>
              </w:rPr>
              <w:t>P</w:t>
            </w:r>
            <w:r>
              <w:rPr>
                <w:b w:val="0"/>
                <w:bCs w:val="0"/>
                <w:color w:val="000000" w:themeColor="text1"/>
                <w:lang w:eastAsia="zh-CN"/>
              </w:rPr>
              <w:t>re-BD FEV1 % Predicted Normal</w:t>
            </w:r>
          </w:p>
        </w:tc>
        <w:tc>
          <w:tcPr>
            <w:tcW w:w="3606" w:type="dxa"/>
            <w:tcBorders>
              <w:top w:val="single" w:sz="4" w:space="0" w:color="auto"/>
              <w:left w:val="single" w:sz="4" w:space="0" w:color="auto"/>
              <w:bottom w:val="single" w:sz="4" w:space="0" w:color="auto"/>
              <w:right w:val="single" w:sz="4" w:space="0" w:color="auto"/>
            </w:tcBorders>
          </w:tcPr>
          <w:p w14:paraId="4AEDBEFB" w14:textId="77777777" w:rsidR="0000425C" w:rsidRPr="0076788D" w:rsidRDefault="0000425C" w:rsidP="007A6BD6">
            <w:pPr>
              <w:pStyle w:val="TableText"/>
              <w:rPr>
                <w:bCs w:val="0"/>
                <w:color w:val="000000" w:themeColor="text1"/>
                <w:lang w:eastAsia="zh-CN"/>
              </w:rPr>
            </w:pPr>
            <w:r w:rsidRPr="0076788D">
              <w:rPr>
                <w:bCs w:val="0"/>
                <w:color w:val="000000" w:themeColor="text1"/>
                <w:lang w:eastAsia="zh-CN"/>
              </w:rPr>
              <w:t xml:space="preserve">NAVIGATOR: </w:t>
            </w:r>
            <w:r>
              <w:rPr>
                <w:bCs w:val="0"/>
                <w:color w:val="000000" w:themeColor="text1"/>
                <w:lang w:eastAsia="zh-CN"/>
              </w:rPr>
              <w:t>57.9% vs 60.1%</w:t>
            </w:r>
          </w:p>
          <w:p w14:paraId="1DC4929B" w14:textId="77777777" w:rsidR="0000425C" w:rsidRPr="0076788D" w:rsidRDefault="0000425C" w:rsidP="007A6BD6">
            <w:pPr>
              <w:pStyle w:val="TableFigureHeading"/>
              <w:rPr>
                <w:b w:val="0"/>
                <w:bCs w:val="0"/>
              </w:rPr>
            </w:pPr>
            <w:r w:rsidRPr="0076788D">
              <w:rPr>
                <w:b w:val="0"/>
                <w:bCs w:val="0"/>
                <w:color w:val="000000" w:themeColor="text1"/>
                <w:lang w:eastAsia="zh-CN"/>
              </w:rPr>
              <w:t xml:space="preserve">PATHWAY: </w:t>
            </w:r>
            <w:r>
              <w:rPr>
                <w:b w:val="0"/>
                <w:bCs w:val="0"/>
                <w:color w:val="000000" w:themeColor="text1"/>
                <w:lang w:eastAsia="zh-CN"/>
              </w:rPr>
              <w:t>57.3% vs 59.6%</w:t>
            </w:r>
          </w:p>
        </w:tc>
        <w:tc>
          <w:tcPr>
            <w:tcW w:w="3006" w:type="dxa"/>
            <w:tcBorders>
              <w:top w:val="single" w:sz="4" w:space="0" w:color="auto"/>
              <w:left w:val="single" w:sz="4" w:space="0" w:color="auto"/>
              <w:bottom w:val="single" w:sz="4" w:space="0" w:color="auto"/>
              <w:right w:val="single" w:sz="4" w:space="0" w:color="auto"/>
            </w:tcBorders>
          </w:tcPr>
          <w:p w14:paraId="1938FB9C" w14:textId="77777777" w:rsidR="0000425C" w:rsidRPr="0076788D" w:rsidRDefault="0000425C" w:rsidP="007A6BD6">
            <w:pPr>
              <w:pStyle w:val="TableText"/>
              <w:rPr>
                <w:bCs w:val="0"/>
                <w:color w:val="000000" w:themeColor="text1"/>
                <w:lang w:eastAsia="zh-CN"/>
              </w:rPr>
            </w:pPr>
            <w:r w:rsidRPr="0076788D">
              <w:rPr>
                <w:bCs w:val="0"/>
                <w:color w:val="000000" w:themeColor="text1"/>
                <w:lang w:eastAsia="zh-CN"/>
              </w:rPr>
              <w:t xml:space="preserve">QUEST: </w:t>
            </w:r>
            <w:r>
              <w:rPr>
                <w:bCs w:val="0"/>
                <w:color w:val="000000" w:themeColor="text1"/>
                <w:lang w:eastAsia="zh-CN"/>
              </w:rPr>
              <w:t>55.6% vs 57.8%</w:t>
            </w:r>
          </w:p>
          <w:p w14:paraId="3A194519" w14:textId="77777777" w:rsidR="0000425C" w:rsidRPr="0076788D" w:rsidRDefault="0000425C" w:rsidP="007A6BD6">
            <w:pPr>
              <w:pStyle w:val="TableFigureHeading"/>
              <w:rPr>
                <w:b w:val="0"/>
                <w:bCs w:val="0"/>
              </w:rPr>
            </w:pPr>
            <w:r w:rsidRPr="0076788D">
              <w:rPr>
                <w:b w:val="0"/>
                <w:bCs w:val="0"/>
                <w:color w:val="000000" w:themeColor="text1"/>
                <w:lang w:eastAsia="zh-CN"/>
              </w:rPr>
              <w:t xml:space="preserve">DRI12544: </w:t>
            </w:r>
            <w:r>
              <w:rPr>
                <w:b w:val="0"/>
                <w:bCs w:val="0"/>
                <w:color w:val="000000" w:themeColor="text1"/>
                <w:lang w:eastAsia="zh-CN"/>
              </w:rPr>
              <w:t>58.0% vs 57.4%</w:t>
            </w:r>
          </w:p>
        </w:tc>
      </w:tr>
      <w:tr w:rsidR="0000425C" w14:paraId="38F6B0C4" w14:textId="77777777" w:rsidTr="007A6BD6">
        <w:trPr>
          <w:jc w:val="center"/>
        </w:trPr>
        <w:tc>
          <w:tcPr>
            <w:tcW w:w="2405" w:type="dxa"/>
            <w:tcBorders>
              <w:top w:val="single" w:sz="4" w:space="0" w:color="auto"/>
              <w:left w:val="single" w:sz="4" w:space="0" w:color="auto"/>
              <w:bottom w:val="single" w:sz="4" w:space="0" w:color="auto"/>
              <w:right w:val="single" w:sz="4" w:space="0" w:color="auto"/>
            </w:tcBorders>
          </w:tcPr>
          <w:p w14:paraId="24BE14DE" w14:textId="77777777" w:rsidR="0000425C" w:rsidRPr="0076788D" w:rsidRDefault="0000425C" w:rsidP="007A6BD6">
            <w:pPr>
              <w:pStyle w:val="TableFigureHeading"/>
              <w:rPr>
                <w:b w:val="0"/>
                <w:bCs w:val="0"/>
                <w:color w:val="000000" w:themeColor="text1"/>
                <w:lang w:eastAsia="zh-CN"/>
              </w:rPr>
            </w:pPr>
            <w:r>
              <w:rPr>
                <w:b w:val="0"/>
                <w:bCs w:val="0"/>
                <w:color w:val="000000" w:themeColor="text1"/>
                <w:lang w:eastAsia="zh-CN"/>
              </w:rPr>
              <w:t>FEV1 reversibility %</w:t>
            </w:r>
          </w:p>
        </w:tc>
        <w:tc>
          <w:tcPr>
            <w:tcW w:w="3606" w:type="dxa"/>
            <w:tcBorders>
              <w:top w:val="single" w:sz="4" w:space="0" w:color="auto"/>
              <w:left w:val="single" w:sz="4" w:space="0" w:color="auto"/>
              <w:bottom w:val="single" w:sz="4" w:space="0" w:color="auto"/>
              <w:right w:val="single" w:sz="4" w:space="0" w:color="auto"/>
            </w:tcBorders>
          </w:tcPr>
          <w:p w14:paraId="2B3360B1" w14:textId="77777777" w:rsidR="0000425C" w:rsidRDefault="0000425C" w:rsidP="007A6BD6">
            <w:pPr>
              <w:pStyle w:val="TableText"/>
              <w:rPr>
                <w:bCs w:val="0"/>
                <w:color w:val="000000" w:themeColor="text1"/>
                <w:lang w:eastAsia="zh-CN"/>
              </w:rPr>
            </w:pPr>
            <w:r>
              <w:rPr>
                <w:bCs w:val="0"/>
                <w:color w:val="000000" w:themeColor="text1"/>
                <w:lang w:eastAsia="zh-CN"/>
              </w:rPr>
              <w:t>NAVIGATOR: 17.6% vs 16.0%</w:t>
            </w:r>
          </w:p>
          <w:p w14:paraId="6D112A2F" w14:textId="77777777" w:rsidR="0000425C" w:rsidRPr="0076788D" w:rsidRDefault="0000425C" w:rsidP="007A6BD6">
            <w:pPr>
              <w:pStyle w:val="TableText"/>
              <w:rPr>
                <w:bCs w:val="0"/>
                <w:color w:val="000000" w:themeColor="text1"/>
                <w:lang w:eastAsia="zh-CN"/>
              </w:rPr>
            </w:pPr>
            <w:r>
              <w:rPr>
                <w:bCs w:val="0"/>
                <w:color w:val="000000" w:themeColor="text1"/>
                <w:lang w:eastAsia="zh-CN"/>
              </w:rPr>
              <w:t>PATHWAY: 22.5% vs 22.5%</w:t>
            </w:r>
          </w:p>
        </w:tc>
        <w:tc>
          <w:tcPr>
            <w:tcW w:w="3006" w:type="dxa"/>
            <w:tcBorders>
              <w:top w:val="single" w:sz="4" w:space="0" w:color="auto"/>
              <w:left w:val="single" w:sz="4" w:space="0" w:color="auto"/>
              <w:bottom w:val="single" w:sz="4" w:space="0" w:color="auto"/>
              <w:right w:val="single" w:sz="4" w:space="0" w:color="auto"/>
            </w:tcBorders>
          </w:tcPr>
          <w:p w14:paraId="468C3CA4" w14:textId="77777777" w:rsidR="0000425C" w:rsidRDefault="0000425C" w:rsidP="007A6BD6">
            <w:pPr>
              <w:pStyle w:val="TableText"/>
              <w:rPr>
                <w:bCs w:val="0"/>
                <w:color w:val="000000" w:themeColor="text1"/>
                <w:lang w:eastAsia="zh-CN"/>
              </w:rPr>
            </w:pPr>
            <w:r>
              <w:rPr>
                <w:bCs w:val="0"/>
                <w:color w:val="000000" w:themeColor="text1"/>
                <w:lang w:eastAsia="zh-CN"/>
              </w:rPr>
              <w:t>QUEST: 27.0% vs 25.0%</w:t>
            </w:r>
          </w:p>
          <w:p w14:paraId="0CFF4B41" w14:textId="77777777" w:rsidR="0000425C" w:rsidRPr="0076788D" w:rsidRDefault="0000425C" w:rsidP="007A6BD6">
            <w:pPr>
              <w:pStyle w:val="TableText"/>
              <w:rPr>
                <w:bCs w:val="0"/>
                <w:color w:val="000000" w:themeColor="text1"/>
                <w:lang w:eastAsia="zh-CN"/>
              </w:rPr>
            </w:pPr>
            <w:r>
              <w:rPr>
                <w:bCs w:val="0"/>
                <w:color w:val="000000" w:themeColor="text1"/>
                <w:lang w:eastAsia="zh-CN"/>
              </w:rPr>
              <w:t>DRI12544: 21.2% vs 22.1%</w:t>
            </w:r>
          </w:p>
        </w:tc>
      </w:tr>
      <w:tr w:rsidR="0000425C" w14:paraId="642882F2" w14:textId="77777777" w:rsidTr="007A6BD6">
        <w:trPr>
          <w:jc w:val="center"/>
        </w:trPr>
        <w:tc>
          <w:tcPr>
            <w:tcW w:w="9017" w:type="dxa"/>
            <w:gridSpan w:val="3"/>
            <w:tcBorders>
              <w:top w:val="single" w:sz="4" w:space="0" w:color="auto"/>
              <w:left w:val="single" w:sz="4" w:space="0" w:color="auto"/>
              <w:bottom w:val="single" w:sz="4" w:space="0" w:color="auto"/>
              <w:right w:val="single" w:sz="4" w:space="0" w:color="auto"/>
            </w:tcBorders>
          </w:tcPr>
          <w:p w14:paraId="6AE812DC" w14:textId="77777777" w:rsidR="0000425C" w:rsidRPr="00086AC1" w:rsidRDefault="0000425C" w:rsidP="007A6BD6">
            <w:pPr>
              <w:pStyle w:val="TableFigureHeading"/>
            </w:pPr>
            <w:r w:rsidRPr="00086AC1">
              <w:rPr>
                <w:rFonts w:eastAsia="SimSun"/>
                <w:szCs w:val="20"/>
                <w:lang w:bidi="en-US"/>
              </w:rPr>
              <w:t>Allergic + medium and high ICS</w:t>
            </w:r>
          </w:p>
        </w:tc>
      </w:tr>
      <w:tr w:rsidR="0000425C" w14:paraId="3AE7CE28" w14:textId="77777777" w:rsidTr="007A6BD6">
        <w:trPr>
          <w:jc w:val="center"/>
        </w:trPr>
        <w:tc>
          <w:tcPr>
            <w:tcW w:w="2405" w:type="dxa"/>
            <w:tcBorders>
              <w:top w:val="single" w:sz="4" w:space="0" w:color="auto"/>
              <w:left w:val="single" w:sz="4" w:space="0" w:color="auto"/>
              <w:bottom w:val="single" w:sz="4" w:space="0" w:color="auto"/>
              <w:right w:val="single" w:sz="4" w:space="0" w:color="auto"/>
            </w:tcBorders>
          </w:tcPr>
          <w:p w14:paraId="01347607" w14:textId="77777777" w:rsidR="0000425C" w:rsidRPr="0076788D" w:rsidRDefault="0000425C" w:rsidP="007A6BD6">
            <w:pPr>
              <w:pStyle w:val="TableFigureHeading"/>
              <w:rPr>
                <w:b w:val="0"/>
                <w:bCs w:val="0"/>
              </w:rPr>
            </w:pPr>
            <w:r w:rsidRPr="0076788D">
              <w:rPr>
                <w:b w:val="0"/>
                <w:bCs w:val="0"/>
                <w:lang w:eastAsia="zh-CN"/>
              </w:rPr>
              <w:t>Trials or relevant subgroups</w:t>
            </w:r>
          </w:p>
        </w:tc>
        <w:tc>
          <w:tcPr>
            <w:tcW w:w="3606" w:type="dxa"/>
            <w:tcBorders>
              <w:top w:val="single" w:sz="4" w:space="0" w:color="auto"/>
              <w:left w:val="single" w:sz="4" w:space="0" w:color="auto"/>
              <w:bottom w:val="single" w:sz="4" w:space="0" w:color="auto"/>
              <w:right w:val="single" w:sz="4" w:space="0" w:color="auto"/>
            </w:tcBorders>
          </w:tcPr>
          <w:p w14:paraId="54A0A489" w14:textId="77777777" w:rsidR="0000425C" w:rsidRPr="0076788D" w:rsidRDefault="0000425C" w:rsidP="007A6BD6">
            <w:pPr>
              <w:pStyle w:val="TableText"/>
              <w:rPr>
                <w:bCs w:val="0"/>
                <w:lang w:eastAsia="zh-CN"/>
              </w:rPr>
            </w:pPr>
            <w:r w:rsidRPr="0076788D">
              <w:rPr>
                <w:bCs w:val="0"/>
                <w:lang w:eastAsia="zh-CN"/>
              </w:rPr>
              <w:t>NAVIGATOR: N=339 vs N=341</w:t>
            </w:r>
          </w:p>
          <w:p w14:paraId="31D50C3D" w14:textId="77777777" w:rsidR="0000425C" w:rsidRPr="0076788D" w:rsidRDefault="0000425C" w:rsidP="007A6BD6">
            <w:pPr>
              <w:pStyle w:val="TableFigureHeading"/>
              <w:rPr>
                <w:b w:val="0"/>
                <w:bCs w:val="0"/>
              </w:rPr>
            </w:pPr>
            <w:r w:rsidRPr="0076788D">
              <w:rPr>
                <w:b w:val="0"/>
                <w:bCs w:val="0"/>
                <w:lang w:eastAsia="zh-CN"/>
              </w:rPr>
              <w:t>PATHWAY: N=77 vs 80</w:t>
            </w:r>
          </w:p>
        </w:tc>
        <w:tc>
          <w:tcPr>
            <w:tcW w:w="3006" w:type="dxa"/>
            <w:tcBorders>
              <w:top w:val="single" w:sz="4" w:space="0" w:color="auto"/>
              <w:left w:val="single" w:sz="4" w:space="0" w:color="auto"/>
              <w:bottom w:val="single" w:sz="4" w:space="0" w:color="auto"/>
              <w:right w:val="single" w:sz="4" w:space="0" w:color="auto"/>
            </w:tcBorders>
          </w:tcPr>
          <w:p w14:paraId="554357C0" w14:textId="77777777" w:rsidR="0000425C" w:rsidRPr="0076788D" w:rsidRDefault="0000425C" w:rsidP="007A6BD6">
            <w:pPr>
              <w:pStyle w:val="TableText"/>
              <w:rPr>
                <w:bCs w:val="0"/>
                <w:lang w:eastAsia="zh-CN"/>
              </w:rPr>
            </w:pPr>
            <w:r w:rsidRPr="0076788D">
              <w:rPr>
                <w:bCs w:val="0"/>
                <w:lang w:eastAsia="zh-CN"/>
              </w:rPr>
              <w:t>QUEST: N=360 vs 183</w:t>
            </w:r>
          </w:p>
          <w:p w14:paraId="138A478E" w14:textId="77777777" w:rsidR="0000425C" w:rsidRPr="0076788D" w:rsidRDefault="0000425C" w:rsidP="007A6BD6">
            <w:pPr>
              <w:pStyle w:val="TableFigureHeading"/>
              <w:rPr>
                <w:b w:val="0"/>
                <w:bCs w:val="0"/>
              </w:rPr>
            </w:pPr>
          </w:p>
        </w:tc>
      </w:tr>
      <w:tr w:rsidR="0000425C" w14:paraId="5076505C" w14:textId="77777777" w:rsidTr="007A6BD6">
        <w:trPr>
          <w:jc w:val="center"/>
        </w:trPr>
        <w:tc>
          <w:tcPr>
            <w:tcW w:w="2405" w:type="dxa"/>
            <w:tcBorders>
              <w:top w:val="single" w:sz="4" w:space="0" w:color="auto"/>
              <w:bottom w:val="single" w:sz="4" w:space="0" w:color="auto"/>
            </w:tcBorders>
          </w:tcPr>
          <w:p w14:paraId="69DC9784" w14:textId="77777777" w:rsidR="0000425C" w:rsidRPr="0076788D" w:rsidRDefault="0000425C" w:rsidP="007A6BD6">
            <w:pPr>
              <w:pStyle w:val="TableFigureHeading"/>
              <w:rPr>
                <w:b w:val="0"/>
                <w:bCs w:val="0"/>
              </w:rPr>
            </w:pPr>
            <w:r w:rsidRPr="0076788D">
              <w:rPr>
                <w:b w:val="0"/>
                <w:bCs w:val="0"/>
                <w:lang w:eastAsia="zh-CN"/>
              </w:rPr>
              <w:t>Allergic definition</w:t>
            </w:r>
          </w:p>
        </w:tc>
        <w:tc>
          <w:tcPr>
            <w:tcW w:w="3606" w:type="dxa"/>
            <w:tcBorders>
              <w:top w:val="single" w:sz="4" w:space="0" w:color="auto"/>
              <w:bottom w:val="single" w:sz="4" w:space="0" w:color="auto"/>
            </w:tcBorders>
          </w:tcPr>
          <w:p w14:paraId="4EAD8BA1" w14:textId="77777777" w:rsidR="0000425C" w:rsidRPr="0076788D" w:rsidRDefault="0000425C" w:rsidP="007A6BD6">
            <w:pPr>
              <w:pStyle w:val="TableText"/>
              <w:rPr>
                <w:bCs w:val="0"/>
                <w:lang w:eastAsia="zh-CN"/>
              </w:rPr>
            </w:pPr>
            <w:r w:rsidRPr="0076788D">
              <w:rPr>
                <w:bCs w:val="0"/>
                <w:lang w:eastAsia="zh-CN"/>
              </w:rPr>
              <w:t>NAVIGATOR: positive serum IgE result specific to a panel of perennial aeroallergens in the fluorescent enzyme immunoassay</w:t>
            </w:r>
          </w:p>
          <w:p w14:paraId="72D26FCF" w14:textId="77777777" w:rsidR="0000425C" w:rsidRPr="0076788D" w:rsidRDefault="0000425C" w:rsidP="007A6BD6">
            <w:pPr>
              <w:pStyle w:val="TableFigureHeading"/>
              <w:rPr>
                <w:b w:val="0"/>
                <w:bCs w:val="0"/>
              </w:rPr>
            </w:pPr>
            <w:r w:rsidRPr="0076788D">
              <w:rPr>
                <w:b w:val="0"/>
                <w:bCs w:val="0"/>
                <w:lang w:eastAsia="zh-CN"/>
              </w:rPr>
              <w:t>PATHWAY: positive IgE FEIA level to one or more region-specific allergens</w:t>
            </w:r>
          </w:p>
        </w:tc>
        <w:tc>
          <w:tcPr>
            <w:tcW w:w="3006" w:type="dxa"/>
            <w:tcBorders>
              <w:top w:val="single" w:sz="4" w:space="0" w:color="auto"/>
              <w:bottom w:val="single" w:sz="4" w:space="0" w:color="auto"/>
            </w:tcBorders>
          </w:tcPr>
          <w:p w14:paraId="0E184D9D" w14:textId="77777777" w:rsidR="0000425C" w:rsidRPr="0076788D" w:rsidRDefault="0000425C" w:rsidP="007A6BD6">
            <w:pPr>
              <w:pStyle w:val="TableText"/>
              <w:rPr>
                <w:bCs w:val="0"/>
                <w:lang w:eastAsia="zh-CN"/>
              </w:rPr>
            </w:pPr>
            <w:r w:rsidRPr="0076788D">
              <w:rPr>
                <w:bCs w:val="0"/>
                <w:lang w:eastAsia="zh-CN"/>
              </w:rPr>
              <w:t xml:space="preserve">QUEST: total serum IgE ≥30 IU/mL and ≥1 perennial aeroallergen-specific IgE≥0.35 </w:t>
            </w:r>
            <w:proofErr w:type="spellStart"/>
            <w:r>
              <w:rPr>
                <w:bCs w:val="0"/>
                <w:lang w:eastAsia="zh-CN"/>
              </w:rPr>
              <w:t>k</w:t>
            </w:r>
            <w:r w:rsidRPr="0076788D">
              <w:rPr>
                <w:bCs w:val="0"/>
                <w:lang w:eastAsia="zh-CN"/>
              </w:rPr>
              <w:t>U</w:t>
            </w:r>
            <w:proofErr w:type="spellEnd"/>
            <w:r w:rsidRPr="0076788D">
              <w:rPr>
                <w:bCs w:val="0"/>
                <w:lang w:eastAsia="zh-CN"/>
              </w:rPr>
              <w:t>/L</w:t>
            </w:r>
          </w:p>
          <w:p w14:paraId="55664BC9" w14:textId="77777777" w:rsidR="0000425C" w:rsidRPr="0076788D" w:rsidRDefault="0000425C" w:rsidP="007A6BD6">
            <w:pPr>
              <w:pStyle w:val="TableFigureHeading"/>
              <w:rPr>
                <w:b w:val="0"/>
                <w:bCs w:val="0"/>
              </w:rPr>
            </w:pPr>
          </w:p>
        </w:tc>
      </w:tr>
      <w:tr w:rsidR="0000425C" w14:paraId="218EAF3D" w14:textId="77777777" w:rsidTr="007A6BD6">
        <w:trPr>
          <w:jc w:val="center"/>
        </w:trPr>
        <w:tc>
          <w:tcPr>
            <w:tcW w:w="2405" w:type="dxa"/>
          </w:tcPr>
          <w:p w14:paraId="65F5BA4D" w14:textId="77777777" w:rsidR="0000425C" w:rsidRPr="0076788D" w:rsidRDefault="0000425C" w:rsidP="007A6BD6">
            <w:pPr>
              <w:pStyle w:val="TableFigureHeading"/>
              <w:rPr>
                <w:b w:val="0"/>
                <w:bCs w:val="0"/>
              </w:rPr>
            </w:pPr>
            <w:r w:rsidRPr="0076788D">
              <w:rPr>
                <w:b w:val="0"/>
                <w:bCs w:val="0"/>
                <w:lang w:eastAsia="zh-CN"/>
              </w:rPr>
              <w:t>Proportion receiving high-dose ICS</w:t>
            </w:r>
          </w:p>
        </w:tc>
        <w:tc>
          <w:tcPr>
            <w:tcW w:w="3606" w:type="dxa"/>
          </w:tcPr>
          <w:p w14:paraId="1EF916DB" w14:textId="77777777" w:rsidR="0000425C" w:rsidRPr="0076788D" w:rsidRDefault="0000425C" w:rsidP="007A6BD6">
            <w:pPr>
              <w:pStyle w:val="TableText"/>
              <w:rPr>
                <w:bCs w:val="0"/>
                <w:lang w:eastAsia="zh-CN"/>
              </w:rPr>
            </w:pPr>
            <w:r w:rsidRPr="0076788D">
              <w:rPr>
                <w:bCs w:val="0"/>
                <w:lang w:eastAsia="zh-CN"/>
              </w:rPr>
              <w:t>NAVIGATOR: NR (75.2% vs 75.0% in FAS)</w:t>
            </w:r>
          </w:p>
          <w:p w14:paraId="54EEA533" w14:textId="77777777" w:rsidR="0000425C" w:rsidRPr="0076788D" w:rsidRDefault="0000425C" w:rsidP="007A6BD6">
            <w:pPr>
              <w:pStyle w:val="TableFigureHeading"/>
              <w:rPr>
                <w:b w:val="0"/>
                <w:bCs w:val="0"/>
              </w:rPr>
            </w:pPr>
            <w:r w:rsidRPr="0076788D">
              <w:rPr>
                <w:b w:val="0"/>
                <w:bCs w:val="0"/>
                <w:lang w:eastAsia="zh-CN"/>
              </w:rPr>
              <w:t>PATHWAY: NR (48.9% vs 47.1% in ITT)</w:t>
            </w:r>
          </w:p>
        </w:tc>
        <w:tc>
          <w:tcPr>
            <w:tcW w:w="3006" w:type="dxa"/>
          </w:tcPr>
          <w:p w14:paraId="624486F8" w14:textId="77777777" w:rsidR="0000425C" w:rsidRPr="0076788D" w:rsidRDefault="0000425C" w:rsidP="007A6BD6">
            <w:pPr>
              <w:pStyle w:val="TableText"/>
              <w:rPr>
                <w:bCs w:val="0"/>
                <w:lang w:eastAsia="zh-CN"/>
              </w:rPr>
            </w:pPr>
            <w:r w:rsidRPr="0076788D">
              <w:rPr>
                <w:bCs w:val="0"/>
                <w:lang w:eastAsia="zh-CN"/>
              </w:rPr>
              <w:t>QUEST: NR (50.2% vs 54.3% in ITT)</w:t>
            </w:r>
          </w:p>
          <w:p w14:paraId="79FAB214" w14:textId="77777777" w:rsidR="0000425C" w:rsidRPr="0076788D" w:rsidRDefault="0000425C" w:rsidP="007A6BD6">
            <w:pPr>
              <w:pStyle w:val="TableFigureHeading"/>
              <w:rPr>
                <w:b w:val="0"/>
                <w:bCs w:val="0"/>
              </w:rPr>
            </w:pPr>
          </w:p>
        </w:tc>
      </w:tr>
      <w:tr w:rsidR="0000425C" w14:paraId="01E7EB28" w14:textId="77777777" w:rsidTr="007A6BD6">
        <w:trPr>
          <w:jc w:val="center"/>
        </w:trPr>
        <w:tc>
          <w:tcPr>
            <w:tcW w:w="2405" w:type="dxa"/>
            <w:tcBorders>
              <w:bottom w:val="single" w:sz="4" w:space="0" w:color="auto"/>
            </w:tcBorders>
          </w:tcPr>
          <w:p w14:paraId="79E5884E" w14:textId="77777777" w:rsidR="0000425C" w:rsidRPr="0076788D" w:rsidRDefault="0000425C" w:rsidP="007A6BD6">
            <w:pPr>
              <w:pStyle w:val="TableFigureHeading"/>
              <w:rPr>
                <w:b w:val="0"/>
                <w:bCs w:val="0"/>
              </w:rPr>
            </w:pPr>
            <w:r w:rsidRPr="0076788D">
              <w:rPr>
                <w:b w:val="0"/>
                <w:bCs w:val="0"/>
                <w:lang w:eastAsia="zh-CN"/>
              </w:rPr>
              <w:t>Exacerbations in previous 12 months (mean)</w:t>
            </w:r>
          </w:p>
        </w:tc>
        <w:tc>
          <w:tcPr>
            <w:tcW w:w="3606" w:type="dxa"/>
            <w:tcBorders>
              <w:bottom w:val="single" w:sz="4" w:space="0" w:color="auto"/>
            </w:tcBorders>
          </w:tcPr>
          <w:p w14:paraId="75AB0DAC" w14:textId="77777777" w:rsidR="0000425C" w:rsidRPr="0076788D" w:rsidRDefault="0000425C" w:rsidP="007A6BD6">
            <w:pPr>
              <w:pStyle w:val="TableText"/>
              <w:rPr>
                <w:bCs w:val="0"/>
                <w:lang w:eastAsia="zh-CN"/>
              </w:rPr>
            </w:pPr>
            <w:r w:rsidRPr="0076788D">
              <w:rPr>
                <w:bCs w:val="0"/>
                <w:lang w:eastAsia="zh-CN"/>
              </w:rPr>
              <w:t>NAVIGATOR: NR (</w:t>
            </w:r>
            <w:r>
              <w:rPr>
                <w:bCs w:val="0"/>
                <w:lang w:eastAsia="zh-CN"/>
              </w:rPr>
              <w:t>2.8</w:t>
            </w:r>
            <w:r w:rsidRPr="0076788D">
              <w:rPr>
                <w:bCs w:val="0"/>
                <w:lang w:eastAsia="zh-CN"/>
              </w:rPr>
              <w:t xml:space="preserve"> vs </w:t>
            </w:r>
            <w:r>
              <w:rPr>
                <w:bCs w:val="0"/>
                <w:lang w:eastAsia="zh-CN"/>
              </w:rPr>
              <w:t>2.7</w:t>
            </w:r>
            <w:r w:rsidRPr="0076788D">
              <w:rPr>
                <w:bCs w:val="0"/>
                <w:lang w:eastAsia="zh-CN"/>
              </w:rPr>
              <w:t xml:space="preserve"> in FAS)</w:t>
            </w:r>
          </w:p>
          <w:p w14:paraId="3E386AB5" w14:textId="77777777" w:rsidR="0000425C" w:rsidRPr="0076788D" w:rsidRDefault="0000425C" w:rsidP="007A6BD6">
            <w:pPr>
              <w:pStyle w:val="TableFigureHeading"/>
              <w:rPr>
                <w:b w:val="0"/>
                <w:bCs w:val="0"/>
              </w:rPr>
            </w:pPr>
            <w:r w:rsidRPr="0076788D">
              <w:rPr>
                <w:b w:val="0"/>
                <w:bCs w:val="0"/>
                <w:lang w:eastAsia="zh-CN"/>
              </w:rPr>
              <w:t xml:space="preserve">PATHWAY: NR (2.4 </w:t>
            </w:r>
            <w:r>
              <w:rPr>
                <w:b w:val="0"/>
                <w:bCs w:val="0"/>
                <w:lang w:eastAsia="zh-CN"/>
              </w:rPr>
              <w:t xml:space="preserve">vs 2.5 in </w:t>
            </w:r>
            <w:r w:rsidRPr="0076788D">
              <w:rPr>
                <w:b w:val="0"/>
                <w:bCs w:val="0"/>
                <w:lang w:eastAsia="zh-CN"/>
              </w:rPr>
              <w:t>ITT)</w:t>
            </w:r>
          </w:p>
        </w:tc>
        <w:tc>
          <w:tcPr>
            <w:tcW w:w="3006" w:type="dxa"/>
            <w:tcBorders>
              <w:bottom w:val="single" w:sz="4" w:space="0" w:color="auto"/>
            </w:tcBorders>
          </w:tcPr>
          <w:p w14:paraId="156278E6" w14:textId="77777777" w:rsidR="0000425C" w:rsidRPr="0076788D" w:rsidRDefault="0000425C" w:rsidP="007A6BD6">
            <w:pPr>
              <w:pStyle w:val="TableText"/>
              <w:rPr>
                <w:bCs w:val="0"/>
                <w:lang w:eastAsia="zh-CN"/>
              </w:rPr>
            </w:pPr>
            <w:r w:rsidRPr="0076788D">
              <w:rPr>
                <w:bCs w:val="0"/>
                <w:lang w:eastAsia="zh-CN"/>
              </w:rPr>
              <w:t>QUEST: 1.98 vs 1.89</w:t>
            </w:r>
          </w:p>
          <w:p w14:paraId="7DC4CC8B" w14:textId="77777777" w:rsidR="0000425C" w:rsidRPr="0076788D" w:rsidRDefault="0000425C" w:rsidP="007A6BD6">
            <w:pPr>
              <w:pStyle w:val="TableFigureHeading"/>
              <w:rPr>
                <w:b w:val="0"/>
                <w:bCs w:val="0"/>
              </w:rPr>
            </w:pPr>
          </w:p>
        </w:tc>
      </w:tr>
      <w:tr w:rsidR="0000425C" w14:paraId="28F4DF74" w14:textId="77777777" w:rsidTr="007A6BD6">
        <w:trPr>
          <w:jc w:val="center"/>
        </w:trPr>
        <w:tc>
          <w:tcPr>
            <w:tcW w:w="2405" w:type="dxa"/>
            <w:tcBorders>
              <w:top w:val="single" w:sz="4" w:space="0" w:color="auto"/>
              <w:left w:val="single" w:sz="4" w:space="0" w:color="auto"/>
              <w:bottom w:val="single" w:sz="4" w:space="0" w:color="auto"/>
              <w:right w:val="single" w:sz="4" w:space="0" w:color="auto"/>
            </w:tcBorders>
          </w:tcPr>
          <w:p w14:paraId="39351E58" w14:textId="77777777" w:rsidR="0000425C" w:rsidRPr="0076788D" w:rsidRDefault="0000425C" w:rsidP="007A6BD6">
            <w:pPr>
              <w:pStyle w:val="TableFigureHeading"/>
              <w:rPr>
                <w:b w:val="0"/>
                <w:bCs w:val="0"/>
              </w:rPr>
            </w:pPr>
            <w:r w:rsidRPr="0076788D">
              <w:rPr>
                <w:b w:val="0"/>
                <w:bCs w:val="0"/>
                <w:lang w:eastAsia="zh-CN"/>
              </w:rPr>
              <w:t>Proportion receiving OCS</w:t>
            </w:r>
          </w:p>
        </w:tc>
        <w:tc>
          <w:tcPr>
            <w:tcW w:w="3606" w:type="dxa"/>
            <w:tcBorders>
              <w:top w:val="single" w:sz="4" w:space="0" w:color="auto"/>
              <w:left w:val="single" w:sz="4" w:space="0" w:color="auto"/>
              <w:bottom w:val="single" w:sz="4" w:space="0" w:color="auto"/>
              <w:right w:val="single" w:sz="4" w:space="0" w:color="auto"/>
            </w:tcBorders>
          </w:tcPr>
          <w:p w14:paraId="45D9F461" w14:textId="77777777" w:rsidR="0000425C" w:rsidRPr="0076788D" w:rsidRDefault="0000425C" w:rsidP="007A6BD6">
            <w:pPr>
              <w:pStyle w:val="TableText"/>
              <w:rPr>
                <w:bCs w:val="0"/>
                <w:lang w:eastAsia="zh-CN"/>
              </w:rPr>
            </w:pPr>
            <w:r w:rsidRPr="0076788D">
              <w:rPr>
                <w:bCs w:val="0"/>
                <w:lang w:eastAsia="zh-CN"/>
              </w:rPr>
              <w:t>NAVIGATOR: NR (9.3% vs 9.6% in FAS)</w:t>
            </w:r>
          </w:p>
          <w:p w14:paraId="558118FC" w14:textId="77777777" w:rsidR="0000425C" w:rsidRPr="0076788D" w:rsidRDefault="0000425C" w:rsidP="007A6BD6">
            <w:pPr>
              <w:pStyle w:val="TableFigureHeading"/>
              <w:rPr>
                <w:b w:val="0"/>
                <w:bCs w:val="0"/>
              </w:rPr>
            </w:pPr>
            <w:r w:rsidRPr="0076788D">
              <w:rPr>
                <w:b w:val="0"/>
                <w:bCs w:val="0"/>
                <w:lang w:eastAsia="zh-CN"/>
              </w:rPr>
              <w:t>PATHWAY: NR (6.6% vs 9.4% in ITT)</w:t>
            </w:r>
          </w:p>
        </w:tc>
        <w:tc>
          <w:tcPr>
            <w:tcW w:w="3006" w:type="dxa"/>
            <w:tcBorders>
              <w:top w:val="single" w:sz="4" w:space="0" w:color="auto"/>
              <w:left w:val="single" w:sz="4" w:space="0" w:color="auto"/>
              <w:bottom w:val="single" w:sz="4" w:space="0" w:color="auto"/>
              <w:right w:val="single" w:sz="4" w:space="0" w:color="auto"/>
            </w:tcBorders>
          </w:tcPr>
          <w:p w14:paraId="54A85D07" w14:textId="77777777" w:rsidR="0000425C" w:rsidRPr="0076788D" w:rsidRDefault="0000425C" w:rsidP="007A6BD6">
            <w:pPr>
              <w:pStyle w:val="TableText"/>
              <w:rPr>
                <w:bCs w:val="0"/>
                <w:lang w:eastAsia="zh-CN"/>
              </w:rPr>
            </w:pPr>
            <w:r w:rsidRPr="0076788D">
              <w:rPr>
                <w:bCs w:val="0"/>
                <w:lang w:eastAsia="zh-CN"/>
              </w:rPr>
              <w:t>QUEST: 0%</w:t>
            </w:r>
          </w:p>
          <w:p w14:paraId="5A05BB72" w14:textId="77777777" w:rsidR="0000425C" w:rsidRPr="0076788D" w:rsidRDefault="0000425C" w:rsidP="007A6BD6">
            <w:pPr>
              <w:pStyle w:val="TableFigureHeading"/>
              <w:rPr>
                <w:b w:val="0"/>
                <w:bCs w:val="0"/>
              </w:rPr>
            </w:pPr>
          </w:p>
        </w:tc>
      </w:tr>
      <w:tr w:rsidR="0000425C" w14:paraId="32D7A1AF" w14:textId="77777777" w:rsidTr="007A6BD6">
        <w:trPr>
          <w:jc w:val="center"/>
        </w:trPr>
        <w:tc>
          <w:tcPr>
            <w:tcW w:w="2405" w:type="dxa"/>
            <w:tcBorders>
              <w:top w:val="single" w:sz="4" w:space="0" w:color="auto"/>
              <w:left w:val="single" w:sz="4" w:space="0" w:color="auto"/>
              <w:bottom w:val="single" w:sz="4" w:space="0" w:color="auto"/>
              <w:right w:val="single" w:sz="4" w:space="0" w:color="auto"/>
            </w:tcBorders>
          </w:tcPr>
          <w:p w14:paraId="552D3337" w14:textId="77777777" w:rsidR="0000425C" w:rsidRPr="0076788D" w:rsidRDefault="0000425C" w:rsidP="007A6BD6">
            <w:pPr>
              <w:pStyle w:val="TableFigureHeading"/>
              <w:rPr>
                <w:b w:val="0"/>
                <w:bCs w:val="0"/>
                <w:lang w:eastAsia="zh-CN"/>
              </w:rPr>
            </w:pPr>
            <w:r w:rsidRPr="0076788D">
              <w:rPr>
                <w:b w:val="0"/>
                <w:bCs w:val="0"/>
                <w:color w:val="000000" w:themeColor="text1"/>
                <w:lang w:eastAsia="zh-CN"/>
              </w:rPr>
              <w:t>P</w:t>
            </w:r>
            <w:r>
              <w:rPr>
                <w:b w:val="0"/>
                <w:bCs w:val="0"/>
                <w:color w:val="000000" w:themeColor="text1"/>
                <w:lang w:eastAsia="zh-CN"/>
              </w:rPr>
              <w:t>re-BD FEV1 % Predicted Normal</w:t>
            </w:r>
          </w:p>
        </w:tc>
        <w:tc>
          <w:tcPr>
            <w:tcW w:w="3606" w:type="dxa"/>
            <w:tcBorders>
              <w:top w:val="single" w:sz="4" w:space="0" w:color="auto"/>
              <w:left w:val="single" w:sz="4" w:space="0" w:color="auto"/>
              <w:bottom w:val="single" w:sz="4" w:space="0" w:color="auto"/>
              <w:right w:val="single" w:sz="4" w:space="0" w:color="auto"/>
            </w:tcBorders>
          </w:tcPr>
          <w:p w14:paraId="4212A929" w14:textId="77777777" w:rsidR="0000425C" w:rsidRDefault="0000425C" w:rsidP="007A6BD6">
            <w:pPr>
              <w:pStyle w:val="TableText"/>
              <w:rPr>
                <w:bCs w:val="0"/>
                <w:lang w:eastAsia="zh-CN"/>
              </w:rPr>
            </w:pPr>
            <w:r>
              <w:rPr>
                <w:bCs w:val="0"/>
                <w:lang w:eastAsia="zh-CN"/>
              </w:rPr>
              <w:t>NAVIGATOR: 60.0% vs 60.8%</w:t>
            </w:r>
          </w:p>
          <w:p w14:paraId="60F05E1D" w14:textId="77777777" w:rsidR="0000425C" w:rsidRPr="0076788D" w:rsidRDefault="0000425C" w:rsidP="007A6BD6">
            <w:pPr>
              <w:pStyle w:val="TableText"/>
              <w:rPr>
                <w:bCs w:val="0"/>
                <w:lang w:eastAsia="zh-CN"/>
              </w:rPr>
            </w:pPr>
            <w:r>
              <w:rPr>
                <w:bCs w:val="0"/>
                <w:lang w:eastAsia="zh-CN"/>
              </w:rPr>
              <w:t>PATHWAY: NR (59.0% vs 59.4% in ITT)</w:t>
            </w:r>
          </w:p>
        </w:tc>
        <w:tc>
          <w:tcPr>
            <w:tcW w:w="3006" w:type="dxa"/>
            <w:tcBorders>
              <w:top w:val="single" w:sz="4" w:space="0" w:color="auto"/>
              <w:left w:val="single" w:sz="4" w:space="0" w:color="auto"/>
              <w:bottom w:val="single" w:sz="4" w:space="0" w:color="auto"/>
              <w:right w:val="single" w:sz="4" w:space="0" w:color="auto"/>
            </w:tcBorders>
          </w:tcPr>
          <w:p w14:paraId="00575EAC" w14:textId="77777777" w:rsidR="0000425C" w:rsidRPr="0076788D" w:rsidRDefault="0000425C" w:rsidP="007A6BD6">
            <w:pPr>
              <w:pStyle w:val="TableText"/>
              <w:rPr>
                <w:bCs w:val="0"/>
                <w:lang w:eastAsia="zh-CN"/>
              </w:rPr>
            </w:pPr>
            <w:r>
              <w:rPr>
                <w:bCs w:val="0"/>
                <w:lang w:eastAsia="zh-CN"/>
              </w:rPr>
              <w:t>QUEST: NR (58.4% vs 58.4% in ITT)</w:t>
            </w:r>
          </w:p>
        </w:tc>
      </w:tr>
      <w:tr w:rsidR="0000425C" w14:paraId="7213E910" w14:textId="77777777" w:rsidTr="007A6BD6">
        <w:trPr>
          <w:jc w:val="center"/>
        </w:trPr>
        <w:tc>
          <w:tcPr>
            <w:tcW w:w="2405" w:type="dxa"/>
            <w:tcBorders>
              <w:top w:val="single" w:sz="4" w:space="0" w:color="auto"/>
              <w:left w:val="single" w:sz="4" w:space="0" w:color="auto"/>
              <w:bottom w:val="single" w:sz="4" w:space="0" w:color="auto"/>
              <w:right w:val="single" w:sz="4" w:space="0" w:color="auto"/>
            </w:tcBorders>
          </w:tcPr>
          <w:p w14:paraId="15628F12" w14:textId="77777777" w:rsidR="0000425C" w:rsidRPr="0076788D" w:rsidRDefault="0000425C" w:rsidP="007A6BD6">
            <w:pPr>
              <w:pStyle w:val="TableFigureHeading"/>
              <w:rPr>
                <w:b w:val="0"/>
                <w:bCs w:val="0"/>
                <w:lang w:eastAsia="zh-CN"/>
              </w:rPr>
            </w:pPr>
            <w:r>
              <w:rPr>
                <w:b w:val="0"/>
                <w:bCs w:val="0"/>
                <w:color w:val="000000" w:themeColor="text1"/>
                <w:lang w:eastAsia="zh-CN"/>
              </w:rPr>
              <w:t>FEV1 reversibility %</w:t>
            </w:r>
          </w:p>
        </w:tc>
        <w:tc>
          <w:tcPr>
            <w:tcW w:w="3606" w:type="dxa"/>
            <w:tcBorders>
              <w:top w:val="single" w:sz="4" w:space="0" w:color="auto"/>
              <w:left w:val="single" w:sz="4" w:space="0" w:color="auto"/>
              <w:bottom w:val="single" w:sz="4" w:space="0" w:color="auto"/>
              <w:right w:val="single" w:sz="4" w:space="0" w:color="auto"/>
            </w:tcBorders>
          </w:tcPr>
          <w:p w14:paraId="011754E6" w14:textId="77777777" w:rsidR="0000425C" w:rsidRDefault="0000425C" w:rsidP="007A6BD6">
            <w:pPr>
              <w:pStyle w:val="TableText"/>
              <w:rPr>
                <w:bCs w:val="0"/>
                <w:lang w:eastAsia="zh-CN"/>
              </w:rPr>
            </w:pPr>
            <w:r>
              <w:rPr>
                <w:bCs w:val="0"/>
                <w:lang w:eastAsia="zh-CN"/>
              </w:rPr>
              <w:t xml:space="preserve">NAVIGATOR: 17.1% vs 15.2% </w:t>
            </w:r>
          </w:p>
          <w:p w14:paraId="7720A73C" w14:textId="77777777" w:rsidR="0000425C" w:rsidRPr="0076788D" w:rsidRDefault="0000425C" w:rsidP="007A6BD6">
            <w:pPr>
              <w:pStyle w:val="TableText"/>
              <w:rPr>
                <w:bCs w:val="0"/>
                <w:lang w:eastAsia="zh-CN"/>
              </w:rPr>
            </w:pPr>
            <w:r>
              <w:rPr>
                <w:bCs w:val="0"/>
                <w:lang w:eastAsia="zh-CN"/>
              </w:rPr>
              <w:t>PATHWAY: NR (20.9% vs 22.7% in ITT)</w:t>
            </w:r>
          </w:p>
        </w:tc>
        <w:tc>
          <w:tcPr>
            <w:tcW w:w="3006" w:type="dxa"/>
            <w:tcBorders>
              <w:top w:val="single" w:sz="4" w:space="0" w:color="auto"/>
              <w:left w:val="single" w:sz="4" w:space="0" w:color="auto"/>
              <w:bottom w:val="single" w:sz="4" w:space="0" w:color="auto"/>
              <w:right w:val="single" w:sz="4" w:space="0" w:color="auto"/>
            </w:tcBorders>
          </w:tcPr>
          <w:p w14:paraId="3ABCA508" w14:textId="77777777" w:rsidR="0000425C" w:rsidRPr="0076788D" w:rsidRDefault="0000425C" w:rsidP="007A6BD6">
            <w:pPr>
              <w:pStyle w:val="TableText"/>
              <w:rPr>
                <w:bCs w:val="0"/>
                <w:lang w:eastAsia="zh-CN"/>
              </w:rPr>
            </w:pPr>
            <w:r>
              <w:rPr>
                <w:bCs w:val="0"/>
                <w:lang w:eastAsia="zh-CN"/>
              </w:rPr>
              <w:t>QUEST: NR (27.4% vs 25.1% in ITT)</w:t>
            </w:r>
          </w:p>
        </w:tc>
      </w:tr>
      <w:tr w:rsidR="0000425C" w14:paraId="5273A12A" w14:textId="77777777" w:rsidTr="007A6BD6">
        <w:trPr>
          <w:jc w:val="center"/>
        </w:trPr>
        <w:tc>
          <w:tcPr>
            <w:tcW w:w="9017" w:type="dxa"/>
            <w:gridSpan w:val="3"/>
            <w:tcBorders>
              <w:top w:val="single" w:sz="4" w:space="0" w:color="auto"/>
              <w:left w:val="single" w:sz="4" w:space="0" w:color="auto"/>
              <w:bottom w:val="single" w:sz="4" w:space="0" w:color="auto"/>
              <w:right w:val="single" w:sz="4" w:space="0" w:color="auto"/>
            </w:tcBorders>
          </w:tcPr>
          <w:p w14:paraId="00E0FDC2" w14:textId="77777777" w:rsidR="0000425C" w:rsidRDefault="0000425C" w:rsidP="007A6BD6">
            <w:pPr>
              <w:pStyle w:val="TableFigureHeading"/>
            </w:pPr>
            <w:proofErr w:type="spellStart"/>
            <w:r w:rsidRPr="00DF6B30">
              <w:rPr>
                <w:rFonts w:eastAsia="SimSun"/>
                <w:szCs w:val="20"/>
                <w:lang w:bidi="en-US"/>
              </w:rPr>
              <w:t>EOSic</w:t>
            </w:r>
            <w:proofErr w:type="spellEnd"/>
            <w:r w:rsidRPr="00DF6B30">
              <w:rPr>
                <w:rFonts w:eastAsia="SimSun"/>
                <w:szCs w:val="20"/>
                <w:lang w:bidi="en-US"/>
              </w:rPr>
              <w:t xml:space="preserve"> </w:t>
            </w:r>
            <w:r w:rsidRPr="000D6B0B">
              <w:rPr>
                <w:szCs w:val="20"/>
              </w:rPr>
              <w:t>(EOS ≥</w:t>
            </w:r>
            <w:r>
              <w:rPr>
                <w:b w:val="0"/>
                <w:szCs w:val="20"/>
              </w:rPr>
              <w:t>150</w:t>
            </w:r>
            <w:r w:rsidRPr="000D6B0B">
              <w:rPr>
                <w:szCs w:val="20"/>
              </w:rPr>
              <w:t xml:space="preserve"> cells/</w:t>
            </w:r>
            <w:proofErr w:type="spellStart"/>
            <w:r w:rsidRPr="000D6B0B">
              <w:rPr>
                <w:szCs w:val="20"/>
              </w:rPr>
              <w:t>μL</w:t>
            </w:r>
            <w:proofErr w:type="spellEnd"/>
            <w:r w:rsidRPr="000D6B0B">
              <w:rPr>
                <w:szCs w:val="20"/>
              </w:rPr>
              <w:t>)</w:t>
            </w:r>
            <w:r>
              <w:t xml:space="preserve"> </w:t>
            </w:r>
            <w:r w:rsidRPr="00DF6B30">
              <w:rPr>
                <w:rFonts w:eastAsia="SimSun"/>
                <w:szCs w:val="20"/>
                <w:lang w:bidi="en-US"/>
              </w:rPr>
              <w:t>+ H</w:t>
            </w:r>
            <w:r>
              <w:rPr>
                <w:rFonts w:eastAsia="SimSun"/>
                <w:szCs w:val="20"/>
                <w:lang w:bidi="en-US"/>
              </w:rPr>
              <w:t>igh ICS</w:t>
            </w:r>
            <w:r w:rsidRPr="00DF6B30">
              <w:rPr>
                <w:rFonts w:eastAsia="SimSun"/>
                <w:szCs w:val="20"/>
                <w:lang w:bidi="en-US"/>
              </w:rPr>
              <w:t xml:space="preserve"> </w:t>
            </w:r>
            <w:r>
              <w:rPr>
                <w:rFonts w:eastAsia="SimSun"/>
                <w:b w:val="0"/>
                <w:bCs w:val="0"/>
                <w:szCs w:val="20"/>
                <w:lang w:bidi="en-US"/>
              </w:rPr>
              <w:t xml:space="preserve">and </w:t>
            </w:r>
            <w:r w:rsidRPr="00DF6B30">
              <w:rPr>
                <w:rFonts w:eastAsia="SimSun"/>
                <w:szCs w:val="20"/>
                <w:lang w:bidi="en-US"/>
              </w:rPr>
              <w:t>OCS</w:t>
            </w:r>
          </w:p>
        </w:tc>
      </w:tr>
      <w:tr w:rsidR="0000425C" w14:paraId="5924CD47" w14:textId="77777777" w:rsidTr="007A6BD6">
        <w:trPr>
          <w:jc w:val="center"/>
        </w:trPr>
        <w:tc>
          <w:tcPr>
            <w:tcW w:w="2405" w:type="dxa"/>
            <w:tcBorders>
              <w:top w:val="single" w:sz="4" w:space="0" w:color="auto"/>
              <w:left w:val="single" w:sz="4" w:space="0" w:color="auto"/>
              <w:bottom w:val="single" w:sz="4" w:space="0" w:color="auto"/>
              <w:right w:val="single" w:sz="4" w:space="0" w:color="auto"/>
            </w:tcBorders>
          </w:tcPr>
          <w:p w14:paraId="38FAB01C" w14:textId="77777777" w:rsidR="0000425C" w:rsidRPr="0076788D" w:rsidRDefault="0000425C" w:rsidP="007A6BD6">
            <w:pPr>
              <w:pStyle w:val="TableFigureHeading"/>
              <w:rPr>
                <w:b w:val="0"/>
                <w:bCs w:val="0"/>
              </w:rPr>
            </w:pPr>
            <w:r w:rsidRPr="0076788D">
              <w:rPr>
                <w:b w:val="0"/>
                <w:bCs w:val="0"/>
                <w:lang w:eastAsia="zh-CN"/>
              </w:rPr>
              <w:t>Trials or relevant subgroups</w:t>
            </w:r>
          </w:p>
        </w:tc>
        <w:tc>
          <w:tcPr>
            <w:tcW w:w="3606" w:type="dxa"/>
            <w:tcBorders>
              <w:top w:val="single" w:sz="4" w:space="0" w:color="auto"/>
              <w:left w:val="single" w:sz="4" w:space="0" w:color="auto"/>
              <w:bottom w:val="single" w:sz="4" w:space="0" w:color="auto"/>
              <w:right w:val="single" w:sz="4" w:space="0" w:color="auto"/>
            </w:tcBorders>
          </w:tcPr>
          <w:p w14:paraId="0442FE0A" w14:textId="77777777" w:rsidR="0000425C" w:rsidRPr="0076788D" w:rsidRDefault="0000425C" w:rsidP="007A6BD6">
            <w:pPr>
              <w:pStyle w:val="TableFigureHeading"/>
              <w:rPr>
                <w:b w:val="0"/>
                <w:bCs w:val="0"/>
              </w:rPr>
            </w:pPr>
            <w:r w:rsidRPr="0076788D">
              <w:rPr>
                <w:b w:val="0"/>
                <w:bCs w:val="0"/>
                <w:lang w:eastAsia="zh-CN"/>
              </w:rPr>
              <w:t>SOURCE: N=47 vs 52</w:t>
            </w:r>
          </w:p>
        </w:tc>
        <w:tc>
          <w:tcPr>
            <w:tcW w:w="3006" w:type="dxa"/>
            <w:tcBorders>
              <w:top w:val="single" w:sz="4" w:space="0" w:color="auto"/>
              <w:left w:val="single" w:sz="4" w:space="0" w:color="auto"/>
              <w:bottom w:val="single" w:sz="4" w:space="0" w:color="auto"/>
              <w:right w:val="single" w:sz="4" w:space="0" w:color="auto"/>
            </w:tcBorders>
          </w:tcPr>
          <w:p w14:paraId="19186D46" w14:textId="77777777" w:rsidR="0000425C" w:rsidRPr="0076788D" w:rsidRDefault="0000425C" w:rsidP="007A6BD6">
            <w:pPr>
              <w:pStyle w:val="TableFigureHeading"/>
              <w:rPr>
                <w:b w:val="0"/>
                <w:bCs w:val="0"/>
              </w:rPr>
            </w:pPr>
            <w:r w:rsidRPr="0076788D">
              <w:rPr>
                <w:b w:val="0"/>
                <w:bCs w:val="0"/>
                <w:lang w:eastAsia="zh-CN"/>
              </w:rPr>
              <w:t>VENTURE: N=81 vs 69</w:t>
            </w:r>
          </w:p>
        </w:tc>
      </w:tr>
      <w:tr w:rsidR="0000425C" w14:paraId="4FE51873" w14:textId="77777777" w:rsidTr="007A6BD6">
        <w:trPr>
          <w:jc w:val="center"/>
        </w:trPr>
        <w:tc>
          <w:tcPr>
            <w:tcW w:w="2405" w:type="dxa"/>
          </w:tcPr>
          <w:p w14:paraId="73E3F521" w14:textId="77777777" w:rsidR="0000425C" w:rsidRPr="0076788D" w:rsidRDefault="0000425C" w:rsidP="007A6BD6">
            <w:pPr>
              <w:pStyle w:val="TableFigureHeading"/>
              <w:rPr>
                <w:b w:val="0"/>
                <w:bCs w:val="0"/>
              </w:rPr>
            </w:pPr>
            <w:r w:rsidRPr="0076788D">
              <w:rPr>
                <w:b w:val="0"/>
                <w:bCs w:val="0"/>
                <w:lang w:eastAsia="zh-CN"/>
              </w:rPr>
              <w:t>Exacerbations in previous 12 months (mean)</w:t>
            </w:r>
          </w:p>
        </w:tc>
        <w:tc>
          <w:tcPr>
            <w:tcW w:w="3606" w:type="dxa"/>
          </w:tcPr>
          <w:p w14:paraId="0B3FF91D" w14:textId="77777777" w:rsidR="0000425C" w:rsidRPr="0076788D" w:rsidRDefault="0000425C" w:rsidP="007A6BD6">
            <w:pPr>
              <w:pStyle w:val="TableFigureHeading"/>
              <w:rPr>
                <w:b w:val="0"/>
                <w:bCs w:val="0"/>
              </w:rPr>
            </w:pPr>
            <w:r w:rsidRPr="0076788D">
              <w:rPr>
                <w:b w:val="0"/>
                <w:bCs w:val="0"/>
                <w:lang w:eastAsia="zh-CN"/>
              </w:rPr>
              <w:t xml:space="preserve">SOURCE: </w:t>
            </w:r>
            <w:r>
              <w:rPr>
                <w:b w:val="0"/>
                <w:bCs w:val="0"/>
                <w:lang w:eastAsia="zh-CN"/>
              </w:rPr>
              <w:t>NR (2.0 vs 2.0 in FAS)</w:t>
            </w:r>
          </w:p>
        </w:tc>
        <w:tc>
          <w:tcPr>
            <w:tcW w:w="3006" w:type="dxa"/>
          </w:tcPr>
          <w:p w14:paraId="30448668" w14:textId="77777777" w:rsidR="0000425C" w:rsidRPr="0076788D" w:rsidRDefault="0000425C" w:rsidP="007A6BD6">
            <w:pPr>
              <w:pStyle w:val="TableFigureHeading"/>
              <w:rPr>
                <w:b w:val="0"/>
                <w:bCs w:val="0"/>
              </w:rPr>
            </w:pPr>
            <w:r w:rsidRPr="0076788D">
              <w:rPr>
                <w:b w:val="0"/>
                <w:bCs w:val="0"/>
                <w:lang w:eastAsia="zh-CN"/>
              </w:rPr>
              <w:t>VENTURE: NR (2.01 vs 2.17 in ITT)</w:t>
            </w:r>
          </w:p>
        </w:tc>
      </w:tr>
      <w:tr w:rsidR="0000425C" w14:paraId="2B526A0C" w14:textId="77777777" w:rsidTr="007A6BD6">
        <w:trPr>
          <w:jc w:val="center"/>
        </w:trPr>
        <w:tc>
          <w:tcPr>
            <w:tcW w:w="2405" w:type="dxa"/>
          </w:tcPr>
          <w:p w14:paraId="22E7D75C" w14:textId="77777777" w:rsidR="0000425C" w:rsidRPr="0076788D" w:rsidRDefault="0000425C" w:rsidP="007A6BD6">
            <w:pPr>
              <w:pStyle w:val="TableFigureHeading"/>
              <w:rPr>
                <w:b w:val="0"/>
                <w:bCs w:val="0"/>
              </w:rPr>
            </w:pPr>
            <w:r w:rsidRPr="0076788D">
              <w:rPr>
                <w:b w:val="0"/>
                <w:bCs w:val="0"/>
                <w:color w:val="000000" w:themeColor="text1"/>
                <w:lang w:eastAsia="zh-CN"/>
              </w:rPr>
              <w:t>P</w:t>
            </w:r>
            <w:r>
              <w:rPr>
                <w:b w:val="0"/>
                <w:bCs w:val="0"/>
                <w:color w:val="000000" w:themeColor="text1"/>
                <w:lang w:eastAsia="zh-CN"/>
              </w:rPr>
              <w:t>re-BD FEV1 % Predicted Normal</w:t>
            </w:r>
            <w:r w:rsidRPr="0076788D" w:rsidDel="002A78F1">
              <w:rPr>
                <w:b w:val="0"/>
                <w:bCs w:val="0"/>
                <w:lang w:eastAsia="zh-CN"/>
              </w:rPr>
              <w:t xml:space="preserve"> </w:t>
            </w:r>
          </w:p>
        </w:tc>
        <w:tc>
          <w:tcPr>
            <w:tcW w:w="3606" w:type="dxa"/>
          </w:tcPr>
          <w:p w14:paraId="333DA742" w14:textId="77777777" w:rsidR="0000425C" w:rsidRPr="0076788D" w:rsidRDefault="0000425C" w:rsidP="007A6BD6">
            <w:pPr>
              <w:pStyle w:val="TableFigureHeading"/>
              <w:rPr>
                <w:b w:val="0"/>
                <w:bCs w:val="0"/>
              </w:rPr>
            </w:pPr>
            <w:r>
              <w:rPr>
                <w:b w:val="0"/>
                <w:bCs w:val="0"/>
                <w:lang w:eastAsia="zh-CN"/>
              </w:rPr>
              <w:t>SOURCE: NR (54.3% vs 53.3% in FAS)</w:t>
            </w:r>
          </w:p>
        </w:tc>
        <w:tc>
          <w:tcPr>
            <w:tcW w:w="3006" w:type="dxa"/>
          </w:tcPr>
          <w:p w14:paraId="5F4669B7" w14:textId="77777777" w:rsidR="0000425C" w:rsidRPr="0076788D" w:rsidRDefault="0000425C" w:rsidP="007A6BD6">
            <w:pPr>
              <w:pStyle w:val="TableFigureHeading"/>
              <w:rPr>
                <w:b w:val="0"/>
                <w:bCs w:val="0"/>
              </w:rPr>
            </w:pPr>
            <w:r>
              <w:rPr>
                <w:b w:val="0"/>
                <w:bCs w:val="0"/>
                <w:lang w:eastAsia="zh-CN"/>
              </w:rPr>
              <w:t>VENTURE: NR (51.6% vs 52.7% in ITT)</w:t>
            </w:r>
          </w:p>
        </w:tc>
      </w:tr>
      <w:tr w:rsidR="0000425C" w14:paraId="7A5D9D5E" w14:textId="77777777" w:rsidTr="007A6BD6">
        <w:trPr>
          <w:jc w:val="center"/>
        </w:trPr>
        <w:tc>
          <w:tcPr>
            <w:tcW w:w="2405" w:type="dxa"/>
          </w:tcPr>
          <w:p w14:paraId="13BB1CAA" w14:textId="77777777" w:rsidR="0000425C" w:rsidRPr="0076788D" w:rsidRDefault="0000425C" w:rsidP="007A6BD6">
            <w:pPr>
              <w:pStyle w:val="TableFigureHeading"/>
              <w:rPr>
                <w:b w:val="0"/>
                <w:bCs w:val="0"/>
                <w:color w:val="000000" w:themeColor="text1"/>
                <w:lang w:eastAsia="zh-CN"/>
              </w:rPr>
            </w:pPr>
            <w:r>
              <w:rPr>
                <w:b w:val="0"/>
                <w:bCs w:val="0"/>
                <w:color w:val="000000" w:themeColor="text1"/>
                <w:lang w:eastAsia="zh-CN"/>
              </w:rPr>
              <w:t>FEV1 reversibility %</w:t>
            </w:r>
          </w:p>
        </w:tc>
        <w:tc>
          <w:tcPr>
            <w:tcW w:w="3606" w:type="dxa"/>
          </w:tcPr>
          <w:p w14:paraId="0C47521E" w14:textId="77777777" w:rsidR="0000425C" w:rsidRPr="0076788D" w:rsidDel="002A78F1" w:rsidRDefault="0000425C" w:rsidP="007A6BD6">
            <w:pPr>
              <w:pStyle w:val="TableFigureHeading"/>
              <w:rPr>
                <w:b w:val="0"/>
                <w:bCs w:val="0"/>
                <w:lang w:eastAsia="zh-CN"/>
              </w:rPr>
            </w:pPr>
            <w:r>
              <w:rPr>
                <w:b w:val="0"/>
                <w:bCs w:val="0"/>
                <w:lang w:eastAsia="zh-CN"/>
              </w:rPr>
              <w:t>SOURCE: NR (16.5% vs 13.9% in FAS)</w:t>
            </w:r>
          </w:p>
        </w:tc>
        <w:tc>
          <w:tcPr>
            <w:tcW w:w="3006" w:type="dxa"/>
          </w:tcPr>
          <w:p w14:paraId="272610C2" w14:textId="77777777" w:rsidR="0000425C" w:rsidRPr="0076788D" w:rsidDel="002A78F1" w:rsidRDefault="0000425C" w:rsidP="007A6BD6">
            <w:pPr>
              <w:pStyle w:val="TableFigureHeading"/>
              <w:rPr>
                <w:b w:val="0"/>
                <w:bCs w:val="0"/>
                <w:lang w:eastAsia="zh-CN"/>
              </w:rPr>
            </w:pPr>
            <w:r>
              <w:rPr>
                <w:b w:val="0"/>
                <w:bCs w:val="0"/>
                <w:lang w:eastAsia="zh-CN"/>
              </w:rPr>
              <w:t>VENTURE: NR</w:t>
            </w:r>
          </w:p>
        </w:tc>
      </w:tr>
    </w:tbl>
    <w:p w14:paraId="746B1682" w14:textId="77777777" w:rsidR="0000425C" w:rsidRPr="007A6BD6" w:rsidRDefault="0000425C" w:rsidP="0000425C">
      <w:pPr>
        <w:pStyle w:val="TableFigureHeading"/>
        <w:rPr>
          <w:b w:val="0"/>
          <w:bCs w:val="0"/>
          <w:sz w:val="18"/>
          <w:szCs w:val="18"/>
        </w:rPr>
      </w:pPr>
      <w:r w:rsidRPr="007A6BD6">
        <w:rPr>
          <w:b w:val="0"/>
          <w:bCs w:val="0"/>
          <w:sz w:val="18"/>
          <w:szCs w:val="18"/>
        </w:rPr>
        <w:t>Source; Table 2-142, p213; Table 2-144, pp215-216; Table 2-146, pp218-219 of the submission.</w:t>
      </w:r>
    </w:p>
    <w:p w14:paraId="4B4B60B4" w14:textId="77777777" w:rsidR="0000425C" w:rsidRPr="007A6BD6" w:rsidRDefault="0000425C" w:rsidP="0000425C">
      <w:pPr>
        <w:pStyle w:val="TableFigureHeading"/>
        <w:rPr>
          <w:b w:val="0"/>
          <w:bCs w:val="0"/>
          <w:sz w:val="18"/>
          <w:szCs w:val="18"/>
        </w:rPr>
      </w:pPr>
      <w:r w:rsidRPr="007A6BD6">
        <w:rPr>
          <w:b w:val="0"/>
          <w:bCs w:val="0"/>
          <w:sz w:val="18"/>
          <w:szCs w:val="18"/>
        </w:rPr>
        <w:t xml:space="preserve">BD = bronchodilator; FAS = full analysis set; </w:t>
      </w:r>
      <w:proofErr w:type="spellStart"/>
      <w:r w:rsidRPr="007A6BD6">
        <w:rPr>
          <w:rStyle w:val="TableFigureFooterChar"/>
          <w:b w:val="0"/>
          <w:bCs w:val="0"/>
          <w:szCs w:val="18"/>
        </w:rPr>
        <w:t>EOSic</w:t>
      </w:r>
      <w:proofErr w:type="spellEnd"/>
      <w:r w:rsidRPr="007A6BD6">
        <w:rPr>
          <w:rStyle w:val="TableFigureFooterChar"/>
          <w:b w:val="0"/>
          <w:bCs w:val="0"/>
          <w:szCs w:val="18"/>
        </w:rPr>
        <w:t xml:space="preserve"> = eosinophilic; FEV1</w:t>
      </w:r>
      <w:r w:rsidRPr="007A6BD6">
        <w:rPr>
          <w:b w:val="0"/>
          <w:bCs w:val="0"/>
          <w:sz w:val="18"/>
          <w:szCs w:val="18"/>
        </w:rPr>
        <w:t xml:space="preserve"> = forced expiratory volume in 1 second; ICS =</w:t>
      </w:r>
      <w:r w:rsidRPr="007A6BD6" w:rsidDel="00B708FF">
        <w:rPr>
          <w:b w:val="0"/>
          <w:bCs w:val="0"/>
          <w:sz w:val="18"/>
          <w:szCs w:val="18"/>
        </w:rPr>
        <w:t xml:space="preserve"> </w:t>
      </w:r>
      <w:r w:rsidRPr="007A6BD6">
        <w:rPr>
          <w:b w:val="0"/>
          <w:bCs w:val="0"/>
          <w:sz w:val="18"/>
          <w:szCs w:val="18"/>
        </w:rPr>
        <w:t>inhaled corticosteroids; ITT = intention-to-treat; NR = not reported; OCS = oral corticosteroid; PN = predicted normal.</w:t>
      </w:r>
    </w:p>
    <w:p w14:paraId="450D7A31" w14:textId="19F81100" w:rsidR="0000425C" w:rsidRPr="00CE2AC0" w:rsidRDefault="0000425C" w:rsidP="0000425C">
      <w:pPr>
        <w:pStyle w:val="3-BodyText"/>
        <w:numPr>
          <w:ilvl w:val="1"/>
          <w:numId w:val="1"/>
        </w:numPr>
        <w:ind w:left="709"/>
      </w:pPr>
      <w:bookmarkStart w:id="27" w:name="_Ref211439863"/>
      <w:r>
        <w:t xml:space="preserve">Overall, the </w:t>
      </w:r>
      <w:proofErr w:type="spellStart"/>
      <w:r>
        <w:t>tezepelumab</w:t>
      </w:r>
      <w:proofErr w:type="spellEnd"/>
      <w:r>
        <w:t xml:space="preserve"> trial subgroups generally had patients with more severe asthma as indicated by the higher mean number of exacerbations in the previous 12 months. The proportion of patients receiving high-dose ICS was also higher in the NAVIGATOR trial (</w:t>
      </w:r>
      <w:r w:rsidRPr="0076788D">
        <w:t xml:space="preserve">75.2% vs 75.0% </w:t>
      </w:r>
      <w:r>
        <w:t xml:space="preserve">for the </w:t>
      </w:r>
      <w:proofErr w:type="spellStart"/>
      <w:r>
        <w:t>tezepelumab</w:t>
      </w:r>
      <w:proofErr w:type="spellEnd"/>
      <w:r>
        <w:t xml:space="preserve"> and placebo arms respectively </w:t>
      </w:r>
      <w:r w:rsidRPr="0076788D">
        <w:t>in FAS</w:t>
      </w:r>
      <w:r>
        <w:t>) compared to the QUEST trial (</w:t>
      </w:r>
      <w:r w:rsidRPr="0076788D">
        <w:t xml:space="preserve">50.2% vs 54.3% </w:t>
      </w:r>
      <w:r>
        <w:t xml:space="preserve">for the dupilumab and placebo arms respectively </w:t>
      </w:r>
      <w:r w:rsidRPr="0076788D">
        <w:t>in</w:t>
      </w:r>
      <w:r w:rsidR="00C465ED">
        <w:t xml:space="preserve"> the</w:t>
      </w:r>
      <w:r w:rsidRPr="0076788D">
        <w:t xml:space="preserve"> ITT</w:t>
      </w:r>
      <w:r w:rsidR="00C465ED">
        <w:t xml:space="preserve"> population</w:t>
      </w:r>
      <w:r>
        <w:t>). Differences in the duration of the trials was also evident with two of the three dupilumab studies conducted over 24 weeks (</w:t>
      </w:r>
      <w:r w:rsidRPr="001B44AA">
        <w:t>DRI12544 and VENTURE</w:t>
      </w:r>
      <w:r>
        <w:t xml:space="preserve">) compared to at least 48 weeks for the </w:t>
      </w:r>
      <w:proofErr w:type="spellStart"/>
      <w:r>
        <w:t>tezepelumab</w:t>
      </w:r>
      <w:proofErr w:type="spellEnd"/>
      <w:r>
        <w:t xml:space="preserve"> studies.</w:t>
      </w:r>
      <w:bookmarkEnd w:id="27"/>
      <w:r w:rsidRPr="001B44AA">
        <w:t xml:space="preserve"> </w:t>
      </w:r>
    </w:p>
    <w:p w14:paraId="017BE840" w14:textId="06DAF48C" w:rsidR="0040167D" w:rsidRPr="0040167D" w:rsidRDefault="0000425C" w:rsidP="0000425C">
      <w:pPr>
        <w:pStyle w:val="COMESnumberedpara"/>
      </w:pPr>
      <w:r>
        <w:t xml:space="preserve">The submission proposed a </w:t>
      </w:r>
      <w:r w:rsidRPr="00F02399">
        <w:t xml:space="preserve">non-inferiority margin (NIM) of 28% (upper confidence interval </w:t>
      </w:r>
      <w:r w:rsidR="00C465ED">
        <w:t xml:space="preserve">[CI] </w:t>
      </w:r>
      <w:r w:rsidRPr="00F02399">
        <w:t xml:space="preserve">of 1.28 rate ratio) for the analysis of </w:t>
      </w:r>
      <w:r w:rsidR="00C465ED" w:rsidRPr="002A4F7B">
        <w:rPr>
          <w:iCs/>
        </w:rPr>
        <w:t xml:space="preserve">annualised asthma exacerbation rate </w:t>
      </w:r>
      <w:r w:rsidR="00C465ED">
        <w:rPr>
          <w:iCs/>
        </w:rPr>
        <w:t>(</w:t>
      </w:r>
      <w:r w:rsidRPr="00F02399">
        <w:t>AAER</w:t>
      </w:r>
      <w:r w:rsidR="00C465ED">
        <w:t>)</w:t>
      </w:r>
      <w:r>
        <w:t>. This NIM was consistent with that used in the</w:t>
      </w:r>
      <w:r w:rsidRPr="00F02399">
        <w:t xml:space="preserve"> consideration of </w:t>
      </w:r>
      <w:r>
        <w:t>dupilumab</w:t>
      </w:r>
      <w:r w:rsidRPr="00F02399">
        <w:t xml:space="preserve"> in November 2020</w:t>
      </w:r>
      <w:r>
        <w:t xml:space="preserve"> </w:t>
      </w:r>
      <w:r w:rsidRPr="00F02399">
        <w:t>(</w:t>
      </w:r>
      <w:r>
        <w:t>p</w:t>
      </w:r>
      <w:r w:rsidRPr="00F02399">
        <w:t>ara</w:t>
      </w:r>
      <w:r>
        <w:t>.</w:t>
      </w:r>
      <w:r w:rsidRPr="00F02399">
        <w:t xml:space="preserve"> 6.</w:t>
      </w:r>
      <w:r>
        <w:t>6,</w:t>
      </w:r>
      <w:r w:rsidRPr="00F02399">
        <w:t xml:space="preserve"> dupilumab </w:t>
      </w:r>
      <w:r w:rsidR="00567771">
        <w:t>Public</w:t>
      </w:r>
      <w:r w:rsidR="00C465ED">
        <w:t xml:space="preserve"> Summary Document [</w:t>
      </w:r>
      <w:r>
        <w:t>PSD</w:t>
      </w:r>
      <w:r w:rsidR="00C465ED">
        <w:t>]</w:t>
      </w:r>
      <w:r w:rsidRPr="00F02399">
        <w:t xml:space="preserve">, November 2020 PBAC </w:t>
      </w:r>
      <w:r>
        <w:t>M</w:t>
      </w:r>
      <w:r w:rsidRPr="00F02399">
        <w:t>eeting)</w:t>
      </w:r>
      <w:r>
        <w:t xml:space="preserve"> and for the consideration of </w:t>
      </w:r>
      <w:proofErr w:type="spellStart"/>
      <w:r w:rsidRPr="00F02399">
        <w:t>benralizumab</w:t>
      </w:r>
      <w:proofErr w:type="spellEnd"/>
      <w:r>
        <w:t xml:space="preserve"> in March 2018 </w:t>
      </w:r>
      <w:r w:rsidRPr="00F02399">
        <w:t>(</w:t>
      </w:r>
      <w:r>
        <w:t>paras.</w:t>
      </w:r>
      <w:r w:rsidRPr="00F02399">
        <w:t xml:space="preserve"> </w:t>
      </w:r>
      <w:r>
        <w:t xml:space="preserve">6.13, </w:t>
      </w:r>
      <w:r w:rsidRPr="00F02399">
        <w:t>6.36</w:t>
      </w:r>
      <w:r>
        <w:t>,</w:t>
      </w:r>
      <w:r w:rsidRPr="00F02399">
        <w:t xml:space="preserve"> </w:t>
      </w:r>
      <w:proofErr w:type="spellStart"/>
      <w:r w:rsidRPr="00F02399">
        <w:t>benralizumab</w:t>
      </w:r>
      <w:proofErr w:type="spellEnd"/>
      <w:r w:rsidRPr="00F02399">
        <w:t xml:space="preserve"> </w:t>
      </w:r>
      <w:r>
        <w:t>PSD</w:t>
      </w:r>
      <w:r w:rsidRPr="00F02399">
        <w:t xml:space="preserve">, March 2018 PBAC </w:t>
      </w:r>
      <w:r>
        <w:t>M</w:t>
      </w:r>
      <w:r w:rsidRPr="00F02399">
        <w:t>eeting).</w:t>
      </w:r>
      <w:r>
        <w:t xml:space="preserve"> The submission nominated a minimal clinically important difference (MCID) of 0.5 points for the </w:t>
      </w:r>
      <w:r w:rsidRPr="002C783E">
        <w:t xml:space="preserve">Asthma Control Questionnaire </w:t>
      </w:r>
      <w:r>
        <w:t>(</w:t>
      </w:r>
      <w:r w:rsidRPr="00031C8A">
        <w:t>ACQ</w:t>
      </w:r>
      <w:r>
        <w:t>)</w:t>
      </w:r>
      <w:r w:rsidRPr="00031C8A">
        <w:t xml:space="preserve">-6 and </w:t>
      </w:r>
      <w:r>
        <w:t xml:space="preserve">the </w:t>
      </w:r>
      <w:r w:rsidRPr="002C783E">
        <w:t>Asthma Quality of Life Questionnaire</w:t>
      </w:r>
      <w:r>
        <w:t xml:space="preserve"> (</w:t>
      </w:r>
      <w:r w:rsidRPr="00031C8A">
        <w:t>AQLQ</w:t>
      </w:r>
      <w:r>
        <w:t>)</w:t>
      </w:r>
      <w:r w:rsidRPr="00031C8A">
        <w:t>(S)+12</w:t>
      </w:r>
      <w:r>
        <w:t xml:space="preserve">. A </w:t>
      </w:r>
      <w:r w:rsidRPr="00CE2AC0">
        <w:t>≥</w:t>
      </w:r>
      <w:r>
        <w:t xml:space="preserve"> 0.5 reduction in ACQ-6 score and a </w:t>
      </w:r>
      <w:r w:rsidRPr="00CE2AC0">
        <w:t>≥</w:t>
      </w:r>
      <w:r>
        <w:t xml:space="preserve"> 0.5 increase in AQLQ(S)+12 score from baseline was considered clinically meaningful with these values used as the basis of the responder analyses. A decrease of 4 points or more in the total score was nominated as the MCID and used as the basis of the responder analysis for the St George’s Respiratory Questionnaire (SGRQ).</w:t>
      </w:r>
    </w:p>
    <w:p w14:paraId="4A4FE085" w14:textId="1C5613CC" w:rsidR="00B60939" w:rsidRPr="0098262F" w:rsidRDefault="00B60939" w:rsidP="00EC5836">
      <w:pPr>
        <w:pStyle w:val="COMESSubsectionheading"/>
      </w:pPr>
      <w:bookmarkStart w:id="28" w:name="_Toc22897641"/>
      <w:bookmarkStart w:id="29" w:name="_Toc209016995"/>
      <w:r w:rsidRPr="0098262F">
        <w:t>Comparative effectiveness</w:t>
      </w:r>
      <w:bookmarkEnd w:id="28"/>
      <w:bookmarkEnd w:id="29"/>
    </w:p>
    <w:bookmarkStart w:id="30" w:name="_Toc22897642"/>
    <w:p w14:paraId="635ADF49" w14:textId="32E894DB" w:rsidR="0014336E" w:rsidRPr="00DD0515" w:rsidRDefault="0014336E" w:rsidP="0014336E">
      <w:pPr>
        <w:pStyle w:val="COMESnumberedpara"/>
      </w:pPr>
      <w:r>
        <w:fldChar w:fldCharType="begin"/>
      </w:r>
      <w:r>
        <w:instrText xml:space="preserve"> REF _Ref208275338 \h  \* MERGEFORMAT </w:instrText>
      </w:r>
      <w:r>
        <w:fldChar w:fldCharType="separate"/>
      </w:r>
      <w:r w:rsidR="0078760A">
        <w:t>Table 5</w:t>
      </w:r>
      <w:r>
        <w:fldChar w:fldCharType="end"/>
      </w:r>
      <w:r>
        <w:t xml:space="preserve"> presents the whole of trial evidence for the primary outcomes: AAER (NAVIGATOR and PATHWAY) and OCS </w:t>
      </w:r>
      <w:r w:rsidRPr="002E631C">
        <w:t xml:space="preserve">reduction (SOURCE trial only). </w:t>
      </w:r>
      <w:r>
        <w:t xml:space="preserve">AAER was a secondary outcome in the SOURCE trial and in the </w:t>
      </w:r>
      <w:r w:rsidRPr="002E631C">
        <w:t>DESTINATION</w:t>
      </w:r>
      <w:r>
        <w:t xml:space="preserve"> extension study. </w:t>
      </w:r>
    </w:p>
    <w:p w14:paraId="3034E077" w14:textId="7F6267A2" w:rsidR="0014336E" w:rsidRDefault="0014336E" w:rsidP="0014336E">
      <w:pPr>
        <w:pStyle w:val="TableFigureHeading"/>
      </w:pPr>
      <w:bookmarkStart w:id="31" w:name="_Ref208275338"/>
      <w:r>
        <w:t xml:space="preserve">Table </w:t>
      </w:r>
      <w:r w:rsidR="001146FA">
        <w:fldChar w:fldCharType="begin"/>
      </w:r>
      <w:r w:rsidR="001146FA">
        <w:instrText xml:space="preserve"> SEQ Table \* ARABIC </w:instrText>
      </w:r>
      <w:r w:rsidR="001146FA">
        <w:fldChar w:fldCharType="separate"/>
      </w:r>
      <w:r w:rsidR="0078760A">
        <w:rPr>
          <w:noProof/>
        </w:rPr>
        <w:t>5</w:t>
      </w:r>
      <w:r w:rsidR="001146FA">
        <w:rPr>
          <w:noProof/>
        </w:rPr>
        <w:fldChar w:fldCharType="end"/>
      </w:r>
      <w:bookmarkEnd w:id="31"/>
      <w:r>
        <w:t xml:space="preserve">: </w:t>
      </w:r>
      <w:r w:rsidRPr="00284EBB">
        <w:t xml:space="preserve">Results of </w:t>
      </w:r>
      <w:r>
        <w:t>A</w:t>
      </w:r>
      <w:r w:rsidRPr="00284EBB">
        <w:t xml:space="preserve">AER </w:t>
      </w:r>
      <w:r>
        <w:t>and change from baseline daily OCS while maintaining asthma control</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AAER and change from baseline daily OCS while maintaining asthma control"/>
      </w:tblPr>
      <w:tblGrid>
        <w:gridCol w:w="1697"/>
        <w:gridCol w:w="1560"/>
        <w:gridCol w:w="1557"/>
        <w:gridCol w:w="1887"/>
        <w:gridCol w:w="2267"/>
      </w:tblGrid>
      <w:tr w:rsidR="0014336E" w:rsidRPr="009C565F" w14:paraId="1DB9E7D4" w14:textId="77777777">
        <w:trPr>
          <w:tblHeader/>
        </w:trPr>
        <w:tc>
          <w:tcPr>
            <w:tcW w:w="946" w:type="pct"/>
            <w:vAlign w:val="center"/>
          </w:tcPr>
          <w:p w14:paraId="7794131D" w14:textId="77777777" w:rsidR="0014336E" w:rsidRPr="009C565F" w:rsidRDefault="0014336E">
            <w:pPr>
              <w:keepNext/>
              <w:keepLines/>
              <w:jc w:val="left"/>
              <w:rPr>
                <w:rFonts w:ascii="Arial Narrow" w:eastAsiaTheme="majorEastAsia" w:hAnsi="Arial Narrow" w:cs="Times New Roman"/>
                <w:b/>
                <w:sz w:val="20"/>
              </w:rPr>
            </w:pPr>
            <w:r w:rsidRPr="009C565F">
              <w:rPr>
                <w:rFonts w:ascii="Arial Narrow" w:eastAsiaTheme="majorEastAsia" w:hAnsi="Arial Narrow" w:cs="Times New Roman"/>
                <w:b/>
                <w:sz w:val="20"/>
              </w:rPr>
              <w:t>Trial ID</w:t>
            </w:r>
          </w:p>
        </w:tc>
        <w:tc>
          <w:tcPr>
            <w:tcW w:w="870" w:type="pct"/>
            <w:vAlign w:val="center"/>
          </w:tcPr>
          <w:p w14:paraId="06AE303B" w14:textId="77777777" w:rsidR="0014336E" w:rsidRPr="009C565F" w:rsidRDefault="0014336E">
            <w:pPr>
              <w:keepNext/>
              <w:keepLines/>
              <w:jc w:val="center"/>
              <w:rPr>
                <w:rFonts w:ascii="Arial Narrow" w:eastAsiaTheme="majorEastAsia" w:hAnsi="Arial Narrow" w:cs="Times New Roman"/>
                <w:b/>
                <w:sz w:val="20"/>
              </w:rPr>
            </w:pPr>
            <w:r w:rsidRPr="009C565F">
              <w:rPr>
                <w:rFonts w:ascii="Arial Narrow" w:eastAsiaTheme="majorEastAsia" w:hAnsi="Arial Narrow" w:cs="Times New Roman"/>
                <w:b/>
                <w:sz w:val="20"/>
              </w:rPr>
              <w:t>Tezepelumab</w:t>
            </w:r>
          </w:p>
          <w:p w14:paraId="637D021A" w14:textId="77777777" w:rsidR="0014336E" w:rsidRPr="009C565F" w:rsidRDefault="0014336E">
            <w:pPr>
              <w:keepNext/>
              <w:keepLines/>
              <w:jc w:val="center"/>
              <w:rPr>
                <w:rFonts w:ascii="Arial Narrow" w:eastAsiaTheme="majorEastAsia" w:hAnsi="Arial Narrow" w:cs="Times New Roman"/>
                <w:b/>
                <w:sz w:val="20"/>
              </w:rPr>
            </w:pPr>
            <w:r>
              <w:rPr>
                <w:rFonts w:ascii="Arial Narrow" w:eastAsiaTheme="majorEastAsia" w:hAnsi="Arial Narrow" w:cs="Times New Roman"/>
                <w:b/>
                <w:sz w:val="20"/>
              </w:rPr>
              <w:t>Rate (95% CI)</w:t>
            </w:r>
          </w:p>
        </w:tc>
        <w:tc>
          <w:tcPr>
            <w:tcW w:w="868" w:type="pct"/>
            <w:vAlign w:val="center"/>
          </w:tcPr>
          <w:p w14:paraId="4DC681E7" w14:textId="77777777" w:rsidR="0014336E" w:rsidRPr="009C565F" w:rsidRDefault="0014336E">
            <w:pPr>
              <w:keepNext/>
              <w:keepLines/>
              <w:jc w:val="center"/>
              <w:rPr>
                <w:rFonts w:ascii="Arial Narrow" w:eastAsiaTheme="majorEastAsia" w:hAnsi="Arial Narrow" w:cs="Times New Roman"/>
                <w:b/>
                <w:sz w:val="20"/>
              </w:rPr>
            </w:pPr>
            <w:r w:rsidRPr="009C565F">
              <w:rPr>
                <w:rFonts w:ascii="Arial Narrow" w:eastAsiaTheme="majorEastAsia" w:hAnsi="Arial Narrow" w:cs="Times New Roman"/>
                <w:b/>
                <w:sz w:val="20"/>
              </w:rPr>
              <w:t>Placebo</w:t>
            </w:r>
          </w:p>
          <w:p w14:paraId="53724851" w14:textId="77777777" w:rsidR="0014336E" w:rsidRPr="009C565F" w:rsidRDefault="0014336E">
            <w:pPr>
              <w:keepNext/>
              <w:keepLines/>
              <w:jc w:val="center"/>
              <w:rPr>
                <w:rFonts w:ascii="Arial Narrow" w:eastAsiaTheme="majorEastAsia" w:hAnsi="Arial Narrow" w:cs="Times New Roman"/>
                <w:b/>
                <w:sz w:val="20"/>
              </w:rPr>
            </w:pPr>
            <w:r>
              <w:rPr>
                <w:rFonts w:ascii="Arial Narrow" w:eastAsiaTheme="majorEastAsia" w:hAnsi="Arial Narrow" w:cs="Times New Roman"/>
                <w:b/>
                <w:sz w:val="20"/>
              </w:rPr>
              <w:t>Rate (95% CI)</w:t>
            </w:r>
          </w:p>
        </w:tc>
        <w:tc>
          <w:tcPr>
            <w:tcW w:w="1052" w:type="pct"/>
            <w:vAlign w:val="center"/>
          </w:tcPr>
          <w:p w14:paraId="624D3D9D" w14:textId="77777777" w:rsidR="0014336E" w:rsidRPr="009C565F" w:rsidRDefault="0014336E">
            <w:pPr>
              <w:keepNext/>
              <w:keepLines/>
              <w:jc w:val="center"/>
              <w:rPr>
                <w:rFonts w:ascii="Arial Narrow" w:eastAsiaTheme="majorEastAsia" w:hAnsi="Arial Narrow" w:cs="Times New Roman"/>
                <w:b/>
                <w:sz w:val="20"/>
              </w:rPr>
            </w:pPr>
            <w:r w:rsidRPr="009C565F">
              <w:rPr>
                <w:rFonts w:ascii="Arial Narrow" w:eastAsiaTheme="majorEastAsia" w:hAnsi="Arial Narrow" w:cs="Times New Roman"/>
                <w:b/>
                <w:sz w:val="20"/>
              </w:rPr>
              <w:t>Rate Ratio (95% CI)</w:t>
            </w:r>
          </w:p>
        </w:tc>
        <w:tc>
          <w:tcPr>
            <w:tcW w:w="1264" w:type="pct"/>
            <w:vAlign w:val="center"/>
          </w:tcPr>
          <w:p w14:paraId="4841A958" w14:textId="77777777" w:rsidR="0014336E" w:rsidRPr="009C565F" w:rsidRDefault="0014336E">
            <w:pPr>
              <w:keepNext/>
              <w:keepLines/>
              <w:jc w:val="center"/>
              <w:rPr>
                <w:rFonts w:ascii="Arial Narrow" w:eastAsiaTheme="majorEastAsia" w:hAnsi="Arial Narrow" w:cs="Times New Roman"/>
                <w:b/>
                <w:sz w:val="20"/>
              </w:rPr>
            </w:pPr>
            <w:r w:rsidRPr="009C565F">
              <w:rPr>
                <w:rFonts w:ascii="Arial Narrow" w:eastAsiaTheme="majorEastAsia" w:hAnsi="Arial Narrow" w:cs="Times New Roman"/>
                <w:b/>
                <w:sz w:val="20"/>
              </w:rPr>
              <w:t>Risk difference</w:t>
            </w:r>
          </w:p>
          <w:p w14:paraId="1A0A71BC" w14:textId="77777777" w:rsidR="0014336E" w:rsidRPr="009C565F" w:rsidRDefault="0014336E">
            <w:pPr>
              <w:keepNext/>
              <w:keepLines/>
              <w:jc w:val="center"/>
              <w:rPr>
                <w:rFonts w:ascii="Arial Narrow" w:eastAsiaTheme="majorEastAsia" w:hAnsi="Arial Narrow" w:cs="Times New Roman"/>
                <w:b/>
                <w:sz w:val="20"/>
              </w:rPr>
            </w:pPr>
            <w:r w:rsidRPr="009C565F">
              <w:rPr>
                <w:rFonts w:ascii="Arial Narrow" w:eastAsiaTheme="majorEastAsia" w:hAnsi="Arial Narrow" w:cs="Times New Roman"/>
                <w:b/>
                <w:sz w:val="20"/>
              </w:rPr>
              <w:t>(95% CI, p-value)</w:t>
            </w:r>
          </w:p>
        </w:tc>
      </w:tr>
      <w:tr w:rsidR="0014336E" w:rsidRPr="009C565F" w14:paraId="0830558E" w14:textId="77777777">
        <w:tc>
          <w:tcPr>
            <w:tcW w:w="5000" w:type="pct"/>
            <w:gridSpan w:val="5"/>
            <w:vAlign w:val="center"/>
          </w:tcPr>
          <w:p w14:paraId="7FFF8222" w14:textId="77777777" w:rsidR="0014336E" w:rsidRPr="009C565F" w:rsidRDefault="0014336E">
            <w:pPr>
              <w:keepNext/>
              <w:keepLines/>
              <w:jc w:val="left"/>
              <w:rPr>
                <w:rFonts w:ascii="Arial Narrow" w:eastAsiaTheme="majorEastAsia" w:hAnsi="Arial Narrow" w:cstheme="majorBidi"/>
                <w:b/>
                <w:sz w:val="20"/>
              </w:rPr>
            </w:pPr>
            <w:r w:rsidRPr="009C565F">
              <w:rPr>
                <w:rFonts w:ascii="Arial Narrow" w:eastAsiaTheme="majorEastAsia" w:hAnsi="Arial Narrow" w:cstheme="majorBidi"/>
                <w:b/>
                <w:sz w:val="20"/>
              </w:rPr>
              <w:t>AAER</w:t>
            </w:r>
          </w:p>
        </w:tc>
      </w:tr>
      <w:tr w:rsidR="0014336E" w:rsidRPr="009C565F" w14:paraId="0296A09D" w14:textId="77777777">
        <w:tc>
          <w:tcPr>
            <w:tcW w:w="946" w:type="pct"/>
            <w:tcBorders>
              <w:bottom w:val="single" w:sz="4" w:space="0" w:color="auto"/>
            </w:tcBorders>
            <w:vAlign w:val="center"/>
          </w:tcPr>
          <w:p w14:paraId="414EDE29" w14:textId="77777777" w:rsidR="0014336E" w:rsidRDefault="0014336E">
            <w:pPr>
              <w:keepNext/>
              <w:keepLines/>
              <w:jc w:val="left"/>
              <w:rPr>
                <w:rFonts w:ascii="Arial Narrow" w:eastAsiaTheme="majorEastAsia" w:hAnsi="Arial Narrow" w:cstheme="majorBidi"/>
                <w:bCs/>
                <w:sz w:val="20"/>
              </w:rPr>
            </w:pPr>
            <w:r w:rsidRPr="00260FC9">
              <w:rPr>
                <w:rFonts w:ascii="Arial Narrow" w:eastAsiaTheme="majorEastAsia" w:hAnsi="Arial Narrow" w:cstheme="majorBidi"/>
                <w:bCs/>
                <w:sz w:val="20"/>
              </w:rPr>
              <w:t>NAVIGATOR</w:t>
            </w:r>
            <w:r w:rsidRPr="009C565F">
              <w:rPr>
                <w:rFonts w:ascii="Arial Narrow" w:eastAsiaTheme="majorEastAsia" w:hAnsi="Arial Narrow" w:cstheme="majorBidi"/>
                <w:bCs/>
                <w:sz w:val="20"/>
              </w:rPr>
              <w:t xml:space="preserve"> </w:t>
            </w:r>
          </w:p>
          <w:p w14:paraId="09AD9FDE" w14:textId="77777777" w:rsidR="0014336E" w:rsidRPr="009C565F" w:rsidRDefault="0014336E">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AAER, 52 </w:t>
            </w:r>
            <w:proofErr w:type="spellStart"/>
            <w:r>
              <w:rPr>
                <w:rFonts w:ascii="Arial Narrow" w:eastAsiaTheme="majorEastAsia" w:hAnsi="Arial Narrow" w:cstheme="majorBidi"/>
                <w:bCs/>
                <w:sz w:val="20"/>
              </w:rPr>
              <w:t>wks</w:t>
            </w:r>
            <w:proofErr w:type="spellEnd"/>
          </w:p>
        </w:tc>
        <w:tc>
          <w:tcPr>
            <w:tcW w:w="870" w:type="pct"/>
            <w:tcBorders>
              <w:bottom w:val="single" w:sz="4" w:space="0" w:color="auto"/>
            </w:tcBorders>
            <w:vAlign w:val="center"/>
          </w:tcPr>
          <w:p w14:paraId="64DABA5F" w14:textId="77777777" w:rsidR="0014336E" w:rsidRPr="00E0652F" w:rsidRDefault="0014336E">
            <w:pPr>
              <w:keepNext/>
              <w:jc w:val="center"/>
              <w:rPr>
                <w:rFonts w:ascii="Arial Narrow" w:eastAsiaTheme="majorEastAsia" w:hAnsi="Arial Narrow" w:cstheme="majorBidi"/>
                <w:bCs/>
                <w:sz w:val="20"/>
                <w:szCs w:val="20"/>
              </w:rPr>
            </w:pPr>
            <w:r w:rsidRPr="00E0652F">
              <w:rPr>
                <w:rFonts w:ascii="Arial Narrow" w:eastAsiaTheme="majorEastAsia" w:hAnsi="Arial Narrow" w:cstheme="majorBidi"/>
                <w:bCs/>
                <w:sz w:val="20"/>
                <w:szCs w:val="20"/>
              </w:rPr>
              <w:t>0.93</w:t>
            </w:r>
          </w:p>
          <w:p w14:paraId="362CCD97" w14:textId="77777777" w:rsidR="0014336E" w:rsidRPr="009C565F" w:rsidRDefault="0014336E">
            <w:pPr>
              <w:keepNext/>
              <w:keepLines/>
              <w:jc w:val="center"/>
              <w:rPr>
                <w:rFonts w:ascii="Arial Narrow" w:eastAsiaTheme="majorEastAsia" w:hAnsi="Arial Narrow" w:cstheme="majorBidi"/>
                <w:bCs/>
                <w:sz w:val="20"/>
              </w:rPr>
            </w:pPr>
            <w:r w:rsidRPr="00E0652F">
              <w:rPr>
                <w:rFonts w:ascii="Arial Narrow" w:eastAsiaTheme="majorEastAsia" w:hAnsi="Arial Narrow" w:cstheme="majorBidi"/>
                <w:bCs/>
                <w:sz w:val="20"/>
                <w:szCs w:val="20"/>
              </w:rPr>
              <w:t>(0.80, 1.07)</w:t>
            </w:r>
          </w:p>
        </w:tc>
        <w:tc>
          <w:tcPr>
            <w:tcW w:w="868" w:type="pct"/>
            <w:tcBorders>
              <w:bottom w:val="single" w:sz="4" w:space="0" w:color="auto"/>
            </w:tcBorders>
            <w:vAlign w:val="center"/>
          </w:tcPr>
          <w:p w14:paraId="6FD7F617" w14:textId="77777777" w:rsidR="0014336E" w:rsidRPr="00E0652F" w:rsidRDefault="0014336E">
            <w:pPr>
              <w:keepNext/>
              <w:jc w:val="center"/>
              <w:rPr>
                <w:rFonts w:ascii="Arial Narrow" w:eastAsiaTheme="majorEastAsia" w:hAnsi="Arial Narrow" w:cstheme="majorBidi"/>
                <w:bCs/>
                <w:sz w:val="20"/>
                <w:szCs w:val="20"/>
              </w:rPr>
            </w:pPr>
            <w:r w:rsidRPr="00E0652F">
              <w:rPr>
                <w:rFonts w:ascii="Arial Narrow" w:eastAsiaTheme="majorEastAsia" w:hAnsi="Arial Narrow" w:cstheme="majorBidi"/>
                <w:bCs/>
                <w:sz w:val="20"/>
                <w:szCs w:val="20"/>
              </w:rPr>
              <w:t>2.10</w:t>
            </w:r>
          </w:p>
          <w:p w14:paraId="4B08C132" w14:textId="77777777" w:rsidR="0014336E" w:rsidRPr="009C565F" w:rsidRDefault="0014336E">
            <w:pPr>
              <w:keepNext/>
              <w:keepLines/>
              <w:jc w:val="center"/>
              <w:rPr>
                <w:rFonts w:ascii="Arial Narrow" w:eastAsiaTheme="majorEastAsia" w:hAnsi="Arial Narrow" w:cstheme="majorBidi"/>
                <w:bCs/>
                <w:sz w:val="20"/>
              </w:rPr>
            </w:pPr>
            <w:r w:rsidRPr="00E0652F">
              <w:rPr>
                <w:rFonts w:ascii="Arial Narrow" w:eastAsiaTheme="majorEastAsia" w:hAnsi="Arial Narrow" w:cstheme="majorBidi"/>
                <w:bCs/>
                <w:sz w:val="20"/>
                <w:szCs w:val="20"/>
              </w:rPr>
              <w:t>(1.84, 2.39)</w:t>
            </w:r>
          </w:p>
        </w:tc>
        <w:tc>
          <w:tcPr>
            <w:tcW w:w="1052" w:type="pct"/>
            <w:tcBorders>
              <w:bottom w:val="single" w:sz="4" w:space="0" w:color="auto"/>
            </w:tcBorders>
            <w:vAlign w:val="center"/>
          </w:tcPr>
          <w:p w14:paraId="29E88A49" w14:textId="77777777" w:rsidR="0014336E" w:rsidRPr="00424ABD" w:rsidRDefault="0014336E">
            <w:pPr>
              <w:keepNext/>
              <w:keepLines/>
              <w:jc w:val="center"/>
              <w:rPr>
                <w:rFonts w:ascii="Arial Narrow" w:eastAsiaTheme="majorEastAsia" w:hAnsi="Arial Narrow" w:cstheme="majorBidi"/>
                <w:b/>
                <w:sz w:val="20"/>
              </w:rPr>
            </w:pPr>
            <w:r w:rsidRPr="00424ABD">
              <w:rPr>
                <w:rFonts w:ascii="Arial Narrow" w:eastAsiaTheme="majorEastAsia" w:hAnsi="Arial Narrow" w:cstheme="majorBidi"/>
                <w:b/>
                <w:sz w:val="20"/>
              </w:rPr>
              <w:t xml:space="preserve">0.44 (0.37, 0.53) </w:t>
            </w:r>
          </w:p>
        </w:tc>
        <w:tc>
          <w:tcPr>
            <w:tcW w:w="1264" w:type="pct"/>
            <w:vAlign w:val="center"/>
          </w:tcPr>
          <w:p w14:paraId="590DD44E" w14:textId="77777777" w:rsidR="0014336E" w:rsidRPr="00424ABD" w:rsidRDefault="0014336E">
            <w:pPr>
              <w:keepNext/>
              <w:keepLines/>
              <w:jc w:val="center"/>
              <w:rPr>
                <w:rFonts w:ascii="Arial Narrow" w:eastAsiaTheme="majorEastAsia" w:hAnsi="Arial Narrow" w:cstheme="majorBidi"/>
                <w:b/>
                <w:sz w:val="20"/>
              </w:rPr>
            </w:pPr>
            <w:r w:rsidRPr="00424ABD">
              <w:rPr>
                <w:rFonts w:ascii="Arial Narrow" w:eastAsiaTheme="majorEastAsia" w:hAnsi="Arial Narrow" w:cstheme="majorBidi"/>
                <w:b/>
                <w:sz w:val="20"/>
              </w:rPr>
              <w:t>-1.17 (-1.47, -0.88); &lt;0.001</w:t>
            </w:r>
          </w:p>
        </w:tc>
      </w:tr>
      <w:tr w:rsidR="0014336E" w:rsidRPr="009C565F" w14:paraId="76DB7F4A" w14:textId="77777777">
        <w:tc>
          <w:tcPr>
            <w:tcW w:w="946" w:type="pct"/>
            <w:tcBorders>
              <w:bottom w:val="single" w:sz="4" w:space="0" w:color="auto"/>
            </w:tcBorders>
            <w:vAlign w:val="center"/>
          </w:tcPr>
          <w:p w14:paraId="679C4634" w14:textId="77777777" w:rsidR="0014336E" w:rsidRDefault="0014336E">
            <w:pPr>
              <w:keepNext/>
              <w:keepLines/>
              <w:jc w:val="left"/>
              <w:rPr>
                <w:rFonts w:ascii="Arial Narrow" w:eastAsiaTheme="majorEastAsia" w:hAnsi="Arial Narrow" w:cstheme="majorBidi"/>
                <w:bCs/>
                <w:sz w:val="20"/>
              </w:rPr>
            </w:pPr>
            <w:r w:rsidRPr="009C565F">
              <w:rPr>
                <w:rFonts w:ascii="Arial Narrow" w:eastAsiaTheme="majorEastAsia" w:hAnsi="Arial Narrow" w:cstheme="majorBidi"/>
                <w:bCs/>
                <w:sz w:val="20"/>
              </w:rPr>
              <w:t>PATHWAY</w:t>
            </w:r>
          </w:p>
          <w:p w14:paraId="713E284F" w14:textId="77777777" w:rsidR="0014336E" w:rsidRPr="009C565F" w:rsidRDefault="0014336E">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AAER, 52 </w:t>
            </w:r>
            <w:proofErr w:type="spellStart"/>
            <w:r>
              <w:rPr>
                <w:rFonts w:ascii="Arial Narrow" w:eastAsiaTheme="majorEastAsia" w:hAnsi="Arial Narrow" w:cstheme="majorBidi"/>
                <w:bCs/>
                <w:sz w:val="20"/>
              </w:rPr>
              <w:t>wks</w:t>
            </w:r>
            <w:proofErr w:type="spellEnd"/>
          </w:p>
        </w:tc>
        <w:tc>
          <w:tcPr>
            <w:tcW w:w="870" w:type="pct"/>
            <w:tcBorders>
              <w:bottom w:val="single" w:sz="4" w:space="0" w:color="auto"/>
            </w:tcBorders>
            <w:vAlign w:val="center"/>
          </w:tcPr>
          <w:p w14:paraId="789D535C" w14:textId="77777777" w:rsidR="0014336E" w:rsidRPr="00E0652F" w:rsidRDefault="0014336E">
            <w:pPr>
              <w:jc w:val="center"/>
              <w:rPr>
                <w:rFonts w:ascii="Arial Narrow" w:eastAsiaTheme="majorEastAsia" w:hAnsi="Arial Narrow" w:cstheme="majorBidi"/>
                <w:bCs/>
                <w:sz w:val="20"/>
                <w:szCs w:val="20"/>
              </w:rPr>
            </w:pPr>
            <w:r w:rsidRPr="00E0652F">
              <w:rPr>
                <w:rFonts w:ascii="Arial Narrow" w:eastAsiaTheme="majorEastAsia" w:hAnsi="Arial Narrow" w:cstheme="majorBidi"/>
                <w:bCs/>
                <w:sz w:val="20"/>
                <w:szCs w:val="20"/>
              </w:rPr>
              <w:t>0.20</w:t>
            </w:r>
          </w:p>
          <w:p w14:paraId="4693E995" w14:textId="77777777" w:rsidR="0014336E" w:rsidRPr="009C565F" w:rsidRDefault="0014336E">
            <w:pPr>
              <w:keepNext/>
              <w:keepLines/>
              <w:jc w:val="center"/>
              <w:rPr>
                <w:rFonts w:ascii="Arial Narrow" w:eastAsiaTheme="majorEastAsia" w:hAnsi="Arial Narrow" w:cstheme="majorBidi"/>
                <w:bCs/>
                <w:sz w:val="20"/>
              </w:rPr>
            </w:pPr>
            <w:r w:rsidRPr="00E0652F">
              <w:rPr>
                <w:rFonts w:ascii="Arial Narrow" w:eastAsiaTheme="majorEastAsia" w:hAnsi="Arial Narrow" w:cstheme="majorBidi"/>
                <w:bCs/>
                <w:sz w:val="20"/>
                <w:szCs w:val="20"/>
              </w:rPr>
              <w:t>(0.13, 0.30)</w:t>
            </w:r>
          </w:p>
        </w:tc>
        <w:tc>
          <w:tcPr>
            <w:tcW w:w="868" w:type="pct"/>
            <w:tcBorders>
              <w:bottom w:val="single" w:sz="4" w:space="0" w:color="auto"/>
            </w:tcBorders>
            <w:vAlign w:val="center"/>
          </w:tcPr>
          <w:p w14:paraId="3374C808" w14:textId="77777777" w:rsidR="0014336E" w:rsidRPr="00E0652F" w:rsidRDefault="0014336E">
            <w:pPr>
              <w:jc w:val="center"/>
              <w:rPr>
                <w:rFonts w:ascii="Arial Narrow" w:eastAsiaTheme="majorEastAsia" w:hAnsi="Arial Narrow" w:cstheme="majorBidi"/>
                <w:bCs/>
                <w:sz w:val="20"/>
                <w:szCs w:val="20"/>
              </w:rPr>
            </w:pPr>
            <w:r w:rsidRPr="00E0652F">
              <w:rPr>
                <w:rFonts w:ascii="Arial Narrow" w:eastAsiaTheme="majorEastAsia" w:hAnsi="Arial Narrow" w:cstheme="majorBidi"/>
                <w:bCs/>
                <w:sz w:val="20"/>
                <w:szCs w:val="20"/>
              </w:rPr>
              <w:t>0.72</w:t>
            </w:r>
          </w:p>
          <w:p w14:paraId="222A98A6" w14:textId="77777777" w:rsidR="0014336E" w:rsidRPr="009C565F" w:rsidRDefault="0014336E">
            <w:pPr>
              <w:keepNext/>
              <w:keepLines/>
              <w:jc w:val="center"/>
              <w:rPr>
                <w:rFonts w:ascii="Arial Narrow" w:eastAsiaTheme="majorEastAsia" w:hAnsi="Arial Narrow" w:cstheme="majorBidi"/>
                <w:bCs/>
                <w:sz w:val="20"/>
              </w:rPr>
            </w:pPr>
            <w:r w:rsidRPr="00E0652F">
              <w:rPr>
                <w:rFonts w:ascii="Arial Narrow" w:eastAsiaTheme="majorEastAsia" w:hAnsi="Arial Narrow" w:cstheme="majorBidi"/>
                <w:bCs/>
                <w:sz w:val="20"/>
                <w:szCs w:val="20"/>
              </w:rPr>
              <w:t>(0.59, 0.88)</w:t>
            </w:r>
          </w:p>
        </w:tc>
        <w:tc>
          <w:tcPr>
            <w:tcW w:w="1052" w:type="pct"/>
            <w:tcBorders>
              <w:bottom w:val="single" w:sz="4" w:space="0" w:color="auto"/>
            </w:tcBorders>
            <w:vAlign w:val="center"/>
          </w:tcPr>
          <w:p w14:paraId="572EE58E" w14:textId="77777777" w:rsidR="0014336E" w:rsidRPr="00424ABD" w:rsidRDefault="0014336E">
            <w:pPr>
              <w:keepNext/>
              <w:keepLines/>
              <w:jc w:val="center"/>
              <w:rPr>
                <w:rFonts w:ascii="Arial Narrow" w:eastAsiaTheme="majorEastAsia" w:hAnsi="Arial Narrow" w:cstheme="majorBidi"/>
                <w:b/>
                <w:sz w:val="20"/>
              </w:rPr>
            </w:pPr>
            <w:r w:rsidRPr="00424ABD">
              <w:rPr>
                <w:rFonts w:ascii="Arial Narrow" w:eastAsiaTheme="majorEastAsia" w:hAnsi="Arial Narrow" w:cstheme="majorBidi"/>
                <w:b/>
                <w:sz w:val="20"/>
              </w:rPr>
              <w:t>0.29 (0.16, 0.51)</w:t>
            </w:r>
          </w:p>
        </w:tc>
        <w:tc>
          <w:tcPr>
            <w:tcW w:w="1264" w:type="pct"/>
            <w:vAlign w:val="center"/>
          </w:tcPr>
          <w:p w14:paraId="3D295CD7" w14:textId="77777777" w:rsidR="0014336E" w:rsidRPr="00424ABD" w:rsidRDefault="0014336E">
            <w:pPr>
              <w:keepNext/>
              <w:keepLines/>
              <w:jc w:val="center"/>
              <w:rPr>
                <w:rFonts w:ascii="Arial Narrow" w:eastAsiaTheme="majorEastAsia" w:hAnsi="Arial Narrow" w:cstheme="majorBidi"/>
                <w:b/>
                <w:sz w:val="20"/>
              </w:rPr>
            </w:pPr>
            <w:r w:rsidRPr="00424ABD">
              <w:rPr>
                <w:rFonts w:ascii="Arial Narrow" w:eastAsiaTheme="majorEastAsia" w:hAnsi="Arial Narrow" w:cstheme="majorBidi"/>
                <w:b/>
                <w:sz w:val="20"/>
              </w:rPr>
              <w:t>NR; &lt;0.001</w:t>
            </w:r>
          </w:p>
        </w:tc>
      </w:tr>
      <w:tr w:rsidR="0014336E" w:rsidRPr="009C565F" w14:paraId="506CE466" w14:textId="77777777">
        <w:tc>
          <w:tcPr>
            <w:tcW w:w="946" w:type="pct"/>
            <w:tcBorders>
              <w:bottom w:val="single" w:sz="4" w:space="0" w:color="auto"/>
            </w:tcBorders>
            <w:vAlign w:val="center"/>
          </w:tcPr>
          <w:p w14:paraId="5DAF3C42" w14:textId="77777777" w:rsidR="0014336E" w:rsidRDefault="0014336E">
            <w:pPr>
              <w:keepNext/>
              <w:keepLines/>
              <w:jc w:val="left"/>
              <w:rPr>
                <w:rFonts w:ascii="Arial Narrow" w:eastAsiaTheme="majorEastAsia" w:hAnsi="Arial Narrow" w:cstheme="majorBidi"/>
                <w:bCs/>
                <w:sz w:val="20"/>
              </w:rPr>
            </w:pPr>
            <w:r w:rsidRPr="009C565F">
              <w:rPr>
                <w:rFonts w:ascii="Arial Narrow" w:eastAsiaTheme="majorEastAsia" w:hAnsi="Arial Narrow" w:cstheme="majorBidi"/>
                <w:bCs/>
                <w:sz w:val="20"/>
              </w:rPr>
              <w:t>SOURCE</w:t>
            </w:r>
          </w:p>
          <w:p w14:paraId="26A78BEA" w14:textId="77777777" w:rsidR="0014336E" w:rsidRPr="009C565F" w:rsidRDefault="0014336E">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AAER, 48 </w:t>
            </w:r>
            <w:proofErr w:type="spellStart"/>
            <w:r>
              <w:rPr>
                <w:rFonts w:ascii="Arial Narrow" w:eastAsiaTheme="majorEastAsia" w:hAnsi="Arial Narrow" w:cstheme="majorBidi"/>
                <w:bCs/>
                <w:sz w:val="20"/>
              </w:rPr>
              <w:t>wks</w:t>
            </w:r>
            <w:proofErr w:type="spellEnd"/>
          </w:p>
        </w:tc>
        <w:tc>
          <w:tcPr>
            <w:tcW w:w="870" w:type="pct"/>
            <w:tcBorders>
              <w:bottom w:val="single" w:sz="4" w:space="0" w:color="auto"/>
            </w:tcBorders>
            <w:vAlign w:val="center"/>
          </w:tcPr>
          <w:p w14:paraId="04AF64FB" w14:textId="77777777" w:rsidR="0014336E" w:rsidRPr="00E0652F" w:rsidRDefault="0014336E">
            <w:pPr>
              <w:jc w:val="center"/>
              <w:rPr>
                <w:rFonts w:ascii="Arial Narrow" w:eastAsiaTheme="majorEastAsia" w:hAnsi="Arial Narrow" w:cstheme="majorBidi"/>
                <w:bCs/>
                <w:sz w:val="20"/>
                <w:szCs w:val="20"/>
              </w:rPr>
            </w:pPr>
            <w:r w:rsidRPr="00E0652F">
              <w:rPr>
                <w:rFonts w:ascii="Arial Narrow" w:eastAsiaTheme="majorEastAsia" w:hAnsi="Arial Narrow" w:cstheme="majorBidi"/>
                <w:bCs/>
                <w:sz w:val="20"/>
                <w:szCs w:val="20"/>
              </w:rPr>
              <w:t>1.38</w:t>
            </w:r>
          </w:p>
          <w:p w14:paraId="57C1A3E9" w14:textId="77777777" w:rsidR="0014336E" w:rsidRPr="009C565F" w:rsidRDefault="0014336E">
            <w:pPr>
              <w:keepNext/>
              <w:keepLines/>
              <w:jc w:val="center"/>
              <w:rPr>
                <w:rFonts w:ascii="Arial Narrow" w:eastAsiaTheme="majorEastAsia" w:hAnsi="Arial Narrow" w:cstheme="majorBidi"/>
                <w:bCs/>
                <w:sz w:val="20"/>
              </w:rPr>
            </w:pPr>
            <w:r w:rsidRPr="00E0652F">
              <w:rPr>
                <w:rFonts w:ascii="Arial Narrow" w:eastAsiaTheme="majorEastAsia" w:hAnsi="Arial Narrow" w:cstheme="majorBidi"/>
                <w:bCs/>
                <w:sz w:val="20"/>
                <w:szCs w:val="20"/>
              </w:rPr>
              <w:t>(0.98, 1.95)</w:t>
            </w:r>
          </w:p>
        </w:tc>
        <w:tc>
          <w:tcPr>
            <w:tcW w:w="868" w:type="pct"/>
            <w:tcBorders>
              <w:bottom w:val="single" w:sz="4" w:space="0" w:color="auto"/>
            </w:tcBorders>
            <w:vAlign w:val="center"/>
          </w:tcPr>
          <w:p w14:paraId="3AB9FA5C" w14:textId="77777777" w:rsidR="0014336E" w:rsidRPr="00E0652F" w:rsidRDefault="0014336E">
            <w:pPr>
              <w:jc w:val="center"/>
              <w:rPr>
                <w:rFonts w:ascii="Arial Narrow" w:eastAsiaTheme="majorEastAsia" w:hAnsi="Arial Narrow" w:cstheme="majorBidi"/>
                <w:bCs/>
                <w:sz w:val="20"/>
                <w:szCs w:val="20"/>
              </w:rPr>
            </w:pPr>
            <w:r w:rsidRPr="00E0652F">
              <w:rPr>
                <w:rFonts w:ascii="Arial Narrow" w:eastAsiaTheme="majorEastAsia" w:hAnsi="Arial Narrow" w:cstheme="majorBidi"/>
                <w:bCs/>
                <w:sz w:val="20"/>
                <w:szCs w:val="20"/>
              </w:rPr>
              <w:t>2.00</w:t>
            </w:r>
          </w:p>
          <w:p w14:paraId="0BC677AA" w14:textId="77777777" w:rsidR="0014336E" w:rsidRPr="009C565F" w:rsidRDefault="0014336E">
            <w:pPr>
              <w:keepNext/>
              <w:keepLines/>
              <w:jc w:val="center"/>
              <w:rPr>
                <w:rFonts w:ascii="Arial Narrow" w:eastAsiaTheme="majorEastAsia" w:hAnsi="Arial Narrow" w:cstheme="majorBidi"/>
                <w:bCs/>
                <w:sz w:val="20"/>
              </w:rPr>
            </w:pPr>
            <w:r w:rsidRPr="00E0652F">
              <w:rPr>
                <w:rFonts w:ascii="Arial Narrow" w:eastAsiaTheme="majorEastAsia" w:hAnsi="Arial Narrow" w:cstheme="majorBidi"/>
                <w:bCs/>
                <w:sz w:val="20"/>
                <w:szCs w:val="20"/>
              </w:rPr>
              <w:t>(1.46, 2.74)</w:t>
            </w:r>
          </w:p>
        </w:tc>
        <w:tc>
          <w:tcPr>
            <w:tcW w:w="1052" w:type="pct"/>
            <w:tcBorders>
              <w:top w:val="single" w:sz="4" w:space="0" w:color="auto"/>
              <w:bottom w:val="single" w:sz="4" w:space="0" w:color="auto"/>
            </w:tcBorders>
            <w:vAlign w:val="center"/>
          </w:tcPr>
          <w:p w14:paraId="57E958DF" w14:textId="77777777" w:rsidR="0014336E" w:rsidRPr="009C565F" w:rsidRDefault="0014336E">
            <w:pPr>
              <w:keepNext/>
              <w:keepLines/>
              <w:jc w:val="center"/>
              <w:rPr>
                <w:rFonts w:ascii="Arial Narrow" w:eastAsiaTheme="majorEastAsia" w:hAnsi="Arial Narrow" w:cstheme="majorBidi"/>
                <w:bCs/>
                <w:color w:val="000000" w:themeColor="text1"/>
                <w:sz w:val="20"/>
              </w:rPr>
            </w:pPr>
            <w:r w:rsidRPr="009C565F">
              <w:rPr>
                <w:rFonts w:ascii="Arial Narrow" w:eastAsiaTheme="majorEastAsia" w:hAnsi="Arial Narrow" w:cstheme="majorBidi"/>
                <w:bCs/>
                <w:color w:val="000000" w:themeColor="text1"/>
                <w:sz w:val="20"/>
              </w:rPr>
              <w:t>0.69 (0.44, 1.09)</w:t>
            </w:r>
          </w:p>
        </w:tc>
        <w:tc>
          <w:tcPr>
            <w:tcW w:w="1264" w:type="pct"/>
            <w:tcBorders>
              <w:top w:val="single" w:sz="4" w:space="0" w:color="auto"/>
              <w:bottom w:val="single" w:sz="4" w:space="0" w:color="auto"/>
            </w:tcBorders>
            <w:vAlign w:val="center"/>
          </w:tcPr>
          <w:p w14:paraId="2E0351FB" w14:textId="77777777" w:rsidR="0014336E" w:rsidRPr="009C565F" w:rsidRDefault="0014336E">
            <w:pPr>
              <w:keepNext/>
              <w:keepLines/>
              <w:jc w:val="center"/>
              <w:rPr>
                <w:rFonts w:ascii="Arial Narrow" w:eastAsiaTheme="majorEastAsia" w:hAnsi="Arial Narrow" w:cstheme="majorBidi"/>
                <w:bCs/>
                <w:color w:val="000000" w:themeColor="text1"/>
                <w:sz w:val="20"/>
              </w:rPr>
            </w:pPr>
            <w:r w:rsidRPr="009C565F">
              <w:rPr>
                <w:rFonts w:ascii="Arial Narrow" w:eastAsiaTheme="majorEastAsia" w:hAnsi="Arial Narrow" w:cstheme="majorBidi"/>
                <w:bCs/>
                <w:color w:val="000000" w:themeColor="text1"/>
                <w:sz w:val="20"/>
              </w:rPr>
              <w:t>-0.62 (-1.40, 0.15);</w:t>
            </w:r>
            <w:r w:rsidRPr="009C565F">
              <w:rPr>
                <w:rFonts w:ascii="Arial Narrow" w:eastAsiaTheme="majorEastAsia" w:hAnsi="Arial Narrow" w:cstheme="majorBidi"/>
                <w:bCs/>
                <w:sz w:val="20"/>
              </w:rPr>
              <w:t xml:space="preserve"> </w:t>
            </w:r>
            <w:r w:rsidRPr="009C565F">
              <w:rPr>
                <w:rFonts w:ascii="Arial Narrow" w:eastAsiaTheme="majorEastAsia" w:hAnsi="Arial Narrow" w:cstheme="majorBidi"/>
                <w:bCs/>
                <w:color w:val="000000" w:themeColor="text1"/>
                <w:sz w:val="20"/>
              </w:rPr>
              <w:t>0.111</w:t>
            </w:r>
          </w:p>
        </w:tc>
      </w:tr>
      <w:tr w:rsidR="0014336E" w:rsidRPr="009C565F" w14:paraId="0F8386AB" w14:textId="77777777">
        <w:tc>
          <w:tcPr>
            <w:tcW w:w="946" w:type="pct"/>
            <w:tcBorders>
              <w:bottom w:val="single" w:sz="4" w:space="0" w:color="auto"/>
            </w:tcBorders>
            <w:vAlign w:val="center"/>
          </w:tcPr>
          <w:p w14:paraId="7C82EB34" w14:textId="77777777" w:rsidR="0014336E" w:rsidRDefault="0014336E">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DESTINATION </w:t>
            </w:r>
            <w:r>
              <w:rPr>
                <w:rFonts w:ascii="Arial Narrow" w:eastAsiaTheme="majorEastAsia" w:hAnsi="Arial Narrow" w:cstheme="majorBidi"/>
                <w:bCs/>
                <w:sz w:val="20"/>
                <w:vertAlign w:val="superscript"/>
              </w:rPr>
              <w:t>a</w:t>
            </w:r>
            <w:r>
              <w:rPr>
                <w:rFonts w:ascii="Arial Narrow" w:eastAsiaTheme="majorEastAsia" w:hAnsi="Arial Narrow" w:cstheme="majorBidi"/>
                <w:bCs/>
                <w:sz w:val="20"/>
              </w:rPr>
              <w:t xml:space="preserve"> </w:t>
            </w:r>
          </w:p>
          <w:p w14:paraId="4586150A" w14:textId="77777777" w:rsidR="0014336E" w:rsidRDefault="0014336E">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(NAVIGATOR) </w:t>
            </w:r>
          </w:p>
          <w:p w14:paraId="43E1F0E2" w14:textId="77777777" w:rsidR="0014336E" w:rsidRPr="009C565F" w:rsidRDefault="0014336E">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AAER over 104 </w:t>
            </w:r>
            <w:proofErr w:type="spellStart"/>
            <w:r>
              <w:rPr>
                <w:rFonts w:ascii="Arial Narrow" w:eastAsiaTheme="majorEastAsia" w:hAnsi="Arial Narrow" w:cstheme="majorBidi"/>
                <w:bCs/>
                <w:sz w:val="20"/>
              </w:rPr>
              <w:t>wks</w:t>
            </w:r>
            <w:proofErr w:type="spellEnd"/>
          </w:p>
        </w:tc>
        <w:tc>
          <w:tcPr>
            <w:tcW w:w="870" w:type="pct"/>
            <w:tcBorders>
              <w:bottom w:val="single" w:sz="4" w:space="0" w:color="auto"/>
            </w:tcBorders>
            <w:vAlign w:val="center"/>
          </w:tcPr>
          <w:p w14:paraId="4DE2D62F" w14:textId="77777777" w:rsidR="0014336E" w:rsidRPr="00C607AE" w:rsidRDefault="0014336E">
            <w:pPr>
              <w:jc w:val="center"/>
              <w:rPr>
                <w:rFonts w:ascii="Arial Narrow" w:eastAsiaTheme="majorEastAsia" w:hAnsi="Arial Narrow" w:cstheme="majorBidi"/>
                <w:bCs/>
                <w:sz w:val="20"/>
                <w:szCs w:val="20"/>
              </w:rPr>
            </w:pPr>
            <w:r w:rsidRPr="00C607AE">
              <w:rPr>
                <w:rFonts w:ascii="Arial Narrow" w:eastAsiaTheme="majorEastAsia" w:hAnsi="Arial Narrow" w:cstheme="majorBidi"/>
                <w:bCs/>
                <w:sz w:val="20"/>
                <w:szCs w:val="20"/>
              </w:rPr>
              <w:t xml:space="preserve">0.72 </w:t>
            </w:r>
          </w:p>
          <w:p w14:paraId="123F98E0" w14:textId="77777777" w:rsidR="0014336E" w:rsidRPr="00E0652F" w:rsidRDefault="0014336E">
            <w:pPr>
              <w:jc w:val="center"/>
              <w:rPr>
                <w:rFonts w:ascii="Arial Narrow" w:eastAsiaTheme="majorEastAsia" w:hAnsi="Arial Narrow" w:cstheme="majorBidi"/>
                <w:bCs/>
                <w:sz w:val="20"/>
                <w:szCs w:val="20"/>
              </w:rPr>
            </w:pPr>
            <w:r w:rsidRPr="00C607AE">
              <w:rPr>
                <w:rFonts w:ascii="Arial Narrow" w:eastAsiaTheme="majorEastAsia" w:hAnsi="Arial Narrow" w:cstheme="majorBidi"/>
                <w:bCs/>
                <w:sz w:val="20"/>
                <w:szCs w:val="20"/>
              </w:rPr>
              <w:t>(0.62, 0.83)</w:t>
            </w:r>
          </w:p>
        </w:tc>
        <w:tc>
          <w:tcPr>
            <w:tcW w:w="868" w:type="pct"/>
            <w:tcBorders>
              <w:bottom w:val="single" w:sz="4" w:space="0" w:color="auto"/>
            </w:tcBorders>
            <w:vAlign w:val="center"/>
          </w:tcPr>
          <w:p w14:paraId="2CD88E03" w14:textId="77777777" w:rsidR="0014336E" w:rsidRPr="00C607AE" w:rsidRDefault="0014336E">
            <w:pPr>
              <w:jc w:val="center"/>
              <w:rPr>
                <w:rFonts w:ascii="Arial Narrow" w:eastAsiaTheme="majorEastAsia" w:hAnsi="Arial Narrow" w:cstheme="majorBidi"/>
                <w:bCs/>
                <w:sz w:val="20"/>
                <w:szCs w:val="20"/>
              </w:rPr>
            </w:pPr>
            <w:r w:rsidRPr="00C607AE">
              <w:rPr>
                <w:rFonts w:ascii="Arial Narrow" w:eastAsiaTheme="majorEastAsia" w:hAnsi="Arial Narrow" w:cstheme="majorBidi"/>
                <w:bCs/>
                <w:sz w:val="20"/>
                <w:szCs w:val="20"/>
              </w:rPr>
              <w:t xml:space="preserve">1.43 </w:t>
            </w:r>
          </w:p>
          <w:p w14:paraId="0ACCCB41" w14:textId="77777777" w:rsidR="0014336E" w:rsidRPr="00E0652F" w:rsidRDefault="0014336E">
            <w:pPr>
              <w:jc w:val="center"/>
              <w:rPr>
                <w:rFonts w:ascii="Arial Narrow" w:eastAsiaTheme="majorEastAsia" w:hAnsi="Arial Narrow" w:cstheme="majorBidi"/>
                <w:bCs/>
                <w:sz w:val="20"/>
                <w:szCs w:val="20"/>
              </w:rPr>
            </w:pPr>
            <w:r w:rsidRPr="00C607AE">
              <w:rPr>
                <w:rFonts w:ascii="Arial Narrow" w:eastAsiaTheme="majorEastAsia" w:hAnsi="Arial Narrow" w:cstheme="majorBidi"/>
                <w:bCs/>
                <w:sz w:val="20"/>
                <w:szCs w:val="20"/>
              </w:rPr>
              <w:t>(1.18, 1.72)</w:t>
            </w:r>
          </w:p>
        </w:tc>
        <w:tc>
          <w:tcPr>
            <w:tcW w:w="1052" w:type="pct"/>
            <w:tcBorders>
              <w:top w:val="single" w:sz="4" w:space="0" w:color="auto"/>
              <w:bottom w:val="single" w:sz="4" w:space="0" w:color="auto"/>
            </w:tcBorders>
            <w:vAlign w:val="center"/>
          </w:tcPr>
          <w:p w14:paraId="6D9E3EFF" w14:textId="77777777" w:rsidR="0014336E" w:rsidRPr="001443C8" w:rsidRDefault="0014336E">
            <w:pPr>
              <w:jc w:val="center"/>
              <w:rPr>
                <w:rFonts w:ascii="Arial Narrow" w:eastAsiaTheme="majorEastAsia" w:hAnsi="Arial Narrow" w:cstheme="majorBidi"/>
                <w:b/>
                <w:sz w:val="20"/>
                <w:szCs w:val="20"/>
              </w:rPr>
            </w:pPr>
            <w:r w:rsidRPr="001443C8">
              <w:rPr>
                <w:rFonts w:ascii="Arial Narrow" w:eastAsiaTheme="majorEastAsia" w:hAnsi="Arial Narrow" w:cstheme="majorBidi"/>
                <w:b/>
                <w:sz w:val="20"/>
                <w:szCs w:val="20"/>
              </w:rPr>
              <w:t xml:space="preserve">0.50 </w:t>
            </w:r>
          </w:p>
          <w:p w14:paraId="6AE3BA4A" w14:textId="77777777" w:rsidR="0014336E" w:rsidRPr="001443C8" w:rsidRDefault="0014336E">
            <w:pPr>
              <w:jc w:val="center"/>
              <w:rPr>
                <w:rFonts w:ascii="Arial Narrow" w:eastAsiaTheme="majorEastAsia" w:hAnsi="Arial Narrow" w:cstheme="majorBidi"/>
                <w:b/>
                <w:sz w:val="20"/>
                <w:szCs w:val="20"/>
              </w:rPr>
            </w:pPr>
            <w:r w:rsidRPr="001443C8">
              <w:rPr>
                <w:rFonts w:ascii="Arial Narrow" w:eastAsiaTheme="majorEastAsia" w:hAnsi="Arial Narrow" w:cstheme="majorBidi"/>
                <w:b/>
                <w:sz w:val="20"/>
                <w:szCs w:val="20"/>
              </w:rPr>
              <w:t>(0.40, 0.63)</w:t>
            </w:r>
          </w:p>
        </w:tc>
        <w:tc>
          <w:tcPr>
            <w:tcW w:w="1264" w:type="pct"/>
            <w:tcBorders>
              <w:top w:val="single" w:sz="4" w:space="0" w:color="auto"/>
              <w:bottom w:val="single" w:sz="4" w:space="0" w:color="auto"/>
            </w:tcBorders>
            <w:vAlign w:val="center"/>
          </w:tcPr>
          <w:p w14:paraId="57205C58" w14:textId="0B9260FF" w:rsidR="0014336E" w:rsidRPr="001443C8" w:rsidRDefault="0014336E" w:rsidP="009D1AB7">
            <w:pPr>
              <w:jc w:val="center"/>
              <w:rPr>
                <w:rFonts w:ascii="Arial Narrow" w:eastAsiaTheme="majorEastAsia" w:hAnsi="Arial Narrow" w:cstheme="majorBidi"/>
                <w:b/>
                <w:sz w:val="20"/>
                <w:szCs w:val="20"/>
              </w:rPr>
            </w:pPr>
            <w:r w:rsidRPr="001443C8">
              <w:rPr>
                <w:rFonts w:ascii="Arial Narrow" w:eastAsiaTheme="majorEastAsia" w:hAnsi="Arial Narrow" w:cstheme="majorBidi"/>
                <w:b/>
                <w:sz w:val="20"/>
                <w:szCs w:val="20"/>
              </w:rPr>
              <w:t>-0.71</w:t>
            </w:r>
            <w:r w:rsidR="009D1AB7">
              <w:rPr>
                <w:rFonts w:ascii="Arial Narrow" w:eastAsiaTheme="majorEastAsia" w:hAnsi="Arial Narrow" w:cstheme="majorBidi"/>
                <w:b/>
                <w:sz w:val="20"/>
                <w:szCs w:val="20"/>
              </w:rPr>
              <w:t xml:space="preserve"> </w:t>
            </w:r>
            <w:r w:rsidRPr="001443C8">
              <w:rPr>
                <w:rFonts w:ascii="Arial Narrow" w:eastAsiaTheme="majorEastAsia" w:hAnsi="Arial Narrow" w:cstheme="majorBidi"/>
                <w:b/>
                <w:sz w:val="20"/>
                <w:szCs w:val="20"/>
              </w:rPr>
              <w:t>(-1.00, -0.43)</w:t>
            </w:r>
          </w:p>
        </w:tc>
      </w:tr>
      <w:tr w:rsidR="0014336E" w:rsidRPr="009C565F" w14:paraId="5D801446" w14:textId="77777777">
        <w:tc>
          <w:tcPr>
            <w:tcW w:w="946" w:type="pct"/>
            <w:tcBorders>
              <w:bottom w:val="single" w:sz="4" w:space="0" w:color="auto"/>
            </w:tcBorders>
            <w:vAlign w:val="center"/>
          </w:tcPr>
          <w:p w14:paraId="43D21AC6" w14:textId="77777777" w:rsidR="0014336E" w:rsidRPr="00684CB7" w:rsidRDefault="0014336E">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sz w:val="20"/>
              </w:rPr>
              <w:t xml:space="preserve">DESTINATION </w:t>
            </w:r>
            <w:r w:rsidRPr="002D5608">
              <w:rPr>
                <w:rFonts w:ascii="Arial Narrow" w:eastAsiaTheme="majorEastAsia" w:hAnsi="Arial Narrow" w:cstheme="majorBidi"/>
                <w:bCs/>
                <w:sz w:val="20"/>
                <w:vertAlign w:val="superscript"/>
              </w:rPr>
              <w:t>b</w:t>
            </w:r>
          </w:p>
          <w:p w14:paraId="6E59F0CC" w14:textId="77777777" w:rsidR="0014336E" w:rsidRDefault="0014336E">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(SOURCE) </w:t>
            </w:r>
          </w:p>
          <w:p w14:paraId="0B77BE45" w14:textId="77777777" w:rsidR="0014336E" w:rsidRDefault="0014336E">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AAER over 104 </w:t>
            </w:r>
            <w:proofErr w:type="spellStart"/>
            <w:r>
              <w:rPr>
                <w:rFonts w:ascii="Arial Narrow" w:eastAsiaTheme="majorEastAsia" w:hAnsi="Arial Narrow" w:cstheme="majorBidi"/>
                <w:bCs/>
                <w:sz w:val="20"/>
              </w:rPr>
              <w:t>wks</w:t>
            </w:r>
            <w:proofErr w:type="spellEnd"/>
          </w:p>
        </w:tc>
        <w:tc>
          <w:tcPr>
            <w:tcW w:w="870" w:type="pct"/>
            <w:tcBorders>
              <w:bottom w:val="single" w:sz="4" w:space="0" w:color="auto"/>
            </w:tcBorders>
            <w:vAlign w:val="center"/>
          </w:tcPr>
          <w:p w14:paraId="0BCB0FCC" w14:textId="77777777" w:rsidR="0014336E" w:rsidRPr="00DB3C0F" w:rsidRDefault="0014336E">
            <w:pPr>
              <w:keepNext/>
              <w:keepLines/>
              <w:jc w:val="center"/>
              <w:rPr>
                <w:rFonts w:ascii="Arial Narrow" w:eastAsiaTheme="majorEastAsia" w:hAnsi="Arial Narrow" w:cstheme="majorBidi"/>
                <w:bCs/>
                <w:color w:val="000000" w:themeColor="text1"/>
                <w:sz w:val="20"/>
              </w:rPr>
            </w:pPr>
            <w:r w:rsidRPr="00DB3C0F">
              <w:rPr>
                <w:rFonts w:ascii="Arial Narrow" w:eastAsiaTheme="majorEastAsia" w:hAnsi="Arial Narrow" w:cstheme="majorBidi"/>
                <w:bCs/>
                <w:color w:val="000000" w:themeColor="text1"/>
                <w:sz w:val="20"/>
              </w:rPr>
              <w:t>0.88</w:t>
            </w:r>
          </w:p>
          <w:p w14:paraId="0829B777" w14:textId="77777777" w:rsidR="0014336E" w:rsidRPr="00DB3C0F" w:rsidRDefault="0014336E">
            <w:pPr>
              <w:keepNext/>
              <w:keepLines/>
              <w:jc w:val="center"/>
              <w:rPr>
                <w:rFonts w:ascii="Arial Narrow" w:eastAsiaTheme="majorEastAsia" w:hAnsi="Arial Narrow" w:cstheme="majorBidi"/>
                <w:bCs/>
                <w:color w:val="000000" w:themeColor="text1"/>
                <w:sz w:val="20"/>
              </w:rPr>
            </w:pPr>
            <w:r w:rsidRPr="00DB3C0F">
              <w:rPr>
                <w:rFonts w:ascii="Arial Narrow" w:eastAsiaTheme="majorEastAsia" w:hAnsi="Arial Narrow" w:cstheme="majorBidi"/>
                <w:bCs/>
                <w:color w:val="000000" w:themeColor="text1"/>
                <w:sz w:val="20"/>
              </w:rPr>
              <w:t>(0.61, 1.27)</w:t>
            </w:r>
          </w:p>
        </w:tc>
        <w:tc>
          <w:tcPr>
            <w:tcW w:w="868" w:type="pct"/>
            <w:tcBorders>
              <w:bottom w:val="single" w:sz="4" w:space="0" w:color="auto"/>
            </w:tcBorders>
            <w:vAlign w:val="center"/>
          </w:tcPr>
          <w:p w14:paraId="4370061B" w14:textId="77777777" w:rsidR="0014336E" w:rsidRPr="00DB3C0F" w:rsidRDefault="0014336E">
            <w:pPr>
              <w:keepNext/>
              <w:keepLines/>
              <w:jc w:val="center"/>
              <w:rPr>
                <w:rFonts w:ascii="Arial Narrow" w:eastAsiaTheme="majorEastAsia" w:hAnsi="Arial Narrow" w:cstheme="majorBidi"/>
                <w:bCs/>
                <w:color w:val="000000" w:themeColor="text1"/>
                <w:sz w:val="20"/>
              </w:rPr>
            </w:pPr>
            <w:r w:rsidRPr="00DB3C0F">
              <w:rPr>
                <w:rFonts w:ascii="Arial Narrow" w:eastAsiaTheme="majorEastAsia" w:hAnsi="Arial Narrow" w:cstheme="majorBidi"/>
                <w:bCs/>
                <w:color w:val="000000" w:themeColor="text1"/>
                <w:sz w:val="20"/>
              </w:rPr>
              <w:t>1.34</w:t>
            </w:r>
          </w:p>
          <w:p w14:paraId="3BA7044A" w14:textId="77777777" w:rsidR="0014336E" w:rsidRPr="00DB3C0F" w:rsidRDefault="0014336E">
            <w:pPr>
              <w:keepNext/>
              <w:keepLines/>
              <w:jc w:val="center"/>
              <w:rPr>
                <w:rFonts w:ascii="Arial Narrow" w:eastAsiaTheme="majorEastAsia" w:hAnsi="Arial Narrow" w:cstheme="majorBidi"/>
                <w:bCs/>
                <w:color w:val="000000" w:themeColor="text1"/>
                <w:sz w:val="20"/>
              </w:rPr>
            </w:pPr>
            <w:r w:rsidRPr="00DB3C0F">
              <w:rPr>
                <w:rFonts w:ascii="Arial Narrow" w:eastAsiaTheme="majorEastAsia" w:hAnsi="Arial Narrow" w:cstheme="majorBidi"/>
                <w:bCs/>
                <w:color w:val="000000" w:themeColor="text1"/>
                <w:sz w:val="20"/>
              </w:rPr>
              <w:t>(0.84, 2.15)</w:t>
            </w:r>
          </w:p>
        </w:tc>
        <w:tc>
          <w:tcPr>
            <w:tcW w:w="1052" w:type="pct"/>
            <w:tcBorders>
              <w:top w:val="single" w:sz="4" w:space="0" w:color="auto"/>
              <w:bottom w:val="single" w:sz="4" w:space="0" w:color="auto"/>
            </w:tcBorders>
            <w:vAlign w:val="center"/>
          </w:tcPr>
          <w:p w14:paraId="115C537E" w14:textId="77777777" w:rsidR="0014336E" w:rsidRPr="00325BB9" w:rsidRDefault="0014336E">
            <w:pPr>
              <w:keepNext/>
              <w:keepLines/>
              <w:jc w:val="center"/>
              <w:rPr>
                <w:rFonts w:ascii="Arial Narrow" w:eastAsiaTheme="majorEastAsia" w:hAnsi="Arial Narrow" w:cstheme="majorBidi"/>
                <w:bCs/>
                <w:color w:val="000000" w:themeColor="text1"/>
                <w:sz w:val="20"/>
              </w:rPr>
            </w:pPr>
            <w:r w:rsidRPr="00325BB9">
              <w:rPr>
                <w:rFonts w:ascii="Arial Narrow" w:eastAsiaTheme="majorEastAsia" w:hAnsi="Arial Narrow" w:cstheme="majorBidi"/>
                <w:bCs/>
                <w:color w:val="000000" w:themeColor="text1"/>
                <w:sz w:val="20"/>
              </w:rPr>
              <w:t>0.66 (0.37, 1.19)</w:t>
            </w:r>
          </w:p>
        </w:tc>
        <w:tc>
          <w:tcPr>
            <w:tcW w:w="1264" w:type="pct"/>
            <w:tcBorders>
              <w:top w:val="single" w:sz="4" w:space="0" w:color="auto"/>
              <w:bottom w:val="single" w:sz="4" w:space="0" w:color="auto"/>
            </w:tcBorders>
            <w:vAlign w:val="center"/>
          </w:tcPr>
          <w:p w14:paraId="1DFBBCA0" w14:textId="77777777" w:rsidR="0014336E" w:rsidRPr="00325BB9" w:rsidRDefault="0014336E">
            <w:pPr>
              <w:keepNext/>
              <w:keepLines/>
              <w:jc w:val="center"/>
              <w:rPr>
                <w:rFonts w:ascii="Arial Narrow" w:eastAsiaTheme="majorEastAsia" w:hAnsi="Arial Narrow" w:cstheme="majorBidi"/>
                <w:bCs/>
                <w:color w:val="000000" w:themeColor="text1"/>
                <w:sz w:val="20"/>
              </w:rPr>
            </w:pPr>
            <w:r w:rsidRPr="00325BB9">
              <w:rPr>
                <w:rFonts w:ascii="Arial Narrow" w:eastAsiaTheme="majorEastAsia" w:hAnsi="Arial Narrow" w:cstheme="majorBidi"/>
                <w:bCs/>
                <w:color w:val="000000" w:themeColor="text1"/>
                <w:sz w:val="20"/>
              </w:rPr>
              <w:t>-0.46 (-1.16, 0.25)</w:t>
            </w:r>
          </w:p>
        </w:tc>
      </w:tr>
      <w:tr w:rsidR="0014336E" w:rsidRPr="009C565F" w14:paraId="506779DD" w14:textId="77777777">
        <w:tc>
          <w:tcPr>
            <w:tcW w:w="5000" w:type="pct"/>
            <w:gridSpan w:val="5"/>
            <w:tcBorders>
              <w:top w:val="single" w:sz="4" w:space="0" w:color="auto"/>
              <w:left w:val="single" w:sz="4" w:space="0" w:color="auto"/>
              <w:bottom w:val="single" w:sz="4" w:space="0" w:color="auto"/>
              <w:right w:val="single" w:sz="4" w:space="0" w:color="auto"/>
            </w:tcBorders>
          </w:tcPr>
          <w:p w14:paraId="1596AC94" w14:textId="77777777" w:rsidR="0014336E" w:rsidRPr="009C565F" w:rsidRDefault="0014336E">
            <w:pPr>
              <w:keepNext/>
              <w:keepLines/>
              <w:jc w:val="left"/>
              <w:rPr>
                <w:rFonts w:ascii="Arial Narrow" w:eastAsiaTheme="majorEastAsia" w:hAnsi="Arial Narrow" w:cstheme="majorBidi"/>
                <w:b/>
                <w:sz w:val="20"/>
              </w:rPr>
            </w:pPr>
            <w:r w:rsidRPr="009C565F">
              <w:rPr>
                <w:rFonts w:ascii="Arial Narrow" w:eastAsiaTheme="majorEastAsia" w:hAnsi="Arial Narrow" w:cstheme="majorBidi"/>
                <w:b/>
                <w:sz w:val="20"/>
              </w:rPr>
              <w:t xml:space="preserve">Change from </w:t>
            </w:r>
            <w:r>
              <w:rPr>
                <w:rFonts w:ascii="Arial Narrow" w:eastAsiaTheme="majorEastAsia" w:hAnsi="Arial Narrow" w:cstheme="majorBidi"/>
                <w:b/>
                <w:sz w:val="20"/>
              </w:rPr>
              <w:t>b</w:t>
            </w:r>
            <w:r w:rsidRPr="009C565F">
              <w:rPr>
                <w:rFonts w:ascii="Arial Narrow" w:eastAsiaTheme="majorEastAsia" w:hAnsi="Arial Narrow" w:cstheme="majorBidi"/>
                <w:b/>
                <w:sz w:val="20"/>
              </w:rPr>
              <w:t>aseline daily OCS while maintaining asthma control (categorical)</w:t>
            </w:r>
          </w:p>
        </w:tc>
      </w:tr>
      <w:tr w:rsidR="0014336E" w:rsidRPr="009C565F" w14:paraId="03DA3E4F" w14:textId="77777777">
        <w:tc>
          <w:tcPr>
            <w:tcW w:w="946" w:type="pct"/>
            <w:tcBorders>
              <w:top w:val="single" w:sz="4" w:space="0" w:color="auto"/>
              <w:left w:val="single" w:sz="4" w:space="0" w:color="auto"/>
              <w:bottom w:val="single" w:sz="4" w:space="0" w:color="auto"/>
              <w:right w:val="single" w:sz="4" w:space="0" w:color="auto"/>
            </w:tcBorders>
          </w:tcPr>
          <w:p w14:paraId="2CBAF3CB" w14:textId="77777777" w:rsidR="0014336E" w:rsidRPr="009C565F" w:rsidRDefault="0014336E">
            <w:pPr>
              <w:keepNext/>
              <w:keepLines/>
              <w:jc w:val="left"/>
              <w:rPr>
                <w:rFonts w:ascii="Arial Narrow" w:eastAsiaTheme="majorEastAsia" w:hAnsi="Arial Narrow" w:cstheme="majorBidi"/>
                <w:bCs/>
                <w:sz w:val="20"/>
              </w:rPr>
            </w:pPr>
            <w:r w:rsidRPr="009C565F">
              <w:rPr>
                <w:rFonts w:ascii="Arial Narrow" w:eastAsiaTheme="majorEastAsia" w:hAnsi="Arial Narrow" w:cstheme="majorBidi"/>
                <w:bCs/>
                <w:sz w:val="20"/>
              </w:rPr>
              <w:t>SOURCE</w:t>
            </w:r>
          </w:p>
        </w:tc>
        <w:tc>
          <w:tcPr>
            <w:tcW w:w="870" w:type="pct"/>
            <w:tcBorders>
              <w:top w:val="single" w:sz="4" w:space="0" w:color="auto"/>
              <w:left w:val="single" w:sz="4" w:space="0" w:color="auto"/>
              <w:bottom w:val="single" w:sz="4" w:space="0" w:color="auto"/>
              <w:right w:val="single" w:sz="4" w:space="0" w:color="auto"/>
            </w:tcBorders>
          </w:tcPr>
          <w:p w14:paraId="1B278ACA" w14:textId="77777777" w:rsidR="0014336E" w:rsidRPr="009C565F" w:rsidRDefault="0014336E">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w:t>
            </w:r>
          </w:p>
        </w:tc>
        <w:tc>
          <w:tcPr>
            <w:tcW w:w="868" w:type="pct"/>
            <w:tcBorders>
              <w:top w:val="single" w:sz="4" w:space="0" w:color="auto"/>
              <w:left w:val="single" w:sz="4" w:space="0" w:color="auto"/>
              <w:bottom w:val="single" w:sz="4" w:space="0" w:color="auto"/>
              <w:right w:val="single" w:sz="4" w:space="0" w:color="auto"/>
            </w:tcBorders>
          </w:tcPr>
          <w:p w14:paraId="57042B44" w14:textId="77777777" w:rsidR="0014336E" w:rsidRPr="009C565F" w:rsidRDefault="0014336E">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w:t>
            </w:r>
          </w:p>
        </w:tc>
        <w:tc>
          <w:tcPr>
            <w:tcW w:w="1052" w:type="pct"/>
            <w:tcBorders>
              <w:top w:val="single" w:sz="4" w:space="0" w:color="auto"/>
              <w:left w:val="single" w:sz="4" w:space="0" w:color="auto"/>
              <w:bottom w:val="single" w:sz="4" w:space="0" w:color="auto"/>
              <w:right w:val="single" w:sz="4" w:space="0" w:color="auto"/>
            </w:tcBorders>
          </w:tcPr>
          <w:p w14:paraId="55FCBF45" w14:textId="77777777" w:rsidR="0014336E" w:rsidRPr="009C565F" w:rsidRDefault="0014336E">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 xml:space="preserve">COR </w:t>
            </w:r>
            <w:r w:rsidRPr="009C565F">
              <w:rPr>
                <w:rFonts w:ascii="Arial Narrow" w:eastAsiaTheme="majorEastAsia" w:hAnsi="Arial Narrow" w:cstheme="majorBidi"/>
                <w:bCs/>
                <w:sz w:val="20"/>
              </w:rPr>
              <w:t xml:space="preserve">1.28 </w:t>
            </w:r>
            <w:r>
              <w:rPr>
                <w:rFonts w:ascii="Arial Narrow" w:eastAsiaTheme="majorEastAsia" w:hAnsi="Arial Narrow" w:cstheme="majorBidi"/>
                <w:bCs/>
                <w:sz w:val="20"/>
              </w:rPr>
              <w:br/>
            </w:r>
            <w:r w:rsidRPr="009C565F">
              <w:rPr>
                <w:rFonts w:ascii="Arial Narrow" w:eastAsiaTheme="majorEastAsia" w:hAnsi="Arial Narrow" w:cstheme="majorBidi"/>
                <w:bCs/>
                <w:sz w:val="20"/>
              </w:rPr>
              <w:t>(0.69, 2.35)</w:t>
            </w:r>
          </w:p>
        </w:tc>
        <w:tc>
          <w:tcPr>
            <w:tcW w:w="1264" w:type="pct"/>
            <w:tcBorders>
              <w:top w:val="single" w:sz="4" w:space="0" w:color="auto"/>
              <w:left w:val="single" w:sz="4" w:space="0" w:color="auto"/>
              <w:bottom w:val="single" w:sz="4" w:space="0" w:color="auto"/>
              <w:right w:val="single" w:sz="4" w:space="0" w:color="auto"/>
            </w:tcBorders>
          </w:tcPr>
          <w:p w14:paraId="5C42A5A9" w14:textId="77777777" w:rsidR="0014336E" w:rsidRPr="009C565F" w:rsidRDefault="0014336E">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w:t>
            </w:r>
          </w:p>
        </w:tc>
      </w:tr>
    </w:tbl>
    <w:p w14:paraId="6694FE1D" w14:textId="77777777" w:rsidR="0014336E" w:rsidRPr="009C565F" w:rsidRDefault="0014336E" w:rsidP="0014336E">
      <w:pPr>
        <w:keepNext/>
        <w:keepLines/>
        <w:spacing w:after="120"/>
        <w:contextualSpacing/>
        <w:rPr>
          <w:rFonts w:ascii="Arial Narrow" w:hAnsi="Arial Narrow"/>
          <w:snapToGrid w:val="0"/>
          <w:sz w:val="18"/>
          <w:szCs w:val="22"/>
        </w:rPr>
      </w:pPr>
      <w:r w:rsidRPr="009C565F">
        <w:rPr>
          <w:rFonts w:ascii="Arial Narrow" w:hAnsi="Arial Narrow"/>
          <w:snapToGrid w:val="0"/>
          <w:sz w:val="18"/>
          <w:szCs w:val="22"/>
        </w:rPr>
        <w:t xml:space="preserve">Source: Constructed during the evaluation from </w:t>
      </w:r>
      <w:r w:rsidRPr="00684CB7">
        <w:rPr>
          <w:rFonts w:ascii="Arial Narrow" w:hAnsi="Arial Narrow"/>
          <w:snapToGrid w:val="0"/>
          <w:sz w:val="18"/>
          <w:szCs w:val="22"/>
        </w:rPr>
        <w:t>Table 2-54, p118; Table 2-55, p122 &amp;Table 2-56, p124</w:t>
      </w:r>
    </w:p>
    <w:p w14:paraId="7CE59F2F" w14:textId="77777777" w:rsidR="0014336E" w:rsidRPr="009C565F" w:rsidRDefault="0014336E" w:rsidP="0014336E">
      <w:pPr>
        <w:keepNext/>
        <w:keepLines/>
        <w:spacing w:after="120"/>
        <w:contextualSpacing/>
        <w:rPr>
          <w:rFonts w:ascii="Arial Narrow" w:eastAsia="Calibri" w:hAnsi="Arial Narrow"/>
          <w:snapToGrid w:val="0"/>
          <w:sz w:val="18"/>
          <w:szCs w:val="22"/>
        </w:rPr>
      </w:pPr>
      <w:r w:rsidRPr="009C565F">
        <w:rPr>
          <w:rFonts w:ascii="Arial Narrow" w:eastAsia="Calibri" w:hAnsi="Arial Narrow"/>
          <w:snapToGrid w:val="0"/>
          <w:sz w:val="18"/>
          <w:szCs w:val="22"/>
        </w:rPr>
        <w:t>AAER = annual asthma exacerbation rate; CI = confidence int</w:t>
      </w:r>
      <w:r>
        <w:rPr>
          <w:rFonts w:ascii="Arial Narrow" w:eastAsia="Calibri" w:hAnsi="Arial Narrow"/>
          <w:snapToGrid w:val="0"/>
          <w:sz w:val="18"/>
          <w:szCs w:val="22"/>
        </w:rPr>
        <w:t xml:space="preserve">erval; COR = Cumulative odds ratio; </w:t>
      </w:r>
      <w:r w:rsidRPr="005042D9">
        <w:rPr>
          <w:rFonts w:ascii="Arial Narrow" w:eastAsia="Calibri" w:hAnsi="Arial Narrow"/>
          <w:snapToGrid w:val="0"/>
          <w:sz w:val="18"/>
          <w:szCs w:val="22"/>
        </w:rPr>
        <w:t xml:space="preserve">FAS = full analysis set; LTE = long-term extension; </w:t>
      </w:r>
      <w:r w:rsidRPr="009C565F">
        <w:rPr>
          <w:rFonts w:ascii="Arial Narrow" w:eastAsia="Calibri" w:hAnsi="Arial Narrow"/>
          <w:snapToGrid w:val="0"/>
          <w:sz w:val="18"/>
          <w:szCs w:val="22"/>
        </w:rPr>
        <w:t xml:space="preserve">n = number of </w:t>
      </w:r>
      <w:r>
        <w:rPr>
          <w:rFonts w:ascii="Arial Narrow" w:eastAsia="Calibri" w:hAnsi="Arial Narrow"/>
          <w:snapToGrid w:val="0"/>
          <w:sz w:val="18"/>
          <w:szCs w:val="22"/>
        </w:rPr>
        <w:t>patient</w:t>
      </w:r>
      <w:r w:rsidRPr="009C565F">
        <w:rPr>
          <w:rFonts w:ascii="Arial Narrow" w:eastAsia="Calibri" w:hAnsi="Arial Narrow"/>
          <w:snapToGrid w:val="0"/>
          <w:sz w:val="18"/>
          <w:szCs w:val="22"/>
        </w:rPr>
        <w:t xml:space="preserve">s with event; N = total </w:t>
      </w:r>
      <w:r>
        <w:rPr>
          <w:rFonts w:ascii="Arial Narrow" w:eastAsia="Calibri" w:hAnsi="Arial Narrow"/>
          <w:snapToGrid w:val="0"/>
          <w:sz w:val="18"/>
          <w:szCs w:val="22"/>
        </w:rPr>
        <w:t>patient</w:t>
      </w:r>
      <w:r w:rsidRPr="009C565F">
        <w:rPr>
          <w:rFonts w:ascii="Arial Narrow" w:eastAsia="Calibri" w:hAnsi="Arial Narrow"/>
          <w:snapToGrid w:val="0"/>
          <w:sz w:val="18"/>
          <w:szCs w:val="22"/>
        </w:rPr>
        <w:t>s in group, NR = not reported</w:t>
      </w:r>
      <w:r>
        <w:rPr>
          <w:rFonts w:ascii="Arial Narrow" w:eastAsia="Calibri" w:hAnsi="Arial Narrow"/>
          <w:snapToGrid w:val="0"/>
          <w:sz w:val="18"/>
          <w:szCs w:val="22"/>
        </w:rPr>
        <w:t>;</w:t>
      </w:r>
      <w:r w:rsidRPr="009C565F">
        <w:rPr>
          <w:rFonts w:ascii="Arial Narrow" w:eastAsia="Calibri" w:hAnsi="Arial Narrow"/>
          <w:snapToGrid w:val="0"/>
          <w:sz w:val="18"/>
          <w:szCs w:val="22"/>
        </w:rPr>
        <w:t xml:space="preserve"> </w:t>
      </w:r>
      <w:r w:rsidRPr="005042D9">
        <w:rPr>
          <w:rFonts w:ascii="Arial Narrow" w:eastAsia="Calibri" w:hAnsi="Arial Narrow"/>
          <w:snapToGrid w:val="0"/>
          <w:sz w:val="18"/>
          <w:szCs w:val="22"/>
        </w:rPr>
        <w:t xml:space="preserve">OCS = oral corticosteroids; </w:t>
      </w:r>
      <w:r w:rsidRPr="009C565F">
        <w:rPr>
          <w:rFonts w:ascii="Arial Narrow" w:eastAsia="Calibri" w:hAnsi="Arial Narrow"/>
          <w:snapToGrid w:val="0"/>
          <w:sz w:val="18"/>
          <w:szCs w:val="22"/>
        </w:rPr>
        <w:t>PBO = placebo</w:t>
      </w:r>
      <w:r>
        <w:rPr>
          <w:rFonts w:ascii="Arial Narrow" w:eastAsia="Calibri" w:hAnsi="Arial Narrow"/>
          <w:snapToGrid w:val="0"/>
          <w:sz w:val="18"/>
          <w:szCs w:val="22"/>
        </w:rPr>
        <w:t xml:space="preserve">; </w:t>
      </w:r>
      <w:proofErr w:type="spellStart"/>
      <w:r>
        <w:rPr>
          <w:rFonts w:ascii="Arial Narrow" w:eastAsia="Calibri" w:hAnsi="Arial Narrow"/>
          <w:snapToGrid w:val="0"/>
          <w:sz w:val="18"/>
          <w:szCs w:val="22"/>
        </w:rPr>
        <w:t>wks</w:t>
      </w:r>
      <w:proofErr w:type="spellEnd"/>
      <w:r>
        <w:rPr>
          <w:rFonts w:ascii="Arial Narrow" w:eastAsia="Calibri" w:hAnsi="Arial Narrow"/>
          <w:snapToGrid w:val="0"/>
          <w:sz w:val="18"/>
          <w:szCs w:val="22"/>
        </w:rPr>
        <w:t xml:space="preserve"> = weeks.</w:t>
      </w:r>
    </w:p>
    <w:p w14:paraId="1018C98F" w14:textId="77777777" w:rsidR="0014336E" w:rsidRDefault="0014336E" w:rsidP="0014336E">
      <w:pPr>
        <w:keepNext/>
        <w:keepLines/>
        <w:spacing w:after="120"/>
        <w:contextualSpacing/>
        <w:rPr>
          <w:rFonts w:ascii="Arial Narrow" w:eastAsia="Calibri" w:hAnsi="Arial Narrow"/>
          <w:snapToGrid w:val="0"/>
          <w:sz w:val="18"/>
          <w:szCs w:val="22"/>
        </w:rPr>
      </w:pPr>
      <w:r w:rsidRPr="009C565F">
        <w:rPr>
          <w:rFonts w:ascii="Arial Narrow" w:eastAsia="Calibri" w:hAnsi="Arial Narrow"/>
          <w:b/>
          <w:snapToGrid w:val="0"/>
          <w:sz w:val="18"/>
          <w:szCs w:val="22"/>
        </w:rPr>
        <w:t>Bold</w:t>
      </w:r>
      <w:r w:rsidRPr="009C565F">
        <w:rPr>
          <w:rFonts w:ascii="Arial Narrow" w:eastAsia="Calibri" w:hAnsi="Arial Narrow"/>
          <w:snapToGrid w:val="0"/>
          <w:sz w:val="18"/>
          <w:szCs w:val="22"/>
        </w:rPr>
        <w:t xml:space="preserve"> indicates statistically significant results.</w:t>
      </w:r>
    </w:p>
    <w:p w14:paraId="21F9339D" w14:textId="77777777" w:rsidR="0014336E" w:rsidRPr="001D310D" w:rsidRDefault="0014336E" w:rsidP="0014336E">
      <w:pPr>
        <w:keepNext/>
        <w:keepLines/>
        <w:spacing w:after="120"/>
        <w:contextualSpacing/>
        <w:rPr>
          <w:rFonts w:ascii="Arial Narrow" w:eastAsia="Calibri" w:hAnsi="Arial Narrow"/>
          <w:snapToGrid w:val="0"/>
          <w:sz w:val="18"/>
          <w:szCs w:val="22"/>
        </w:rPr>
      </w:pPr>
      <w:proofErr w:type="gramStart"/>
      <w:r w:rsidRPr="001D310D">
        <w:rPr>
          <w:rFonts w:ascii="Arial Narrow" w:eastAsia="Calibri" w:hAnsi="Arial Narrow"/>
          <w:snapToGrid w:val="0"/>
          <w:sz w:val="18"/>
          <w:szCs w:val="22"/>
          <w:vertAlign w:val="superscript"/>
        </w:rPr>
        <w:t xml:space="preserve">a  </w:t>
      </w:r>
      <w:r w:rsidRPr="001D310D">
        <w:rPr>
          <w:rFonts w:ascii="Arial Narrow" w:eastAsia="Calibri" w:hAnsi="Arial Narrow"/>
          <w:snapToGrid w:val="0"/>
          <w:sz w:val="18"/>
          <w:szCs w:val="22"/>
        </w:rPr>
        <w:t>Tezepelumab</w:t>
      </w:r>
      <w:proofErr w:type="gramEnd"/>
      <w:r w:rsidRPr="001D310D">
        <w:rPr>
          <w:rFonts w:ascii="Arial Narrow" w:eastAsia="Calibri" w:hAnsi="Arial Narrow"/>
          <w:snapToGrid w:val="0"/>
          <w:sz w:val="18"/>
          <w:szCs w:val="22"/>
        </w:rPr>
        <w:t xml:space="preserve"> plus </w:t>
      </w:r>
      <w:r>
        <w:rPr>
          <w:rFonts w:ascii="Arial Narrow" w:eastAsia="Calibri" w:hAnsi="Arial Narrow"/>
          <w:snapToGrid w:val="0"/>
          <w:sz w:val="18"/>
          <w:szCs w:val="22"/>
        </w:rPr>
        <w:t>Tezepelumab (N=</w:t>
      </w:r>
      <w:r w:rsidRPr="001D310D">
        <w:rPr>
          <w:rFonts w:ascii="Arial Narrow" w:eastAsia="Calibri" w:hAnsi="Arial Narrow"/>
          <w:snapToGrid w:val="0"/>
          <w:sz w:val="18"/>
          <w:szCs w:val="22"/>
        </w:rPr>
        <w:t xml:space="preserve"> </w:t>
      </w:r>
      <w:r>
        <w:rPr>
          <w:rFonts w:ascii="Arial Narrow" w:eastAsia="Calibri" w:hAnsi="Arial Narrow"/>
          <w:snapToGrid w:val="0"/>
          <w:sz w:val="18"/>
          <w:szCs w:val="22"/>
        </w:rPr>
        <w:t xml:space="preserve">415) </w:t>
      </w:r>
      <w:r w:rsidRPr="001D310D">
        <w:rPr>
          <w:rFonts w:ascii="Arial Narrow" w:eastAsia="Calibri" w:hAnsi="Arial Narrow"/>
          <w:snapToGrid w:val="0"/>
          <w:sz w:val="18"/>
          <w:szCs w:val="22"/>
        </w:rPr>
        <w:t>versus placebo plus placebo</w:t>
      </w:r>
      <w:r>
        <w:rPr>
          <w:rFonts w:ascii="Arial Narrow" w:eastAsia="Calibri" w:hAnsi="Arial Narrow"/>
          <w:snapToGrid w:val="0"/>
          <w:sz w:val="18"/>
          <w:szCs w:val="22"/>
        </w:rPr>
        <w:t xml:space="preserve"> (N=206)</w:t>
      </w:r>
      <w:r w:rsidRPr="001D310D">
        <w:rPr>
          <w:rFonts w:ascii="Arial Narrow" w:eastAsia="Calibri" w:hAnsi="Arial Narrow"/>
          <w:snapToGrid w:val="0"/>
          <w:sz w:val="18"/>
          <w:szCs w:val="22"/>
        </w:rPr>
        <w:t xml:space="preserve"> (FAS-LTE) </w:t>
      </w:r>
    </w:p>
    <w:p w14:paraId="108DFE37" w14:textId="43B140F5" w:rsidR="0014336E" w:rsidRPr="009C565F" w:rsidRDefault="0014336E" w:rsidP="0014336E">
      <w:pPr>
        <w:keepNext/>
        <w:keepLines/>
        <w:spacing w:after="120"/>
        <w:contextualSpacing/>
        <w:rPr>
          <w:rFonts w:ascii="Arial Narrow" w:eastAsia="Calibri" w:hAnsi="Arial Narrow"/>
          <w:snapToGrid w:val="0"/>
          <w:sz w:val="18"/>
          <w:szCs w:val="22"/>
        </w:rPr>
      </w:pPr>
      <w:r w:rsidRPr="001D310D">
        <w:rPr>
          <w:rFonts w:ascii="Arial Narrow" w:eastAsia="Calibri" w:hAnsi="Arial Narrow"/>
          <w:snapToGrid w:val="0"/>
          <w:sz w:val="18"/>
          <w:szCs w:val="22"/>
          <w:vertAlign w:val="superscript"/>
        </w:rPr>
        <w:t>b</w:t>
      </w:r>
      <w:r>
        <w:rPr>
          <w:rFonts w:ascii="Arial Narrow" w:eastAsia="Calibri" w:hAnsi="Arial Narrow"/>
          <w:snapToGrid w:val="0"/>
          <w:sz w:val="18"/>
          <w:szCs w:val="22"/>
        </w:rPr>
        <w:t xml:space="preserve"> </w:t>
      </w:r>
      <w:r w:rsidRPr="009C565F">
        <w:rPr>
          <w:rFonts w:ascii="Arial Narrow" w:eastAsia="Calibri" w:hAnsi="Arial Narrow"/>
          <w:snapToGrid w:val="0"/>
          <w:sz w:val="18"/>
          <w:szCs w:val="22"/>
        </w:rPr>
        <w:t>Tezepelumab</w:t>
      </w:r>
      <w:r>
        <w:rPr>
          <w:rFonts w:ascii="Arial Narrow" w:eastAsia="Calibri" w:hAnsi="Arial Narrow"/>
          <w:snapToGrid w:val="0"/>
          <w:sz w:val="18"/>
          <w:szCs w:val="22"/>
        </w:rPr>
        <w:t xml:space="preserve"> plus</w:t>
      </w:r>
      <w:r w:rsidRPr="009C565F">
        <w:rPr>
          <w:rFonts w:ascii="Arial Narrow" w:eastAsia="Calibri" w:hAnsi="Arial Narrow"/>
          <w:snapToGrid w:val="0"/>
          <w:sz w:val="18"/>
          <w:szCs w:val="22"/>
        </w:rPr>
        <w:t xml:space="preserve"> </w:t>
      </w:r>
      <w:proofErr w:type="spellStart"/>
      <w:r w:rsidRPr="009C565F">
        <w:rPr>
          <w:rFonts w:ascii="Arial Narrow" w:eastAsia="Calibri" w:hAnsi="Arial Narrow"/>
          <w:snapToGrid w:val="0"/>
          <w:sz w:val="18"/>
          <w:szCs w:val="22"/>
        </w:rPr>
        <w:t>tezepelumab</w:t>
      </w:r>
      <w:proofErr w:type="spellEnd"/>
      <w:r w:rsidRPr="009C565F">
        <w:rPr>
          <w:rFonts w:ascii="Arial Narrow" w:eastAsia="Calibri" w:hAnsi="Arial Narrow"/>
          <w:snapToGrid w:val="0"/>
          <w:sz w:val="18"/>
          <w:szCs w:val="22"/>
        </w:rPr>
        <w:t xml:space="preserve"> </w:t>
      </w:r>
      <w:r>
        <w:rPr>
          <w:rFonts w:ascii="Arial Narrow" w:eastAsia="Calibri" w:hAnsi="Arial Narrow"/>
          <w:snapToGrid w:val="0"/>
          <w:sz w:val="18"/>
          <w:szCs w:val="22"/>
        </w:rPr>
        <w:t xml:space="preserve">(N= 60) </w:t>
      </w:r>
      <w:r w:rsidRPr="009C565F">
        <w:rPr>
          <w:rFonts w:ascii="Arial Narrow" w:eastAsia="Calibri" w:hAnsi="Arial Narrow"/>
          <w:snapToGrid w:val="0"/>
          <w:sz w:val="18"/>
          <w:szCs w:val="22"/>
        </w:rPr>
        <w:t>versus placebo</w:t>
      </w:r>
      <w:r>
        <w:rPr>
          <w:rFonts w:ascii="Arial Narrow" w:eastAsia="Calibri" w:hAnsi="Arial Narrow"/>
          <w:snapToGrid w:val="0"/>
          <w:sz w:val="18"/>
          <w:szCs w:val="22"/>
        </w:rPr>
        <w:t xml:space="preserve"> plus </w:t>
      </w:r>
      <w:r w:rsidRPr="009C565F">
        <w:rPr>
          <w:rFonts w:ascii="Arial Narrow" w:eastAsia="Calibri" w:hAnsi="Arial Narrow"/>
          <w:snapToGrid w:val="0"/>
          <w:sz w:val="18"/>
          <w:szCs w:val="22"/>
        </w:rPr>
        <w:t>placebo</w:t>
      </w:r>
      <w:r>
        <w:rPr>
          <w:rFonts w:ascii="Arial Narrow" w:eastAsia="Calibri" w:hAnsi="Arial Narrow"/>
          <w:snapToGrid w:val="0"/>
          <w:sz w:val="18"/>
          <w:szCs w:val="22"/>
        </w:rPr>
        <w:t xml:space="preserve"> (N=32) (FAS-LTE) </w:t>
      </w:r>
    </w:p>
    <w:p w14:paraId="325E477E" w14:textId="3BD86357" w:rsidR="0014336E" w:rsidRDefault="0014336E" w:rsidP="0014336E">
      <w:pPr>
        <w:pStyle w:val="COMESnumberedpara"/>
      </w:pPr>
      <w:r>
        <w:t xml:space="preserve">In the NAVIGATOR and PATHWAY trials there was a statistically significant greater reduction in AAER to 52 weeks for </w:t>
      </w:r>
      <w:proofErr w:type="spellStart"/>
      <w:r>
        <w:t>tezepelumab</w:t>
      </w:r>
      <w:proofErr w:type="spellEnd"/>
      <w:r>
        <w:t xml:space="preserve"> compared to placebo: </w:t>
      </w:r>
      <w:r w:rsidR="009A6D66">
        <w:t>rate ratio (</w:t>
      </w:r>
      <w:r>
        <w:t>RR</w:t>
      </w:r>
      <w:r w:rsidR="009A6D66">
        <w:t>)</w:t>
      </w:r>
      <w:r>
        <w:t xml:space="preserve"> 0.44 (95% CI 0.37, 0.53) and RR 0.29 (95% CI: 0.16, 0.51)</w:t>
      </w:r>
      <w:r w:rsidR="009A6D66">
        <w:t>,</w:t>
      </w:r>
      <w:r>
        <w:t xml:space="preserve"> respectively. </w:t>
      </w:r>
      <w:r w:rsidRPr="00E44C09">
        <w:t>In the SOURCE trial, the reduction in asthma exacerbation rate (not annualised) was not statistically significant.</w:t>
      </w:r>
      <w:r>
        <w:t xml:space="preserve"> Among patients enrolled in the DESTINATION extension study from the NAVIGATOR study, </w:t>
      </w:r>
      <w:proofErr w:type="spellStart"/>
      <w:r>
        <w:t>tezepelumab</w:t>
      </w:r>
      <w:proofErr w:type="spellEnd"/>
      <w:r>
        <w:t xml:space="preserve"> resulted in a reduction in the rate of asthma exacerbation compared to placebo (RR 0.50, 95% CI 0.40, 0.63). In patients enrolled in the DESTINATION extension study from the SOURCE study, the AAER for asthma exacerbations between </w:t>
      </w:r>
      <w:proofErr w:type="spellStart"/>
      <w:r>
        <w:t>tezepelumab</w:t>
      </w:r>
      <w:proofErr w:type="spellEnd"/>
      <w:r>
        <w:t xml:space="preserve"> and placebo was 0.66 (95% CI 0.37, 1.19).  </w:t>
      </w:r>
    </w:p>
    <w:p w14:paraId="65E9797F" w14:textId="77777777" w:rsidR="0014336E" w:rsidRPr="00CD5A34" w:rsidRDefault="0014336E" w:rsidP="0014336E">
      <w:pPr>
        <w:pStyle w:val="COMESnumberedpara"/>
      </w:pPr>
      <w:r>
        <w:t xml:space="preserve">In the SOURCE trial, there was not a statistically significant change from baseline daily OCS while maintaining asthma control (categorical) to 48 weeks for </w:t>
      </w:r>
      <w:proofErr w:type="spellStart"/>
      <w:r>
        <w:t>tezepelumab</w:t>
      </w:r>
      <w:proofErr w:type="spellEnd"/>
      <w:r>
        <w:t xml:space="preserve"> 210 mg every 4 weeks compared to placebo (cumulative odds ratio (OR) 1.28, 95% CI: 0.69,2.35</w:t>
      </w:r>
      <w:r w:rsidRPr="003F75E3">
        <w:t xml:space="preserve">). </w:t>
      </w:r>
    </w:p>
    <w:p w14:paraId="48E6FD57" w14:textId="001CC7B1" w:rsidR="0014336E" w:rsidRPr="00031C8A" w:rsidRDefault="0014336E" w:rsidP="0014336E">
      <w:pPr>
        <w:pStyle w:val="COMESnumberedpara"/>
      </w:pPr>
      <w:r>
        <w:fldChar w:fldCharType="begin"/>
      </w:r>
      <w:r>
        <w:instrText xml:space="preserve"> REF _Ref208275383 \h  \* MERGEFORMAT </w:instrText>
      </w:r>
      <w:r>
        <w:fldChar w:fldCharType="separate"/>
      </w:r>
      <w:r w:rsidR="0078760A">
        <w:t>Table 6</w:t>
      </w:r>
      <w:r>
        <w:fldChar w:fldCharType="end"/>
      </w:r>
      <w:r>
        <w:t xml:space="preserve"> </w:t>
      </w:r>
      <w:r w:rsidRPr="00031C8A">
        <w:t xml:space="preserve">presents key patient reported and QOL outcomes. The </w:t>
      </w:r>
      <w:r w:rsidRPr="002C783E">
        <w:t xml:space="preserve">Asthma Control Questionnaire </w:t>
      </w:r>
      <w:r>
        <w:t>(</w:t>
      </w:r>
      <w:r w:rsidRPr="00031C8A">
        <w:t>ACQ</w:t>
      </w:r>
      <w:r>
        <w:t>)</w:t>
      </w:r>
      <w:r w:rsidRPr="00031C8A">
        <w:t xml:space="preserve">-6 responders and </w:t>
      </w:r>
      <w:r w:rsidRPr="002C783E">
        <w:t>Asthma Quality of Life Questionnaire</w:t>
      </w:r>
      <w:r>
        <w:t xml:space="preserve"> (</w:t>
      </w:r>
      <w:r w:rsidRPr="00031C8A">
        <w:t>AQLQ</w:t>
      </w:r>
      <w:r>
        <w:t>)</w:t>
      </w:r>
      <w:r w:rsidRPr="00031C8A">
        <w:t>(S)+12 responders were used in the economic model.</w:t>
      </w:r>
      <w:bookmarkStart w:id="32" w:name="_Ref208226754"/>
    </w:p>
    <w:p w14:paraId="6091C447" w14:textId="03A1A9EA" w:rsidR="0014336E" w:rsidRPr="004F31DF" w:rsidRDefault="0014336E" w:rsidP="0014336E">
      <w:pPr>
        <w:pStyle w:val="TableFigureHeading"/>
        <w:rPr>
          <w:highlight w:val="yellow"/>
        </w:rPr>
      </w:pPr>
      <w:bookmarkStart w:id="33" w:name="_Ref208275383"/>
      <w:bookmarkEnd w:id="32"/>
      <w:r>
        <w:t xml:space="preserve">Table </w:t>
      </w:r>
      <w:r w:rsidR="001146FA">
        <w:fldChar w:fldCharType="begin"/>
      </w:r>
      <w:r w:rsidR="001146FA">
        <w:instrText xml:space="preserve"> SEQ Table \* ARABIC </w:instrText>
      </w:r>
      <w:r w:rsidR="001146FA">
        <w:fldChar w:fldCharType="separate"/>
      </w:r>
      <w:r w:rsidR="0078760A">
        <w:rPr>
          <w:noProof/>
        </w:rPr>
        <w:t>6</w:t>
      </w:r>
      <w:r w:rsidR="001146FA">
        <w:rPr>
          <w:noProof/>
        </w:rPr>
        <w:fldChar w:fldCharType="end"/>
      </w:r>
      <w:bookmarkEnd w:id="33"/>
      <w:r>
        <w:t xml:space="preserve">: </w:t>
      </w:r>
      <w:r w:rsidRPr="002B0879">
        <w:t>Key patient</w:t>
      </w:r>
      <w:r>
        <w:t xml:space="preserve"> </w:t>
      </w:r>
      <w:r w:rsidRPr="002B0879">
        <w:t>reported and QOL outcomes</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patient reported and QOL outcomes"/>
      </w:tblPr>
      <w:tblGrid>
        <w:gridCol w:w="1508"/>
        <w:gridCol w:w="1747"/>
        <w:gridCol w:w="1557"/>
        <w:gridCol w:w="1887"/>
        <w:gridCol w:w="2269"/>
      </w:tblGrid>
      <w:tr w:rsidR="0014336E" w:rsidRPr="009C565F" w14:paraId="3050B028" w14:textId="77777777">
        <w:tc>
          <w:tcPr>
            <w:tcW w:w="841" w:type="pct"/>
            <w:tcBorders>
              <w:top w:val="double" w:sz="4" w:space="0" w:color="auto"/>
            </w:tcBorders>
            <w:vAlign w:val="center"/>
          </w:tcPr>
          <w:p w14:paraId="5323B12E" w14:textId="77777777" w:rsidR="0014336E" w:rsidRPr="009C565F" w:rsidRDefault="0014336E">
            <w:pPr>
              <w:keepNext/>
              <w:keepLines/>
              <w:jc w:val="left"/>
              <w:rPr>
                <w:rFonts w:ascii="Arial Narrow" w:eastAsiaTheme="majorEastAsia" w:hAnsi="Arial Narrow" w:cs="Times New Roman"/>
                <w:b/>
                <w:sz w:val="20"/>
                <w:lang w:val="en-US"/>
              </w:rPr>
            </w:pPr>
            <w:r w:rsidRPr="009C565F">
              <w:rPr>
                <w:rFonts w:ascii="Arial Narrow" w:eastAsiaTheme="majorEastAsia" w:hAnsi="Arial Narrow" w:cs="Times New Roman"/>
                <w:b/>
                <w:sz w:val="20"/>
                <w:lang w:val="en-US"/>
              </w:rPr>
              <w:t xml:space="preserve">Trial ID </w:t>
            </w:r>
          </w:p>
        </w:tc>
        <w:tc>
          <w:tcPr>
            <w:tcW w:w="974" w:type="pct"/>
            <w:tcBorders>
              <w:top w:val="double" w:sz="4" w:space="0" w:color="auto"/>
            </w:tcBorders>
            <w:vAlign w:val="center"/>
          </w:tcPr>
          <w:p w14:paraId="1B51264D" w14:textId="77777777" w:rsidR="0014336E" w:rsidRPr="009C565F" w:rsidRDefault="0014336E">
            <w:pPr>
              <w:keepNext/>
              <w:keepLines/>
              <w:jc w:val="center"/>
              <w:rPr>
                <w:rFonts w:ascii="Arial Narrow" w:eastAsiaTheme="majorEastAsia" w:hAnsi="Arial Narrow" w:cstheme="majorBidi"/>
                <w:b/>
                <w:sz w:val="20"/>
              </w:rPr>
            </w:pPr>
            <w:r w:rsidRPr="009C565F">
              <w:rPr>
                <w:rFonts w:ascii="Arial Narrow" w:eastAsiaTheme="majorEastAsia" w:hAnsi="Arial Narrow" w:cstheme="majorBidi"/>
                <w:b/>
                <w:sz w:val="20"/>
              </w:rPr>
              <w:t>Tezepelumab</w:t>
            </w:r>
          </w:p>
          <w:p w14:paraId="133723BA" w14:textId="77777777" w:rsidR="0014336E" w:rsidRPr="009C565F" w:rsidRDefault="0014336E">
            <w:pPr>
              <w:keepNext/>
              <w:keepLines/>
              <w:jc w:val="center"/>
              <w:rPr>
                <w:rFonts w:ascii="Arial Narrow" w:eastAsiaTheme="majorEastAsia" w:hAnsi="Arial Narrow" w:cstheme="majorBidi"/>
                <w:b/>
                <w:sz w:val="20"/>
              </w:rPr>
            </w:pPr>
            <w:r w:rsidRPr="009C565F">
              <w:rPr>
                <w:rFonts w:ascii="Arial Narrow" w:eastAsiaTheme="majorEastAsia" w:hAnsi="Arial Narrow" w:cstheme="majorBidi"/>
                <w:b/>
                <w:sz w:val="20"/>
              </w:rPr>
              <w:t>Responders (%)</w:t>
            </w:r>
          </w:p>
        </w:tc>
        <w:tc>
          <w:tcPr>
            <w:tcW w:w="868" w:type="pct"/>
            <w:tcBorders>
              <w:top w:val="double" w:sz="4" w:space="0" w:color="auto"/>
            </w:tcBorders>
          </w:tcPr>
          <w:p w14:paraId="4562628C" w14:textId="77777777" w:rsidR="0014336E" w:rsidRPr="009C565F" w:rsidRDefault="0014336E">
            <w:pPr>
              <w:keepNext/>
              <w:keepLines/>
              <w:jc w:val="center"/>
              <w:rPr>
                <w:rFonts w:ascii="Arial Narrow" w:eastAsiaTheme="majorEastAsia" w:hAnsi="Arial Narrow" w:cstheme="majorBidi"/>
                <w:b/>
                <w:sz w:val="20"/>
              </w:rPr>
            </w:pPr>
            <w:r w:rsidRPr="009C565F">
              <w:rPr>
                <w:rFonts w:ascii="Arial Narrow" w:eastAsiaTheme="majorEastAsia" w:hAnsi="Arial Narrow" w:cstheme="majorBidi"/>
                <w:b/>
                <w:sz w:val="20"/>
              </w:rPr>
              <w:t>Placebo</w:t>
            </w:r>
          </w:p>
          <w:p w14:paraId="6A6B75BD" w14:textId="77777777" w:rsidR="0014336E" w:rsidRPr="009C565F" w:rsidRDefault="0014336E">
            <w:pPr>
              <w:keepNext/>
              <w:keepLines/>
              <w:jc w:val="center"/>
              <w:rPr>
                <w:rFonts w:ascii="Arial Narrow" w:eastAsiaTheme="majorEastAsia" w:hAnsi="Arial Narrow" w:cstheme="majorBidi"/>
                <w:b/>
                <w:sz w:val="20"/>
              </w:rPr>
            </w:pPr>
            <w:r w:rsidRPr="009C565F">
              <w:rPr>
                <w:rFonts w:ascii="Arial Narrow" w:eastAsiaTheme="majorEastAsia" w:hAnsi="Arial Narrow" w:cstheme="majorBidi"/>
                <w:b/>
                <w:sz w:val="20"/>
              </w:rPr>
              <w:t>Responders (%)</w:t>
            </w:r>
          </w:p>
        </w:tc>
        <w:tc>
          <w:tcPr>
            <w:tcW w:w="1052" w:type="pct"/>
            <w:tcBorders>
              <w:top w:val="double" w:sz="4" w:space="0" w:color="auto"/>
            </w:tcBorders>
          </w:tcPr>
          <w:p w14:paraId="3790CE8B" w14:textId="77777777" w:rsidR="0014336E" w:rsidRPr="009C565F" w:rsidRDefault="0014336E">
            <w:pPr>
              <w:keepNext/>
              <w:keepLines/>
              <w:jc w:val="center"/>
              <w:rPr>
                <w:rFonts w:ascii="Arial Narrow" w:eastAsiaTheme="majorEastAsia" w:hAnsi="Arial Narrow" w:cs="Times New Roman"/>
                <w:b/>
                <w:sz w:val="20"/>
                <w:lang w:val="en-US"/>
              </w:rPr>
            </w:pPr>
            <w:r w:rsidRPr="009C565F">
              <w:rPr>
                <w:rFonts w:ascii="Arial Narrow" w:eastAsiaTheme="majorEastAsia" w:hAnsi="Arial Narrow" w:cs="Times New Roman"/>
                <w:b/>
                <w:sz w:val="20"/>
                <w:lang w:val="en-US"/>
              </w:rPr>
              <w:t>Odds Ratio (95% CI)</w:t>
            </w:r>
          </w:p>
        </w:tc>
        <w:tc>
          <w:tcPr>
            <w:tcW w:w="1265" w:type="pct"/>
            <w:tcBorders>
              <w:top w:val="double" w:sz="4" w:space="0" w:color="auto"/>
            </w:tcBorders>
          </w:tcPr>
          <w:p w14:paraId="49508024" w14:textId="77777777" w:rsidR="0014336E" w:rsidRPr="009C565F" w:rsidRDefault="0014336E">
            <w:pPr>
              <w:keepNext/>
              <w:keepLines/>
              <w:jc w:val="center"/>
              <w:rPr>
                <w:rFonts w:ascii="Arial Narrow" w:eastAsiaTheme="majorEastAsia" w:hAnsi="Arial Narrow" w:cs="Times New Roman"/>
                <w:b/>
                <w:sz w:val="20"/>
                <w:lang w:val="en-US"/>
              </w:rPr>
            </w:pPr>
            <w:r w:rsidRPr="009C565F">
              <w:rPr>
                <w:rFonts w:ascii="Arial Narrow" w:eastAsiaTheme="majorEastAsia" w:hAnsi="Arial Narrow" w:cs="Times New Roman"/>
                <w:b/>
                <w:sz w:val="20"/>
                <w:lang w:val="en-US"/>
              </w:rPr>
              <w:t>p-value</w:t>
            </w:r>
          </w:p>
        </w:tc>
      </w:tr>
      <w:tr w:rsidR="0014336E" w:rsidRPr="009C565F" w14:paraId="0E5375EE" w14:textId="77777777">
        <w:tc>
          <w:tcPr>
            <w:tcW w:w="5000" w:type="pct"/>
            <w:gridSpan w:val="5"/>
            <w:vAlign w:val="center"/>
          </w:tcPr>
          <w:p w14:paraId="2282C886" w14:textId="77777777" w:rsidR="0014336E" w:rsidRPr="009C565F" w:rsidRDefault="0014336E">
            <w:pPr>
              <w:keepNext/>
              <w:keepLines/>
              <w:jc w:val="left"/>
              <w:rPr>
                <w:rFonts w:ascii="Arial Narrow" w:eastAsiaTheme="majorEastAsia" w:hAnsi="Arial Narrow" w:cs="Times New Roman"/>
                <w:b/>
                <w:sz w:val="20"/>
              </w:rPr>
            </w:pPr>
            <w:r w:rsidRPr="009C565F">
              <w:rPr>
                <w:rFonts w:ascii="Arial Narrow" w:eastAsiaTheme="majorEastAsia" w:hAnsi="Arial Narrow" w:cs="Times New Roman"/>
                <w:b/>
                <w:sz w:val="20"/>
                <w:lang w:val="en-US"/>
              </w:rPr>
              <w:t>ACQ-6 Responders</w:t>
            </w:r>
            <w:r>
              <w:rPr>
                <w:rFonts w:ascii="Arial Narrow" w:eastAsiaTheme="majorEastAsia" w:hAnsi="Arial Narrow" w:cs="Times New Roman"/>
                <w:b/>
                <w:sz w:val="20"/>
                <w:lang w:val="en-US"/>
              </w:rPr>
              <w:t xml:space="preserve"> </w:t>
            </w:r>
            <w:r w:rsidRPr="00897A13">
              <w:rPr>
                <w:rFonts w:ascii="Arial Narrow" w:eastAsiaTheme="majorEastAsia" w:hAnsi="Arial Narrow" w:cs="Times New Roman"/>
                <w:b/>
                <w:sz w:val="20"/>
                <w:vertAlign w:val="superscript"/>
                <w:lang w:val="en-US"/>
              </w:rPr>
              <w:t>a</w:t>
            </w:r>
          </w:p>
        </w:tc>
      </w:tr>
      <w:tr w:rsidR="0014336E" w:rsidRPr="009C565F" w14:paraId="071F480C" w14:textId="77777777">
        <w:tc>
          <w:tcPr>
            <w:tcW w:w="841" w:type="pct"/>
            <w:tcBorders>
              <w:top w:val="single" w:sz="4" w:space="0" w:color="auto"/>
              <w:left w:val="single" w:sz="4" w:space="0" w:color="auto"/>
              <w:bottom w:val="single" w:sz="4" w:space="0" w:color="auto"/>
              <w:right w:val="single" w:sz="4" w:space="0" w:color="auto"/>
            </w:tcBorders>
            <w:vAlign w:val="center"/>
          </w:tcPr>
          <w:p w14:paraId="32DFD63F" w14:textId="77777777" w:rsidR="0014336E" w:rsidRPr="009C565F" w:rsidRDefault="0014336E">
            <w:pPr>
              <w:keepNext/>
              <w:keepLines/>
              <w:jc w:val="left"/>
              <w:rPr>
                <w:rFonts w:ascii="Arial Narrow" w:eastAsiaTheme="majorEastAsia" w:hAnsi="Arial Narrow" w:cs="Times New Roman"/>
                <w:bCs/>
                <w:sz w:val="20"/>
              </w:rPr>
            </w:pPr>
            <w:r w:rsidRPr="009C565F">
              <w:rPr>
                <w:rFonts w:ascii="Arial Narrow" w:eastAsiaTheme="majorEastAsia" w:hAnsi="Arial Narrow" w:cs="Times New Roman"/>
                <w:bCs/>
                <w:sz w:val="20"/>
                <w:szCs w:val="20"/>
                <w:lang w:val="en-US"/>
              </w:rPr>
              <w:t>NAVIGATOR</w:t>
            </w:r>
          </w:p>
        </w:tc>
        <w:tc>
          <w:tcPr>
            <w:tcW w:w="974" w:type="pct"/>
            <w:vAlign w:val="center"/>
          </w:tcPr>
          <w:p w14:paraId="502AFDDC" w14:textId="77777777" w:rsidR="0014336E" w:rsidRPr="009C565F" w:rsidRDefault="0014336E">
            <w:pPr>
              <w:keepNext/>
              <w:keepLines/>
              <w:jc w:val="center"/>
              <w:rPr>
                <w:rFonts w:ascii="Arial Narrow" w:eastAsiaTheme="majorEastAsia" w:hAnsi="Arial Narrow" w:cs="Times New Roman"/>
                <w:bCs/>
                <w:sz w:val="20"/>
              </w:rPr>
            </w:pPr>
            <w:r w:rsidRPr="009C565F">
              <w:rPr>
                <w:rFonts w:ascii="Arial Narrow" w:eastAsiaTheme="majorEastAsia" w:hAnsi="Arial Narrow" w:cs="Times New Roman"/>
                <w:bCs/>
                <w:sz w:val="20"/>
                <w:lang w:val="en-US"/>
              </w:rPr>
              <w:t>418 (86.2)</w:t>
            </w:r>
          </w:p>
        </w:tc>
        <w:tc>
          <w:tcPr>
            <w:tcW w:w="868" w:type="pct"/>
            <w:vAlign w:val="center"/>
          </w:tcPr>
          <w:p w14:paraId="1C59CBFF" w14:textId="77777777" w:rsidR="0014336E" w:rsidRPr="009C565F" w:rsidRDefault="0014336E">
            <w:pPr>
              <w:keepNext/>
              <w:keepLines/>
              <w:jc w:val="center"/>
              <w:rPr>
                <w:rFonts w:ascii="Arial Narrow" w:eastAsiaTheme="majorEastAsia" w:hAnsi="Arial Narrow" w:cs="Times New Roman"/>
                <w:bCs/>
                <w:sz w:val="20"/>
              </w:rPr>
            </w:pPr>
            <w:r w:rsidRPr="009C565F">
              <w:rPr>
                <w:rFonts w:ascii="Arial Narrow" w:eastAsiaTheme="majorEastAsia" w:hAnsi="Arial Narrow" w:cs="Times New Roman"/>
                <w:bCs/>
                <w:sz w:val="20"/>
                <w:lang w:val="en-US"/>
              </w:rPr>
              <w:t>361 (76.5)</w:t>
            </w:r>
          </w:p>
        </w:tc>
        <w:tc>
          <w:tcPr>
            <w:tcW w:w="1052" w:type="pct"/>
            <w:tcBorders>
              <w:top w:val="single" w:sz="4" w:space="0" w:color="auto"/>
              <w:bottom w:val="single" w:sz="4" w:space="0" w:color="auto"/>
            </w:tcBorders>
            <w:vAlign w:val="center"/>
          </w:tcPr>
          <w:p w14:paraId="3BF3BEC4" w14:textId="77777777" w:rsidR="0014336E" w:rsidRPr="009C565F" w:rsidRDefault="0014336E">
            <w:pPr>
              <w:keepNext/>
              <w:keepLines/>
              <w:jc w:val="center"/>
              <w:rPr>
                <w:rFonts w:ascii="Arial Narrow" w:eastAsiaTheme="majorEastAsia" w:hAnsi="Arial Narrow" w:cs="Times New Roman"/>
                <w:bCs/>
                <w:sz w:val="20"/>
              </w:rPr>
            </w:pPr>
            <w:r w:rsidRPr="009C565F">
              <w:rPr>
                <w:rFonts w:ascii="Arial Narrow" w:eastAsiaTheme="majorEastAsia" w:hAnsi="Arial Narrow" w:cs="Times New Roman"/>
                <w:bCs/>
                <w:color w:val="000000" w:themeColor="text1"/>
                <w:sz w:val="20"/>
                <w:lang w:val="en-US"/>
              </w:rPr>
              <w:t>1.99 (1.43, 2.76)</w:t>
            </w:r>
          </w:p>
        </w:tc>
        <w:tc>
          <w:tcPr>
            <w:tcW w:w="1265" w:type="pct"/>
            <w:tcBorders>
              <w:top w:val="single" w:sz="4" w:space="0" w:color="auto"/>
              <w:bottom w:val="single" w:sz="4" w:space="0" w:color="auto"/>
            </w:tcBorders>
            <w:vAlign w:val="center"/>
          </w:tcPr>
          <w:p w14:paraId="10EA49D6" w14:textId="77777777" w:rsidR="0014336E" w:rsidRPr="009C565F" w:rsidRDefault="0014336E">
            <w:pPr>
              <w:keepNext/>
              <w:keepLines/>
              <w:jc w:val="center"/>
              <w:rPr>
                <w:rFonts w:ascii="Arial Narrow" w:eastAsiaTheme="majorEastAsia" w:hAnsi="Arial Narrow" w:cs="Times New Roman"/>
                <w:b/>
                <w:sz w:val="20"/>
              </w:rPr>
            </w:pPr>
            <w:r w:rsidRPr="009C565F">
              <w:rPr>
                <w:rFonts w:ascii="Arial Narrow" w:eastAsiaTheme="majorEastAsia" w:hAnsi="Arial Narrow" w:cs="Times New Roman"/>
                <w:b/>
                <w:color w:val="000000" w:themeColor="text1"/>
                <w:sz w:val="20"/>
                <w:lang w:val="en-US"/>
              </w:rPr>
              <w:t>&lt;0.001</w:t>
            </w:r>
          </w:p>
        </w:tc>
      </w:tr>
      <w:tr w:rsidR="0014336E" w:rsidRPr="009C565F" w14:paraId="09A4CF74" w14:textId="77777777" w:rsidTr="00F27E33">
        <w:tc>
          <w:tcPr>
            <w:tcW w:w="841" w:type="pct"/>
            <w:tcBorders>
              <w:top w:val="single" w:sz="4" w:space="0" w:color="auto"/>
              <w:left w:val="single" w:sz="4" w:space="0" w:color="auto"/>
              <w:bottom w:val="single" w:sz="4" w:space="0" w:color="auto"/>
              <w:right w:val="single" w:sz="4" w:space="0" w:color="auto"/>
            </w:tcBorders>
            <w:vAlign w:val="center"/>
          </w:tcPr>
          <w:p w14:paraId="561BBBC4" w14:textId="77777777" w:rsidR="0014336E" w:rsidRPr="009C565F" w:rsidRDefault="0014336E">
            <w:pPr>
              <w:keepNext/>
              <w:keepLines/>
              <w:jc w:val="left"/>
              <w:rPr>
                <w:rFonts w:ascii="Arial Narrow" w:eastAsiaTheme="majorEastAsia" w:hAnsi="Arial Narrow" w:cs="Times New Roman"/>
                <w:bCs/>
                <w:sz w:val="20"/>
              </w:rPr>
            </w:pPr>
            <w:r w:rsidRPr="009C565F">
              <w:rPr>
                <w:rFonts w:ascii="Arial Narrow" w:eastAsiaTheme="majorEastAsia" w:hAnsi="Arial Narrow" w:cs="Times New Roman"/>
                <w:bCs/>
                <w:sz w:val="20"/>
                <w:szCs w:val="20"/>
                <w:lang w:val="en-US"/>
              </w:rPr>
              <w:t>PATHWAY</w:t>
            </w:r>
          </w:p>
        </w:tc>
        <w:tc>
          <w:tcPr>
            <w:tcW w:w="974" w:type="pct"/>
            <w:vAlign w:val="center"/>
          </w:tcPr>
          <w:p w14:paraId="00FF2C04" w14:textId="77777777" w:rsidR="0014336E" w:rsidRPr="009C565F" w:rsidRDefault="0014336E">
            <w:pPr>
              <w:keepNext/>
              <w:keepLines/>
              <w:jc w:val="center"/>
              <w:rPr>
                <w:rFonts w:ascii="Arial Narrow" w:eastAsiaTheme="majorEastAsia" w:hAnsi="Arial Narrow" w:cs="Times New Roman"/>
                <w:bCs/>
                <w:sz w:val="20"/>
              </w:rPr>
            </w:pPr>
            <w:r w:rsidRPr="009C565F">
              <w:rPr>
                <w:rFonts w:ascii="Arial Narrow" w:eastAsiaTheme="majorEastAsia" w:hAnsi="Arial Narrow" w:cs="Times New Roman"/>
                <w:bCs/>
                <w:sz w:val="20"/>
                <w:lang w:val="en-US"/>
              </w:rPr>
              <w:t>103 (76.3)</w:t>
            </w:r>
          </w:p>
        </w:tc>
        <w:tc>
          <w:tcPr>
            <w:tcW w:w="868" w:type="pct"/>
            <w:tcBorders>
              <w:bottom w:val="single" w:sz="4" w:space="0" w:color="auto"/>
            </w:tcBorders>
            <w:vAlign w:val="center"/>
          </w:tcPr>
          <w:p w14:paraId="584858D0" w14:textId="77777777" w:rsidR="0014336E" w:rsidRPr="009C565F" w:rsidRDefault="0014336E">
            <w:pPr>
              <w:keepNext/>
              <w:keepLines/>
              <w:jc w:val="center"/>
              <w:rPr>
                <w:rFonts w:ascii="Arial Narrow" w:eastAsiaTheme="majorEastAsia" w:hAnsi="Arial Narrow" w:cs="Times New Roman"/>
                <w:bCs/>
                <w:sz w:val="20"/>
              </w:rPr>
            </w:pPr>
            <w:r w:rsidRPr="009C565F">
              <w:rPr>
                <w:rFonts w:ascii="Arial Narrow" w:eastAsiaTheme="majorEastAsia" w:hAnsi="Arial Narrow" w:cs="Times New Roman"/>
                <w:bCs/>
                <w:sz w:val="20"/>
                <w:lang w:val="en-US"/>
              </w:rPr>
              <w:t>83 (63.4)</w:t>
            </w:r>
          </w:p>
        </w:tc>
        <w:tc>
          <w:tcPr>
            <w:tcW w:w="1052" w:type="pct"/>
            <w:tcBorders>
              <w:top w:val="single" w:sz="4" w:space="0" w:color="auto"/>
              <w:bottom w:val="single" w:sz="4" w:space="0" w:color="auto"/>
            </w:tcBorders>
            <w:vAlign w:val="center"/>
          </w:tcPr>
          <w:p w14:paraId="6A8408B7" w14:textId="77777777" w:rsidR="0014336E" w:rsidRPr="009C565F" w:rsidRDefault="0014336E">
            <w:pPr>
              <w:keepNext/>
              <w:keepLines/>
              <w:jc w:val="center"/>
              <w:rPr>
                <w:rFonts w:ascii="Arial Narrow" w:eastAsiaTheme="majorEastAsia" w:hAnsi="Arial Narrow" w:cs="Times New Roman"/>
                <w:bCs/>
                <w:sz w:val="20"/>
              </w:rPr>
            </w:pPr>
            <w:r w:rsidRPr="00A46121">
              <w:rPr>
                <w:rFonts w:ascii="Arial Narrow" w:eastAsiaTheme="majorEastAsia" w:hAnsi="Arial Narrow" w:cs="Times New Roman"/>
                <w:bCs/>
                <w:sz w:val="20"/>
              </w:rPr>
              <w:t>NR</w:t>
            </w:r>
            <w:r>
              <w:rPr>
                <w:rFonts w:ascii="Arial Narrow" w:eastAsiaTheme="majorEastAsia" w:hAnsi="Arial Narrow" w:cs="Times New Roman"/>
                <w:bCs/>
                <w:sz w:val="20"/>
              </w:rPr>
              <w:t xml:space="preserve"> </w:t>
            </w:r>
            <w:r>
              <w:rPr>
                <w:rFonts w:ascii="Arial Narrow" w:eastAsiaTheme="majorEastAsia" w:hAnsi="Arial Narrow" w:cs="Times New Roman"/>
                <w:bCs/>
                <w:sz w:val="20"/>
                <w:vertAlign w:val="superscript"/>
              </w:rPr>
              <w:t>b</w:t>
            </w:r>
          </w:p>
        </w:tc>
        <w:tc>
          <w:tcPr>
            <w:tcW w:w="1265" w:type="pct"/>
            <w:tcBorders>
              <w:top w:val="single" w:sz="4" w:space="0" w:color="auto"/>
              <w:bottom w:val="single" w:sz="4" w:space="0" w:color="auto"/>
            </w:tcBorders>
            <w:vAlign w:val="center"/>
          </w:tcPr>
          <w:p w14:paraId="664F4206" w14:textId="77777777" w:rsidR="0014336E" w:rsidRPr="009C565F" w:rsidRDefault="0014336E">
            <w:pPr>
              <w:keepNext/>
              <w:keepLines/>
              <w:jc w:val="center"/>
              <w:rPr>
                <w:rFonts w:ascii="Arial Narrow" w:eastAsiaTheme="majorEastAsia" w:hAnsi="Arial Narrow" w:cs="Times New Roman"/>
                <w:b/>
                <w:sz w:val="20"/>
              </w:rPr>
            </w:pPr>
            <w:r w:rsidRPr="009C565F">
              <w:rPr>
                <w:rFonts w:ascii="Arial Narrow" w:eastAsiaTheme="majorEastAsia" w:hAnsi="Arial Narrow" w:cs="Times New Roman"/>
                <w:b/>
                <w:color w:val="000000" w:themeColor="text1"/>
                <w:sz w:val="20"/>
                <w:lang w:val="en-US"/>
              </w:rPr>
              <w:t>0.0</w:t>
            </w:r>
          </w:p>
        </w:tc>
      </w:tr>
      <w:tr w:rsidR="0014336E" w:rsidRPr="009C565F" w14:paraId="15D7CEC8" w14:textId="77777777">
        <w:tc>
          <w:tcPr>
            <w:tcW w:w="841" w:type="pct"/>
            <w:tcBorders>
              <w:top w:val="single" w:sz="4" w:space="0" w:color="auto"/>
              <w:left w:val="single" w:sz="4" w:space="0" w:color="auto"/>
              <w:bottom w:val="single" w:sz="4" w:space="0" w:color="auto"/>
              <w:right w:val="single" w:sz="4" w:space="0" w:color="auto"/>
            </w:tcBorders>
            <w:vAlign w:val="center"/>
          </w:tcPr>
          <w:p w14:paraId="12B73E81" w14:textId="77777777" w:rsidR="0014336E" w:rsidRPr="009C565F" w:rsidRDefault="0014336E">
            <w:pPr>
              <w:keepNext/>
              <w:keepLines/>
              <w:jc w:val="left"/>
              <w:rPr>
                <w:rFonts w:ascii="Arial Narrow" w:eastAsiaTheme="majorEastAsia" w:hAnsi="Arial Narrow" w:cs="Times New Roman"/>
                <w:bCs/>
                <w:sz w:val="20"/>
              </w:rPr>
            </w:pPr>
            <w:r w:rsidRPr="009C565F">
              <w:rPr>
                <w:rFonts w:ascii="Arial Narrow" w:eastAsiaTheme="majorEastAsia" w:hAnsi="Arial Narrow" w:cs="Times New Roman"/>
                <w:bCs/>
                <w:sz w:val="20"/>
                <w:szCs w:val="20"/>
                <w:lang w:val="en-US"/>
              </w:rPr>
              <w:t>SOURCE</w:t>
            </w:r>
          </w:p>
        </w:tc>
        <w:tc>
          <w:tcPr>
            <w:tcW w:w="974" w:type="pct"/>
            <w:tcBorders>
              <w:bottom w:val="single" w:sz="4" w:space="0" w:color="auto"/>
              <w:right w:val="single" w:sz="4" w:space="0" w:color="auto"/>
            </w:tcBorders>
            <w:vAlign w:val="center"/>
          </w:tcPr>
          <w:p w14:paraId="1AE59888" w14:textId="77777777" w:rsidR="0014336E" w:rsidRPr="009C565F" w:rsidRDefault="0014336E">
            <w:pPr>
              <w:keepNext/>
              <w:keepLines/>
              <w:jc w:val="center"/>
              <w:rPr>
                <w:rFonts w:ascii="Arial Narrow" w:eastAsiaTheme="majorEastAsia" w:hAnsi="Arial Narrow" w:cs="Times New Roman"/>
                <w:bCs/>
                <w:sz w:val="20"/>
              </w:rPr>
            </w:pPr>
            <w:r w:rsidRPr="009C565F">
              <w:rPr>
                <w:rFonts w:ascii="Arial Narrow" w:eastAsiaTheme="majorEastAsia" w:hAnsi="Arial Narrow" w:cs="Times New Roman"/>
                <w:bCs/>
                <w:sz w:val="20"/>
                <w:lang w:val="en-US"/>
              </w:rPr>
              <w:t>43 (65.2)</w:t>
            </w:r>
          </w:p>
        </w:tc>
        <w:tc>
          <w:tcPr>
            <w:tcW w:w="868" w:type="pct"/>
            <w:tcBorders>
              <w:top w:val="single" w:sz="4" w:space="0" w:color="auto"/>
              <w:left w:val="single" w:sz="4" w:space="0" w:color="auto"/>
              <w:bottom w:val="single" w:sz="4" w:space="0" w:color="auto"/>
              <w:right w:val="single" w:sz="4" w:space="0" w:color="auto"/>
            </w:tcBorders>
            <w:vAlign w:val="center"/>
          </w:tcPr>
          <w:p w14:paraId="75195FB0" w14:textId="77777777" w:rsidR="0014336E" w:rsidRPr="009C565F" w:rsidRDefault="0014336E">
            <w:pPr>
              <w:keepNext/>
              <w:keepLines/>
              <w:jc w:val="center"/>
              <w:rPr>
                <w:rFonts w:ascii="Arial Narrow" w:eastAsiaTheme="majorEastAsia" w:hAnsi="Arial Narrow" w:cs="Times New Roman"/>
                <w:bCs/>
                <w:sz w:val="20"/>
              </w:rPr>
            </w:pPr>
            <w:r w:rsidRPr="009C565F">
              <w:rPr>
                <w:rFonts w:ascii="Arial Narrow" w:eastAsiaTheme="majorEastAsia" w:hAnsi="Arial Narrow" w:cs="Times New Roman"/>
                <w:bCs/>
                <w:sz w:val="20"/>
                <w:lang w:val="en-US"/>
              </w:rPr>
              <w:t>31 (45.6)</w:t>
            </w:r>
          </w:p>
        </w:tc>
        <w:tc>
          <w:tcPr>
            <w:tcW w:w="1052" w:type="pct"/>
            <w:tcBorders>
              <w:top w:val="single" w:sz="4" w:space="0" w:color="auto"/>
              <w:left w:val="single" w:sz="4" w:space="0" w:color="auto"/>
              <w:bottom w:val="single" w:sz="4" w:space="0" w:color="auto"/>
              <w:right w:val="single" w:sz="4" w:space="0" w:color="auto"/>
            </w:tcBorders>
          </w:tcPr>
          <w:p w14:paraId="6978CB4F" w14:textId="77777777" w:rsidR="0014336E" w:rsidRPr="009C565F" w:rsidRDefault="0014336E">
            <w:pPr>
              <w:keepNext/>
              <w:keepLines/>
              <w:jc w:val="center"/>
              <w:rPr>
                <w:rFonts w:ascii="Arial Narrow" w:eastAsiaTheme="majorEastAsia" w:hAnsi="Arial Narrow" w:cs="Times New Roman"/>
                <w:bCs/>
                <w:sz w:val="20"/>
              </w:rPr>
            </w:pPr>
            <w:r w:rsidRPr="009C565F">
              <w:rPr>
                <w:rFonts w:ascii="Arial Narrow" w:eastAsiaTheme="majorEastAsia" w:hAnsi="Arial Narrow" w:cs="Times New Roman"/>
                <w:bCs/>
                <w:color w:val="000000" w:themeColor="text1"/>
                <w:sz w:val="20"/>
                <w:lang w:val="en-US" w:eastAsia="zh-CN"/>
              </w:rPr>
              <w:t>2.30 (1.10, 4.81)</w:t>
            </w:r>
          </w:p>
        </w:tc>
        <w:tc>
          <w:tcPr>
            <w:tcW w:w="1265" w:type="pct"/>
            <w:tcBorders>
              <w:left w:val="single" w:sz="4" w:space="0" w:color="auto"/>
              <w:bottom w:val="single" w:sz="4" w:space="0" w:color="auto"/>
            </w:tcBorders>
          </w:tcPr>
          <w:p w14:paraId="5A1C96F3" w14:textId="77777777" w:rsidR="0014336E" w:rsidRPr="009C565F" w:rsidRDefault="0014336E">
            <w:pPr>
              <w:keepNext/>
              <w:keepLines/>
              <w:jc w:val="center"/>
              <w:rPr>
                <w:rFonts w:ascii="Arial Narrow" w:eastAsiaTheme="majorEastAsia" w:hAnsi="Arial Narrow" w:cs="Times New Roman"/>
                <w:b/>
                <w:sz w:val="20"/>
              </w:rPr>
            </w:pPr>
            <w:r w:rsidRPr="009C565F">
              <w:rPr>
                <w:rFonts w:ascii="Arial Narrow" w:eastAsiaTheme="majorEastAsia" w:hAnsi="Arial Narrow" w:cs="Times New Roman"/>
                <w:b/>
                <w:bCs/>
                <w:color w:val="000000" w:themeColor="text1"/>
                <w:sz w:val="20"/>
                <w:lang w:val="en-US" w:eastAsia="zh-CN"/>
              </w:rPr>
              <w:t>0.03</w:t>
            </w:r>
          </w:p>
        </w:tc>
      </w:tr>
      <w:tr w:rsidR="0014336E" w:rsidRPr="009C565F" w14:paraId="7D6A03F2" w14:textId="77777777">
        <w:tc>
          <w:tcPr>
            <w:tcW w:w="5000" w:type="pct"/>
            <w:gridSpan w:val="5"/>
            <w:tcBorders>
              <w:top w:val="single" w:sz="4" w:space="0" w:color="auto"/>
              <w:left w:val="single" w:sz="4" w:space="0" w:color="auto"/>
              <w:bottom w:val="single" w:sz="4" w:space="0" w:color="auto"/>
            </w:tcBorders>
            <w:vAlign w:val="center"/>
          </w:tcPr>
          <w:p w14:paraId="132494B8" w14:textId="77777777" w:rsidR="0014336E" w:rsidRPr="009C565F" w:rsidRDefault="0014336E">
            <w:pPr>
              <w:keepNext/>
              <w:keepLines/>
              <w:jc w:val="left"/>
              <w:rPr>
                <w:rFonts w:ascii="Arial Narrow" w:eastAsiaTheme="majorEastAsia" w:hAnsi="Arial Narrow" w:cs="Times New Roman"/>
                <w:b/>
                <w:color w:val="000000" w:themeColor="text1"/>
                <w:sz w:val="20"/>
                <w:lang w:val="en-US" w:eastAsia="zh-CN"/>
              </w:rPr>
            </w:pPr>
            <w:r w:rsidRPr="009C565F">
              <w:rPr>
                <w:rFonts w:ascii="Arial Narrow" w:eastAsiaTheme="majorEastAsia" w:hAnsi="Arial Narrow" w:cs="Times New Roman"/>
                <w:b/>
                <w:sz w:val="20"/>
                <w:szCs w:val="20"/>
                <w:lang w:val="en-US"/>
              </w:rPr>
              <w:t>AQLQ(S)+12 Responders</w:t>
            </w:r>
            <w:r>
              <w:rPr>
                <w:rFonts w:ascii="Arial Narrow" w:eastAsiaTheme="majorEastAsia" w:hAnsi="Arial Narrow" w:cs="Times New Roman"/>
                <w:b/>
                <w:sz w:val="20"/>
                <w:szCs w:val="20"/>
                <w:lang w:val="en-US"/>
              </w:rPr>
              <w:t xml:space="preserve"> </w:t>
            </w:r>
            <w:r>
              <w:rPr>
                <w:rFonts w:ascii="Arial Narrow" w:eastAsiaTheme="majorEastAsia" w:hAnsi="Arial Narrow" w:cs="Times New Roman"/>
                <w:b/>
                <w:sz w:val="20"/>
                <w:szCs w:val="20"/>
                <w:vertAlign w:val="superscript"/>
                <w:lang w:val="en-US"/>
              </w:rPr>
              <w:t>c</w:t>
            </w:r>
            <w:r w:rsidRPr="009C565F">
              <w:rPr>
                <w:rFonts w:ascii="Arial Narrow" w:eastAsiaTheme="majorEastAsia" w:hAnsi="Arial Narrow" w:cs="Times New Roman"/>
                <w:b/>
                <w:sz w:val="20"/>
                <w:szCs w:val="20"/>
                <w:lang w:val="en-US"/>
              </w:rPr>
              <w:t xml:space="preserve"> </w:t>
            </w:r>
          </w:p>
        </w:tc>
      </w:tr>
      <w:tr w:rsidR="0014336E" w:rsidRPr="009C565F" w14:paraId="70E7B47E" w14:textId="77777777">
        <w:tc>
          <w:tcPr>
            <w:tcW w:w="841" w:type="pct"/>
            <w:tcBorders>
              <w:top w:val="single" w:sz="4" w:space="0" w:color="auto"/>
              <w:left w:val="single" w:sz="4" w:space="0" w:color="auto"/>
              <w:bottom w:val="single" w:sz="4" w:space="0" w:color="auto"/>
              <w:right w:val="single" w:sz="4" w:space="0" w:color="auto"/>
            </w:tcBorders>
            <w:vAlign w:val="center"/>
          </w:tcPr>
          <w:p w14:paraId="67266874" w14:textId="77777777" w:rsidR="0014336E" w:rsidRPr="009C565F" w:rsidRDefault="0014336E">
            <w:pPr>
              <w:keepNext/>
              <w:keepLines/>
              <w:jc w:val="left"/>
              <w:rPr>
                <w:rFonts w:ascii="Arial Narrow" w:eastAsiaTheme="majorEastAsia" w:hAnsi="Arial Narrow" w:cs="Times New Roman"/>
                <w:bCs/>
                <w:sz w:val="20"/>
                <w:szCs w:val="20"/>
                <w:lang w:val="en-US"/>
              </w:rPr>
            </w:pPr>
            <w:r w:rsidRPr="009C565F">
              <w:rPr>
                <w:rFonts w:ascii="Arial Narrow" w:eastAsiaTheme="majorEastAsia" w:hAnsi="Arial Narrow" w:cs="Times New Roman"/>
                <w:bCs/>
                <w:sz w:val="20"/>
                <w:szCs w:val="20"/>
                <w:lang w:val="en-US"/>
              </w:rPr>
              <w:t>NAVIGATOR</w:t>
            </w:r>
          </w:p>
        </w:tc>
        <w:tc>
          <w:tcPr>
            <w:tcW w:w="974" w:type="pct"/>
            <w:tcBorders>
              <w:bottom w:val="single" w:sz="4" w:space="0" w:color="auto"/>
              <w:right w:val="single" w:sz="4" w:space="0" w:color="auto"/>
            </w:tcBorders>
            <w:vAlign w:val="center"/>
          </w:tcPr>
          <w:p w14:paraId="478208A0"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372 (77.5)</w:t>
            </w:r>
          </w:p>
        </w:tc>
        <w:tc>
          <w:tcPr>
            <w:tcW w:w="868" w:type="pct"/>
            <w:tcBorders>
              <w:top w:val="single" w:sz="4" w:space="0" w:color="auto"/>
              <w:left w:val="single" w:sz="4" w:space="0" w:color="auto"/>
              <w:bottom w:val="single" w:sz="4" w:space="0" w:color="auto"/>
              <w:right w:val="single" w:sz="4" w:space="0" w:color="auto"/>
            </w:tcBorders>
            <w:vAlign w:val="center"/>
          </w:tcPr>
          <w:p w14:paraId="6291BDD6"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335 (71.7)</w:t>
            </w:r>
          </w:p>
        </w:tc>
        <w:tc>
          <w:tcPr>
            <w:tcW w:w="1052" w:type="pct"/>
            <w:tcBorders>
              <w:top w:val="single" w:sz="4" w:space="0" w:color="auto"/>
              <w:left w:val="single" w:sz="4" w:space="0" w:color="auto"/>
              <w:bottom w:val="single" w:sz="4" w:space="0" w:color="auto"/>
              <w:right w:val="single" w:sz="4" w:space="0" w:color="auto"/>
            </w:tcBorders>
          </w:tcPr>
          <w:p w14:paraId="0C2CA12C" w14:textId="77777777" w:rsidR="0014336E" w:rsidRPr="009C565F" w:rsidRDefault="0014336E">
            <w:pPr>
              <w:keepNext/>
              <w:keepLines/>
              <w:jc w:val="center"/>
              <w:rPr>
                <w:rFonts w:ascii="Arial Narrow" w:eastAsiaTheme="majorEastAsia" w:hAnsi="Arial Narrow" w:cs="Times New Roman"/>
                <w:bCs/>
                <w:color w:val="000000" w:themeColor="text1"/>
                <w:sz w:val="20"/>
                <w:highlight w:val="yellow"/>
                <w:lang w:val="en-US" w:eastAsia="zh-CN"/>
              </w:rPr>
            </w:pPr>
            <w:r w:rsidRPr="009C565F">
              <w:rPr>
                <w:rFonts w:ascii="Arial Narrow" w:eastAsiaTheme="majorEastAsia" w:hAnsi="Arial Narrow" w:cs="Times New Roman"/>
                <w:bCs/>
                <w:color w:val="000000" w:themeColor="text1"/>
                <w:sz w:val="20"/>
                <w:lang w:val="en-US" w:eastAsia="zh-CN"/>
              </w:rPr>
              <w:t>1.36 (1.02, 1.82)</w:t>
            </w:r>
          </w:p>
        </w:tc>
        <w:tc>
          <w:tcPr>
            <w:tcW w:w="1265" w:type="pct"/>
            <w:tcBorders>
              <w:left w:val="single" w:sz="4" w:space="0" w:color="auto"/>
              <w:bottom w:val="single" w:sz="4" w:space="0" w:color="auto"/>
            </w:tcBorders>
          </w:tcPr>
          <w:p w14:paraId="272FD413" w14:textId="77777777" w:rsidR="0014336E" w:rsidRPr="009C565F" w:rsidRDefault="0014336E">
            <w:pPr>
              <w:keepNext/>
              <w:keepLines/>
              <w:jc w:val="center"/>
              <w:rPr>
                <w:rFonts w:ascii="Arial Narrow" w:eastAsiaTheme="majorEastAsia" w:hAnsi="Arial Narrow" w:cs="Times New Roman"/>
                <w:b/>
                <w:bCs/>
                <w:color w:val="000000" w:themeColor="text1"/>
                <w:sz w:val="20"/>
                <w:lang w:val="en-US" w:eastAsia="zh-CN"/>
              </w:rPr>
            </w:pPr>
            <w:r w:rsidRPr="009C565F">
              <w:rPr>
                <w:rFonts w:ascii="Arial Narrow" w:eastAsiaTheme="majorEastAsia" w:hAnsi="Arial Narrow" w:cs="Times New Roman"/>
                <w:b/>
                <w:bCs/>
                <w:color w:val="000000" w:themeColor="text1"/>
                <w:sz w:val="20"/>
                <w:lang w:val="en-US" w:eastAsia="zh-CN"/>
              </w:rPr>
              <w:t>0.04</w:t>
            </w:r>
          </w:p>
        </w:tc>
      </w:tr>
      <w:tr w:rsidR="0014336E" w:rsidRPr="009C565F" w14:paraId="6335BC2A" w14:textId="77777777">
        <w:tc>
          <w:tcPr>
            <w:tcW w:w="841" w:type="pct"/>
            <w:tcBorders>
              <w:top w:val="single" w:sz="4" w:space="0" w:color="auto"/>
              <w:left w:val="single" w:sz="4" w:space="0" w:color="auto"/>
              <w:bottom w:val="single" w:sz="4" w:space="0" w:color="auto"/>
              <w:right w:val="single" w:sz="4" w:space="0" w:color="auto"/>
            </w:tcBorders>
            <w:vAlign w:val="center"/>
          </w:tcPr>
          <w:p w14:paraId="04042C94" w14:textId="77777777" w:rsidR="0014336E" w:rsidRPr="009C565F" w:rsidRDefault="0014336E">
            <w:pPr>
              <w:keepNext/>
              <w:keepLines/>
              <w:jc w:val="left"/>
              <w:rPr>
                <w:rFonts w:ascii="Arial Narrow" w:eastAsiaTheme="majorEastAsia" w:hAnsi="Arial Narrow" w:cs="Times New Roman"/>
                <w:bCs/>
                <w:sz w:val="20"/>
                <w:szCs w:val="20"/>
                <w:lang w:val="en-US"/>
              </w:rPr>
            </w:pPr>
            <w:r w:rsidRPr="009C565F">
              <w:rPr>
                <w:rFonts w:ascii="Arial Narrow" w:eastAsiaTheme="majorEastAsia" w:hAnsi="Arial Narrow" w:cs="Times New Roman"/>
                <w:bCs/>
                <w:sz w:val="20"/>
                <w:szCs w:val="20"/>
                <w:lang w:val="en-US"/>
              </w:rPr>
              <w:t>PATHWAY</w:t>
            </w:r>
          </w:p>
        </w:tc>
        <w:tc>
          <w:tcPr>
            <w:tcW w:w="974" w:type="pct"/>
            <w:tcBorders>
              <w:bottom w:val="single" w:sz="4" w:space="0" w:color="auto"/>
              <w:right w:val="single" w:sz="4" w:space="0" w:color="auto"/>
            </w:tcBorders>
            <w:vAlign w:val="center"/>
          </w:tcPr>
          <w:p w14:paraId="2F2EE556"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87 (73.1)</w:t>
            </w:r>
          </w:p>
        </w:tc>
        <w:tc>
          <w:tcPr>
            <w:tcW w:w="868" w:type="pct"/>
            <w:tcBorders>
              <w:top w:val="single" w:sz="4" w:space="0" w:color="auto"/>
              <w:left w:val="single" w:sz="4" w:space="0" w:color="auto"/>
              <w:bottom w:val="single" w:sz="4" w:space="0" w:color="auto"/>
              <w:right w:val="single" w:sz="4" w:space="0" w:color="auto"/>
            </w:tcBorders>
            <w:vAlign w:val="center"/>
          </w:tcPr>
          <w:p w14:paraId="3520D73B"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74 (61.7)</w:t>
            </w:r>
          </w:p>
        </w:tc>
        <w:tc>
          <w:tcPr>
            <w:tcW w:w="1052" w:type="pct"/>
            <w:tcBorders>
              <w:top w:val="single" w:sz="4" w:space="0" w:color="auto"/>
              <w:left w:val="single" w:sz="4" w:space="0" w:color="auto"/>
              <w:bottom w:val="single" w:sz="4" w:space="0" w:color="auto"/>
              <w:right w:val="single" w:sz="4" w:space="0" w:color="auto"/>
            </w:tcBorders>
          </w:tcPr>
          <w:p w14:paraId="47EDB4BF" w14:textId="77777777" w:rsidR="0014336E" w:rsidRPr="009C565F" w:rsidRDefault="0014336E">
            <w:pPr>
              <w:keepNext/>
              <w:keepLines/>
              <w:jc w:val="center"/>
              <w:rPr>
                <w:rFonts w:ascii="Arial Narrow" w:eastAsiaTheme="majorEastAsia" w:hAnsi="Arial Narrow" w:cs="Times New Roman"/>
                <w:bCs/>
                <w:color w:val="000000" w:themeColor="text1"/>
                <w:sz w:val="20"/>
                <w:highlight w:val="yellow"/>
                <w:lang w:val="en-US" w:eastAsia="zh-CN"/>
              </w:rPr>
            </w:pPr>
            <w:r w:rsidRPr="009C565F">
              <w:rPr>
                <w:rFonts w:ascii="Arial Narrow" w:eastAsiaTheme="majorEastAsia" w:hAnsi="Arial Narrow" w:cs="Times New Roman"/>
                <w:bCs/>
                <w:color w:val="000000" w:themeColor="text1"/>
                <w:sz w:val="20"/>
                <w:lang w:val="en-US" w:eastAsia="zh-CN"/>
              </w:rPr>
              <w:t>NR</w:t>
            </w:r>
          </w:p>
        </w:tc>
        <w:tc>
          <w:tcPr>
            <w:tcW w:w="1265" w:type="pct"/>
            <w:tcBorders>
              <w:left w:val="single" w:sz="4" w:space="0" w:color="auto"/>
              <w:bottom w:val="single" w:sz="4" w:space="0" w:color="auto"/>
            </w:tcBorders>
          </w:tcPr>
          <w:p w14:paraId="053BD3B7" w14:textId="77777777" w:rsidR="0014336E" w:rsidRPr="009C565F" w:rsidRDefault="0014336E">
            <w:pPr>
              <w:keepNext/>
              <w:keepLines/>
              <w:jc w:val="center"/>
              <w:rPr>
                <w:rFonts w:ascii="Arial Narrow" w:eastAsiaTheme="majorEastAsia" w:hAnsi="Arial Narrow" w:cs="Times New Roman"/>
                <w:color w:val="000000" w:themeColor="text1"/>
                <w:sz w:val="20"/>
                <w:lang w:val="en-US" w:eastAsia="zh-CN"/>
              </w:rPr>
            </w:pPr>
            <w:r w:rsidRPr="009C565F">
              <w:rPr>
                <w:rFonts w:ascii="Arial Narrow" w:eastAsiaTheme="majorEastAsia" w:hAnsi="Arial Narrow" w:cs="Times New Roman"/>
                <w:color w:val="000000" w:themeColor="text1"/>
                <w:sz w:val="20"/>
                <w:lang w:val="en-US" w:eastAsia="zh-CN"/>
              </w:rPr>
              <w:t>NR</w:t>
            </w:r>
          </w:p>
        </w:tc>
      </w:tr>
      <w:tr w:rsidR="0014336E" w:rsidRPr="009C565F" w14:paraId="6B576FED" w14:textId="77777777">
        <w:tc>
          <w:tcPr>
            <w:tcW w:w="841" w:type="pct"/>
            <w:tcBorders>
              <w:top w:val="single" w:sz="4" w:space="0" w:color="auto"/>
              <w:left w:val="single" w:sz="4" w:space="0" w:color="auto"/>
              <w:bottom w:val="single" w:sz="4" w:space="0" w:color="auto"/>
              <w:right w:val="single" w:sz="4" w:space="0" w:color="auto"/>
            </w:tcBorders>
            <w:vAlign w:val="center"/>
          </w:tcPr>
          <w:p w14:paraId="1F80894D" w14:textId="77777777" w:rsidR="0014336E" w:rsidRPr="009C565F" w:rsidRDefault="0014336E">
            <w:pPr>
              <w:keepNext/>
              <w:keepLines/>
              <w:jc w:val="left"/>
              <w:rPr>
                <w:rFonts w:ascii="Arial Narrow" w:eastAsiaTheme="majorEastAsia" w:hAnsi="Arial Narrow" w:cs="Times New Roman"/>
                <w:bCs/>
                <w:sz w:val="20"/>
                <w:szCs w:val="20"/>
                <w:lang w:val="en-US"/>
              </w:rPr>
            </w:pPr>
            <w:r w:rsidRPr="009C565F">
              <w:rPr>
                <w:rFonts w:ascii="Arial Narrow" w:eastAsiaTheme="majorEastAsia" w:hAnsi="Arial Narrow" w:cs="Times New Roman"/>
                <w:bCs/>
                <w:sz w:val="20"/>
                <w:szCs w:val="20"/>
                <w:lang w:val="en-US"/>
              </w:rPr>
              <w:t>SOURCE</w:t>
            </w:r>
          </w:p>
        </w:tc>
        <w:tc>
          <w:tcPr>
            <w:tcW w:w="974" w:type="pct"/>
            <w:tcBorders>
              <w:bottom w:val="single" w:sz="4" w:space="0" w:color="auto"/>
              <w:right w:val="single" w:sz="4" w:space="0" w:color="auto"/>
            </w:tcBorders>
            <w:vAlign w:val="center"/>
          </w:tcPr>
          <w:p w14:paraId="212013FC"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41 (62.1)</w:t>
            </w:r>
          </w:p>
        </w:tc>
        <w:tc>
          <w:tcPr>
            <w:tcW w:w="868" w:type="pct"/>
            <w:tcBorders>
              <w:top w:val="single" w:sz="4" w:space="0" w:color="auto"/>
              <w:left w:val="single" w:sz="4" w:space="0" w:color="auto"/>
              <w:bottom w:val="single" w:sz="4" w:space="0" w:color="auto"/>
              <w:right w:val="single" w:sz="4" w:space="0" w:color="auto"/>
            </w:tcBorders>
            <w:vAlign w:val="center"/>
          </w:tcPr>
          <w:p w14:paraId="66AB692F"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35 (52.2)</w:t>
            </w:r>
          </w:p>
        </w:tc>
        <w:tc>
          <w:tcPr>
            <w:tcW w:w="1052" w:type="pct"/>
            <w:tcBorders>
              <w:top w:val="single" w:sz="4" w:space="0" w:color="auto"/>
              <w:left w:val="single" w:sz="4" w:space="0" w:color="auto"/>
              <w:bottom w:val="single" w:sz="4" w:space="0" w:color="auto"/>
              <w:right w:val="single" w:sz="4" w:space="0" w:color="auto"/>
            </w:tcBorders>
          </w:tcPr>
          <w:p w14:paraId="58EF2A95" w14:textId="77777777" w:rsidR="0014336E" w:rsidRPr="009C565F" w:rsidRDefault="0014336E">
            <w:pPr>
              <w:keepNext/>
              <w:keepLines/>
              <w:jc w:val="center"/>
              <w:rPr>
                <w:rFonts w:ascii="Arial Narrow" w:eastAsiaTheme="majorEastAsia" w:hAnsi="Arial Narrow" w:cs="Times New Roman"/>
                <w:bCs/>
                <w:color w:val="000000" w:themeColor="text1"/>
                <w:sz w:val="20"/>
                <w:highlight w:val="yellow"/>
                <w:lang w:val="en-US" w:eastAsia="zh-CN"/>
              </w:rPr>
            </w:pPr>
            <w:r w:rsidRPr="009C565F">
              <w:rPr>
                <w:rFonts w:ascii="Arial Narrow" w:eastAsiaTheme="majorEastAsia" w:hAnsi="Arial Narrow" w:cs="Times New Roman"/>
                <w:bCs/>
                <w:color w:val="000000" w:themeColor="text1"/>
                <w:sz w:val="20"/>
                <w:lang w:val="en-US" w:eastAsia="zh-CN"/>
              </w:rPr>
              <w:t>1.66 (0.81, 3.43)</w:t>
            </w:r>
          </w:p>
        </w:tc>
        <w:tc>
          <w:tcPr>
            <w:tcW w:w="1265" w:type="pct"/>
            <w:tcBorders>
              <w:left w:val="single" w:sz="4" w:space="0" w:color="auto"/>
              <w:bottom w:val="single" w:sz="4" w:space="0" w:color="auto"/>
            </w:tcBorders>
          </w:tcPr>
          <w:p w14:paraId="6A416F4B" w14:textId="77777777" w:rsidR="0014336E" w:rsidRPr="009C565F" w:rsidRDefault="0014336E">
            <w:pPr>
              <w:keepNext/>
              <w:keepLines/>
              <w:jc w:val="center"/>
              <w:rPr>
                <w:rFonts w:ascii="Arial Narrow" w:eastAsiaTheme="majorEastAsia" w:hAnsi="Arial Narrow" w:cs="Times New Roman"/>
                <w:color w:val="000000" w:themeColor="text1"/>
                <w:sz w:val="20"/>
                <w:lang w:val="en-US" w:eastAsia="zh-CN"/>
              </w:rPr>
            </w:pPr>
            <w:r w:rsidRPr="009C565F">
              <w:rPr>
                <w:rFonts w:ascii="Arial Narrow" w:eastAsiaTheme="majorEastAsia" w:hAnsi="Arial Narrow" w:cs="Times New Roman"/>
                <w:color w:val="000000" w:themeColor="text1"/>
                <w:sz w:val="20"/>
                <w:lang w:val="en-US" w:eastAsia="zh-CN"/>
              </w:rPr>
              <w:t>0.17</w:t>
            </w:r>
          </w:p>
        </w:tc>
      </w:tr>
      <w:tr w:rsidR="0014336E" w:rsidRPr="009C565F" w14:paraId="54A7599E" w14:textId="77777777">
        <w:tc>
          <w:tcPr>
            <w:tcW w:w="5000" w:type="pct"/>
            <w:gridSpan w:val="5"/>
            <w:tcBorders>
              <w:top w:val="single" w:sz="4" w:space="0" w:color="auto"/>
              <w:left w:val="single" w:sz="4" w:space="0" w:color="auto"/>
              <w:bottom w:val="single" w:sz="4" w:space="0" w:color="auto"/>
            </w:tcBorders>
            <w:vAlign w:val="center"/>
          </w:tcPr>
          <w:p w14:paraId="146DD594" w14:textId="77777777" w:rsidR="0014336E" w:rsidRPr="00107719" w:rsidRDefault="0014336E">
            <w:pPr>
              <w:keepNext/>
              <w:keepLines/>
              <w:jc w:val="left"/>
              <w:rPr>
                <w:rFonts w:ascii="Arial Narrow" w:eastAsiaTheme="majorEastAsia" w:hAnsi="Arial Narrow" w:cs="Times New Roman"/>
                <w:b/>
                <w:color w:val="000000" w:themeColor="text1"/>
                <w:sz w:val="20"/>
                <w:vertAlign w:val="superscript"/>
                <w:lang w:val="en-US" w:eastAsia="zh-CN"/>
              </w:rPr>
            </w:pPr>
            <w:r w:rsidRPr="009C565F">
              <w:rPr>
                <w:rFonts w:ascii="Arial Narrow" w:eastAsiaTheme="majorEastAsia" w:hAnsi="Arial Narrow" w:cs="Times New Roman"/>
                <w:b/>
                <w:sz w:val="20"/>
                <w:szCs w:val="20"/>
                <w:lang w:val="en-US"/>
              </w:rPr>
              <w:t xml:space="preserve">SGRQ Responders </w:t>
            </w:r>
            <w:r>
              <w:rPr>
                <w:rFonts w:ascii="Arial Narrow" w:eastAsiaTheme="majorEastAsia" w:hAnsi="Arial Narrow" w:cs="Times New Roman"/>
                <w:b/>
                <w:sz w:val="20"/>
                <w:szCs w:val="20"/>
                <w:vertAlign w:val="superscript"/>
                <w:lang w:val="en-US"/>
              </w:rPr>
              <w:t>d</w:t>
            </w:r>
          </w:p>
        </w:tc>
      </w:tr>
      <w:tr w:rsidR="0014336E" w:rsidRPr="009C565F" w14:paraId="297B107E" w14:textId="77777777">
        <w:tc>
          <w:tcPr>
            <w:tcW w:w="841" w:type="pct"/>
            <w:tcBorders>
              <w:top w:val="single" w:sz="4" w:space="0" w:color="auto"/>
              <w:left w:val="single" w:sz="4" w:space="0" w:color="auto"/>
              <w:bottom w:val="single" w:sz="4" w:space="0" w:color="auto"/>
              <w:right w:val="single" w:sz="4" w:space="0" w:color="auto"/>
            </w:tcBorders>
            <w:vAlign w:val="center"/>
          </w:tcPr>
          <w:p w14:paraId="3325EDD9" w14:textId="77777777" w:rsidR="0014336E" w:rsidRPr="009C565F" w:rsidRDefault="0014336E">
            <w:pPr>
              <w:keepNext/>
              <w:keepLines/>
              <w:jc w:val="left"/>
              <w:rPr>
                <w:rFonts w:ascii="Arial Narrow" w:eastAsiaTheme="majorEastAsia" w:hAnsi="Arial Narrow" w:cs="Times New Roman"/>
                <w:bCs/>
                <w:sz w:val="20"/>
                <w:szCs w:val="20"/>
                <w:lang w:val="en-US"/>
              </w:rPr>
            </w:pPr>
            <w:r w:rsidRPr="009C565F">
              <w:rPr>
                <w:rFonts w:ascii="Arial Narrow" w:eastAsiaTheme="majorEastAsia" w:hAnsi="Arial Narrow" w:cs="Times New Roman"/>
                <w:bCs/>
                <w:sz w:val="20"/>
                <w:szCs w:val="20"/>
                <w:lang w:val="en-US"/>
              </w:rPr>
              <w:t>NAVIGATOR</w:t>
            </w:r>
          </w:p>
        </w:tc>
        <w:tc>
          <w:tcPr>
            <w:tcW w:w="974" w:type="pct"/>
            <w:tcBorders>
              <w:bottom w:val="single" w:sz="4" w:space="0" w:color="auto"/>
              <w:right w:val="single" w:sz="4" w:space="0" w:color="auto"/>
            </w:tcBorders>
            <w:vAlign w:val="center"/>
          </w:tcPr>
          <w:p w14:paraId="51226371"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318 (81.7)</w:t>
            </w:r>
          </w:p>
        </w:tc>
        <w:tc>
          <w:tcPr>
            <w:tcW w:w="868" w:type="pct"/>
            <w:tcBorders>
              <w:top w:val="single" w:sz="4" w:space="0" w:color="auto"/>
              <w:left w:val="single" w:sz="4" w:space="0" w:color="auto"/>
              <w:bottom w:val="single" w:sz="4" w:space="0" w:color="auto"/>
              <w:right w:val="single" w:sz="4" w:space="0" w:color="auto"/>
            </w:tcBorders>
            <w:vAlign w:val="center"/>
          </w:tcPr>
          <w:p w14:paraId="2F4DB613"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273 (72.6)</w:t>
            </w:r>
          </w:p>
        </w:tc>
        <w:tc>
          <w:tcPr>
            <w:tcW w:w="1052" w:type="pct"/>
            <w:tcBorders>
              <w:top w:val="single" w:sz="4" w:space="0" w:color="auto"/>
              <w:left w:val="single" w:sz="4" w:space="0" w:color="auto"/>
              <w:bottom w:val="single" w:sz="4" w:space="0" w:color="auto"/>
              <w:right w:val="single" w:sz="4" w:space="0" w:color="auto"/>
            </w:tcBorders>
          </w:tcPr>
          <w:p w14:paraId="534ED071" w14:textId="77777777" w:rsidR="0014336E" w:rsidRPr="009C565F" w:rsidRDefault="0014336E">
            <w:pPr>
              <w:keepNext/>
              <w:keepLines/>
              <w:jc w:val="center"/>
              <w:rPr>
                <w:rFonts w:ascii="Arial Narrow" w:eastAsiaTheme="majorEastAsia" w:hAnsi="Arial Narrow" w:cs="Times New Roman"/>
                <w:bCs/>
                <w:color w:val="000000" w:themeColor="text1"/>
                <w:sz w:val="20"/>
                <w:highlight w:val="yellow"/>
                <w:lang w:val="en-US" w:eastAsia="zh-CN"/>
              </w:rPr>
            </w:pPr>
            <w:r w:rsidRPr="009C565F">
              <w:rPr>
                <w:rFonts w:ascii="Arial Narrow" w:eastAsiaTheme="majorEastAsia" w:hAnsi="Arial Narrow" w:cs="Times New Roman"/>
                <w:bCs/>
                <w:color w:val="000000" w:themeColor="text1"/>
                <w:sz w:val="20"/>
                <w:lang w:val="en-US" w:eastAsia="zh-CN"/>
              </w:rPr>
              <w:t>1.66 (1.17, 2.36)</w:t>
            </w:r>
          </w:p>
        </w:tc>
        <w:tc>
          <w:tcPr>
            <w:tcW w:w="1265" w:type="pct"/>
            <w:tcBorders>
              <w:left w:val="single" w:sz="4" w:space="0" w:color="auto"/>
              <w:bottom w:val="single" w:sz="4" w:space="0" w:color="auto"/>
            </w:tcBorders>
          </w:tcPr>
          <w:p w14:paraId="119F5B37" w14:textId="77777777" w:rsidR="0014336E" w:rsidRPr="009C565F" w:rsidRDefault="0014336E">
            <w:pPr>
              <w:keepNext/>
              <w:keepLines/>
              <w:jc w:val="center"/>
              <w:rPr>
                <w:rFonts w:ascii="Arial Narrow" w:eastAsiaTheme="majorEastAsia" w:hAnsi="Arial Narrow" w:cs="Times New Roman"/>
                <w:b/>
                <w:bCs/>
                <w:color w:val="000000" w:themeColor="text1"/>
                <w:sz w:val="20"/>
                <w:lang w:val="en-US" w:eastAsia="zh-CN"/>
              </w:rPr>
            </w:pPr>
            <w:r w:rsidRPr="009C565F">
              <w:rPr>
                <w:rFonts w:ascii="Arial Narrow" w:eastAsiaTheme="majorEastAsia" w:hAnsi="Arial Narrow" w:cs="Times New Roman"/>
                <w:b/>
                <w:bCs/>
                <w:color w:val="000000" w:themeColor="text1"/>
                <w:sz w:val="20"/>
                <w:lang w:val="en-US" w:eastAsia="zh-CN"/>
              </w:rPr>
              <w:t>0.005</w:t>
            </w:r>
          </w:p>
        </w:tc>
      </w:tr>
      <w:tr w:rsidR="0014336E" w:rsidRPr="009C565F" w14:paraId="08A314EE" w14:textId="77777777">
        <w:tc>
          <w:tcPr>
            <w:tcW w:w="841" w:type="pct"/>
            <w:tcBorders>
              <w:top w:val="single" w:sz="4" w:space="0" w:color="auto"/>
              <w:left w:val="single" w:sz="4" w:space="0" w:color="auto"/>
              <w:bottom w:val="single" w:sz="4" w:space="0" w:color="auto"/>
              <w:right w:val="single" w:sz="4" w:space="0" w:color="auto"/>
            </w:tcBorders>
            <w:vAlign w:val="center"/>
          </w:tcPr>
          <w:p w14:paraId="71347E7F" w14:textId="77777777" w:rsidR="0014336E" w:rsidRPr="009C565F" w:rsidRDefault="0014336E">
            <w:pPr>
              <w:keepNext/>
              <w:keepLines/>
              <w:jc w:val="left"/>
              <w:rPr>
                <w:rFonts w:ascii="Arial Narrow" w:eastAsiaTheme="majorEastAsia" w:hAnsi="Arial Narrow" w:cs="Times New Roman"/>
                <w:bCs/>
                <w:sz w:val="20"/>
                <w:szCs w:val="20"/>
                <w:lang w:val="en-US"/>
              </w:rPr>
            </w:pPr>
            <w:r w:rsidRPr="009C565F">
              <w:rPr>
                <w:rFonts w:ascii="Arial Narrow" w:eastAsiaTheme="majorEastAsia" w:hAnsi="Arial Narrow" w:cs="Times New Roman"/>
                <w:bCs/>
                <w:sz w:val="20"/>
                <w:szCs w:val="20"/>
                <w:lang w:val="en-US"/>
              </w:rPr>
              <w:t>PATHWAY</w:t>
            </w:r>
          </w:p>
        </w:tc>
        <w:tc>
          <w:tcPr>
            <w:tcW w:w="974" w:type="pct"/>
            <w:tcBorders>
              <w:bottom w:val="single" w:sz="4" w:space="0" w:color="auto"/>
              <w:right w:val="single" w:sz="4" w:space="0" w:color="auto"/>
            </w:tcBorders>
            <w:vAlign w:val="center"/>
          </w:tcPr>
          <w:p w14:paraId="05E5CE58"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NA</w:t>
            </w:r>
          </w:p>
        </w:tc>
        <w:tc>
          <w:tcPr>
            <w:tcW w:w="868" w:type="pct"/>
            <w:tcBorders>
              <w:top w:val="single" w:sz="4" w:space="0" w:color="auto"/>
              <w:left w:val="single" w:sz="4" w:space="0" w:color="auto"/>
              <w:bottom w:val="single" w:sz="4" w:space="0" w:color="auto"/>
              <w:right w:val="single" w:sz="4" w:space="0" w:color="auto"/>
            </w:tcBorders>
            <w:vAlign w:val="center"/>
          </w:tcPr>
          <w:p w14:paraId="5C29B15A"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NA</w:t>
            </w:r>
          </w:p>
        </w:tc>
        <w:tc>
          <w:tcPr>
            <w:tcW w:w="1052" w:type="pct"/>
            <w:tcBorders>
              <w:top w:val="single" w:sz="4" w:space="0" w:color="auto"/>
              <w:left w:val="single" w:sz="4" w:space="0" w:color="auto"/>
              <w:bottom w:val="single" w:sz="4" w:space="0" w:color="auto"/>
              <w:right w:val="single" w:sz="4" w:space="0" w:color="auto"/>
            </w:tcBorders>
          </w:tcPr>
          <w:p w14:paraId="4685AA0E" w14:textId="77777777" w:rsidR="0014336E" w:rsidRPr="009C565F" w:rsidRDefault="0014336E">
            <w:pPr>
              <w:keepNext/>
              <w:keepLines/>
              <w:jc w:val="center"/>
              <w:rPr>
                <w:rFonts w:ascii="Arial Narrow" w:eastAsiaTheme="majorEastAsia" w:hAnsi="Arial Narrow" w:cs="Times New Roman"/>
                <w:bCs/>
                <w:color w:val="000000" w:themeColor="text1"/>
                <w:sz w:val="20"/>
                <w:highlight w:val="yellow"/>
                <w:lang w:val="en-US" w:eastAsia="zh-CN"/>
              </w:rPr>
            </w:pPr>
            <w:r w:rsidRPr="009C565F">
              <w:rPr>
                <w:rFonts w:ascii="Arial Narrow" w:eastAsiaTheme="majorEastAsia" w:hAnsi="Arial Narrow" w:cs="Times New Roman"/>
                <w:bCs/>
                <w:color w:val="000000" w:themeColor="text1"/>
                <w:sz w:val="20"/>
                <w:lang w:val="en-US" w:eastAsia="zh-CN"/>
              </w:rPr>
              <w:t>NA</w:t>
            </w:r>
          </w:p>
        </w:tc>
        <w:tc>
          <w:tcPr>
            <w:tcW w:w="1265" w:type="pct"/>
            <w:tcBorders>
              <w:left w:val="single" w:sz="4" w:space="0" w:color="auto"/>
              <w:bottom w:val="single" w:sz="4" w:space="0" w:color="auto"/>
            </w:tcBorders>
          </w:tcPr>
          <w:p w14:paraId="10D9A531" w14:textId="77777777" w:rsidR="0014336E" w:rsidRPr="009C565F" w:rsidRDefault="0014336E">
            <w:pPr>
              <w:keepNext/>
              <w:keepLines/>
              <w:jc w:val="center"/>
              <w:rPr>
                <w:rFonts w:ascii="Arial Narrow" w:eastAsiaTheme="majorEastAsia" w:hAnsi="Arial Narrow" w:cs="Times New Roman"/>
                <w:color w:val="000000" w:themeColor="text1"/>
                <w:sz w:val="20"/>
                <w:lang w:val="en-US" w:eastAsia="zh-CN"/>
              </w:rPr>
            </w:pPr>
            <w:r w:rsidRPr="009C565F">
              <w:rPr>
                <w:rFonts w:ascii="Arial Narrow" w:eastAsiaTheme="majorEastAsia" w:hAnsi="Arial Narrow" w:cs="Times New Roman"/>
                <w:color w:val="000000" w:themeColor="text1"/>
                <w:sz w:val="20"/>
                <w:lang w:val="en-US" w:eastAsia="zh-CN"/>
              </w:rPr>
              <w:t>NA</w:t>
            </w:r>
          </w:p>
        </w:tc>
      </w:tr>
      <w:tr w:rsidR="0014336E" w:rsidRPr="009C565F" w14:paraId="49DDEE67" w14:textId="77777777">
        <w:tc>
          <w:tcPr>
            <w:tcW w:w="841" w:type="pct"/>
            <w:tcBorders>
              <w:bottom w:val="double" w:sz="4" w:space="0" w:color="auto"/>
            </w:tcBorders>
            <w:vAlign w:val="center"/>
          </w:tcPr>
          <w:p w14:paraId="7366B6EA" w14:textId="77777777" w:rsidR="0014336E" w:rsidRPr="009C565F" w:rsidRDefault="0014336E">
            <w:pPr>
              <w:keepNext/>
              <w:keepLines/>
              <w:jc w:val="left"/>
              <w:rPr>
                <w:rFonts w:ascii="Arial Narrow" w:eastAsiaTheme="majorEastAsia" w:hAnsi="Arial Narrow" w:cs="Times New Roman"/>
                <w:bCs/>
                <w:sz w:val="20"/>
                <w:szCs w:val="20"/>
                <w:lang w:val="en-US"/>
              </w:rPr>
            </w:pPr>
            <w:r w:rsidRPr="009C565F">
              <w:rPr>
                <w:rFonts w:ascii="Arial Narrow" w:eastAsiaTheme="majorEastAsia" w:hAnsi="Arial Narrow" w:cs="Times New Roman"/>
                <w:bCs/>
                <w:sz w:val="20"/>
                <w:lang w:val="en-US"/>
              </w:rPr>
              <w:t>SOURCE</w:t>
            </w:r>
          </w:p>
        </w:tc>
        <w:tc>
          <w:tcPr>
            <w:tcW w:w="974" w:type="pct"/>
            <w:tcBorders>
              <w:bottom w:val="double" w:sz="4" w:space="0" w:color="auto"/>
            </w:tcBorders>
            <w:vAlign w:val="center"/>
          </w:tcPr>
          <w:p w14:paraId="468421A6"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48 (72.2)</w:t>
            </w:r>
          </w:p>
        </w:tc>
        <w:tc>
          <w:tcPr>
            <w:tcW w:w="868" w:type="pct"/>
            <w:tcBorders>
              <w:bottom w:val="double" w:sz="4" w:space="0" w:color="auto"/>
            </w:tcBorders>
            <w:vAlign w:val="center"/>
          </w:tcPr>
          <w:p w14:paraId="560BB3D9" w14:textId="77777777" w:rsidR="0014336E" w:rsidRPr="009C565F" w:rsidRDefault="0014336E">
            <w:pPr>
              <w:keepNext/>
              <w:keepLines/>
              <w:jc w:val="center"/>
              <w:rPr>
                <w:rFonts w:ascii="Arial Narrow" w:eastAsiaTheme="majorEastAsia" w:hAnsi="Arial Narrow" w:cs="Times New Roman"/>
                <w:bCs/>
                <w:sz w:val="20"/>
                <w:lang w:val="en-US"/>
              </w:rPr>
            </w:pPr>
            <w:r w:rsidRPr="009C565F">
              <w:rPr>
                <w:rFonts w:ascii="Arial Narrow" w:eastAsiaTheme="majorEastAsia" w:hAnsi="Arial Narrow" w:cs="Times New Roman"/>
                <w:bCs/>
                <w:sz w:val="20"/>
                <w:lang w:val="en-US"/>
              </w:rPr>
              <w:t>32 (49.2)</w:t>
            </w:r>
          </w:p>
        </w:tc>
        <w:tc>
          <w:tcPr>
            <w:tcW w:w="1052" w:type="pct"/>
            <w:tcBorders>
              <w:bottom w:val="double" w:sz="4" w:space="0" w:color="auto"/>
            </w:tcBorders>
            <w:vAlign w:val="center"/>
          </w:tcPr>
          <w:p w14:paraId="19FF5DCE" w14:textId="77777777" w:rsidR="0014336E" w:rsidRPr="009C565F" w:rsidRDefault="0014336E">
            <w:pPr>
              <w:keepNext/>
              <w:keepLines/>
              <w:jc w:val="center"/>
              <w:rPr>
                <w:rFonts w:ascii="Arial Narrow" w:eastAsiaTheme="majorEastAsia" w:hAnsi="Arial Narrow" w:cs="Times New Roman"/>
                <w:bCs/>
                <w:color w:val="000000" w:themeColor="text1"/>
                <w:sz w:val="20"/>
                <w:highlight w:val="yellow"/>
                <w:lang w:val="en-US" w:eastAsia="zh-CN"/>
              </w:rPr>
            </w:pPr>
            <w:r w:rsidRPr="009C565F">
              <w:rPr>
                <w:rFonts w:ascii="Arial Narrow" w:eastAsiaTheme="majorEastAsia" w:hAnsi="Arial Narrow" w:cs="Times New Roman"/>
                <w:bCs/>
                <w:color w:val="000000" w:themeColor="text1"/>
                <w:sz w:val="20"/>
                <w:lang w:val="en-US" w:eastAsia="zh-CN"/>
              </w:rPr>
              <w:t>3.12 (1.44, 6.77)</w:t>
            </w:r>
          </w:p>
        </w:tc>
        <w:tc>
          <w:tcPr>
            <w:tcW w:w="1265" w:type="pct"/>
            <w:tcBorders>
              <w:bottom w:val="double" w:sz="4" w:space="0" w:color="auto"/>
            </w:tcBorders>
            <w:vAlign w:val="center"/>
          </w:tcPr>
          <w:p w14:paraId="74BE76BC" w14:textId="77777777" w:rsidR="0014336E" w:rsidRPr="009C565F" w:rsidRDefault="0014336E">
            <w:pPr>
              <w:keepNext/>
              <w:keepLines/>
              <w:jc w:val="center"/>
              <w:rPr>
                <w:rFonts w:ascii="Arial Narrow" w:eastAsiaTheme="majorEastAsia" w:hAnsi="Arial Narrow" w:cs="Times New Roman"/>
                <w:b/>
                <w:bCs/>
                <w:color w:val="000000" w:themeColor="text1"/>
                <w:sz w:val="20"/>
                <w:lang w:val="en-US" w:eastAsia="zh-CN"/>
              </w:rPr>
            </w:pPr>
            <w:r w:rsidRPr="009C565F">
              <w:rPr>
                <w:rFonts w:ascii="Arial Narrow" w:eastAsiaTheme="majorEastAsia" w:hAnsi="Arial Narrow" w:cs="Times New Roman"/>
                <w:b/>
                <w:bCs/>
                <w:color w:val="000000" w:themeColor="text1"/>
                <w:sz w:val="20"/>
                <w:lang w:val="en-US" w:eastAsia="zh-CN"/>
              </w:rPr>
              <w:t>0.004</w:t>
            </w:r>
          </w:p>
        </w:tc>
      </w:tr>
    </w:tbl>
    <w:p w14:paraId="620FB2AB" w14:textId="77777777" w:rsidR="0014336E" w:rsidRDefault="0014336E" w:rsidP="0014336E">
      <w:pPr>
        <w:pStyle w:val="TableFigureFooter"/>
      </w:pPr>
      <w:r w:rsidRPr="00914EFE">
        <w:t>Source: Table 2-53, pp116-117; Table 2-61, p133; Table 2-65, p138; Table 2-67, p140; Table 2-71, p143; Table 2-73, p145; Table 2-75, p146 of the submission.</w:t>
      </w:r>
    </w:p>
    <w:p w14:paraId="0F462E61" w14:textId="77777777" w:rsidR="0014336E" w:rsidRDefault="0014336E" w:rsidP="0014336E">
      <w:pPr>
        <w:pStyle w:val="TableFigureFooter"/>
      </w:pPr>
      <w:r w:rsidRPr="00897A13">
        <w:t>ACQ-6 = Asthma Control Questionnaire-6; AQLQ(S)</w:t>
      </w:r>
      <w:r>
        <w:t>+</w:t>
      </w:r>
      <w:r w:rsidRPr="00897A13">
        <w:t>12 = Standardised Asthma Quality of Life Questionnaire for 12 Years and Older; CI = confidence interval;</w:t>
      </w:r>
      <w:r>
        <w:t xml:space="preserve"> </w:t>
      </w:r>
      <w:r w:rsidRPr="00897A13">
        <w:t>NA = Not assessed; NR = Not reported</w:t>
      </w:r>
      <w:r>
        <w:t xml:space="preserve">; SGRQ = St. George’s Respiratory Questionnaire. </w:t>
      </w:r>
    </w:p>
    <w:p w14:paraId="126DF411" w14:textId="77777777" w:rsidR="0014336E" w:rsidRPr="00032E5C" w:rsidRDefault="0014336E" w:rsidP="0014336E">
      <w:pPr>
        <w:pStyle w:val="TableFigureFooter"/>
      </w:pPr>
      <w:r w:rsidRPr="009A6D66">
        <w:rPr>
          <w:vertAlign w:val="superscript"/>
        </w:rPr>
        <w:t>a</w:t>
      </w:r>
      <w:r>
        <w:t xml:space="preserve"> Subject is classified as a responder if change from baseline in ACQ-6 score ≥ </w:t>
      </w:r>
      <w:proofErr w:type="gramStart"/>
      <w:r>
        <w:t>0.5 point</w:t>
      </w:r>
      <w:proofErr w:type="gramEnd"/>
      <w:r>
        <w:t xml:space="preserve"> reduction</w:t>
      </w:r>
    </w:p>
    <w:p w14:paraId="1F38E5D4" w14:textId="77777777" w:rsidR="0014336E" w:rsidRDefault="0014336E" w:rsidP="0014336E">
      <w:pPr>
        <w:pStyle w:val="TableFigureFooter"/>
      </w:pPr>
      <w:r w:rsidRPr="009A6D66">
        <w:rPr>
          <w:vertAlign w:val="superscript"/>
        </w:rPr>
        <w:t>b</w:t>
      </w:r>
      <w:r>
        <w:t xml:space="preserve"> Unable to be verified from the CSR, therefore NR. 2 were missing and CIs were not provided (reference: PATHWAY CSR: Table 11.4.1.2-6, p100 (Summary of Improvement from Baseline in ACQ-6 at Week 52 – LOCF (ITT Population))</w:t>
      </w:r>
    </w:p>
    <w:p w14:paraId="64D5AB96" w14:textId="77777777" w:rsidR="0014336E" w:rsidRDefault="0014336E" w:rsidP="0014336E">
      <w:pPr>
        <w:pStyle w:val="TableFigureFooter"/>
      </w:pPr>
      <w:r w:rsidRPr="009A6D66">
        <w:rPr>
          <w:vertAlign w:val="superscript"/>
        </w:rPr>
        <w:t>c</w:t>
      </w:r>
      <w:r>
        <w:t xml:space="preserve"> Subject is classified as a responder if change from baseline in AQLQ(S)+12 score is ≥ </w:t>
      </w:r>
      <w:proofErr w:type="gramStart"/>
      <w:r>
        <w:t>0.5 point</w:t>
      </w:r>
      <w:proofErr w:type="gramEnd"/>
      <w:r>
        <w:t xml:space="preserve"> increase</w:t>
      </w:r>
    </w:p>
    <w:p w14:paraId="3A6E3BBE" w14:textId="6AF79AB0" w:rsidR="0014336E" w:rsidRPr="00902EC7" w:rsidRDefault="0014336E" w:rsidP="0014336E">
      <w:pPr>
        <w:pStyle w:val="TableFigureFooter"/>
      </w:pPr>
      <w:r w:rsidRPr="009A6D66">
        <w:rPr>
          <w:vertAlign w:val="superscript"/>
        </w:rPr>
        <w:t>d</w:t>
      </w:r>
      <w:r>
        <w:t xml:space="preserve"> Subject is classified as responder if change from baseline in SGRQ score is a ≥ </w:t>
      </w:r>
      <w:proofErr w:type="gramStart"/>
      <w:r>
        <w:t>4 point</w:t>
      </w:r>
      <w:proofErr w:type="gramEnd"/>
      <w:r>
        <w:t xml:space="preserve"> decrease</w:t>
      </w:r>
    </w:p>
    <w:p w14:paraId="31F6C0D1" w14:textId="77777777" w:rsidR="0014336E" w:rsidRDefault="0014336E" w:rsidP="0014336E">
      <w:pPr>
        <w:pStyle w:val="5-SubsectionSubheading"/>
      </w:pPr>
      <w:bookmarkStart w:id="34" w:name="_Toc209012730"/>
      <w:r>
        <w:t xml:space="preserve">Subgroup analyses of </w:t>
      </w:r>
      <w:proofErr w:type="spellStart"/>
      <w:r>
        <w:t>tezepelumab</w:t>
      </w:r>
      <w:proofErr w:type="spellEnd"/>
      <w:r>
        <w:t xml:space="preserve"> trials</w:t>
      </w:r>
      <w:bookmarkEnd w:id="34"/>
    </w:p>
    <w:p w14:paraId="2A2A2765" w14:textId="6FF2FC21" w:rsidR="007133F5" w:rsidRDefault="009A6D66" w:rsidP="002D1EC8">
      <w:pPr>
        <w:pStyle w:val="COMESnumberedpara"/>
      </w:pPr>
      <w:r>
        <w:t>T</w:t>
      </w:r>
      <w:r w:rsidR="0014336E">
        <w:t xml:space="preserve">he results of subgroup analyses for </w:t>
      </w:r>
      <w:r w:rsidR="00525E32">
        <w:t xml:space="preserve">the </w:t>
      </w:r>
      <w:r>
        <w:t>AAER</w:t>
      </w:r>
      <w:r w:rsidR="0014336E">
        <w:t xml:space="preserve"> by biomarker subgroup are presented in </w:t>
      </w:r>
      <w:r w:rsidR="0014336E">
        <w:fldChar w:fldCharType="begin"/>
      </w:r>
      <w:r w:rsidR="0014336E">
        <w:instrText xml:space="preserve"> REF _Ref207729588 \h  \* MERGEFORMAT </w:instrText>
      </w:r>
      <w:r w:rsidR="0014336E">
        <w:fldChar w:fldCharType="separate"/>
      </w:r>
      <w:r w:rsidR="0078760A">
        <w:t>Table 7</w:t>
      </w:r>
      <w:r w:rsidR="0014336E">
        <w:fldChar w:fldCharType="end"/>
      </w:r>
      <w:r w:rsidR="0014336E">
        <w:t xml:space="preserve"> for </w:t>
      </w:r>
      <w:proofErr w:type="spellStart"/>
      <w:r w:rsidR="0014336E">
        <w:t>tezepelumab</w:t>
      </w:r>
      <w:proofErr w:type="spellEnd"/>
      <w:r w:rsidR="0014336E">
        <w:t xml:space="preserve"> versus placebo. The results shaded </w:t>
      </w:r>
      <w:r w:rsidR="0014336E" w:rsidRPr="00C51242">
        <w:t>grey refer to the non-eosinophilic and non-allergic SUA population. The unshaded results refer to the eosinophilic and allergic SUA population.</w:t>
      </w:r>
    </w:p>
    <w:p w14:paraId="00DBA943" w14:textId="77777777" w:rsidR="00014955" w:rsidRDefault="00014955" w:rsidP="00014955">
      <w:pPr>
        <w:pStyle w:val="COMESnumberedpara"/>
        <w:numPr>
          <w:ilvl w:val="0"/>
          <w:numId w:val="0"/>
        </w:numPr>
        <w:ind w:left="720"/>
      </w:pPr>
    </w:p>
    <w:p w14:paraId="6E54B8A1" w14:textId="77777777" w:rsidR="00BA451F" w:rsidRPr="00C51242" w:rsidRDefault="00BA451F" w:rsidP="00BA451F">
      <w:pPr>
        <w:pStyle w:val="COMESnumberedpara"/>
        <w:numPr>
          <w:ilvl w:val="0"/>
          <w:numId w:val="0"/>
        </w:numPr>
        <w:ind w:left="720"/>
      </w:pPr>
    </w:p>
    <w:p w14:paraId="381CB7F5" w14:textId="6C4601FD" w:rsidR="0014336E" w:rsidRPr="009C565F" w:rsidRDefault="0014336E" w:rsidP="00014955">
      <w:pPr>
        <w:pStyle w:val="TableFigureHeading"/>
        <w:keepLines/>
      </w:pPr>
      <w:r w:rsidRPr="009C565F">
        <w:t xml:space="preserve"> </w:t>
      </w:r>
      <w:bookmarkStart w:id="35" w:name="_Ref207729588"/>
      <w:r>
        <w:t xml:space="preserve">Table </w:t>
      </w:r>
      <w:r w:rsidR="001146FA">
        <w:fldChar w:fldCharType="begin"/>
      </w:r>
      <w:r w:rsidR="001146FA">
        <w:instrText xml:space="preserve"> SEQ Table \* ARABIC </w:instrText>
      </w:r>
      <w:r w:rsidR="001146FA">
        <w:fldChar w:fldCharType="separate"/>
      </w:r>
      <w:r w:rsidR="0078760A">
        <w:rPr>
          <w:noProof/>
        </w:rPr>
        <w:t>7</w:t>
      </w:r>
      <w:r w:rsidR="001146FA">
        <w:rPr>
          <w:noProof/>
        </w:rPr>
        <w:fldChar w:fldCharType="end"/>
      </w:r>
      <w:bookmarkEnd w:id="35"/>
      <w:r>
        <w:t xml:space="preserve">: </w:t>
      </w:r>
      <w:r w:rsidRPr="009C565F">
        <w:t xml:space="preserve">Results of subgroup analyses </w:t>
      </w:r>
      <w:r>
        <w:t xml:space="preserve">for AAER by biomarker subgroup for </w:t>
      </w:r>
      <w:proofErr w:type="spellStart"/>
      <w:r>
        <w:t>tezepelumab</w:t>
      </w:r>
      <w:proofErr w:type="spellEnd"/>
      <w:r>
        <w:t xml:space="preserve"> versus placebo</w:t>
      </w:r>
    </w:p>
    <w:tbl>
      <w:tblPr>
        <w:tblpPr w:leftFromText="180" w:rightFromText="180" w:vertAnchor="text" w:tblpXSpec="center" w:tblpY="1"/>
        <w:tblOverlap w:val="neve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Results of subgroup analyses for AAER by biomarker subgroup for tezepelumab versus placebo"/>
      </w:tblPr>
      <w:tblGrid>
        <w:gridCol w:w="1645"/>
        <w:gridCol w:w="1465"/>
        <w:gridCol w:w="1599"/>
        <w:gridCol w:w="1591"/>
        <w:gridCol w:w="1187"/>
        <w:gridCol w:w="1529"/>
      </w:tblGrid>
      <w:tr w:rsidR="0014336E" w:rsidRPr="009C565F" w14:paraId="103F57EE" w14:textId="77777777">
        <w:trPr>
          <w:cantSplit/>
          <w:jc w:val="center"/>
        </w:trPr>
        <w:tc>
          <w:tcPr>
            <w:tcW w:w="1645" w:type="dxa"/>
            <w:shd w:val="clear" w:color="auto" w:fill="FFFFFF" w:themeFill="background1"/>
            <w:vAlign w:val="center"/>
          </w:tcPr>
          <w:p w14:paraId="40CA11EA"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Population</w:t>
            </w:r>
          </w:p>
        </w:tc>
        <w:tc>
          <w:tcPr>
            <w:tcW w:w="1465" w:type="dxa"/>
            <w:shd w:val="clear" w:color="auto" w:fill="FFFFFF" w:themeFill="background1"/>
            <w:vAlign w:val="center"/>
          </w:tcPr>
          <w:p w14:paraId="231E04AB"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Trial ID</w:t>
            </w:r>
          </w:p>
        </w:tc>
        <w:tc>
          <w:tcPr>
            <w:tcW w:w="1599" w:type="dxa"/>
            <w:shd w:val="clear" w:color="auto" w:fill="FFFFFF" w:themeFill="background1"/>
            <w:vAlign w:val="center"/>
          </w:tcPr>
          <w:p w14:paraId="51A5D29C"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Tezepelumab</w:t>
            </w:r>
          </w:p>
          <w:p w14:paraId="618D973E"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Annual exacerbation rate</w:t>
            </w:r>
          </w:p>
          <w:p w14:paraId="0FF006EF"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(95% CI)</w:t>
            </w:r>
          </w:p>
        </w:tc>
        <w:tc>
          <w:tcPr>
            <w:tcW w:w="1591" w:type="dxa"/>
            <w:shd w:val="clear" w:color="auto" w:fill="FFFFFF" w:themeFill="background1"/>
            <w:vAlign w:val="center"/>
          </w:tcPr>
          <w:p w14:paraId="0646B766"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Placebo</w:t>
            </w:r>
          </w:p>
          <w:p w14:paraId="61F67CD9"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Annual exacerbation rate</w:t>
            </w:r>
          </w:p>
          <w:p w14:paraId="482084E5"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(95% CI)</w:t>
            </w:r>
          </w:p>
        </w:tc>
        <w:tc>
          <w:tcPr>
            <w:tcW w:w="1187" w:type="dxa"/>
            <w:shd w:val="clear" w:color="auto" w:fill="FFFFFF" w:themeFill="background1"/>
            <w:vAlign w:val="center"/>
          </w:tcPr>
          <w:p w14:paraId="22972CE5"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 xml:space="preserve">RR or </w:t>
            </w:r>
            <w:proofErr w:type="spellStart"/>
            <w:r w:rsidRPr="000D6B0B">
              <w:rPr>
                <w:rFonts w:ascii="Arial Narrow" w:eastAsiaTheme="majorEastAsia" w:hAnsi="Arial Narrow" w:cstheme="majorBidi"/>
                <w:b/>
                <w:sz w:val="20"/>
                <w:szCs w:val="20"/>
              </w:rPr>
              <w:t>OR</w:t>
            </w:r>
            <w:proofErr w:type="spellEnd"/>
            <w:r w:rsidRPr="000D6B0B">
              <w:rPr>
                <w:rFonts w:ascii="Arial Narrow" w:eastAsiaTheme="majorEastAsia" w:hAnsi="Arial Narrow" w:cstheme="majorBidi"/>
                <w:b/>
                <w:sz w:val="20"/>
                <w:szCs w:val="20"/>
              </w:rPr>
              <w:t xml:space="preserve"> (95% CI)</w:t>
            </w:r>
          </w:p>
        </w:tc>
        <w:tc>
          <w:tcPr>
            <w:tcW w:w="1529" w:type="dxa"/>
            <w:shd w:val="clear" w:color="auto" w:fill="FFFFFF" w:themeFill="background1"/>
            <w:vAlign w:val="center"/>
          </w:tcPr>
          <w:p w14:paraId="1CA20FA8"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AD (95% CI)</w:t>
            </w:r>
          </w:p>
        </w:tc>
      </w:tr>
      <w:tr w:rsidR="0014336E" w:rsidRPr="009C565F" w14:paraId="1A6C7F7F" w14:textId="77777777">
        <w:trPr>
          <w:cantSplit/>
          <w:jc w:val="center"/>
        </w:trPr>
        <w:tc>
          <w:tcPr>
            <w:tcW w:w="9016" w:type="dxa"/>
            <w:gridSpan w:val="6"/>
            <w:vAlign w:val="center"/>
          </w:tcPr>
          <w:p w14:paraId="691D0C44" w14:textId="77777777" w:rsidR="0014336E" w:rsidRPr="000D6B0B" w:rsidRDefault="0014336E" w:rsidP="00014955">
            <w:pPr>
              <w:keepNext/>
              <w:keepLines/>
              <w:widowControl w:val="0"/>
              <w:jc w:val="left"/>
              <w:rPr>
                <w:rFonts w:ascii="Arial Narrow" w:eastAsiaTheme="majorEastAsia" w:hAnsi="Arial Narrow" w:cstheme="majorBidi"/>
                <w:b/>
                <w:sz w:val="20"/>
                <w:szCs w:val="20"/>
              </w:rPr>
            </w:pPr>
            <w:proofErr w:type="spellStart"/>
            <w:r w:rsidRPr="000D6B0B">
              <w:rPr>
                <w:rFonts w:ascii="Arial Narrow" w:eastAsiaTheme="majorEastAsia" w:hAnsi="Arial Narrow" w:cstheme="majorBidi"/>
                <w:b/>
                <w:sz w:val="20"/>
                <w:szCs w:val="20"/>
              </w:rPr>
              <w:t>EOSic</w:t>
            </w:r>
            <w:proofErr w:type="spellEnd"/>
            <w:r w:rsidRPr="000D6B0B">
              <w:rPr>
                <w:rFonts w:ascii="Arial Narrow" w:eastAsiaTheme="majorEastAsia" w:hAnsi="Arial Narrow" w:cstheme="majorBidi"/>
                <w:b/>
                <w:sz w:val="20"/>
                <w:szCs w:val="20"/>
              </w:rPr>
              <w:t xml:space="preserve"> or allergic SUA subgroup</w:t>
            </w:r>
          </w:p>
        </w:tc>
      </w:tr>
      <w:tr w:rsidR="0014336E" w:rsidRPr="009C565F" w14:paraId="46F26C9A" w14:textId="77777777">
        <w:trPr>
          <w:cantSplit/>
          <w:jc w:val="center"/>
        </w:trPr>
        <w:tc>
          <w:tcPr>
            <w:tcW w:w="9016" w:type="dxa"/>
            <w:gridSpan w:val="6"/>
            <w:shd w:val="clear" w:color="auto" w:fill="FFFFFF" w:themeFill="background1"/>
            <w:vAlign w:val="center"/>
          </w:tcPr>
          <w:p w14:paraId="4F63E91A" w14:textId="77777777" w:rsidR="0014336E" w:rsidRPr="000D6B0B" w:rsidRDefault="0014336E" w:rsidP="00014955">
            <w:pPr>
              <w:keepNext/>
              <w:keepLines/>
              <w:widowControl w:val="0"/>
              <w:jc w:val="left"/>
              <w:rPr>
                <w:rFonts w:ascii="Arial Narrow" w:eastAsiaTheme="majorEastAsia" w:hAnsi="Arial Narrow" w:cstheme="majorBidi"/>
                <w:b/>
                <w:sz w:val="20"/>
                <w:szCs w:val="20"/>
              </w:rPr>
            </w:pPr>
            <w:proofErr w:type="spellStart"/>
            <w:r w:rsidRPr="000D6B0B">
              <w:rPr>
                <w:rFonts w:ascii="Arial Narrow" w:eastAsiaTheme="majorEastAsia" w:hAnsi="Arial Narrow" w:cstheme="majorBidi"/>
                <w:b/>
                <w:sz w:val="20"/>
                <w:szCs w:val="20"/>
              </w:rPr>
              <w:t>EOSic</w:t>
            </w:r>
            <w:proofErr w:type="spellEnd"/>
            <w:r w:rsidRPr="000D6B0B">
              <w:rPr>
                <w:rFonts w:ascii="Arial Narrow" w:eastAsiaTheme="majorEastAsia" w:hAnsi="Arial Narrow" w:cstheme="majorBidi"/>
                <w:b/>
                <w:sz w:val="20"/>
                <w:szCs w:val="20"/>
              </w:rPr>
              <w:t xml:space="preserve"> subgroup (EOS ≥300 cells/</w:t>
            </w:r>
            <w:proofErr w:type="spellStart"/>
            <w:r w:rsidRPr="000D6B0B">
              <w:rPr>
                <w:rFonts w:ascii="Arial Narrow" w:eastAsiaTheme="majorEastAsia" w:hAnsi="Arial Narrow" w:cstheme="majorBidi"/>
                <w:b/>
                <w:sz w:val="20"/>
                <w:szCs w:val="20"/>
              </w:rPr>
              <w:t>μL</w:t>
            </w:r>
            <w:proofErr w:type="spellEnd"/>
            <w:r w:rsidRPr="000D6B0B">
              <w:rPr>
                <w:rFonts w:ascii="Arial Narrow" w:eastAsiaTheme="majorEastAsia" w:hAnsi="Arial Narrow" w:cstheme="majorBidi"/>
                <w:b/>
                <w:sz w:val="20"/>
                <w:szCs w:val="20"/>
              </w:rPr>
              <w:t>)</w:t>
            </w:r>
          </w:p>
        </w:tc>
      </w:tr>
      <w:tr w:rsidR="0014336E" w:rsidRPr="009C565F" w14:paraId="4B7C26D4" w14:textId="77777777">
        <w:trPr>
          <w:cantSplit/>
          <w:jc w:val="center"/>
        </w:trPr>
        <w:tc>
          <w:tcPr>
            <w:tcW w:w="1645" w:type="dxa"/>
            <w:vMerge w:val="restart"/>
            <w:shd w:val="clear" w:color="auto" w:fill="FFFFFF" w:themeFill="background1"/>
            <w:vAlign w:val="center"/>
          </w:tcPr>
          <w:p w14:paraId="5D3D27D6"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Medium + high</w:t>
            </w:r>
            <w:r w:rsidRPr="000D6B0B">
              <w:rPr>
                <w:rFonts w:ascii="Arial Narrow" w:eastAsiaTheme="majorEastAsia" w:hAnsi="Arial Narrow" w:cstheme="majorBidi"/>
                <w:bCs/>
                <w:sz w:val="20"/>
                <w:szCs w:val="20"/>
              </w:rPr>
              <w:t xml:space="preserve"> ICS</w:t>
            </w:r>
          </w:p>
        </w:tc>
        <w:tc>
          <w:tcPr>
            <w:tcW w:w="1465" w:type="dxa"/>
            <w:shd w:val="clear" w:color="auto" w:fill="FFFFFF" w:themeFill="background1"/>
            <w:vAlign w:val="center"/>
          </w:tcPr>
          <w:p w14:paraId="0E2E190F"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NAVIGATOR</w:t>
            </w:r>
          </w:p>
        </w:tc>
        <w:tc>
          <w:tcPr>
            <w:tcW w:w="1599" w:type="dxa"/>
            <w:tcBorders>
              <w:bottom w:val="single" w:sz="4" w:space="0" w:color="auto"/>
            </w:tcBorders>
          </w:tcPr>
          <w:p w14:paraId="1983FF89"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N=219</w:t>
            </w:r>
          </w:p>
          <w:p w14:paraId="77EEEF40"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sz w:val="20"/>
                <w:szCs w:val="20"/>
              </w:rPr>
              <w:t>0.79 (NR)</w:t>
            </w:r>
          </w:p>
        </w:tc>
        <w:tc>
          <w:tcPr>
            <w:tcW w:w="1591" w:type="dxa"/>
            <w:tcBorders>
              <w:bottom w:val="single" w:sz="4" w:space="0" w:color="auto"/>
            </w:tcBorders>
          </w:tcPr>
          <w:p w14:paraId="245D6B34"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N=222</w:t>
            </w:r>
          </w:p>
          <w:p w14:paraId="2EE67498"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sz w:val="20"/>
                <w:szCs w:val="20"/>
              </w:rPr>
              <w:t>2.66 (NR)</w:t>
            </w:r>
          </w:p>
        </w:tc>
        <w:tc>
          <w:tcPr>
            <w:tcW w:w="1187" w:type="dxa"/>
            <w:tcBorders>
              <w:bottom w:val="single" w:sz="4" w:space="0" w:color="auto"/>
            </w:tcBorders>
          </w:tcPr>
          <w:p w14:paraId="5A13C8BA"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0.30</w:t>
            </w:r>
          </w:p>
          <w:p w14:paraId="44087BC9"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hAnsi="Arial Narrow"/>
                <w:b/>
                <w:bCs/>
                <w:sz w:val="20"/>
                <w:szCs w:val="20"/>
              </w:rPr>
              <w:t xml:space="preserve"> (0.22, 0.40)</w:t>
            </w:r>
          </w:p>
        </w:tc>
        <w:tc>
          <w:tcPr>
            <w:tcW w:w="1529" w:type="dxa"/>
            <w:tcBorders>
              <w:bottom w:val="single" w:sz="4" w:space="0" w:color="auto"/>
            </w:tcBorders>
          </w:tcPr>
          <w:p w14:paraId="14819D4C"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hAnsi="Arial Narrow"/>
                <w:b/>
                <w:bCs/>
                <w:sz w:val="20"/>
                <w:szCs w:val="20"/>
              </w:rPr>
              <w:t>NA</w:t>
            </w:r>
          </w:p>
        </w:tc>
      </w:tr>
      <w:tr w:rsidR="0014336E" w:rsidRPr="009C565F" w14:paraId="0FFAD327" w14:textId="77777777">
        <w:trPr>
          <w:cantSplit/>
          <w:jc w:val="center"/>
        </w:trPr>
        <w:tc>
          <w:tcPr>
            <w:tcW w:w="1645" w:type="dxa"/>
            <w:vMerge/>
            <w:tcBorders>
              <w:top w:val="single" w:sz="4" w:space="0" w:color="auto"/>
            </w:tcBorders>
            <w:shd w:val="clear" w:color="auto" w:fill="FFFFFF" w:themeFill="background1"/>
            <w:vAlign w:val="center"/>
          </w:tcPr>
          <w:p w14:paraId="74EA7206"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p>
        </w:tc>
        <w:tc>
          <w:tcPr>
            <w:tcW w:w="1465" w:type="dxa"/>
            <w:tcBorders>
              <w:top w:val="single" w:sz="4" w:space="0" w:color="auto"/>
            </w:tcBorders>
            <w:shd w:val="clear" w:color="auto" w:fill="FFFFFF" w:themeFill="background1"/>
            <w:vAlign w:val="center"/>
          </w:tcPr>
          <w:p w14:paraId="6125364E"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 xml:space="preserve">PATHWAY </w:t>
            </w:r>
          </w:p>
        </w:tc>
        <w:tc>
          <w:tcPr>
            <w:tcW w:w="1599" w:type="dxa"/>
            <w:tcBorders>
              <w:top w:val="single" w:sz="4" w:space="0" w:color="auto"/>
              <w:bottom w:val="dotted" w:sz="4" w:space="0" w:color="auto"/>
            </w:tcBorders>
          </w:tcPr>
          <w:p w14:paraId="6BA13E5A"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N=68</w:t>
            </w:r>
          </w:p>
          <w:p w14:paraId="23E1F1BE"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sz w:val="20"/>
                <w:szCs w:val="20"/>
              </w:rPr>
              <w:t>0.26 (NR)</w:t>
            </w:r>
          </w:p>
        </w:tc>
        <w:tc>
          <w:tcPr>
            <w:tcW w:w="1591" w:type="dxa"/>
            <w:tcBorders>
              <w:top w:val="single" w:sz="4" w:space="0" w:color="auto"/>
              <w:bottom w:val="dotted" w:sz="4" w:space="0" w:color="auto"/>
            </w:tcBorders>
          </w:tcPr>
          <w:p w14:paraId="2E03C0FE"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N=71</w:t>
            </w:r>
          </w:p>
          <w:p w14:paraId="610FA83D"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sz w:val="20"/>
                <w:szCs w:val="20"/>
              </w:rPr>
              <w:t>0.65 (NR)</w:t>
            </w:r>
          </w:p>
        </w:tc>
        <w:tc>
          <w:tcPr>
            <w:tcW w:w="1187" w:type="dxa"/>
            <w:tcBorders>
              <w:top w:val="single" w:sz="4" w:space="0" w:color="auto"/>
              <w:bottom w:val="dotted" w:sz="4" w:space="0" w:color="auto"/>
            </w:tcBorders>
          </w:tcPr>
          <w:p w14:paraId="30B60F71"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0.40</w:t>
            </w:r>
          </w:p>
          <w:p w14:paraId="537B2F60"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hAnsi="Arial Narrow"/>
                <w:b/>
                <w:bCs/>
                <w:sz w:val="20"/>
                <w:szCs w:val="20"/>
              </w:rPr>
              <w:t>(0.19, 0.85)</w:t>
            </w:r>
          </w:p>
        </w:tc>
        <w:tc>
          <w:tcPr>
            <w:tcW w:w="1529" w:type="dxa"/>
            <w:tcBorders>
              <w:top w:val="single" w:sz="4" w:space="0" w:color="auto"/>
              <w:bottom w:val="dotted" w:sz="4" w:space="0" w:color="auto"/>
            </w:tcBorders>
          </w:tcPr>
          <w:p w14:paraId="37D56119"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hAnsi="Arial Narrow"/>
                <w:b/>
                <w:bCs/>
                <w:sz w:val="20"/>
                <w:szCs w:val="20"/>
              </w:rPr>
              <w:t>NR</w:t>
            </w:r>
          </w:p>
        </w:tc>
      </w:tr>
      <w:tr w:rsidR="0014336E" w:rsidRPr="009C565F" w14:paraId="4FFF0E77" w14:textId="77777777">
        <w:trPr>
          <w:cantSplit/>
          <w:jc w:val="center"/>
        </w:trPr>
        <w:tc>
          <w:tcPr>
            <w:tcW w:w="1645" w:type="dxa"/>
            <w:vMerge w:val="restart"/>
            <w:shd w:val="clear" w:color="auto" w:fill="FFFFFF" w:themeFill="background1"/>
            <w:vAlign w:val="center"/>
          </w:tcPr>
          <w:p w14:paraId="24833531"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High ICS</w:t>
            </w:r>
          </w:p>
        </w:tc>
        <w:tc>
          <w:tcPr>
            <w:tcW w:w="1465" w:type="dxa"/>
            <w:shd w:val="clear" w:color="auto" w:fill="FFFFFF" w:themeFill="background1"/>
            <w:vAlign w:val="center"/>
          </w:tcPr>
          <w:p w14:paraId="589C7137"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NAVIGATOR</w:t>
            </w:r>
          </w:p>
        </w:tc>
        <w:tc>
          <w:tcPr>
            <w:tcW w:w="1599" w:type="dxa"/>
            <w:shd w:val="clear" w:color="auto" w:fill="FFFFFF" w:themeFill="background1"/>
          </w:tcPr>
          <w:p w14:paraId="04B031B6"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N=171</w:t>
            </w:r>
          </w:p>
          <w:p w14:paraId="766FC7B7"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0.76 (0.58, 0.99)</w:t>
            </w:r>
          </w:p>
        </w:tc>
        <w:tc>
          <w:tcPr>
            <w:tcW w:w="1591" w:type="dxa"/>
            <w:shd w:val="clear" w:color="auto" w:fill="FFFFFF" w:themeFill="background1"/>
          </w:tcPr>
          <w:p w14:paraId="394DA4F4"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N=181</w:t>
            </w:r>
          </w:p>
          <w:p w14:paraId="72BDE6A6"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2.84 (2.27, 3.54)</w:t>
            </w:r>
          </w:p>
        </w:tc>
        <w:tc>
          <w:tcPr>
            <w:tcW w:w="1187" w:type="dxa"/>
            <w:shd w:val="clear" w:color="auto" w:fill="FFFFFF" w:themeFill="background1"/>
          </w:tcPr>
          <w:p w14:paraId="7A466F7A"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0.27</w:t>
            </w:r>
          </w:p>
          <w:p w14:paraId="7B2FA137"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(0.19, 0.37)</w:t>
            </w:r>
          </w:p>
        </w:tc>
        <w:tc>
          <w:tcPr>
            <w:tcW w:w="1529" w:type="dxa"/>
            <w:shd w:val="clear" w:color="auto" w:fill="FFFFFF" w:themeFill="background1"/>
          </w:tcPr>
          <w:p w14:paraId="6D48AB98"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-2.08</w:t>
            </w:r>
          </w:p>
          <w:p w14:paraId="17EBE6B9"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
                <w:sz w:val="20"/>
                <w:szCs w:val="20"/>
              </w:rPr>
              <w:t>(-2.73, -1.43)</w:t>
            </w:r>
          </w:p>
        </w:tc>
      </w:tr>
      <w:tr w:rsidR="0014336E" w:rsidRPr="009C565F" w14:paraId="1F49B1FA" w14:textId="77777777">
        <w:trPr>
          <w:cantSplit/>
          <w:jc w:val="center"/>
        </w:trPr>
        <w:tc>
          <w:tcPr>
            <w:tcW w:w="1645" w:type="dxa"/>
            <w:vMerge/>
            <w:shd w:val="clear" w:color="auto" w:fill="FFFFFF" w:themeFill="background1"/>
            <w:vAlign w:val="center"/>
          </w:tcPr>
          <w:p w14:paraId="06DABB1C"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p>
        </w:tc>
        <w:tc>
          <w:tcPr>
            <w:tcW w:w="1465" w:type="dxa"/>
            <w:shd w:val="clear" w:color="auto" w:fill="FFFFFF" w:themeFill="background1"/>
            <w:vAlign w:val="center"/>
          </w:tcPr>
          <w:p w14:paraId="1048C66A"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PATHWAY</w:t>
            </w:r>
          </w:p>
        </w:tc>
        <w:tc>
          <w:tcPr>
            <w:tcW w:w="1599" w:type="dxa"/>
            <w:shd w:val="clear" w:color="auto" w:fill="FFFFFF" w:themeFill="background1"/>
          </w:tcPr>
          <w:p w14:paraId="52F08E8C"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N=33</w:t>
            </w:r>
          </w:p>
          <w:p w14:paraId="719979FB"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0.27 (0.12, 0.54)</w:t>
            </w:r>
          </w:p>
        </w:tc>
        <w:tc>
          <w:tcPr>
            <w:tcW w:w="1591" w:type="dxa"/>
            <w:shd w:val="clear" w:color="auto" w:fill="FFFFFF" w:themeFill="background1"/>
          </w:tcPr>
          <w:p w14:paraId="27E98C52"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N=30</w:t>
            </w:r>
          </w:p>
          <w:p w14:paraId="45B8DC43"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0.99 (0.66, 1.42)</w:t>
            </w:r>
          </w:p>
        </w:tc>
        <w:tc>
          <w:tcPr>
            <w:tcW w:w="1187" w:type="dxa"/>
            <w:shd w:val="clear" w:color="auto" w:fill="FFFFFF" w:themeFill="background1"/>
          </w:tcPr>
          <w:p w14:paraId="5FE6D233"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0.27</w:t>
            </w:r>
          </w:p>
          <w:p w14:paraId="351AE2E4"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(0.10, 0.77)</w:t>
            </w:r>
          </w:p>
        </w:tc>
        <w:tc>
          <w:tcPr>
            <w:tcW w:w="1529" w:type="dxa"/>
            <w:shd w:val="clear" w:color="auto" w:fill="FFFFFF" w:themeFill="background1"/>
            <w:vAlign w:val="center"/>
          </w:tcPr>
          <w:p w14:paraId="637F2209"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NR</w:t>
            </w:r>
          </w:p>
        </w:tc>
      </w:tr>
      <w:tr w:rsidR="0014336E" w:rsidRPr="009C565F" w14:paraId="1279E04F" w14:textId="77777777">
        <w:trPr>
          <w:cantSplit/>
          <w:jc w:val="center"/>
        </w:trPr>
        <w:tc>
          <w:tcPr>
            <w:tcW w:w="1645" w:type="dxa"/>
            <w:vMerge w:val="restart"/>
            <w:shd w:val="clear" w:color="auto" w:fill="FFFFFF" w:themeFill="background1"/>
            <w:vAlign w:val="center"/>
          </w:tcPr>
          <w:p w14:paraId="693D7D37"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High ICS with no OCS</w:t>
            </w:r>
          </w:p>
        </w:tc>
        <w:tc>
          <w:tcPr>
            <w:tcW w:w="1465" w:type="dxa"/>
            <w:shd w:val="clear" w:color="auto" w:fill="FFFFFF" w:themeFill="background1"/>
            <w:vAlign w:val="center"/>
          </w:tcPr>
          <w:p w14:paraId="76F98610"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NAVIGATOR</w:t>
            </w:r>
          </w:p>
        </w:tc>
        <w:tc>
          <w:tcPr>
            <w:tcW w:w="1599" w:type="dxa"/>
            <w:shd w:val="clear" w:color="auto" w:fill="FFFFFF" w:themeFill="background1"/>
          </w:tcPr>
          <w:p w14:paraId="5D9900E8"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N=152</w:t>
            </w:r>
          </w:p>
          <w:p w14:paraId="51C4B01A"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0.69 (0.52, 0.91)</w:t>
            </w:r>
          </w:p>
        </w:tc>
        <w:tc>
          <w:tcPr>
            <w:tcW w:w="1591" w:type="dxa"/>
            <w:shd w:val="clear" w:color="auto" w:fill="FFFFFF" w:themeFill="background1"/>
          </w:tcPr>
          <w:p w14:paraId="01A4BDE6"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N=166</w:t>
            </w:r>
          </w:p>
          <w:p w14:paraId="2815DBFA"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2.83 (2.26, 3.54)</w:t>
            </w:r>
          </w:p>
        </w:tc>
        <w:tc>
          <w:tcPr>
            <w:tcW w:w="1187" w:type="dxa"/>
            <w:shd w:val="clear" w:color="auto" w:fill="FFFFFF" w:themeFill="background1"/>
          </w:tcPr>
          <w:p w14:paraId="69A4BADE"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0.24</w:t>
            </w:r>
          </w:p>
          <w:p w14:paraId="6FA1D310"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(0.17, 0.35)</w:t>
            </w:r>
          </w:p>
        </w:tc>
        <w:tc>
          <w:tcPr>
            <w:tcW w:w="1529" w:type="dxa"/>
            <w:shd w:val="clear" w:color="auto" w:fill="FFFFFF" w:themeFill="background1"/>
          </w:tcPr>
          <w:p w14:paraId="2E2B1170"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-2.14</w:t>
            </w:r>
          </w:p>
          <w:p w14:paraId="4548BCA5"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
                <w:sz w:val="20"/>
                <w:szCs w:val="20"/>
              </w:rPr>
              <w:t>(-2.80, -1.49)</w:t>
            </w:r>
          </w:p>
        </w:tc>
      </w:tr>
      <w:tr w:rsidR="0014336E" w:rsidRPr="009C565F" w14:paraId="184818D8" w14:textId="77777777">
        <w:trPr>
          <w:cantSplit/>
          <w:trHeight w:val="476"/>
          <w:jc w:val="center"/>
        </w:trPr>
        <w:tc>
          <w:tcPr>
            <w:tcW w:w="1645" w:type="dxa"/>
            <w:vMerge/>
            <w:shd w:val="clear" w:color="auto" w:fill="FFFFFF" w:themeFill="background1"/>
            <w:vAlign w:val="center"/>
          </w:tcPr>
          <w:p w14:paraId="689EEC6C"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p>
        </w:tc>
        <w:tc>
          <w:tcPr>
            <w:tcW w:w="1465" w:type="dxa"/>
            <w:shd w:val="clear" w:color="auto" w:fill="FFFFFF" w:themeFill="background1"/>
            <w:vAlign w:val="center"/>
          </w:tcPr>
          <w:p w14:paraId="33E0CE24"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PATHWAY</w:t>
            </w:r>
          </w:p>
        </w:tc>
        <w:tc>
          <w:tcPr>
            <w:tcW w:w="1599" w:type="dxa"/>
            <w:shd w:val="clear" w:color="auto" w:fill="FFFFFF" w:themeFill="background1"/>
          </w:tcPr>
          <w:p w14:paraId="52510BED"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N=29</w:t>
            </w:r>
          </w:p>
          <w:p w14:paraId="5542D581" w14:textId="2FA030B6"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0.19 (0.06, 0.45)</w:t>
            </w:r>
          </w:p>
        </w:tc>
        <w:tc>
          <w:tcPr>
            <w:tcW w:w="1591" w:type="dxa"/>
            <w:shd w:val="clear" w:color="auto" w:fill="FFFFFF" w:themeFill="background1"/>
          </w:tcPr>
          <w:p w14:paraId="0005A3DD"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N=22</w:t>
            </w:r>
          </w:p>
          <w:p w14:paraId="109389CC" w14:textId="0073A86E"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0.91 (0.56, 1.40)</w:t>
            </w:r>
          </w:p>
        </w:tc>
        <w:tc>
          <w:tcPr>
            <w:tcW w:w="1187" w:type="dxa"/>
            <w:shd w:val="clear" w:color="auto" w:fill="FFFFFF" w:themeFill="background1"/>
          </w:tcPr>
          <w:p w14:paraId="0719FE9A"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0.21</w:t>
            </w:r>
          </w:p>
          <w:p w14:paraId="0AFF6C25" w14:textId="15B7B252"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(0.06, 0.72)</w:t>
            </w:r>
          </w:p>
        </w:tc>
        <w:tc>
          <w:tcPr>
            <w:tcW w:w="1529" w:type="dxa"/>
            <w:shd w:val="clear" w:color="auto" w:fill="FFFFFF" w:themeFill="background1"/>
            <w:vAlign w:val="center"/>
          </w:tcPr>
          <w:p w14:paraId="03E48017"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NR</w:t>
            </w:r>
          </w:p>
          <w:p w14:paraId="7012B21E"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p>
        </w:tc>
      </w:tr>
      <w:tr w:rsidR="0014336E" w:rsidRPr="009C565F" w14:paraId="5F9101C1" w14:textId="77777777">
        <w:trPr>
          <w:cantSplit/>
          <w:jc w:val="center"/>
        </w:trPr>
        <w:tc>
          <w:tcPr>
            <w:tcW w:w="9016" w:type="dxa"/>
            <w:gridSpan w:val="6"/>
            <w:shd w:val="clear" w:color="auto" w:fill="FFFFFF" w:themeFill="background1"/>
            <w:vAlign w:val="center"/>
          </w:tcPr>
          <w:p w14:paraId="20EDD855" w14:textId="77777777" w:rsidR="0014336E" w:rsidRPr="000D6B0B" w:rsidRDefault="0014336E" w:rsidP="00014955">
            <w:pPr>
              <w:keepNext/>
              <w:keepLines/>
              <w:widowControl w:val="0"/>
              <w:jc w:val="left"/>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Allergic subgroup (any perennial specific IgA positive)</w:t>
            </w:r>
          </w:p>
        </w:tc>
      </w:tr>
      <w:tr w:rsidR="0014336E" w:rsidRPr="009C565F" w14:paraId="0E48AD9D" w14:textId="77777777">
        <w:trPr>
          <w:cantSplit/>
          <w:jc w:val="center"/>
        </w:trPr>
        <w:tc>
          <w:tcPr>
            <w:tcW w:w="1645" w:type="dxa"/>
            <w:vMerge w:val="restart"/>
            <w:shd w:val="clear" w:color="auto" w:fill="FFFFFF" w:themeFill="background1"/>
            <w:vAlign w:val="center"/>
          </w:tcPr>
          <w:p w14:paraId="58FD30E3"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Medium + high</w:t>
            </w:r>
            <w:r w:rsidRPr="000D6B0B">
              <w:rPr>
                <w:rFonts w:ascii="Arial Narrow" w:eastAsiaTheme="majorEastAsia" w:hAnsi="Arial Narrow" w:cstheme="majorBidi"/>
                <w:bCs/>
                <w:sz w:val="20"/>
                <w:szCs w:val="20"/>
              </w:rPr>
              <w:t xml:space="preserve"> ICS</w:t>
            </w:r>
          </w:p>
        </w:tc>
        <w:tc>
          <w:tcPr>
            <w:tcW w:w="1465" w:type="dxa"/>
            <w:shd w:val="clear" w:color="auto" w:fill="FFFFFF" w:themeFill="background1"/>
            <w:vAlign w:val="center"/>
          </w:tcPr>
          <w:p w14:paraId="04496443"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NAVIGATOR</w:t>
            </w:r>
          </w:p>
        </w:tc>
        <w:tc>
          <w:tcPr>
            <w:tcW w:w="1599" w:type="dxa"/>
            <w:tcBorders>
              <w:bottom w:val="single" w:sz="4" w:space="0" w:color="auto"/>
            </w:tcBorders>
          </w:tcPr>
          <w:p w14:paraId="0E98121E"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N=339</w:t>
            </w:r>
          </w:p>
          <w:p w14:paraId="7AFBD014"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0.85 (NR)</w:t>
            </w:r>
          </w:p>
        </w:tc>
        <w:tc>
          <w:tcPr>
            <w:tcW w:w="1591" w:type="dxa"/>
            <w:tcBorders>
              <w:bottom w:val="single" w:sz="4" w:space="0" w:color="auto"/>
            </w:tcBorders>
          </w:tcPr>
          <w:p w14:paraId="296A7E89"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N=341</w:t>
            </w:r>
          </w:p>
          <w:p w14:paraId="75851D91"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2.03 (NR)</w:t>
            </w:r>
          </w:p>
        </w:tc>
        <w:tc>
          <w:tcPr>
            <w:tcW w:w="1187" w:type="dxa"/>
            <w:tcBorders>
              <w:bottom w:val="single" w:sz="4" w:space="0" w:color="auto"/>
            </w:tcBorders>
          </w:tcPr>
          <w:p w14:paraId="0ECC2EAD"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0.42</w:t>
            </w:r>
          </w:p>
          <w:p w14:paraId="4A276502"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(0.33, 0.53)</w:t>
            </w:r>
          </w:p>
        </w:tc>
        <w:tc>
          <w:tcPr>
            <w:tcW w:w="1529" w:type="dxa"/>
            <w:tcBorders>
              <w:bottom w:val="single" w:sz="4" w:space="0" w:color="auto"/>
            </w:tcBorders>
          </w:tcPr>
          <w:p w14:paraId="645AE679"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NA</w:t>
            </w:r>
          </w:p>
        </w:tc>
      </w:tr>
      <w:tr w:rsidR="0014336E" w:rsidRPr="009C565F" w14:paraId="5BC35E89" w14:textId="77777777">
        <w:trPr>
          <w:cantSplit/>
          <w:jc w:val="center"/>
        </w:trPr>
        <w:tc>
          <w:tcPr>
            <w:tcW w:w="1645" w:type="dxa"/>
            <w:vMerge/>
            <w:shd w:val="clear" w:color="auto" w:fill="FFFFFF" w:themeFill="background1"/>
            <w:vAlign w:val="center"/>
          </w:tcPr>
          <w:p w14:paraId="15392AF7"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p>
        </w:tc>
        <w:tc>
          <w:tcPr>
            <w:tcW w:w="1465" w:type="dxa"/>
            <w:shd w:val="clear" w:color="auto" w:fill="FFFFFF" w:themeFill="background1"/>
            <w:vAlign w:val="center"/>
          </w:tcPr>
          <w:p w14:paraId="4D3211C8"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PATHWAY</w:t>
            </w:r>
          </w:p>
        </w:tc>
        <w:tc>
          <w:tcPr>
            <w:tcW w:w="1599" w:type="dxa"/>
            <w:tcBorders>
              <w:top w:val="single" w:sz="4" w:space="0" w:color="auto"/>
              <w:bottom w:val="single" w:sz="4" w:space="0" w:color="auto"/>
            </w:tcBorders>
          </w:tcPr>
          <w:p w14:paraId="14E10D83"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N=77</w:t>
            </w:r>
          </w:p>
          <w:p w14:paraId="18D004A1"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0.14 (NR)</w:t>
            </w:r>
          </w:p>
        </w:tc>
        <w:tc>
          <w:tcPr>
            <w:tcW w:w="1591" w:type="dxa"/>
            <w:tcBorders>
              <w:top w:val="single" w:sz="4" w:space="0" w:color="auto"/>
              <w:bottom w:val="single" w:sz="4" w:space="0" w:color="auto"/>
            </w:tcBorders>
          </w:tcPr>
          <w:p w14:paraId="7F4E4424"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N=80</w:t>
            </w:r>
          </w:p>
          <w:p w14:paraId="789906FF"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0.75 (NR)</w:t>
            </w:r>
          </w:p>
        </w:tc>
        <w:tc>
          <w:tcPr>
            <w:tcW w:w="1187" w:type="dxa"/>
            <w:tcBorders>
              <w:top w:val="single" w:sz="4" w:space="0" w:color="auto"/>
              <w:bottom w:val="single" w:sz="4" w:space="0" w:color="auto"/>
            </w:tcBorders>
          </w:tcPr>
          <w:p w14:paraId="21AE5076"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0.18</w:t>
            </w:r>
          </w:p>
          <w:p w14:paraId="37518108"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(0.07, 0.44)</w:t>
            </w:r>
          </w:p>
        </w:tc>
        <w:tc>
          <w:tcPr>
            <w:tcW w:w="1529" w:type="dxa"/>
            <w:tcBorders>
              <w:top w:val="single" w:sz="4" w:space="0" w:color="auto"/>
              <w:bottom w:val="single" w:sz="4" w:space="0" w:color="auto"/>
            </w:tcBorders>
          </w:tcPr>
          <w:p w14:paraId="4CCFD24B"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NR</w:t>
            </w:r>
          </w:p>
        </w:tc>
      </w:tr>
      <w:tr w:rsidR="0014336E" w:rsidRPr="009C565F" w14:paraId="07F8FCD4" w14:textId="77777777">
        <w:trPr>
          <w:cantSplit/>
          <w:jc w:val="center"/>
        </w:trPr>
        <w:tc>
          <w:tcPr>
            <w:tcW w:w="1645" w:type="dxa"/>
            <w:vMerge w:val="restart"/>
            <w:shd w:val="clear" w:color="auto" w:fill="FFFFFF" w:themeFill="background1"/>
            <w:vAlign w:val="center"/>
          </w:tcPr>
          <w:p w14:paraId="710E9F0F"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High ICS</w:t>
            </w:r>
          </w:p>
        </w:tc>
        <w:tc>
          <w:tcPr>
            <w:tcW w:w="1465" w:type="dxa"/>
            <w:shd w:val="clear" w:color="auto" w:fill="FFFFFF" w:themeFill="background1"/>
            <w:vAlign w:val="center"/>
          </w:tcPr>
          <w:p w14:paraId="58F8F4DD"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NAVIGATOR</w:t>
            </w:r>
          </w:p>
        </w:tc>
        <w:tc>
          <w:tcPr>
            <w:tcW w:w="1599" w:type="dxa"/>
            <w:tcBorders>
              <w:top w:val="single" w:sz="4" w:space="0" w:color="auto"/>
              <w:bottom w:val="single" w:sz="4" w:space="0" w:color="auto"/>
            </w:tcBorders>
            <w:shd w:val="clear" w:color="auto" w:fill="FFFFFF" w:themeFill="background1"/>
          </w:tcPr>
          <w:p w14:paraId="61D6AA35"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N=255</w:t>
            </w:r>
          </w:p>
          <w:p w14:paraId="034CB0FD"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sz w:val="20"/>
                <w:szCs w:val="20"/>
              </w:rPr>
              <w:t>0.83 (0.67, 1.04)</w:t>
            </w:r>
          </w:p>
        </w:tc>
        <w:tc>
          <w:tcPr>
            <w:tcW w:w="1591" w:type="dxa"/>
            <w:tcBorders>
              <w:top w:val="single" w:sz="4" w:space="0" w:color="auto"/>
              <w:bottom w:val="single" w:sz="4" w:space="0" w:color="auto"/>
            </w:tcBorders>
            <w:shd w:val="clear" w:color="auto" w:fill="FFFFFF" w:themeFill="background1"/>
          </w:tcPr>
          <w:p w14:paraId="302E8572"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N=258</w:t>
            </w:r>
          </w:p>
          <w:p w14:paraId="03C22E5A"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sz w:val="20"/>
                <w:szCs w:val="20"/>
              </w:rPr>
              <w:t>2.47 (2.04, 2.99)</w:t>
            </w:r>
          </w:p>
        </w:tc>
        <w:tc>
          <w:tcPr>
            <w:tcW w:w="1187" w:type="dxa"/>
            <w:tcBorders>
              <w:top w:val="single" w:sz="4" w:space="0" w:color="auto"/>
              <w:bottom w:val="single" w:sz="4" w:space="0" w:color="auto"/>
            </w:tcBorders>
            <w:shd w:val="clear" w:color="auto" w:fill="FFFFFF" w:themeFill="background1"/>
          </w:tcPr>
          <w:p w14:paraId="4B78E532"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0.34</w:t>
            </w:r>
          </w:p>
          <w:p w14:paraId="77FD9956"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hAnsi="Arial Narrow"/>
                <w:b/>
                <w:sz w:val="20"/>
                <w:szCs w:val="20"/>
              </w:rPr>
              <w:t>(0.25, 0.45)</w:t>
            </w:r>
          </w:p>
        </w:tc>
        <w:tc>
          <w:tcPr>
            <w:tcW w:w="1529" w:type="dxa"/>
            <w:tcBorders>
              <w:top w:val="single" w:sz="4" w:space="0" w:color="auto"/>
              <w:bottom w:val="single" w:sz="4" w:space="0" w:color="auto"/>
            </w:tcBorders>
            <w:shd w:val="clear" w:color="auto" w:fill="FFFFFF" w:themeFill="background1"/>
          </w:tcPr>
          <w:p w14:paraId="56F060D7"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-1.64</w:t>
            </w:r>
          </w:p>
          <w:p w14:paraId="5EC007D2" w14:textId="77777777" w:rsidR="0014336E" w:rsidRPr="000D6B0B" w:rsidRDefault="0014336E" w:rsidP="00014955">
            <w:pPr>
              <w:keepNext/>
              <w:keepLines/>
              <w:widowControl w:val="0"/>
              <w:jc w:val="center"/>
              <w:rPr>
                <w:rFonts w:ascii="Arial Narrow" w:eastAsiaTheme="majorEastAsia" w:hAnsi="Arial Narrow" w:cstheme="majorBidi"/>
                <w:sz w:val="20"/>
                <w:szCs w:val="20"/>
              </w:rPr>
            </w:pPr>
            <w:r w:rsidRPr="000D6B0B">
              <w:rPr>
                <w:rFonts w:ascii="Arial Narrow" w:hAnsi="Arial Narrow"/>
                <w:b/>
                <w:bCs/>
                <w:sz w:val="20"/>
                <w:szCs w:val="20"/>
              </w:rPr>
              <w:t>(-2.13, -1.14)</w:t>
            </w:r>
          </w:p>
        </w:tc>
      </w:tr>
      <w:tr w:rsidR="0014336E" w:rsidRPr="009C565F" w14:paraId="040C61F9" w14:textId="77777777">
        <w:trPr>
          <w:cantSplit/>
          <w:jc w:val="center"/>
        </w:trPr>
        <w:tc>
          <w:tcPr>
            <w:tcW w:w="1645" w:type="dxa"/>
            <w:vMerge/>
            <w:shd w:val="clear" w:color="auto" w:fill="FFFFFF" w:themeFill="background1"/>
            <w:vAlign w:val="center"/>
          </w:tcPr>
          <w:p w14:paraId="7607F5F4"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p>
        </w:tc>
        <w:tc>
          <w:tcPr>
            <w:tcW w:w="1465" w:type="dxa"/>
            <w:shd w:val="clear" w:color="auto" w:fill="FFFFFF" w:themeFill="background1"/>
            <w:vAlign w:val="center"/>
          </w:tcPr>
          <w:p w14:paraId="2A738089"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PATHWAY</w:t>
            </w:r>
          </w:p>
        </w:tc>
        <w:tc>
          <w:tcPr>
            <w:tcW w:w="1599" w:type="dxa"/>
            <w:tcBorders>
              <w:top w:val="single" w:sz="4" w:space="0" w:color="auto"/>
              <w:bottom w:val="single" w:sz="4" w:space="0" w:color="auto"/>
            </w:tcBorders>
            <w:shd w:val="clear" w:color="auto" w:fill="FFFFFF" w:themeFill="background1"/>
          </w:tcPr>
          <w:p w14:paraId="2C16DB04"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N=36</w:t>
            </w:r>
          </w:p>
          <w:p w14:paraId="03DCFABA"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bCs/>
                <w:sz w:val="20"/>
                <w:szCs w:val="20"/>
              </w:rPr>
              <w:t>0.24 (0.10, 0.48)</w:t>
            </w:r>
          </w:p>
        </w:tc>
        <w:tc>
          <w:tcPr>
            <w:tcW w:w="1591" w:type="dxa"/>
            <w:tcBorders>
              <w:top w:val="single" w:sz="4" w:space="0" w:color="auto"/>
              <w:bottom w:val="single" w:sz="4" w:space="0" w:color="auto"/>
            </w:tcBorders>
            <w:shd w:val="clear" w:color="auto" w:fill="FFFFFF" w:themeFill="background1"/>
          </w:tcPr>
          <w:p w14:paraId="4F8B75FB"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N=41</w:t>
            </w:r>
          </w:p>
          <w:p w14:paraId="3439F1CE"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bCs/>
                <w:sz w:val="20"/>
                <w:szCs w:val="20"/>
              </w:rPr>
              <w:t>1.10 (0.79, 1.48)</w:t>
            </w:r>
          </w:p>
        </w:tc>
        <w:tc>
          <w:tcPr>
            <w:tcW w:w="1187" w:type="dxa"/>
            <w:tcBorders>
              <w:top w:val="single" w:sz="4" w:space="0" w:color="auto"/>
              <w:bottom w:val="single" w:sz="4" w:space="0" w:color="auto"/>
            </w:tcBorders>
            <w:shd w:val="clear" w:color="auto" w:fill="FFFFFF" w:themeFill="background1"/>
          </w:tcPr>
          <w:p w14:paraId="2DFE3A96"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0.18</w:t>
            </w:r>
          </w:p>
          <w:p w14:paraId="0D1A62AA"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hAnsi="Arial Narrow"/>
                <w:b/>
                <w:sz w:val="20"/>
                <w:szCs w:val="20"/>
              </w:rPr>
              <w:t>(0.05, 0.67)</w:t>
            </w:r>
          </w:p>
        </w:tc>
        <w:tc>
          <w:tcPr>
            <w:tcW w:w="1529" w:type="dxa"/>
            <w:tcBorders>
              <w:top w:val="single" w:sz="4" w:space="0" w:color="auto"/>
              <w:bottom w:val="single" w:sz="4" w:space="0" w:color="auto"/>
            </w:tcBorders>
            <w:shd w:val="clear" w:color="auto" w:fill="FFFFFF" w:themeFill="background1"/>
          </w:tcPr>
          <w:p w14:paraId="4847C2E3"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hAnsi="Arial Narrow"/>
                <w:b/>
                <w:sz w:val="20"/>
                <w:szCs w:val="20"/>
              </w:rPr>
              <w:t>NR</w:t>
            </w:r>
          </w:p>
        </w:tc>
      </w:tr>
      <w:tr w:rsidR="0014336E" w:rsidRPr="009C565F" w14:paraId="69FD3D12" w14:textId="77777777">
        <w:trPr>
          <w:cantSplit/>
          <w:trHeight w:val="502"/>
          <w:jc w:val="center"/>
        </w:trPr>
        <w:tc>
          <w:tcPr>
            <w:tcW w:w="1645" w:type="dxa"/>
            <w:vMerge w:val="restart"/>
            <w:shd w:val="clear" w:color="auto" w:fill="FFFFFF" w:themeFill="background1"/>
            <w:vAlign w:val="center"/>
          </w:tcPr>
          <w:p w14:paraId="6A174953"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High ICS with no OCS</w:t>
            </w:r>
          </w:p>
        </w:tc>
        <w:tc>
          <w:tcPr>
            <w:tcW w:w="1465" w:type="dxa"/>
            <w:shd w:val="clear" w:color="auto" w:fill="FFFFFF" w:themeFill="background1"/>
            <w:vAlign w:val="center"/>
          </w:tcPr>
          <w:p w14:paraId="1A64D404"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NAVIGATOR</w:t>
            </w:r>
          </w:p>
        </w:tc>
        <w:tc>
          <w:tcPr>
            <w:tcW w:w="1599" w:type="dxa"/>
            <w:tcBorders>
              <w:top w:val="single" w:sz="4" w:space="0" w:color="auto"/>
            </w:tcBorders>
            <w:shd w:val="clear" w:color="auto" w:fill="FFFFFF" w:themeFill="background1"/>
          </w:tcPr>
          <w:p w14:paraId="29264F48"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N=232</w:t>
            </w:r>
          </w:p>
          <w:p w14:paraId="3DBC4EFA"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sz w:val="20"/>
                <w:szCs w:val="20"/>
              </w:rPr>
              <w:t>0.74 (0.58, 0.93)</w:t>
            </w:r>
          </w:p>
        </w:tc>
        <w:tc>
          <w:tcPr>
            <w:tcW w:w="1591" w:type="dxa"/>
            <w:tcBorders>
              <w:top w:val="single" w:sz="4" w:space="0" w:color="auto"/>
            </w:tcBorders>
            <w:shd w:val="clear" w:color="auto" w:fill="FFFFFF" w:themeFill="background1"/>
          </w:tcPr>
          <w:p w14:paraId="7C2EB425"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N=235</w:t>
            </w:r>
          </w:p>
          <w:p w14:paraId="26C1DBCA"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sz w:val="20"/>
                <w:szCs w:val="20"/>
              </w:rPr>
              <w:t>2.34 (1.92, 2.86)</w:t>
            </w:r>
          </w:p>
        </w:tc>
        <w:tc>
          <w:tcPr>
            <w:tcW w:w="1187" w:type="dxa"/>
            <w:tcBorders>
              <w:top w:val="single" w:sz="4" w:space="0" w:color="auto"/>
            </w:tcBorders>
            <w:shd w:val="clear" w:color="auto" w:fill="FFFFFF" w:themeFill="background1"/>
          </w:tcPr>
          <w:p w14:paraId="7619A108"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0.32</w:t>
            </w:r>
          </w:p>
          <w:p w14:paraId="5043A924"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hAnsi="Arial Narrow"/>
                <w:b/>
                <w:sz w:val="20"/>
                <w:szCs w:val="20"/>
              </w:rPr>
              <w:t>(0.23, 0.43)</w:t>
            </w:r>
          </w:p>
        </w:tc>
        <w:tc>
          <w:tcPr>
            <w:tcW w:w="1529" w:type="dxa"/>
            <w:tcBorders>
              <w:top w:val="single" w:sz="4" w:space="0" w:color="auto"/>
            </w:tcBorders>
            <w:shd w:val="clear" w:color="auto" w:fill="FFFFFF" w:themeFill="background1"/>
          </w:tcPr>
          <w:p w14:paraId="4EBCA005"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-1.60</w:t>
            </w:r>
          </w:p>
          <w:p w14:paraId="3553C6C5" w14:textId="77777777" w:rsidR="0014336E" w:rsidRPr="000D6B0B" w:rsidRDefault="0014336E" w:rsidP="00014955">
            <w:pPr>
              <w:keepNext/>
              <w:keepLines/>
              <w:widowControl w:val="0"/>
              <w:jc w:val="center"/>
              <w:rPr>
                <w:rFonts w:ascii="Arial Narrow" w:eastAsiaTheme="majorEastAsia" w:hAnsi="Arial Narrow" w:cstheme="majorBidi"/>
                <w:sz w:val="20"/>
                <w:szCs w:val="20"/>
              </w:rPr>
            </w:pPr>
            <w:r w:rsidRPr="000D6B0B">
              <w:rPr>
                <w:rFonts w:ascii="Arial Narrow" w:hAnsi="Arial Narrow"/>
                <w:b/>
                <w:bCs/>
                <w:sz w:val="20"/>
                <w:szCs w:val="20"/>
              </w:rPr>
              <w:t>(-2.09, -1.11)</w:t>
            </w:r>
          </w:p>
        </w:tc>
      </w:tr>
      <w:tr w:rsidR="0014336E" w:rsidRPr="009C565F" w14:paraId="28317777" w14:textId="77777777">
        <w:trPr>
          <w:cantSplit/>
          <w:jc w:val="center"/>
        </w:trPr>
        <w:tc>
          <w:tcPr>
            <w:tcW w:w="1645" w:type="dxa"/>
            <w:vMerge/>
            <w:shd w:val="clear" w:color="auto" w:fill="FFFFFF" w:themeFill="background1"/>
            <w:vAlign w:val="center"/>
          </w:tcPr>
          <w:p w14:paraId="331CBCA6"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p>
        </w:tc>
        <w:tc>
          <w:tcPr>
            <w:tcW w:w="1465" w:type="dxa"/>
            <w:shd w:val="clear" w:color="auto" w:fill="FFFFFF" w:themeFill="background1"/>
            <w:vAlign w:val="center"/>
          </w:tcPr>
          <w:p w14:paraId="707DEF5D"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PATHWAY</w:t>
            </w:r>
          </w:p>
        </w:tc>
        <w:tc>
          <w:tcPr>
            <w:tcW w:w="1599" w:type="dxa"/>
            <w:tcBorders>
              <w:top w:val="dotted" w:sz="4" w:space="0" w:color="auto"/>
              <w:bottom w:val="dotted" w:sz="4" w:space="0" w:color="auto"/>
            </w:tcBorders>
            <w:shd w:val="clear" w:color="auto" w:fill="FFFFFF" w:themeFill="background1"/>
          </w:tcPr>
          <w:p w14:paraId="2A54B26E"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N=31</w:t>
            </w:r>
          </w:p>
          <w:p w14:paraId="0E4DF251"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0.18 (0.06, 0.41)</w:t>
            </w:r>
          </w:p>
        </w:tc>
        <w:tc>
          <w:tcPr>
            <w:tcW w:w="1591" w:type="dxa"/>
            <w:tcBorders>
              <w:top w:val="dotted" w:sz="4" w:space="0" w:color="auto"/>
              <w:bottom w:val="dotted" w:sz="4" w:space="0" w:color="auto"/>
            </w:tcBorders>
            <w:shd w:val="clear" w:color="auto" w:fill="FFFFFF" w:themeFill="background1"/>
          </w:tcPr>
          <w:p w14:paraId="5F55C46C"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N=32</w:t>
            </w:r>
          </w:p>
          <w:p w14:paraId="785D4982"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0.83 (0.54, 1.22)</w:t>
            </w:r>
          </w:p>
        </w:tc>
        <w:tc>
          <w:tcPr>
            <w:tcW w:w="1187" w:type="dxa"/>
            <w:tcBorders>
              <w:top w:val="dotted" w:sz="4" w:space="0" w:color="auto"/>
              <w:bottom w:val="dotted" w:sz="4" w:space="0" w:color="auto"/>
            </w:tcBorders>
            <w:shd w:val="clear" w:color="auto" w:fill="FFFFFF" w:themeFill="background1"/>
          </w:tcPr>
          <w:p w14:paraId="2DD9FE1C"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0.16</w:t>
            </w:r>
          </w:p>
          <w:p w14:paraId="1EF631A5" w14:textId="77777777" w:rsidR="0014336E" w:rsidRPr="000D6B0B" w:rsidRDefault="0014336E" w:rsidP="00014955">
            <w:pPr>
              <w:keepNext/>
              <w:keepLines/>
              <w:widowControl w:val="0"/>
              <w:jc w:val="center"/>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(0.03, 0.90)</w:t>
            </w:r>
          </w:p>
        </w:tc>
        <w:tc>
          <w:tcPr>
            <w:tcW w:w="1529" w:type="dxa"/>
            <w:tcBorders>
              <w:top w:val="dotted" w:sz="4" w:space="0" w:color="auto"/>
              <w:bottom w:val="dotted" w:sz="4" w:space="0" w:color="auto"/>
            </w:tcBorders>
            <w:shd w:val="clear" w:color="auto" w:fill="FFFFFF" w:themeFill="background1"/>
          </w:tcPr>
          <w:p w14:paraId="65DB46A1" w14:textId="77777777" w:rsidR="0014336E" w:rsidRPr="000D6B0B" w:rsidRDefault="0014336E" w:rsidP="00014955">
            <w:pPr>
              <w:keepNext/>
              <w:keepLines/>
              <w:widowControl w:val="0"/>
              <w:jc w:val="center"/>
              <w:rPr>
                <w:rFonts w:ascii="Arial Narrow" w:hAnsi="Arial Narrow"/>
                <w:b/>
                <w:bCs/>
                <w:sz w:val="20"/>
                <w:szCs w:val="20"/>
              </w:rPr>
            </w:pPr>
            <w:r w:rsidRPr="000D6B0B">
              <w:rPr>
                <w:rFonts w:ascii="Arial Narrow" w:hAnsi="Arial Narrow"/>
                <w:b/>
                <w:bCs/>
                <w:sz w:val="20"/>
                <w:szCs w:val="20"/>
              </w:rPr>
              <w:t>NR</w:t>
            </w:r>
          </w:p>
        </w:tc>
      </w:tr>
      <w:tr w:rsidR="0014336E" w:rsidRPr="009C565F" w14:paraId="5CE108BD" w14:textId="77777777">
        <w:trPr>
          <w:cantSplit/>
          <w:jc w:val="center"/>
        </w:trPr>
        <w:tc>
          <w:tcPr>
            <w:tcW w:w="9016" w:type="dxa"/>
            <w:gridSpan w:val="6"/>
            <w:tcBorders>
              <w:bottom w:val="single" w:sz="4" w:space="0" w:color="auto"/>
            </w:tcBorders>
            <w:shd w:val="clear" w:color="auto" w:fill="FFFFFF" w:themeFill="background1"/>
            <w:vAlign w:val="center"/>
          </w:tcPr>
          <w:p w14:paraId="0CC0D611" w14:textId="77777777" w:rsidR="0014336E" w:rsidRPr="000D6B0B" w:rsidRDefault="0014336E" w:rsidP="00014955">
            <w:pPr>
              <w:keepNext/>
              <w:keepLines/>
              <w:widowControl w:val="0"/>
              <w:jc w:val="left"/>
              <w:rPr>
                <w:rFonts w:ascii="Arial Narrow" w:eastAsiaTheme="majorEastAsia" w:hAnsi="Arial Narrow" w:cstheme="majorBidi"/>
                <w:b/>
                <w:sz w:val="20"/>
                <w:szCs w:val="20"/>
              </w:rPr>
            </w:pPr>
            <w:proofErr w:type="spellStart"/>
            <w:r w:rsidRPr="000D6B0B">
              <w:rPr>
                <w:rFonts w:ascii="Arial Narrow" w:eastAsiaTheme="majorEastAsia" w:hAnsi="Arial Narrow" w:cstheme="majorBidi"/>
                <w:b/>
                <w:sz w:val="20"/>
                <w:szCs w:val="20"/>
              </w:rPr>
              <w:t>EOSic</w:t>
            </w:r>
            <w:proofErr w:type="spellEnd"/>
            <w:r w:rsidRPr="000D6B0B">
              <w:rPr>
                <w:rFonts w:ascii="Arial Narrow" w:eastAsiaTheme="majorEastAsia" w:hAnsi="Arial Narrow" w:cstheme="majorBidi"/>
                <w:b/>
                <w:sz w:val="20"/>
                <w:szCs w:val="20"/>
              </w:rPr>
              <w:t xml:space="preserve"> subgroup (EOS ≥150 cells/</w:t>
            </w:r>
            <w:proofErr w:type="spellStart"/>
            <w:r w:rsidRPr="000D6B0B">
              <w:rPr>
                <w:rFonts w:ascii="Arial Narrow" w:eastAsiaTheme="majorEastAsia" w:hAnsi="Arial Narrow" w:cstheme="majorBidi"/>
                <w:b/>
                <w:sz w:val="20"/>
                <w:szCs w:val="20"/>
              </w:rPr>
              <w:t>μL</w:t>
            </w:r>
            <w:proofErr w:type="spellEnd"/>
            <w:r w:rsidRPr="000D6B0B">
              <w:rPr>
                <w:rFonts w:ascii="Arial Narrow" w:eastAsiaTheme="majorEastAsia" w:hAnsi="Arial Narrow" w:cstheme="majorBidi"/>
                <w:b/>
                <w:sz w:val="20"/>
                <w:szCs w:val="20"/>
              </w:rPr>
              <w:t>)</w:t>
            </w:r>
          </w:p>
        </w:tc>
      </w:tr>
      <w:tr w:rsidR="0014336E" w:rsidRPr="009C565F" w14:paraId="38C9FCFB" w14:textId="77777777">
        <w:trPr>
          <w:cantSplit/>
          <w:trHeight w:val="508"/>
          <w:jc w:val="center"/>
        </w:trPr>
        <w:tc>
          <w:tcPr>
            <w:tcW w:w="1645" w:type="dxa"/>
            <w:tcBorders>
              <w:top w:val="single" w:sz="4" w:space="0" w:color="auto"/>
              <w:bottom w:val="double" w:sz="4" w:space="0" w:color="auto"/>
            </w:tcBorders>
            <w:shd w:val="clear" w:color="auto" w:fill="FFFFFF" w:themeFill="background1"/>
            <w:vAlign w:val="center"/>
          </w:tcPr>
          <w:p w14:paraId="40192E33"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High ICS and OCS</w:t>
            </w:r>
          </w:p>
        </w:tc>
        <w:tc>
          <w:tcPr>
            <w:tcW w:w="1465" w:type="dxa"/>
            <w:tcBorders>
              <w:top w:val="single" w:sz="4" w:space="0" w:color="auto"/>
              <w:bottom w:val="double" w:sz="4" w:space="0" w:color="auto"/>
            </w:tcBorders>
            <w:shd w:val="clear" w:color="auto" w:fill="FFFFFF" w:themeFill="background1"/>
            <w:vAlign w:val="center"/>
          </w:tcPr>
          <w:p w14:paraId="210E37D1"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SOURCE</w:t>
            </w:r>
          </w:p>
        </w:tc>
        <w:tc>
          <w:tcPr>
            <w:tcW w:w="1599" w:type="dxa"/>
            <w:tcBorders>
              <w:top w:val="single" w:sz="4" w:space="0" w:color="auto"/>
              <w:bottom w:val="double" w:sz="4" w:space="0" w:color="auto"/>
            </w:tcBorders>
            <w:shd w:val="clear" w:color="auto" w:fill="FFFFFF" w:themeFill="background1"/>
          </w:tcPr>
          <w:p w14:paraId="398005DF"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N=47</w:t>
            </w:r>
          </w:p>
          <w:p w14:paraId="7F6E17A5"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sz w:val="20"/>
                <w:szCs w:val="20"/>
              </w:rPr>
              <w:t>0.92 (0.58,1.44)</w:t>
            </w:r>
          </w:p>
        </w:tc>
        <w:tc>
          <w:tcPr>
            <w:tcW w:w="1591" w:type="dxa"/>
            <w:tcBorders>
              <w:top w:val="single" w:sz="4" w:space="0" w:color="auto"/>
              <w:bottom w:val="double" w:sz="4" w:space="0" w:color="auto"/>
            </w:tcBorders>
            <w:shd w:val="clear" w:color="auto" w:fill="FFFFFF" w:themeFill="background1"/>
          </w:tcPr>
          <w:p w14:paraId="3D8E1AC4"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N=52</w:t>
            </w:r>
          </w:p>
          <w:p w14:paraId="0FA59491"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sz w:val="20"/>
                <w:szCs w:val="20"/>
              </w:rPr>
              <w:t>2.15 (1.49,3.09)</w:t>
            </w:r>
          </w:p>
        </w:tc>
        <w:tc>
          <w:tcPr>
            <w:tcW w:w="1187" w:type="dxa"/>
            <w:tcBorders>
              <w:top w:val="single" w:sz="4" w:space="0" w:color="auto"/>
              <w:bottom w:val="double" w:sz="4" w:space="0" w:color="auto"/>
            </w:tcBorders>
            <w:shd w:val="clear" w:color="auto" w:fill="FFFFFF" w:themeFill="background1"/>
          </w:tcPr>
          <w:p w14:paraId="5E413D77"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eastAsiaTheme="majorEastAsia" w:hAnsi="Arial Narrow" w:cstheme="majorBidi"/>
                <w:b/>
                <w:bCs/>
                <w:sz w:val="20"/>
                <w:szCs w:val="20"/>
              </w:rPr>
              <w:t>0.43</w:t>
            </w:r>
          </w:p>
          <w:p w14:paraId="07DFE051" w14:textId="77777777" w:rsidR="0014336E" w:rsidRPr="000D6B0B" w:rsidRDefault="0014336E" w:rsidP="00014955">
            <w:pPr>
              <w:keepNext/>
              <w:keepLines/>
              <w:widowControl w:val="0"/>
              <w:jc w:val="center"/>
              <w:rPr>
                <w:rFonts w:ascii="Arial Narrow" w:eastAsiaTheme="majorEastAsia" w:hAnsi="Arial Narrow" w:cstheme="majorBidi"/>
                <w:sz w:val="20"/>
                <w:szCs w:val="20"/>
              </w:rPr>
            </w:pPr>
            <w:r w:rsidRPr="000D6B0B">
              <w:rPr>
                <w:rFonts w:ascii="Arial Narrow" w:hAnsi="Arial Narrow"/>
                <w:b/>
                <w:bCs/>
                <w:sz w:val="20"/>
                <w:szCs w:val="20"/>
              </w:rPr>
              <w:t>(0.24, 0.76)</w:t>
            </w:r>
          </w:p>
        </w:tc>
        <w:tc>
          <w:tcPr>
            <w:tcW w:w="1529" w:type="dxa"/>
            <w:tcBorders>
              <w:top w:val="single" w:sz="4" w:space="0" w:color="auto"/>
            </w:tcBorders>
            <w:shd w:val="clear" w:color="auto" w:fill="FFFFFF" w:themeFill="background1"/>
          </w:tcPr>
          <w:p w14:paraId="32AD2DFC" w14:textId="77777777" w:rsidR="0014336E" w:rsidRPr="000D6B0B" w:rsidRDefault="0014336E" w:rsidP="00014955">
            <w:pPr>
              <w:keepNext/>
              <w:keepLines/>
              <w:widowControl w:val="0"/>
              <w:jc w:val="center"/>
              <w:rPr>
                <w:rFonts w:ascii="Arial Narrow" w:eastAsiaTheme="majorEastAsia" w:hAnsi="Arial Narrow" w:cstheme="majorBidi"/>
                <w:b/>
                <w:bCs/>
                <w:sz w:val="20"/>
                <w:szCs w:val="20"/>
              </w:rPr>
            </w:pPr>
            <w:r w:rsidRPr="000D6B0B">
              <w:rPr>
                <w:rFonts w:ascii="Arial Narrow" w:hAnsi="Arial Narrow"/>
                <w:b/>
                <w:bCs/>
                <w:sz w:val="20"/>
                <w:szCs w:val="20"/>
              </w:rPr>
              <w:t xml:space="preserve">-1.23 </w:t>
            </w:r>
            <w:r w:rsidRPr="000D6B0B">
              <w:rPr>
                <w:rFonts w:ascii="Arial Narrow" w:hAnsi="Arial Narrow"/>
                <w:b/>
                <w:bCs/>
                <w:sz w:val="20"/>
                <w:szCs w:val="20"/>
              </w:rPr>
              <w:br/>
              <w:t>(-2.</w:t>
            </w:r>
            <w:proofErr w:type="gramStart"/>
            <w:r w:rsidRPr="000D6B0B">
              <w:rPr>
                <w:rFonts w:ascii="Arial Narrow" w:hAnsi="Arial Narrow"/>
                <w:b/>
                <w:bCs/>
                <w:sz w:val="20"/>
                <w:szCs w:val="20"/>
              </w:rPr>
              <w:t>10,-</w:t>
            </w:r>
            <w:proofErr w:type="gramEnd"/>
            <w:r w:rsidRPr="000D6B0B">
              <w:rPr>
                <w:rFonts w:ascii="Arial Narrow" w:hAnsi="Arial Narrow"/>
                <w:b/>
                <w:bCs/>
                <w:sz w:val="20"/>
                <w:szCs w:val="20"/>
              </w:rPr>
              <w:t>0.35)</w:t>
            </w:r>
          </w:p>
        </w:tc>
      </w:tr>
      <w:tr w:rsidR="0014336E" w:rsidRPr="009C565F" w14:paraId="325F7DFC" w14:textId="77777777">
        <w:trPr>
          <w:cantSplit/>
          <w:jc w:val="center"/>
        </w:trPr>
        <w:tc>
          <w:tcPr>
            <w:tcW w:w="9016" w:type="dxa"/>
            <w:gridSpan w:val="6"/>
            <w:tcBorders>
              <w:top w:val="double" w:sz="4" w:space="0" w:color="auto"/>
            </w:tcBorders>
            <w:shd w:val="clear" w:color="auto" w:fill="D9D9D9" w:themeFill="background1" w:themeFillShade="D9"/>
            <w:vAlign w:val="center"/>
          </w:tcPr>
          <w:p w14:paraId="37FAFA42" w14:textId="77777777" w:rsidR="0014336E" w:rsidRPr="000D6B0B" w:rsidRDefault="0014336E" w:rsidP="00014955">
            <w:pPr>
              <w:keepNext/>
              <w:keepLines/>
              <w:widowControl w:val="0"/>
              <w:rPr>
                <w:rFonts w:ascii="Arial Narrow" w:eastAsiaTheme="majorEastAsia" w:hAnsi="Arial Narrow" w:cstheme="majorBidi"/>
                <w:b/>
                <w:sz w:val="20"/>
                <w:szCs w:val="20"/>
                <w:vertAlign w:val="superscript"/>
              </w:rPr>
            </w:pPr>
            <w:r w:rsidRPr="000D6B0B">
              <w:rPr>
                <w:rFonts w:ascii="Arial Narrow" w:eastAsiaTheme="majorEastAsia" w:hAnsi="Arial Narrow" w:cstheme="majorBidi"/>
                <w:b/>
                <w:sz w:val="20"/>
                <w:szCs w:val="20"/>
              </w:rPr>
              <w:t>Non-</w:t>
            </w:r>
            <w:proofErr w:type="spellStart"/>
            <w:r w:rsidRPr="000D6B0B">
              <w:rPr>
                <w:rFonts w:ascii="Arial Narrow" w:eastAsiaTheme="majorEastAsia" w:hAnsi="Arial Narrow" w:cstheme="majorBidi"/>
                <w:b/>
                <w:sz w:val="20"/>
                <w:szCs w:val="20"/>
              </w:rPr>
              <w:t>EOSic</w:t>
            </w:r>
            <w:proofErr w:type="spellEnd"/>
            <w:r w:rsidRPr="000D6B0B">
              <w:rPr>
                <w:rFonts w:ascii="Arial Narrow" w:eastAsiaTheme="majorEastAsia" w:hAnsi="Arial Narrow" w:cstheme="majorBidi"/>
                <w:b/>
                <w:sz w:val="20"/>
                <w:szCs w:val="20"/>
              </w:rPr>
              <w:t xml:space="preserve"> and non-allergic SUA subgroup </w:t>
            </w:r>
            <w:r w:rsidRPr="000D6B0B">
              <w:rPr>
                <w:rFonts w:ascii="Arial Narrow" w:eastAsiaTheme="majorEastAsia" w:hAnsi="Arial Narrow" w:cstheme="majorBidi"/>
                <w:b/>
                <w:sz w:val="20"/>
                <w:szCs w:val="20"/>
                <w:vertAlign w:val="superscript"/>
              </w:rPr>
              <w:t>a</w:t>
            </w:r>
          </w:p>
        </w:tc>
      </w:tr>
      <w:tr w:rsidR="0014336E" w:rsidRPr="009C565F" w14:paraId="4C8252FE" w14:textId="77777777">
        <w:trPr>
          <w:cantSplit/>
          <w:jc w:val="center"/>
        </w:trPr>
        <w:tc>
          <w:tcPr>
            <w:tcW w:w="9016" w:type="dxa"/>
            <w:gridSpan w:val="6"/>
            <w:shd w:val="clear" w:color="auto" w:fill="D9D9D9" w:themeFill="background1" w:themeFillShade="D9"/>
            <w:vAlign w:val="center"/>
          </w:tcPr>
          <w:p w14:paraId="1470F561" w14:textId="77777777" w:rsidR="0014336E" w:rsidRPr="000D6B0B" w:rsidRDefault="0014336E" w:rsidP="00014955">
            <w:pPr>
              <w:keepNext/>
              <w:keepLines/>
              <w:widowControl w:val="0"/>
              <w:rPr>
                <w:rFonts w:ascii="Arial Narrow" w:eastAsiaTheme="majorEastAsia" w:hAnsi="Arial Narrow" w:cstheme="majorBidi"/>
                <w:b/>
                <w:sz w:val="20"/>
                <w:szCs w:val="20"/>
              </w:rPr>
            </w:pPr>
            <w:r w:rsidRPr="000D6B0B">
              <w:rPr>
                <w:rFonts w:ascii="Arial Narrow" w:eastAsiaTheme="majorEastAsia" w:hAnsi="Arial Narrow" w:cstheme="majorBidi"/>
                <w:b/>
                <w:sz w:val="20"/>
                <w:szCs w:val="20"/>
              </w:rPr>
              <w:t>Non-</w:t>
            </w:r>
            <w:proofErr w:type="spellStart"/>
            <w:r w:rsidRPr="000D6B0B">
              <w:rPr>
                <w:rFonts w:ascii="Arial Narrow" w:eastAsiaTheme="majorEastAsia" w:hAnsi="Arial Narrow" w:cstheme="majorBidi"/>
                <w:b/>
                <w:sz w:val="20"/>
                <w:szCs w:val="20"/>
              </w:rPr>
              <w:t>EOSic</w:t>
            </w:r>
            <w:proofErr w:type="spellEnd"/>
            <w:r w:rsidRPr="000D6B0B">
              <w:rPr>
                <w:rFonts w:ascii="Arial Narrow" w:eastAsiaTheme="majorEastAsia" w:hAnsi="Arial Narrow" w:cstheme="majorBidi"/>
                <w:b/>
                <w:sz w:val="20"/>
                <w:szCs w:val="20"/>
              </w:rPr>
              <w:t xml:space="preserve"> (&lt;300cells/µl) + non-allergic (perennial specific IgE status negative)</w:t>
            </w:r>
          </w:p>
        </w:tc>
      </w:tr>
      <w:tr w:rsidR="0014336E" w:rsidRPr="009C565F" w14:paraId="6E1219E7" w14:textId="77777777">
        <w:trPr>
          <w:cantSplit/>
          <w:jc w:val="center"/>
        </w:trPr>
        <w:tc>
          <w:tcPr>
            <w:tcW w:w="1645" w:type="dxa"/>
            <w:vMerge w:val="restart"/>
            <w:shd w:val="clear" w:color="auto" w:fill="D9D9D9" w:themeFill="background1" w:themeFillShade="D9"/>
            <w:vAlign w:val="center"/>
          </w:tcPr>
          <w:p w14:paraId="3EB6C26D"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High ICS</w:t>
            </w:r>
          </w:p>
        </w:tc>
        <w:tc>
          <w:tcPr>
            <w:tcW w:w="1465" w:type="dxa"/>
            <w:tcBorders>
              <w:bottom w:val="single" w:sz="4" w:space="0" w:color="auto"/>
            </w:tcBorders>
            <w:shd w:val="clear" w:color="auto" w:fill="D9D9D9" w:themeFill="background1" w:themeFillShade="D9"/>
            <w:vAlign w:val="center"/>
          </w:tcPr>
          <w:p w14:paraId="044D9582"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NAVIGATOR</w:t>
            </w:r>
          </w:p>
        </w:tc>
        <w:tc>
          <w:tcPr>
            <w:tcW w:w="1599" w:type="dxa"/>
            <w:tcBorders>
              <w:top w:val="single" w:sz="4" w:space="0" w:color="auto"/>
              <w:bottom w:val="single" w:sz="4" w:space="0" w:color="auto"/>
            </w:tcBorders>
            <w:shd w:val="clear" w:color="auto" w:fill="D9D9D9" w:themeFill="background1" w:themeFillShade="D9"/>
          </w:tcPr>
          <w:p w14:paraId="2F6D61C3" w14:textId="77777777" w:rsidR="0014336E" w:rsidRPr="000D6B0B" w:rsidRDefault="0014336E" w:rsidP="00014955">
            <w:pPr>
              <w:keepNext/>
              <w:keepLines/>
              <w:widowControl w:val="0"/>
              <w:jc w:val="center"/>
              <w:rPr>
                <w:rFonts w:ascii="Arial Narrow" w:eastAsiaTheme="majorEastAsia" w:hAnsi="Arial Narrow" w:cstheme="majorBidi"/>
                <w:bCs/>
                <w:color w:val="000000" w:themeColor="text1"/>
                <w:sz w:val="20"/>
                <w:szCs w:val="20"/>
              </w:rPr>
            </w:pPr>
            <w:r w:rsidRPr="000D6B0B">
              <w:rPr>
                <w:rFonts w:ascii="Arial Narrow" w:eastAsiaTheme="majorEastAsia" w:hAnsi="Arial Narrow" w:cstheme="majorBidi"/>
                <w:bCs/>
                <w:color w:val="000000" w:themeColor="text1"/>
                <w:sz w:val="20"/>
                <w:szCs w:val="20"/>
              </w:rPr>
              <w:t>N=86</w:t>
            </w:r>
          </w:p>
          <w:p w14:paraId="124C3EE6"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color w:val="000000" w:themeColor="text1"/>
                <w:sz w:val="20"/>
                <w:szCs w:val="20"/>
              </w:rPr>
              <w:t>1.41 (1.04, 1.91)</w:t>
            </w:r>
          </w:p>
        </w:tc>
        <w:tc>
          <w:tcPr>
            <w:tcW w:w="1591" w:type="dxa"/>
            <w:tcBorders>
              <w:top w:val="single" w:sz="4" w:space="0" w:color="auto"/>
              <w:bottom w:val="single" w:sz="4" w:space="0" w:color="auto"/>
            </w:tcBorders>
            <w:shd w:val="clear" w:color="auto" w:fill="D9D9D9" w:themeFill="background1" w:themeFillShade="D9"/>
          </w:tcPr>
          <w:p w14:paraId="1215B4DB" w14:textId="77777777" w:rsidR="0014336E" w:rsidRPr="000D6B0B" w:rsidRDefault="0014336E" w:rsidP="00014955">
            <w:pPr>
              <w:keepNext/>
              <w:keepLines/>
              <w:widowControl w:val="0"/>
              <w:jc w:val="center"/>
              <w:rPr>
                <w:rFonts w:ascii="Arial Narrow" w:eastAsiaTheme="majorEastAsia" w:hAnsi="Arial Narrow" w:cstheme="majorBidi"/>
                <w:bCs/>
                <w:color w:val="000000" w:themeColor="text1"/>
                <w:sz w:val="20"/>
                <w:szCs w:val="20"/>
              </w:rPr>
            </w:pPr>
            <w:r w:rsidRPr="000D6B0B">
              <w:rPr>
                <w:rFonts w:ascii="Arial Narrow" w:eastAsiaTheme="majorEastAsia" w:hAnsi="Arial Narrow" w:cstheme="majorBidi"/>
                <w:bCs/>
                <w:color w:val="000000" w:themeColor="text1"/>
                <w:sz w:val="20"/>
                <w:szCs w:val="20"/>
              </w:rPr>
              <w:t>N=83</w:t>
            </w:r>
          </w:p>
          <w:p w14:paraId="65C7EAFB"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color w:val="000000" w:themeColor="text1"/>
                <w:sz w:val="20"/>
                <w:szCs w:val="20"/>
              </w:rPr>
              <w:t>2.15 (1.60, 2.89)</w:t>
            </w:r>
          </w:p>
        </w:tc>
        <w:tc>
          <w:tcPr>
            <w:tcW w:w="1187" w:type="dxa"/>
            <w:tcBorders>
              <w:top w:val="single" w:sz="4" w:space="0" w:color="auto"/>
              <w:bottom w:val="single" w:sz="4" w:space="0" w:color="auto"/>
            </w:tcBorders>
            <w:shd w:val="clear" w:color="auto" w:fill="D9D9D9" w:themeFill="background1" w:themeFillShade="D9"/>
          </w:tcPr>
          <w:p w14:paraId="418E8C94" w14:textId="77777777" w:rsidR="0014336E" w:rsidRPr="000D6B0B" w:rsidRDefault="0014336E" w:rsidP="00014955">
            <w:pPr>
              <w:keepNext/>
              <w:keepLines/>
              <w:widowControl w:val="0"/>
              <w:jc w:val="center"/>
              <w:rPr>
                <w:rFonts w:ascii="Arial Narrow" w:eastAsiaTheme="majorEastAsia" w:hAnsi="Arial Narrow" w:cstheme="majorBidi"/>
                <w:b/>
                <w:bCs/>
                <w:color w:val="000000" w:themeColor="text1"/>
                <w:sz w:val="20"/>
                <w:szCs w:val="20"/>
              </w:rPr>
            </w:pPr>
            <w:r w:rsidRPr="000D6B0B">
              <w:rPr>
                <w:rFonts w:ascii="Arial Narrow" w:eastAsiaTheme="majorEastAsia" w:hAnsi="Arial Narrow" w:cstheme="majorBidi"/>
                <w:b/>
                <w:bCs/>
                <w:color w:val="000000" w:themeColor="text1"/>
                <w:sz w:val="20"/>
                <w:szCs w:val="20"/>
              </w:rPr>
              <w:t>0.66</w:t>
            </w:r>
          </w:p>
          <w:p w14:paraId="14B3EB1A" w14:textId="77777777" w:rsidR="0014336E" w:rsidRPr="000D6B0B" w:rsidRDefault="0014336E" w:rsidP="00014955">
            <w:pPr>
              <w:keepNext/>
              <w:keepLines/>
              <w:widowControl w:val="0"/>
              <w:jc w:val="center"/>
              <w:rPr>
                <w:rFonts w:ascii="Arial Narrow" w:eastAsiaTheme="majorEastAsia" w:hAnsi="Arial Narrow" w:cstheme="majorBidi"/>
                <w:sz w:val="20"/>
                <w:szCs w:val="20"/>
              </w:rPr>
            </w:pPr>
            <w:r w:rsidRPr="000D6B0B">
              <w:rPr>
                <w:rFonts w:ascii="Arial Narrow" w:hAnsi="Arial Narrow"/>
                <w:b/>
                <w:bCs/>
                <w:color w:val="000000" w:themeColor="text1"/>
                <w:sz w:val="20"/>
                <w:szCs w:val="20"/>
              </w:rPr>
              <w:t>(0.43, 0.99</w:t>
            </w:r>
            <w:r w:rsidRPr="000D6B0B">
              <w:rPr>
                <w:rFonts w:ascii="Arial Narrow" w:hAnsi="Arial Narrow"/>
                <w:color w:val="000000" w:themeColor="text1"/>
                <w:sz w:val="20"/>
                <w:szCs w:val="20"/>
              </w:rPr>
              <w:t>)</w:t>
            </w:r>
          </w:p>
        </w:tc>
        <w:tc>
          <w:tcPr>
            <w:tcW w:w="1529" w:type="dxa"/>
            <w:tcBorders>
              <w:top w:val="single" w:sz="4" w:space="0" w:color="auto"/>
              <w:bottom w:val="dotted" w:sz="4" w:space="0" w:color="auto"/>
            </w:tcBorders>
            <w:shd w:val="clear" w:color="auto" w:fill="D9D9D9" w:themeFill="background1" w:themeFillShade="D9"/>
          </w:tcPr>
          <w:p w14:paraId="554EF60C" w14:textId="77777777" w:rsidR="0014336E" w:rsidRPr="000D6B0B" w:rsidRDefault="0014336E" w:rsidP="00014955">
            <w:pPr>
              <w:keepNext/>
              <w:keepLines/>
              <w:widowControl w:val="0"/>
              <w:jc w:val="center"/>
              <w:rPr>
                <w:rFonts w:ascii="Arial Narrow" w:eastAsiaTheme="majorEastAsia" w:hAnsi="Arial Narrow" w:cstheme="majorBidi"/>
                <w:b/>
                <w:bCs/>
                <w:color w:val="000000" w:themeColor="text1"/>
                <w:sz w:val="20"/>
                <w:szCs w:val="20"/>
              </w:rPr>
            </w:pPr>
            <w:r w:rsidRPr="000D6B0B">
              <w:rPr>
                <w:rFonts w:ascii="Arial Narrow" w:eastAsiaTheme="majorEastAsia" w:hAnsi="Arial Narrow" w:cstheme="majorBidi"/>
                <w:b/>
                <w:bCs/>
                <w:color w:val="000000" w:themeColor="text1"/>
                <w:sz w:val="20"/>
                <w:szCs w:val="20"/>
              </w:rPr>
              <w:t>-0.74</w:t>
            </w:r>
          </w:p>
          <w:p w14:paraId="51420DA3" w14:textId="77777777" w:rsidR="0014336E" w:rsidRPr="000D6B0B" w:rsidRDefault="0014336E" w:rsidP="00014955">
            <w:pPr>
              <w:keepNext/>
              <w:keepLines/>
              <w:widowControl w:val="0"/>
              <w:jc w:val="center"/>
              <w:rPr>
                <w:rFonts w:ascii="Arial Narrow" w:eastAsiaTheme="majorEastAsia" w:hAnsi="Arial Narrow" w:cstheme="majorBidi"/>
                <w:sz w:val="20"/>
                <w:szCs w:val="20"/>
              </w:rPr>
            </w:pPr>
            <w:r w:rsidRPr="000D6B0B">
              <w:rPr>
                <w:rFonts w:ascii="Arial Narrow" w:hAnsi="Arial Narrow"/>
                <w:b/>
                <w:bCs/>
                <w:color w:val="000000" w:themeColor="text1"/>
                <w:sz w:val="20"/>
                <w:szCs w:val="20"/>
              </w:rPr>
              <w:t>(-1.49, 0.01)</w:t>
            </w:r>
          </w:p>
        </w:tc>
      </w:tr>
      <w:tr w:rsidR="0014336E" w:rsidRPr="009C565F" w14:paraId="6EEA7652" w14:textId="77777777">
        <w:trPr>
          <w:cantSplit/>
          <w:jc w:val="center"/>
        </w:trPr>
        <w:tc>
          <w:tcPr>
            <w:tcW w:w="1645" w:type="dxa"/>
            <w:vMerge/>
            <w:shd w:val="clear" w:color="auto" w:fill="D9D9D9" w:themeFill="background1" w:themeFillShade="D9"/>
            <w:vAlign w:val="center"/>
          </w:tcPr>
          <w:p w14:paraId="47789E24"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p>
        </w:tc>
        <w:tc>
          <w:tcPr>
            <w:tcW w:w="1465" w:type="dxa"/>
            <w:tcBorders>
              <w:top w:val="single" w:sz="4" w:space="0" w:color="auto"/>
              <w:bottom w:val="single" w:sz="4" w:space="0" w:color="auto"/>
            </w:tcBorders>
            <w:shd w:val="clear" w:color="auto" w:fill="D9D9D9" w:themeFill="background1" w:themeFillShade="D9"/>
            <w:vAlign w:val="center"/>
          </w:tcPr>
          <w:p w14:paraId="7957A237" w14:textId="77777777" w:rsidR="0014336E" w:rsidRPr="000D6B0B" w:rsidRDefault="0014336E" w:rsidP="00014955">
            <w:pPr>
              <w:keepNext/>
              <w:keepLines/>
              <w:widowControl w:val="0"/>
              <w:jc w:val="left"/>
              <w:rPr>
                <w:rFonts w:ascii="Arial Narrow" w:eastAsiaTheme="majorEastAsia" w:hAnsi="Arial Narrow" w:cstheme="majorBidi"/>
                <w:bCs/>
                <w:sz w:val="20"/>
                <w:szCs w:val="20"/>
              </w:rPr>
            </w:pPr>
            <w:r w:rsidRPr="000D6B0B">
              <w:rPr>
                <w:rFonts w:ascii="Arial Narrow" w:eastAsiaTheme="majorEastAsia" w:hAnsi="Arial Narrow" w:cstheme="majorBidi"/>
                <w:bCs/>
                <w:sz w:val="20"/>
                <w:szCs w:val="20"/>
              </w:rPr>
              <w:t xml:space="preserve">PATHWAY </w:t>
            </w:r>
          </w:p>
        </w:tc>
        <w:tc>
          <w:tcPr>
            <w:tcW w:w="1599" w:type="dxa"/>
            <w:tcBorders>
              <w:top w:val="single" w:sz="4" w:space="0" w:color="auto"/>
              <w:bottom w:val="single" w:sz="4" w:space="0" w:color="auto"/>
            </w:tcBorders>
            <w:shd w:val="clear" w:color="auto" w:fill="D9D9D9" w:themeFill="background1" w:themeFillShade="D9"/>
            <w:vAlign w:val="center"/>
          </w:tcPr>
          <w:p w14:paraId="31F721B3" w14:textId="77777777" w:rsidR="0014336E" w:rsidRPr="000D6B0B" w:rsidRDefault="0014336E" w:rsidP="00014955">
            <w:pPr>
              <w:keepNext/>
              <w:keepLines/>
              <w:widowControl w:val="0"/>
              <w:jc w:val="center"/>
              <w:rPr>
                <w:rFonts w:ascii="Arial Narrow" w:eastAsiaTheme="majorEastAsia" w:hAnsi="Arial Narrow" w:cstheme="majorBidi"/>
                <w:bCs/>
                <w:color w:val="000000" w:themeColor="text1"/>
                <w:sz w:val="20"/>
                <w:szCs w:val="20"/>
              </w:rPr>
            </w:pPr>
            <w:r w:rsidRPr="000D6B0B">
              <w:rPr>
                <w:rFonts w:ascii="Arial Narrow" w:eastAsiaTheme="majorEastAsia" w:hAnsi="Arial Narrow" w:cstheme="majorBidi"/>
                <w:bCs/>
                <w:color w:val="000000" w:themeColor="text1"/>
                <w:sz w:val="20"/>
                <w:szCs w:val="20"/>
              </w:rPr>
              <w:t>N=18</w:t>
            </w:r>
          </w:p>
          <w:p w14:paraId="70D4A478"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color w:val="000000" w:themeColor="text1"/>
                <w:sz w:val="20"/>
                <w:szCs w:val="20"/>
              </w:rPr>
              <w:t>0.29 (0.09, 0.68)</w:t>
            </w:r>
          </w:p>
        </w:tc>
        <w:tc>
          <w:tcPr>
            <w:tcW w:w="1591" w:type="dxa"/>
            <w:tcBorders>
              <w:top w:val="single" w:sz="4" w:space="0" w:color="auto"/>
              <w:bottom w:val="single" w:sz="4" w:space="0" w:color="auto"/>
            </w:tcBorders>
            <w:shd w:val="clear" w:color="auto" w:fill="D9D9D9" w:themeFill="background1" w:themeFillShade="D9"/>
            <w:vAlign w:val="center"/>
          </w:tcPr>
          <w:p w14:paraId="28B684A2" w14:textId="77777777" w:rsidR="0014336E" w:rsidRPr="000D6B0B" w:rsidRDefault="0014336E" w:rsidP="00014955">
            <w:pPr>
              <w:keepNext/>
              <w:keepLines/>
              <w:widowControl w:val="0"/>
              <w:jc w:val="center"/>
              <w:rPr>
                <w:rFonts w:ascii="Arial Narrow" w:eastAsiaTheme="majorEastAsia" w:hAnsi="Arial Narrow" w:cstheme="majorBidi"/>
                <w:bCs/>
                <w:color w:val="000000" w:themeColor="text1"/>
                <w:sz w:val="20"/>
                <w:szCs w:val="20"/>
              </w:rPr>
            </w:pPr>
            <w:r w:rsidRPr="000D6B0B">
              <w:rPr>
                <w:rFonts w:ascii="Arial Narrow" w:eastAsiaTheme="majorEastAsia" w:hAnsi="Arial Narrow" w:cstheme="majorBidi"/>
                <w:bCs/>
                <w:color w:val="000000" w:themeColor="text1"/>
                <w:sz w:val="20"/>
                <w:szCs w:val="20"/>
              </w:rPr>
              <w:t>N=13</w:t>
            </w:r>
          </w:p>
          <w:p w14:paraId="7D0B0A32"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color w:val="000000" w:themeColor="text1"/>
                <w:sz w:val="20"/>
                <w:szCs w:val="20"/>
              </w:rPr>
              <w:t>0.81 (0.39, 1.48)</w:t>
            </w:r>
          </w:p>
        </w:tc>
        <w:tc>
          <w:tcPr>
            <w:tcW w:w="1187" w:type="dxa"/>
            <w:tcBorders>
              <w:top w:val="single" w:sz="4" w:space="0" w:color="auto"/>
              <w:bottom w:val="single" w:sz="4" w:space="0" w:color="auto"/>
            </w:tcBorders>
            <w:shd w:val="clear" w:color="auto" w:fill="D9D9D9" w:themeFill="background1" w:themeFillShade="D9"/>
            <w:vAlign w:val="center"/>
          </w:tcPr>
          <w:p w14:paraId="2B932E14" w14:textId="77777777" w:rsidR="0014336E" w:rsidRPr="000D6B0B" w:rsidRDefault="0014336E" w:rsidP="00014955">
            <w:pPr>
              <w:keepNext/>
              <w:keepLines/>
              <w:widowControl w:val="0"/>
              <w:jc w:val="center"/>
              <w:rPr>
                <w:rFonts w:ascii="Arial Narrow" w:eastAsiaTheme="majorEastAsia" w:hAnsi="Arial Narrow" w:cstheme="majorBidi"/>
                <w:bCs/>
                <w:color w:val="000000" w:themeColor="text1"/>
                <w:sz w:val="20"/>
                <w:szCs w:val="20"/>
              </w:rPr>
            </w:pPr>
            <w:r w:rsidRPr="000D6B0B">
              <w:rPr>
                <w:rFonts w:ascii="Arial Narrow" w:eastAsiaTheme="majorEastAsia" w:hAnsi="Arial Narrow" w:cstheme="majorBidi"/>
                <w:bCs/>
                <w:color w:val="000000" w:themeColor="text1"/>
                <w:sz w:val="20"/>
                <w:szCs w:val="20"/>
              </w:rPr>
              <w:t>0.33</w:t>
            </w:r>
          </w:p>
          <w:p w14:paraId="485B904E"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color w:val="000000" w:themeColor="text1"/>
                <w:sz w:val="20"/>
                <w:szCs w:val="20"/>
              </w:rPr>
              <w:t>(0.09, 1.18)</w:t>
            </w:r>
          </w:p>
        </w:tc>
        <w:tc>
          <w:tcPr>
            <w:tcW w:w="1529" w:type="dxa"/>
            <w:tcBorders>
              <w:top w:val="single" w:sz="4" w:space="0" w:color="auto"/>
              <w:bottom w:val="single" w:sz="4" w:space="0" w:color="auto"/>
            </w:tcBorders>
            <w:shd w:val="clear" w:color="auto" w:fill="D9D9D9" w:themeFill="background1" w:themeFillShade="D9"/>
            <w:vAlign w:val="center"/>
          </w:tcPr>
          <w:p w14:paraId="7BBBCE68" w14:textId="77777777" w:rsidR="0014336E" w:rsidRPr="000D6B0B" w:rsidRDefault="0014336E" w:rsidP="00014955">
            <w:pPr>
              <w:keepNext/>
              <w:keepLines/>
              <w:widowControl w:val="0"/>
              <w:jc w:val="center"/>
              <w:rPr>
                <w:rFonts w:ascii="Arial Narrow" w:eastAsiaTheme="majorEastAsia" w:hAnsi="Arial Narrow" w:cstheme="majorBidi"/>
                <w:bCs/>
                <w:sz w:val="20"/>
                <w:szCs w:val="20"/>
              </w:rPr>
            </w:pPr>
            <w:r w:rsidRPr="000D6B0B">
              <w:rPr>
                <w:rFonts w:ascii="Arial Narrow" w:hAnsi="Arial Narrow"/>
                <w:color w:val="000000" w:themeColor="text1"/>
                <w:sz w:val="20"/>
                <w:szCs w:val="20"/>
              </w:rPr>
              <w:t>NR</w:t>
            </w:r>
          </w:p>
        </w:tc>
      </w:tr>
    </w:tbl>
    <w:p w14:paraId="011D47BC" w14:textId="77777777" w:rsidR="002E6B5E" w:rsidRDefault="0014336E" w:rsidP="00014955">
      <w:pPr>
        <w:pStyle w:val="TableFigureFooter"/>
        <w:keepNext/>
        <w:widowControl w:val="0"/>
      </w:pPr>
      <w:r w:rsidRPr="009C565F">
        <w:t>Source: Constructed during the evaluation from Table 2-119, p190; Table 2-122, p194; Table 2-124, pp195-196; Table 2-127, p198; Table 2-130, p202 of the submission.</w:t>
      </w:r>
      <w:r w:rsidR="00E426AF">
        <w:t xml:space="preserve"> </w:t>
      </w:r>
    </w:p>
    <w:p w14:paraId="6C985697" w14:textId="2CCE4AEE" w:rsidR="0014336E" w:rsidRPr="009C565F" w:rsidRDefault="006533BF" w:rsidP="00014955">
      <w:pPr>
        <w:pStyle w:val="TableFigureFooter"/>
        <w:keepNext/>
        <w:widowControl w:val="0"/>
      </w:pPr>
      <w:r w:rsidRPr="009C565F">
        <w:rPr>
          <w:rFonts w:eastAsia="Calibri"/>
        </w:rPr>
        <w:t>AAER</w:t>
      </w:r>
      <w:r w:rsidR="00E80709">
        <w:rPr>
          <w:rFonts w:eastAsia="Calibri"/>
        </w:rPr>
        <w:t xml:space="preserve"> =</w:t>
      </w:r>
      <w:r w:rsidRPr="009C565F">
        <w:rPr>
          <w:rFonts w:eastAsia="Calibri"/>
        </w:rPr>
        <w:t xml:space="preserve"> annual asthma exacerbation rate; </w:t>
      </w:r>
      <w:r w:rsidR="0014336E" w:rsidRPr="009C565F">
        <w:t xml:space="preserve">AD = absolute difference; CI = confidence interval; </w:t>
      </w:r>
      <w:r w:rsidR="0014336E">
        <w:t>E</w:t>
      </w:r>
      <w:r w:rsidR="0014336E" w:rsidRPr="009C565F">
        <w:t xml:space="preserve">FAS = full analysis set; </w:t>
      </w:r>
      <w:proofErr w:type="spellStart"/>
      <w:r w:rsidR="0014336E">
        <w:t>EOSic</w:t>
      </w:r>
      <w:proofErr w:type="spellEnd"/>
      <w:r w:rsidR="0014336E" w:rsidRPr="009C565F">
        <w:t xml:space="preserve"> </w:t>
      </w:r>
      <w:r w:rsidR="0014336E">
        <w:t>= eosinophilic;</w:t>
      </w:r>
      <w:r w:rsidR="0014336E" w:rsidRPr="009C565F">
        <w:t xml:space="preserve"> </w:t>
      </w:r>
      <w:r w:rsidR="0014336E">
        <w:t>I</w:t>
      </w:r>
      <w:r w:rsidR="0014336E" w:rsidRPr="009C565F">
        <w:t xml:space="preserve">CS = inhaled corticosteroids; N = total </w:t>
      </w:r>
      <w:r w:rsidR="0014336E">
        <w:t>patient</w:t>
      </w:r>
      <w:r w:rsidR="0014336E" w:rsidRPr="009C565F">
        <w:t>s in group; NR = not reported; OCS = oral corticosteroids; PBO = placebo; RR = rate ratio</w:t>
      </w:r>
    </w:p>
    <w:p w14:paraId="2B3EBD44" w14:textId="77777777" w:rsidR="0014336E" w:rsidRDefault="0014336E" w:rsidP="00014955">
      <w:pPr>
        <w:pStyle w:val="TableFigureFooter"/>
        <w:keepNext/>
      </w:pPr>
      <w:proofErr w:type="spellStart"/>
      <w:r>
        <w:rPr>
          <w:vertAlign w:val="superscript"/>
        </w:rPr>
        <w:t>a</w:t>
      </w:r>
      <w:proofErr w:type="spellEnd"/>
      <w:r>
        <w:rPr>
          <w:vertAlign w:val="superscript"/>
        </w:rPr>
        <w:t xml:space="preserve"> </w:t>
      </w:r>
      <w:proofErr w:type="gramStart"/>
      <w:r w:rsidRPr="009C565F">
        <w:t>The</w:t>
      </w:r>
      <w:proofErr w:type="gramEnd"/>
      <w:r w:rsidRPr="009C565F">
        <w:t xml:space="preserve"> </w:t>
      </w:r>
      <w:r>
        <w:t>submission did not present AAER results for the non-</w:t>
      </w:r>
      <w:proofErr w:type="spellStart"/>
      <w:r>
        <w:t>EOSic</w:t>
      </w:r>
      <w:proofErr w:type="spellEnd"/>
      <w:r>
        <w:t xml:space="preserve"> and non-Allergic subgroup of the SOURCE study.</w:t>
      </w:r>
    </w:p>
    <w:p w14:paraId="7EA8CD06" w14:textId="77777777" w:rsidR="002E6B5E" w:rsidRPr="002E6B5E" w:rsidRDefault="002E6B5E" w:rsidP="002E6B5E">
      <w:pPr>
        <w:pStyle w:val="3-BodyText"/>
        <w:rPr>
          <w:lang w:eastAsia="en-US"/>
        </w:rPr>
      </w:pPr>
    </w:p>
    <w:p w14:paraId="20EFAE73" w14:textId="77777777" w:rsidR="0014336E" w:rsidRPr="00272A55" w:rsidRDefault="0014336E" w:rsidP="0014336E">
      <w:pPr>
        <w:pStyle w:val="5-SubsectionSubheading"/>
      </w:pPr>
      <w:bookmarkStart w:id="36" w:name="_Toc209012731"/>
      <w:r w:rsidRPr="00272A55">
        <w:t>Non-eosinophilic and non-allergic SUA</w:t>
      </w:r>
      <w:bookmarkEnd w:id="36"/>
    </w:p>
    <w:p w14:paraId="260435F7" w14:textId="2F83F07E" w:rsidR="0014336E" w:rsidRDefault="0014336E" w:rsidP="0014336E">
      <w:pPr>
        <w:pStyle w:val="COMESnumberedpara"/>
      </w:pPr>
      <w:r>
        <w:t>The results presented for the</w:t>
      </w:r>
      <w:r w:rsidRPr="00F02399">
        <w:t xml:space="preserve"> </w:t>
      </w:r>
      <w:r>
        <w:t>n</w:t>
      </w:r>
      <w:r w:rsidRPr="00F02399">
        <w:t>on-</w:t>
      </w:r>
      <w:r>
        <w:t xml:space="preserve">eosinophilic and </w:t>
      </w:r>
      <w:r w:rsidRPr="00F02399">
        <w:t xml:space="preserve">non-allergic </w:t>
      </w:r>
      <w:r>
        <w:t xml:space="preserve">subgroups in </w:t>
      </w:r>
      <w:r>
        <w:fldChar w:fldCharType="begin"/>
      </w:r>
      <w:r>
        <w:instrText xml:space="preserve"> REF _Ref207729588 \h  \* MERGEFORMAT </w:instrText>
      </w:r>
      <w:r>
        <w:fldChar w:fldCharType="separate"/>
      </w:r>
      <w:r w:rsidR="0078760A">
        <w:t>Table 7</w:t>
      </w:r>
      <w:r>
        <w:fldChar w:fldCharType="end"/>
      </w:r>
      <w:r>
        <w:t xml:space="preserve"> (shaded in grey) were used to inform the submission claim of superior effectiveness of </w:t>
      </w:r>
      <w:proofErr w:type="spellStart"/>
      <w:r>
        <w:t>tezepelumab</w:t>
      </w:r>
      <w:proofErr w:type="spellEnd"/>
      <w:r>
        <w:t xml:space="preserve"> compared to placebo. In the </w:t>
      </w:r>
      <w:r w:rsidRPr="00F02399">
        <w:t>NAVIGATOR trial</w:t>
      </w:r>
      <w:r>
        <w:t>,</w:t>
      </w:r>
      <w:r w:rsidRPr="00F02399">
        <w:t xml:space="preserve"> there was a statistically </w:t>
      </w:r>
      <w:r w:rsidRPr="00CF7EEA">
        <w:t xml:space="preserve">significant greater reduction in AAER to 52 weeks for </w:t>
      </w:r>
      <w:proofErr w:type="spellStart"/>
      <w:r w:rsidRPr="00CF7EEA">
        <w:t>tezepelumab</w:t>
      </w:r>
      <w:proofErr w:type="spellEnd"/>
      <w:r w:rsidRPr="00CF7EEA">
        <w:t xml:space="preserve"> 210 mg Q4W compared to placebo (</w:t>
      </w:r>
      <w:r w:rsidR="00C173A0">
        <w:t>a</w:t>
      </w:r>
      <w:r w:rsidRPr="00CF7EEA">
        <w:t>bsolute difference (AD) -0.74, 95%</w:t>
      </w:r>
      <w:r w:rsidR="009A6D66">
        <w:t xml:space="preserve"> </w:t>
      </w:r>
      <w:r w:rsidRPr="00CF7EEA">
        <w:t>CI: -1.49, 0.01 and RR 0.66, 95%</w:t>
      </w:r>
      <w:r w:rsidR="009A6D66">
        <w:t xml:space="preserve"> </w:t>
      </w:r>
      <w:r w:rsidRPr="00CF7EEA">
        <w:t xml:space="preserve">CI: 0.43, 0.99). The upper bound of the </w:t>
      </w:r>
      <w:r w:rsidR="00C173A0">
        <w:t xml:space="preserve">AD </w:t>
      </w:r>
      <w:r w:rsidRPr="00CF7EEA">
        <w:t xml:space="preserve">95% CI crosses 0, and the rate ratio almost crossed 1 (0.99). In the non-eosinophilic and non-allergic subgroup in the PATHWAY trial, there was no statistically significant reduction in AAER to 52 weeks for </w:t>
      </w:r>
      <w:proofErr w:type="spellStart"/>
      <w:r w:rsidRPr="00CF7EEA">
        <w:t>tezepelumab</w:t>
      </w:r>
      <w:proofErr w:type="spellEnd"/>
      <w:r w:rsidRPr="00CF7EEA">
        <w:t xml:space="preserve"> 210 mg every 4 weeks compared to placebo (RR 0.33, 95%</w:t>
      </w:r>
      <w:r w:rsidR="00C173A0">
        <w:t xml:space="preserve"> </w:t>
      </w:r>
      <w:r w:rsidRPr="00CF7EEA">
        <w:t>CI: 0.09, 1.18). The submission did not present AAER results for the non-eosinophilic and non-allergic subgroup of the SOURCE study.</w:t>
      </w:r>
    </w:p>
    <w:p w14:paraId="74974C8F" w14:textId="1450D296" w:rsidR="00DC224A" w:rsidRPr="00EE227E" w:rsidRDefault="00BC4439" w:rsidP="00CC2999">
      <w:pPr>
        <w:pStyle w:val="COMESnumberedpara"/>
        <w:rPr>
          <w:iCs/>
        </w:rPr>
      </w:pPr>
      <w:bookmarkStart w:id="37" w:name="_Ref211571880"/>
      <w:r w:rsidRPr="00EE227E">
        <w:rPr>
          <w:iCs/>
        </w:rPr>
        <w:t xml:space="preserve">The PSCR </w:t>
      </w:r>
      <w:r w:rsidR="00612C2B" w:rsidRPr="00EE227E">
        <w:rPr>
          <w:iCs/>
        </w:rPr>
        <w:t>provided a</w:t>
      </w:r>
      <w:r w:rsidRPr="00EE227E">
        <w:rPr>
          <w:iCs/>
        </w:rPr>
        <w:t xml:space="preserve"> meta-analysis conducted using AAER data from </w:t>
      </w:r>
      <w:r w:rsidR="002D5F26" w:rsidRPr="00EE227E">
        <w:rPr>
          <w:iCs/>
        </w:rPr>
        <w:t xml:space="preserve">the </w:t>
      </w:r>
      <w:r w:rsidRPr="00EE227E">
        <w:rPr>
          <w:iCs/>
        </w:rPr>
        <w:t>NAVIGATOR and PATHWAY</w:t>
      </w:r>
      <w:r w:rsidR="00CC2999" w:rsidRPr="00EE227E">
        <w:rPr>
          <w:iCs/>
        </w:rPr>
        <w:t xml:space="preserve"> </w:t>
      </w:r>
      <w:r w:rsidR="002D5F26" w:rsidRPr="00EE227E">
        <w:rPr>
          <w:iCs/>
        </w:rPr>
        <w:t xml:space="preserve">trials </w:t>
      </w:r>
      <w:r w:rsidRPr="00EE227E">
        <w:rPr>
          <w:iCs/>
        </w:rPr>
        <w:t>(</w:t>
      </w:r>
      <w:r w:rsidR="00DC224A" w:rsidRPr="00EE227E">
        <w:rPr>
          <w:iCs/>
        </w:rPr>
        <w:t>odds ratio [</w:t>
      </w:r>
      <w:r w:rsidRPr="00EE227E">
        <w:rPr>
          <w:iCs/>
        </w:rPr>
        <w:t>OR</w:t>
      </w:r>
      <w:r w:rsidR="00DC224A" w:rsidRPr="00EE227E">
        <w:rPr>
          <w:iCs/>
        </w:rPr>
        <w:t>]</w:t>
      </w:r>
      <w:r w:rsidRPr="00EE227E">
        <w:rPr>
          <w:iCs/>
        </w:rPr>
        <w:t xml:space="preserve"> 0.62, 95% CI 0.42–0.92; p = 0.02)</w:t>
      </w:r>
      <w:r w:rsidR="00DC224A" w:rsidRPr="00EE227E">
        <w:rPr>
          <w:iCs/>
        </w:rPr>
        <w:t>.</w:t>
      </w:r>
      <w:r w:rsidR="00CC2999" w:rsidRPr="00EE227E">
        <w:rPr>
          <w:iCs/>
        </w:rPr>
        <w:t xml:space="preserve"> </w:t>
      </w:r>
      <w:r w:rsidR="001C2B01" w:rsidRPr="00EE227E">
        <w:rPr>
          <w:iCs/>
        </w:rPr>
        <w:t xml:space="preserve">The </w:t>
      </w:r>
      <w:r w:rsidR="007C68DE" w:rsidRPr="00EE227E">
        <w:rPr>
          <w:iCs/>
        </w:rPr>
        <w:t xml:space="preserve">ESC noted the meta-analysis </w:t>
      </w:r>
      <w:r w:rsidR="0059356F" w:rsidRPr="00EE227E">
        <w:rPr>
          <w:iCs/>
        </w:rPr>
        <w:t>indicated</w:t>
      </w:r>
      <w:r w:rsidR="007C68DE" w:rsidRPr="00EE227E">
        <w:rPr>
          <w:iCs/>
        </w:rPr>
        <w:t xml:space="preserve"> a statistically significant reduction in AAER with </w:t>
      </w:r>
      <w:proofErr w:type="spellStart"/>
      <w:r w:rsidR="007C68DE" w:rsidRPr="00EE227E">
        <w:rPr>
          <w:iCs/>
        </w:rPr>
        <w:t>tezepelumab</w:t>
      </w:r>
      <w:proofErr w:type="spellEnd"/>
      <w:r w:rsidR="007C68DE" w:rsidRPr="00EE227E">
        <w:rPr>
          <w:iCs/>
        </w:rPr>
        <w:t xml:space="preserve"> versus placebo but noted that </w:t>
      </w:r>
      <w:r w:rsidR="00150451" w:rsidRPr="00EE227E">
        <w:rPr>
          <w:iCs/>
        </w:rPr>
        <w:t xml:space="preserve">the sample size was not provided to assist with confirming the </w:t>
      </w:r>
      <w:r w:rsidR="00C85F38" w:rsidRPr="00EE227E">
        <w:rPr>
          <w:iCs/>
        </w:rPr>
        <w:t xml:space="preserve">population and that </w:t>
      </w:r>
      <w:r w:rsidR="007C68DE" w:rsidRPr="00EE227E">
        <w:rPr>
          <w:iCs/>
        </w:rPr>
        <w:t xml:space="preserve">it </w:t>
      </w:r>
      <w:r w:rsidR="00CF01B7" w:rsidRPr="00EE227E">
        <w:rPr>
          <w:iCs/>
        </w:rPr>
        <w:t>had</w:t>
      </w:r>
      <w:r w:rsidR="007C68DE" w:rsidRPr="00EE227E">
        <w:rPr>
          <w:iCs/>
        </w:rPr>
        <w:t xml:space="preserve"> not </w:t>
      </w:r>
      <w:r w:rsidR="00CF01B7" w:rsidRPr="00EE227E">
        <w:rPr>
          <w:iCs/>
        </w:rPr>
        <w:t xml:space="preserve">been </w:t>
      </w:r>
      <w:r w:rsidR="007C68DE" w:rsidRPr="00EE227E">
        <w:rPr>
          <w:iCs/>
        </w:rPr>
        <w:t xml:space="preserve">evaluated. </w:t>
      </w:r>
      <w:r w:rsidR="00A42CBE" w:rsidRPr="00EE227E">
        <w:rPr>
          <w:iCs/>
        </w:rPr>
        <w:t xml:space="preserve">The </w:t>
      </w:r>
      <w:r w:rsidR="00DB1106" w:rsidRPr="00EE227E">
        <w:rPr>
          <w:iCs/>
        </w:rPr>
        <w:t xml:space="preserve">ESC also noted the PSCR </w:t>
      </w:r>
      <w:r w:rsidR="00CC2999" w:rsidRPr="00EE227E">
        <w:rPr>
          <w:iCs/>
        </w:rPr>
        <w:t>highlighted</w:t>
      </w:r>
      <w:r w:rsidR="00A42CBE" w:rsidRPr="00EE227E">
        <w:rPr>
          <w:iCs/>
        </w:rPr>
        <w:t xml:space="preserve"> a </w:t>
      </w:r>
      <w:r w:rsidR="00DC224A" w:rsidRPr="00EE227E">
        <w:rPr>
          <w:iCs/>
        </w:rPr>
        <w:t>published pooled analys</w:t>
      </w:r>
      <w:r w:rsidR="00A42CBE" w:rsidRPr="00EE227E">
        <w:rPr>
          <w:iCs/>
        </w:rPr>
        <w:t>i</w:t>
      </w:r>
      <w:r w:rsidR="00DC224A" w:rsidRPr="00EE227E">
        <w:rPr>
          <w:iCs/>
        </w:rPr>
        <w:t xml:space="preserve">s </w:t>
      </w:r>
      <w:r w:rsidR="00A42CBE" w:rsidRPr="00EE227E">
        <w:rPr>
          <w:iCs/>
        </w:rPr>
        <w:t>of</w:t>
      </w:r>
      <w:r w:rsidR="00DC224A" w:rsidRPr="00EE227E">
        <w:rPr>
          <w:iCs/>
        </w:rPr>
        <w:t xml:space="preserve"> </w:t>
      </w:r>
      <w:r w:rsidR="00861F6B" w:rsidRPr="00EE227E">
        <w:rPr>
          <w:iCs/>
        </w:rPr>
        <w:t xml:space="preserve">the </w:t>
      </w:r>
      <w:r w:rsidR="00DC224A" w:rsidRPr="00EE227E">
        <w:rPr>
          <w:iCs/>
        </w:rPr>
        <w:t xml:space="preserve">PATHWAY and NAVIGATOR </w:t>
      </w:r>
      <w:r w:rsidR="00861F6B" w:rsidRPr="00EE227E">
        <w:rPr>
          <w:iCs/>
        </w:rPr>
        <w:t xml:space="preserve">trials </w:t>
      </w:r>
      <w:r w:rsidR="00DC224A" w:rsidRPr="00EE227E">
        <w:rPr>
          <w:iCs/>
        </w:rPr>
        <w:t>(Corren et al. 2023</w:t>
      </w:r>
      <w:r w:rsidR="00A42CBE" w:rsidRPr="00EE227E">
        <w:rPr>
          <w:rStyle w:val="FootnoteReference"/>
          <w:iCs/>
        </w:rPr>
        <w:footnoteReference w:id="2"/>
      </w:r>
      <w:r w:rsidR="00DC224A" w:rsidRPr="00EE227E">
        <w:rPr>
          <w:iCs/>
        </w:rPr>
        <w:t>)</w:t>
      </w:r>
      <w:r w:rsidR="00A42CBE" w:rsidRPr="00EE227E">
        <w:rPr>
          <w:iCs/>
        </w:rPr>
        <w:t xml:space="preserve"> </w:t>
      </w:r>
      <w:r w:rsidR="00CC2999" w:rsidRPr="00EE227E">
        <w:rPr>
          <w:iCs/>
        </w:rPr>
        <w:t xml:space="preserve">which </w:t>
      </w:r>
      <w:r w:rsidR="00C64DA8" w:rsidRPr="00EE227E">
        <w:rPr>
          <w:iCs/>
        </w:rPr>
        <w:t>demonstrated</w:t>
      </w:r>
      <w:r w:rsidR="00DC224A" w:rsidRPr="00EE227E">
        <w:rPr>
          <w:iCs/>
        </w:rPr>
        <w:t xml:space="preserve"> </w:t>
      </w:r>
      <w:r w:rsidR="00C64DA8" w:rsidRPr="00EE227E">
        <w:rPr>
          <w:iCs/>
        </w:rPr>
        <w:t xml:space="preserve">that </w:t>
      </w:r>
      <w:proofErr w:type="spellStart"/>
      <w:r w:rsidR="00C64DA8" w:rsidRPr="00EE227E">
        <w:rPr>
          <w:iCs/>
        </w:rPr>
        <w:t>tezepelumab</w:t>
      </w:r>
      <w:proofErr w:type="spellEnd"/>
      <w:r w:rsidR="00C64DA8" w:rsidRPr="00EE227E">
        <w:rPr>
          <w:iCs/>
        </w:rPr>
        <w:t xml:space="preserve"> </w:t>
      </w:r>
      <w:r w:rsidR="00DC224A" w:rsidRPr="00EE227E">
        <w:rPr>
          <w:iCs/>
        </w:rPr>
        <w:t>reduc</w:t>
      </w:r>
      <w:r w:rsidR="00C64DA8" w:rsidRPr="00EE227E">
        <w:rPr>
          <w:iCs/>
        </w:rPr>
        <w:t>ed</w:t>
      </w:r>
      <w:r w:rsidR="00A42CBE" w:rsidRPr="00EE227E">
        <w:rPr>
          <w:iCs/>
        </w:rPr>
        <w:t xml:space="preserve"> </w:t>
      </w:r>
      <w:r w:rsidR="00DC224A" w:rsidRPr="00EE227E">
        <w:rPr>
          <w:iCs/>
        </w:rPr>
        <w:t xml:space="preserve">exacerbations </w:t>
      </w:r>
      <w:r w:rsidR="00C64DA8" w:rsidRPr="00EE227E">
        <w:rPr>
          <w:iCs/>
        </w:rPr>
        <w:t>compared with</w:t>
      </w:r>
      <w:r w:rsidR="00A42CBE" w:rsidRPr="00EE227E">
        <w:rPr>
          <w:iCs/>
        </w:rPr>
        <w:t xml:space="preserve"> placebo </w:t>
      </w:r>
      <w:r w:rsidR="00DC224A" w:rsidRPr="00EE227E">
        <w:rPr>
          <w:iCs/>
        </w:rPr>
        <w:t xml:space="preserve">across subgroups </w:t>
      </w:r>
      <w:r w:rsidR="00CC2999" w:rsidRPr="00EE227E">
        <w:rPr>
          <w:iCs/>
        </w:rPr>
        <w:t>stratified</w:t>
      </w:r>
      <w:r w:rsidR="00DC224A" w:rsidRPr="00EE227E">
        <w:rPr>
          <w:iCs/>
        </w:rPr>
        <w:t xml:space="preserve"> by IgE and eosinophil levels</w:t>
      </w:r>
      <w:r w:rsidR="005F5EB4" w:rsidRPr="00EE227E">
        <w:rPr>
          <w:iCs/>
        </w:rPr>
        <w:t xml:space="preserve"> (</w:t>
      </w:r>
      <w:r w:rsidR="005F5EB4" w:rsidRPr="00EE227E">
        <w:rPr>
          <w:iCs/>
        </w:rPr>
        <w:fldChar w:fldCharType="begin"/>
      </w:r>
      <w:r w:rsidR="005F5EB4" w:rsidRPr="00EE227E">
        <w:rPr>
          <w:iCs/>
        </w:rPr>
        <w:instrText xml:space="preserve"> REF _Ref211572442 \h  \* MERGEFORMAT </w:instrText>
      </w:r>
      <w:r w:rsidR="005F5EB4" w:rsidRPr="00EE227E">
        <w:rPr>
          <w:iCs/>
        </w:rPr>
      </w:r>
      <w:r w:rsidR="005F5EB4" w:rsidRPr="00EE227E">
        <w:rPr>
          <w:iCs/>
        </w:rPr>
        <w:fldChar w:fldCharType="separate"/>
      </w:r>
      <w:r w:rsidR="0078760A" w:rsidRPr="0078760A">
        <w:rPr>
          <w:iCs/>
        </w:rPr>
        <w:t xml:space="preserve">Figure </w:t>
      </w:r>
      <w:r w:rsidR="0078760A" w:rsidRPr="0078760A">
        <w:rPr>
          <w:iCs/>
          <w:noProof/>
        </w:rPr>
        <w:t>1</w:t>
      </w:r>
      <w:r w:rsidR="005F5EB4" w:rsidRPr="00EE227E">
        <w:rPr>
          <w:iCs/>
        </w:rPr>
        <w:fldChar w:fldCharType="end"/>
      </w:r>
      <w:r w:rsidR="005F5EB4" w:rsidRPr="00EE227E">
        <w:rPr>
          <w:iCs/>
        </w:rPr>
        <w:t>)</w:t>
      </w:r>
      <w:r w:rsidR="00DC224A" w:rsidRPr="00EE227E">
        <w:rPr>
          <w:iCs/>
        </w:rPr>
        <w:t>.</w:t>
      </w:r>
      <w:r w:rsidR="00CC2999" w:rsidRPr="00EE227E">
        <w:rPr>
          <w:iCs/>
        </w:rPr>
        <w:t xml:space="preserve"> </w:t>
      </w:r>
      <w:r w:rsidR="00D47D9B" w:rsidRPr="00EE227E">
        <w:rPr>
          <w:iCs/>
        </w:rPr>
        <w:t xml:space="preserve">The ESC noted </w:t>
      </w:r>
      <w:r w:rsidR="00C74EEE" w:rsidRPr="00EE227E">
        <w:rPr>
          <w:iCs/>
        </w:rPr>
        <w:t xml:space="preserve">that while a reduction in AAER was evident across </w:t>
      </w:r>
      <w:r w:rsidR="00A045AF" w:rsidRPr="00EE227E">
        <w:rPr>
          <w:iCs/>
        </w:rPr>
        <w:t>all subgroups the level of reduction was consistently higher for</w:t>
      </w:r>
      <w:r w:rsidR="00D47D9B" w:rsidRPr="00EE227E">
        <w:rPr>
          <w:iCs/>
        </w:rPr>
        <w:t xml:space="preserve"> </w:t>
      </w:r>
      <w:r w:rsidR="004C7DF2" w:rsidRPr="00EE227E">
        <w:rPr>
          <w:iCs/>
        </w:rPr>
        <w:t>the subgroups</w:t>
      </w:r>
      <w:r w:rsidR="00F3192A" w:rsidRPr="00EE227E">
        <w:rPr>
          <w:iCs/>
        </w:rPr>
        <w:t xml:space="preserve"> with </w:t>
      </w:r>
      <w:r w:rsidR="000B0B4F" w:rsidRPr="00EE227E">
        <w:rPr>
          <w:iCs/>
        </w:rPr>
        <w:t xml:space="preserve">patients who were </w:t>
      </w:r>
      <w:r w:rsidR="009D70BA" w:rsidRPr="00EE227E">
        <w:rPr>
          <w:iCs/>
        </w:rPr>
        <w:t xml:space="preserve">both </w:t>
      </w:r>
      <w:r w:rsidR="000B3EB2" w:rsidRPr="00EE227E">
        <w:rPr>
          <w:iCs/>
        </w:rPr>
        <w:t xml:space="preserve">higher </w:t>
      </w:r>
      <w:r w:rsidR="009F4905" w:rsidRPr="00EE227E">
        <w:rPr>
          <w:iCs/>
        </w:rPr>
        <w:t xml:space="preserve">eosinophil levels </w:t>
      </w:r>
      <w:r w:rsidR="007E326A" w:rsidRPr="00EE227E">
        <w:rPr>
          <w:iCs/>
        </w:rPr>
        <w:t xml:space="preserve">(i.e. BEC </w:t>
      </w:r>
      <w:r w:rsidR="007E326A" w:rsidRPr="00EE227E">
        <w:rPr>
          <w:rFonts w:cstheme="minorHAnsi"/>
          <w:iCs/>
        </w:rPr>
        <w:t xml:space="preserve">≥ 150 </w:t>
      </w:r>
      <w:r w:rsidR="007E326A" w:rsidRPr="00EE227E">
        <w:rPr>
          <w:rFonts w:cstheme="minorHAnsi"/>
        </w:rPr>
        <w:t>cells</w:t>
      </w:r>
      <w:r w:rsidR="007E326A" w:rsidRPr="00EE227E">
        <w:rPr>
          <w:iCs/>
        </w:rPr>
        <w:t>/</w:t>
      </w:r>
      <w:proofErr w:type="spellStart"/>
      <w:r w:rsidR="007E326A" w:rsidRPr="00EE227E">
        <w:rPr>
          <w:iCs/>
        </w:rPr>
        <w:t>μL</w:t>
      </w:r>
      <w:proofErr w:type="spellEnd"/>
      <w:r w:rsidR="007E326A" w:rsidRPr="00EE227E">
        <w:rPr>
          <w:iCs/>
        </w:rPr>
        <w:t xml:space="preserve">) </w:t>
      </w:r>
      <w:r w:rsidR="00EC47EB" w:rsidRPr="00EE227E">
        <w:rPr>
          <w:iCs/>
        </w:rPr>
        <w:t xml:space="preserve">and </w:t>
      </w:r>
      <w:r w:rsidR="009D70BA" w:rsidRPr="00EE227E">
        <w:rPr>
          <w:iCs/>
        </w:rPr>
        <w:t>either</w:t>
      </w:r>
      <w:r w:rsidR="00EC47EB" w:rsidRPr="00EE227E">
        <w:rPr>
          <w:iCs/>
        </w:rPr>
        <w:t xml:space="preserve"> </w:t>
      </w:r>
      <w:proofErr w:type="spellStart"/>
      <w:r w:rsidR="000D2657" w:rsidRPr="00EE227E">
        <w:rPr>
          <w:iCs/>
        </w:rPr>
        <w:t>FeNO</w:t>
      </w:r>
      <w:proofErr w:type="spellEnd"/>
      <w:r w:rsidR="000D2657" w:rsidRPr="00EE227E">
        <w:rPr>
          <w:iCs/>
        </w:rPr>
        <w:t xml:space="preserve"> or</w:t>
      </w:r>
      <w:r w:rsidR="00EC47EB" w:rsidRPr="00EE227E">
        <w:rPr>
          <w:iCs/>
        </w:rPr>
        <w:t xml:space="preserve"> </w:t>
      </w:r>
      <w:r w:rsidR="003F3399" w:rsidRPr="00EE227E">
        <w:rPr>
          <w:iCs/>
        </w:rPr>
        <w:t xml:space="preserve">IgE positive. </w:t>
      </w:r>
      <w:bookmarkEnd w:id="37"/>
    </w:p>
    <w:p w14:paraId="56E9DFAB" w14:textId="77777777" w:rsidR="002B67BD" w:rsidRPr="00EE227E" w:rsidRDefault="002B67BD" w:rsidP="002B67BD">
      <w:pPr>
        <w:pStyle w:val="COMESnumberedpara"/>
        <w:numPr>
          <w:ilvl w:val="0"/>
          <w:numId w:val="0"/>
        </w:numPr>
        <w:rPr>
          <w:iCs/>
        </w:rPr>
      </w:pPr>
    </w:p>
    <w:p w14:paraId="1A9B9DAE" w14:textId="114ABF8D" w:rsidR="004D1F9C" w:rsidRDefault="00E07D3D" w:rsidP="00E07D3D">
      <w:pPr>
        <w:pStyle w:val="TableFigureHeading"/>
      </w:pPr>
      <w:bookmarkStart w:id="38" w:name="_Ref211572442"/>
      <w:bookmarkStart w:id="39" w:name="_Toc209012732"/>
      <w:r>
        <w:t xml:space="preserve">Figure </w:t>
      </w:r>
      <w:r w:rsidR="001146FA">
        <w:fldChar w:fldCharType="begin"/>
      </w:r>
      <w:r w:rsidR="001146FA">
        <w:instrText xml:space="preserve"> SEQ Figure \* ARABIC </w:instrText>
      </w:r>
      <w:r w:rsidR="001146FA">
        <w:fldChar w:fldCharType="separate"/>
      </w:r>
      <w:r w:rsidR="0078760A">
        <w:rPr>
          <w:noProof/>
        </w:rPr>
        <w:t>1</w:t>
      </w:r>
      <w:r w:rsidR="001146FA">
        <w:rPr>
          <w:noProof/>
        </w:rPr>
        <w:fldChar w:fldCharType="end"/>
      </w:r>
      <w:bookmarkEnd w:id="38"/>
      <w:r>
        <w:t>:</w:t>
      </w:r>
      <w:r w:rsidR="004D1F9C">
        <w:t xml:space="preserve"> </w:t>
      </w:r>
      <w:r w:rsidR="004D1F9C" w:rsidRPr="004D1F9C">
        <w:t>Annuali</w:t>
      </w:r>
      <w:r w:rsidR="00DB6ABD">
        <w:t>s</w:t>
      </w:r>
      <w:r w:rsidR="004D1F9C" w:rsidRPr="004D1F9C">
        <w:t xml:space="preserve">ed asthma exacerbation rate over 52 weeks compared with </w:t>
      </w:r>
      <w:r w:rsidR="00DB6ABD">
        <w:t xml:space="preserve">placebo </w:t>
      </w:r>
      <w:r w:rsidR="004D1F9C" w:rsidRPr="004D1F9C">
        <w:t xml:space="preserve">in biomarker subgroups excluding patients who received </w:t>
      </w:r>
      <w:proofErr w:type="spellStart"/>
      <w:r w:rsidR="004D1F9C" w:rsidRPr="004D1F9C">
        <w:t>mOCS</w:t>
      </w:r>
      <w:proofErr w:type="spellEnd"/>
    </w:p>
    <w:p w14:paraId="6912BDDE" w14:textId="548D62BF" w:rsidR="004D1F9C" w:rsidRDefault="006E1A42" w:rsidP="00E07D3D">
      <w:pPr>
        <w:pStyle w:val="TableFigureHeading"/>
      </w:pPr>
      <w:r w:rsidRPr="006E1A42">
        <w:rPr>
          <w:noProof/>
        </w:rPr>
        <w:drawing>
          <wp:inline distT="0" distB="0" distL="0" distR="0" wp14:anchorId="4F121C37" wp14:editId="10A647DC">
            <wp:extent cx="5732145" cy="2890520"/>
            <wp:effectExtent l="0" t="0" r="1905" b="5080"/>
            <wp:docPr id="206444557" name="Picture 1" descr="Annualised asthma exacerbation rate over 52 weeks compared with placebo in biomarker subgroups excluding patients who received m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4557" name="Picture 1" descr="Annualised asthma exacerbation rate over 52 weeks compared with placebo in biomarker subgroups excluding patients who received mOCS"/>
                    <pic:cNvPicPr/>
                  </pic:nvPicPr>
                  <pic:blipFill>
                    <a:blip r:embed="rId11"/>
                    <a:stretch>
                      <a:fillRect/>
                    </a:stretch>
                  </pic:blipFill>
                  <pic:spPr>
                    <a:xfrm>
                      <a:off x="0" y="0"/>
                      <a:ext cx="5732145" cy="2890520"/>
                    </a:xfrm>
                    <a:prstGeom prst="rect">
                      <a:avLst/>
                    </a:prstGeom>
                  </pic:spPr>
                </pic:pic>
              </a:graphicData>
            </a:graphic>
          </wp:inline>
        </w:drawing>
      </w:r>
    </w:p>
    <w:p w14:paraId="21FDD396" w14:textId="747F68FA" w:rsidR="004D1F9C" w:rsidRDefault="004D1F9C" w:rsidP="004D1F9C">
      <w:pPr>
        <w:pStyle w:val="TableFigureFooter"/>
        <w:keepNext/>
        <w:widowControl w:val="0"/>
      </w:pPr>
      <w:r w:rsidRPr="004D1F9C">
        <w:t>Source: Corren et al. 2023</w:t>
      </w:r>
      <w:r>
        <w:t>; PSCR (p2)</w:t>
      </w:r>
    </w:p>
    <w:p w14:paraId="149C7846" w14:textId="369E29FE" w:rsidR="004D1F9C" w:rsidRDefault="004D1F9C" w:rsidP="004D1F9C">
      <w:pPr>
        <w:pStyle w:val="TableFigureFooter"/>
        <w:keepNext/>
        <w:widowControl w:val="0"/>
      </w:pPr>
      <w:r>
        <w:t xml:space="preserve">Notes: </w:t>
      </w:r>
      <w:r w:rsidRPr="004D1F9C">
        <w:t>Rate ratio is displayed on a log scale. Data are from a negative binomial regression analysis with treatment, study (PATHWAY and</w:t>
      </w:r>
      <w:r w:rsidR="007C7131">
        <w:t xml:space="preserve"> </w:t>
      </w:r>
      <w:r w:rsidRPr="004D1F9C">
        <w:t>NAVIGATOR), history of exacerbations (two or fewer or more than two in the previous 12 mo</w:t>
      </w:r>
      <w:r w:rsidR="00FE78C6">
        <w:t>nths)</w:t>
      </w:r>
      <w:r w:rsidRPr="004D1F9C">
        <w:t xml:space="preserve"> subgroup, and treatment-by-subgroup interaction as covariates.</w:t>
      </w:r>
    </w:p>
    <w:p w14:paraId="4D039ECE" w14:textId="29741B45" w:rsidR="00E07D3D" w:rsidRPr="00E07D3D" w:rsidRDefault="004D1F9C" w:rsidP="00DB6ABD">
      <w:pPr>
        <w:pStyle w:val="TableFigureFooter"/>
        <w:keepNext/>
        <w:widowControl w:val="0"/>
      </w:pPr>
      <w:r w:rsidRPr="004D1F9C">
        <w:t xml:space="preserve">BEC= blood eosinophil count; CI =confidence interval; excl= excluding; FEIA=fluorescence enzyme immunoassay; FENO= fractional exhaled nitric oxide; </w:t>
      </w:r>
      <w:proofErr w:type="spellStart"/>
      <w:r w:rsidRPr="004D1F9C">
        <w:t>mOCS</w:t>
      </w:r>
      <w:proofErr w:type="spellEnd"/>
      <w:r w:rsidRPr="004D1F9C">
        <w:t xml:space="preserve">= maintenance oral corticosteroid; OCS=oral corticosteroid; NAVIGATOR= Study to Evaluate TEZE in Adults &amp; Adolescents </w:t>
      </w:r>
      <w:proofErr w:type="gramStart"/>
      <w:r w:rsidRPr="004D1F9C">
        <w:t>With</w:t>
      </w:r>
      <w:proofErr w:type="gramEnd"/>
      <w:r w:rsidRPr="004D1F9C">
        <w:t xml:space="preserve"> Severe Uncontrolled Asthma; Q4W=every 4 weeks. </w:t>
      </w:r>
    </w:p>
    <w:p w14:paraId="0A970373" w14:textId="40E771A1" w:rsidR="0014336E" w:rsidRPr="00473BD7" w:rsidRDefault="0014336E" w:rsidP="0014336E">
      <w:pPr>
        <w:pStyle w:val="5-SubsectionSubheading"/>
      </w:pPr>
      <w:r w:rsidRPr="00473BD7">
        <w:t>Eosinophilic or allergic SUA</w:t>
      </w:r>
      <w:bookmarkEnd w:id="39"/>
    </w:p>
    <w:p w14:paraId="5E6C0786" w14:textId="33687305" w:rsidR="0014336E" w:rsidRPr="00CF7EEA" w:rsidRDefault="0014336E" w:rsidP="0014336E">
      <w:pPr>
        <w:pStyle w:val="COMESnumberedpara"/>
      </w:pPr>
      <w:r>
        <w:t>The results presented for the</w:t>
      </w:r>
      <w:r w:rsidRPr="00F02399">
        <w:t xml:space="preserve"> </w:t>
      </w:r>
      <w:r>
        <w:t xml:space="preserve">eosinophilic and </w:t>
      </w:r>
      <w:r w:rsidRPr="00F02399">
        <w:t xml:space="preserve">allergic </w:t>
      </w:r>
      <w:r>
        <w:t xml:space="preserve">subgroups in </w:t>
      </w:r>
      <w:r>
        <w:fldChar w:fldCharType="begin"/>
      </w:r>
      <w:r>
        <w:instrText xml:space="preserve"> REF _Ref207729588 \h  \* MERGEFORMAT </w:instrText>
      </w:r>
      <w:r>
        <w:fldChar w:fldCharType="separate"/>
      </w:r>
      <w:r w:rsidR="0078760A">
        <w:t>Table 7</w:t>
      </w:r>
      <w:r>
        <w:fldChar w:fldCharType="end"/>
      </w:r>
      <w:r>
        <w:t xml:space="preserve"> (unshaded) along with the AAER results in </w:t>
      </w:r>
      <w:r>
        <w:fldChar w:fldCharType="begin"/>
      </w:r>
      <w:r>
        <w:instrText xml:space="preserve"> REF _Ref207779742 \h  \* MERGEFORMAT </w:instrText>
      </w:r>
      <w:r>
        <w:fldChar w:fldCharType="separate"/>
      </w:r>
      <w:r w:rsidR="0078760A">
        <w:t>Table 8</w:t>
      </w:r>
      <w:r>
        <w:fldChar w:fldCharType="end"/>
      </w:r>
      <w:r>
        <w:t xml:space="preserve"> for dupilumab were used to inform the indirect treatment comparisons for this population. </w:t>
      </w:r>
      <w:r w:rsidRPr="00CF7EEA">
        <w:t xml:space="preserve">Indirect treatment comparisons of the secondary comparators </w:t>
      </w:r>
      <w:proofErr w:type="spellStart"/>
      <w:r w:rsidRPr="00CF7EEA">
        <w:t>benralizumab</w:t>
      </w:r>
      <w:proofErr w:type="spellEnd"/>
      <w:r w:rsidRPr="00CF7EEA">
        <w:t xml:space="preserve">, mepolizumab and omalizumab </w:t>
      </w:r>
      <w:r w:rsidR="00B07265" w:rsidRPr="00EE227E">
        <w:rPr>
          <w:iCs/>
        </w:rPr>
        <w:t xml:space="preserve">are not </w:t>
      </w:r>
      <w:r w:rsidR="00CA3402" w:rsidRPr="00EE227E">
        <w:rPr>
          <w:iCs/>
        </w:rPr>
        <w:t>discussed in this document</w:t>
      </w:r>
      <w:r w:rsidR="00B07265" w:rsidRPr="00EE227E">
        <w:rPr>
          <w:iCs/>
        </w:rPr>
        <w:t>.</w:t>
      </w:r>
      <w:r w:rsidR="00B07265">
        <w:t xml:space="preserve"> </w:t>
      </w:r>
    </w:p>
    <w:p w14:paraId="71699B15" w14:textId="344F25D7" w:rsidR="0014336E" w:rsidRPr="00DC0BB0" w:rsidRDefault="0014336E" w:rsidP="0014336E">
      <w:pPr>
        <w:pStyle w:val="TableFigureHeading"/>
      </w:pPr>
      <w:bookmarkStart w:id="40" w:name="_Ref207779742"/>
      <w:r>
        <w:t xml:space="preserve">Table </w:t>
      </w:r>
      <w:r w:rsidR="001146FA">
        <w:fldChar w:fldCharType="begin"/>
      </w:r>
      <w:r w:rsidR="001146FA">
        <w:instrText xml:space="preserve"> SEQ Table \* ARABIC </w:instrText>
      </w:r>
      <w:r w:rsidR="001146FA">
        <w:fldChar w:fldCharType="separate"/>
      </w:r>
      <w:r w:rsidR="0078760A">
        <w:rPr>
          <w:noProof/>
        </w:rPr>
        <w:t>8</w:t>
      </w:r>
      <w:r w:rsidR="001146FA">
        <w:rPr>
          <w:noProof/>
        </w:rPr>
        <w:fldChar w:fldCharType="end"/>
      </w:r>
      <w:bookmarkEnd w:id="40"/>
      <w:r>
        <w:t>: AAER - dupilumab trials (ITT and subgroups)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AER - dupilumab trials (ITT and subgroups)"/>
      </w:tblPr>
      <w:tblGrid>
        <w:gridCol w:w="2571"/>
        <w:gridCol w:w="2435"/>
        <w:gridCol w:w="2004"/>
        <w:gridCol w:w="2007"/>
      </w:tblGrid>
      <w:tr w:rsidR="0014336E" w:rsidRPr="009C565F" w14:paraId="39BF7B40" w14:textId="77777777">
        <w:trPr>
          <w:cantSplit/>
        </w:trPr>
        <w:tc>
          <w:tcPr>
            <w:tcW w:w="1426" w:type="pct"/>
            <w:vAlign w:val="center"/>
          </w:tcPr>
          <w:p w14:paraId="7B6F7B0C" w14:textId="77777777" w:rsidR="0014336E" w:rsidRPr="009C565F" w:rsidRDefault="0014336E">
            <w:pPr>
              <w:keepNext/>
              <w:keepLines/>
              <w:jc w:val="left"/>
              <w:rPr>
                <w:rFonts w:ascii="Arial Narrow" w:eastAsiaTheme="majorEastAsia" w:hAnsi="Arial Narrow" w:cs="Times New Roman"/>
                <w:b/>
                <w:color w:val="000000" w:themeColor="text1"/>
                <w:sz w:val="20"/>
                <w:szCs w:val="20"/>
              </w:rPr>
            </w:pPr>
          </w:p>
        </w:tc>
        <w:tc>
          <w:tcPr>
            <w:tcW w:w="1350" w:type="pct"/>
            <w:vAlign w:val="center"/>
          </w:tcPr>
          <w:p w14:paraId="7ED07677" w14:textId="77777777" w:rsidR="0014336E" w:rsidRPr="009C565F" w:rsidRDefault="0014336E">
            <w:pPr>
              <w:keepNext/>
              <w:keepLines/>
              <w:jc w:val="center"/>
              <w:rPr>
                <w:rFonts w:ascii="Arial Narrow" w:eastAsiaTheme="majorEastAsia" w:hAnsi="Arial Narrow" w:cstheme="majorBidi"/>
                <w:b/>
                <w:color w:val="000000" w:themeColor="text1"/>
                <w:sz w:val="20"/>
              </w:rPr>
            </w:pPr>
            <w:r>
              <w:rPr>
                <w:rFonts w:ascii="Arial Narrow" w:eastAsiaTheme="majorEastAsia" w:hAnsi="Arial Narrow" w:cstheme="majorBidi"/>
                <w:b/>
                <w:bCs/>
                <w:color w:val="000000" w:themeColor="text1"/>
                <w:sz w:val="20"/>
              </w:rPr>
              <w:t>Dupilumab</w:t>
            </w:r>
          </w:p>
          <w:p w14:paraId="1E5D9DDB" w14:textId="77777777" w:rsidR="0014336E" w:rsidRPr="009C565F" w:rsidRDefault="0014336E">
            <w:pPr>
              <w:keepNext/>
              <w:keepLines/>
              <w:jc w:val="center"/>
              <w:rPr>
                <w:rFonts w:ascii="Arial Narrow" w:eastAsiaTheme="majorEastAsia" w:hAnsi="Arial Narrow" w:cs="Times New Roman"/>
                <w:b/>
                <w:color w:val="000000" w:themeColor="text1"/>
                <w:sz w:val="20"/>
                <w:szCs w:val="20"/>
              </w:rPr>
            </w:pPr>
            <w:r w:rsidRPr="009C565F">
              <w:rPr>
                <w:rFonts w:ascii="Arial Narrow" w:eastAsiaTheme="majorEastAsia" w:hAnsi="Arial Narrow" w:cs="Times New Roman"/>
                <w:b/>
                <w:bCs/>
                <w:color w:val="000000" w:themeColor="text1"/>
                <w:sz w:val="20"/>
              </w:rPr>
              <w:t>Rate (95% CI) [N]</w:t>
            </w:r>
          </w:p>
        </w:tc>
        <w:tc>
          <w:tcPr>
            <w:tcW w:w="1111" w:type="pct"/>
            <w:vAlign w:val="center"/>
          </w:tcPr>
          <w:p w14:paraId="087DA052" w14:textId="77777777" w:rsidR="0014336E" w:rsidRPr="009C565F" w:rsidRDefault="0014336E">
            <w:pPr>
              <w:keepNext/>
              <w:keepLines/>
              <w:jc w:val="center"/>
              <w:rPr>
                <w:rFonts w:ascii="Arial Narrow" w:eastAsiaTheme="majorEastAsia" w:hAnsi="Arial Narrow" w:cstheme="majorBidi"/>
                <w:b/>
                <w:color w:val="000000" w:themeColor="text1"/>
                <w:sz w:val="20"/>
              </w:rPr>
            </w:pPr>
            <w:r w:rsidRPr="009C565F">
              <w:rPr>
                <w:rFonts w:ascii="Arial Narrow" w:eastAsiaTheme="majorEastAsia" w:hAnsi="Arial Narrow" w:cstheme="majorBidi"/>
                <w:b/>
                <w:bCs/>
                <w:color w:val="000000" w:themeColor="text1"/>
                <w:sz w:val="20"/>
              </w:rPr>
              <w:t>Placebo</w:t>
            </w:r>
          </w:p>
          <w:p w14:paraId="567C2163" w14:textId="77777777" w:rsidR="0014336E" w:rsidRPr="009C565F" w:rsidRDefault="0014336E">
            <w:pPr>
              <w:keepNext/>
              <w:keepLines/>
              <w:jc w:val="center"/>
              <w:rPr>
                <w:rFonts w:ascii="Arial Narrow" w:eastAsiaTheme="majorEastAsia" w:hAnsi="Arial Narrow" w:cs="Times New Roman"/>
                <w:b/>
                <w:color w:val="000000" w:themeColor="text1"/>
                <w:sz w:val="20"/>
                <w:szCs w:val="20"/>
              </w:rPr>
            </w:pPr>
            <w:r w:rsidRPr="009C565F">
              <w:rPr>
                <w:rFonts w:ascii="Arial Narrow" w:eastAsiaTheme="majorEastAsia" w:hAnsi="Arial Narrow" w:cs="Times New Roman"/>
                <w:b/>
                <w:bCs/>
                <w:color w:val="000000" w:themeColor="text1"/>
                <w:sz w:val="20"/>
              </w:rPr>
              <w:t>Rate (95% CI) [N]</w:t>
            </w:r>
          </w:p>
        </w:tc>
        <w:tc>
          <w:tcPr>
            <w:tcW w:w="1113" w:type="pct"/>
            <w:vAlign w:val="center"/>
          </w:tcPr>
          <w:p w14:paraId="7319A442" w14:textId="77777777" w:rsidR="0014336E" w:rsidRPr="009C565F" w:rsidRDefault="0014336E">
            <w:pPr>
              <w:keepNext/>
              <w:keepLines/>
              <w:jc w:val="center"/>
              <w:rPr>
                <w:rFonts w:ascii="Arial Narrow" w:eastAsiaTheme="majorEastAsia" w:hAnsi="Arial Narrow" w:cs="Times New Roman"/>
                <w:b/>
                <w:color w:val="000000" w:themeColor="text1"/>
                <w:sz w:val="20"/>
                <w:szCs w:val="20"/>
              </w:rPr>
            </w:pPr>
            <w:r w:rsidRPr="009C565F">
              <w:rPr>
                <w:rFonts w:ascii="Arial Narrow" w:eastAsiaTheme="majorEastAsia" w:hAnsi="Arial Narrow" w:cs="Times New Roman"/>
                <w:b/>
                <w:bCs/>
                <w:color w:val="000000" w:themeColor="text1"/>
                <w:sz w:val="20"/>
                <w:szCs w:val="20"/>
              </w:rPr>
              <w:t>RR (95% CI)</w:t>
            </w:r>
          </w:p>
        </w:tc>
      </w:tr>
      <w:tr w:rsidR="0014336E" w:rsidRPr="009C565F" w14:paraId="427CD482" w14:textId="77777777">
        <w:trPr>
          <w:cantSplit/>
        </w:trPr>
        <w:tc>
          <w:tcPr>
            <w:tcW w:w="5000" w:type="pct"/>
            <w:gridSpan w:val="4"/>
            <w:vAlign w:val="center"/>
          </w:tcPr>
          <w:p w14:paraId="01E82916" w14:textId="77777777" w:rsidR="0014336E" w:rsidRPr="009C565F" w:rsidRDefault="0014336E">
            <w:pPr>
              <w:keepNext/>
              <w:keepLines/>
              <w:jc w:val="left"/>
              <w:rPr>
                <w:rFonts w:ascii="Arial Narrow" w:eastAsiaTheme="majorEastAsia" w:hAnsi="Arial Narrow" w:cs="Times New Roman"/>
                <w:b/>
                <w:bCs/>
                <w:color w:val="000000" w:themeColor="text1"/>
                <w:sz w:val="20"/>
                <w:szCs w:val="20"/>
              </w:rPr>
            </w:pPr>
            <w:r>
              <w:rPr>
                <w:rFonts w:ascii="Arial Narrow" w:eastAsiaTheme="majorEastAsia" w:hAnsi="Arial Narrow" w:cs="Times New Roman"/>
                <w:b/>
                <w:color w:val="000000" w:themeColor="text1"/>
                <w:sz w:val="20"/>
                <w:szCs w:val="20"/>
              </w:rPr>
              <w:t>AAER</w:t>
            </w:r>
            <w:r w:rsidRPr="009C565F">
              <w:rPr>
                <w:rFonts w:ascii="Arial Narrow" w:eastAsiaTheme="majorEastAsia" w:hAnsi="Arial Narrow" w:cs="Times New Roman"/>
                <w:b/>
                <w:color w:val="000000" w:themeColor="text1"/>
                <w:sz w:val="20"/>
                <w:szCs w:val="20"/>
              </w:rPr>
              <w:t xml:space="preserve"> (ITT)</w:t>
            </w:r>
          </w:p>
        </w:tc>
      </w:tr>
      <w:tr w:rsidR="0014336E" w:rsidRPr="009C565F" w14:paraId="1BC21B47" w14:textId="77777777">
        <w:trPr>
          <w:cantSplit/>
        </w:trPr>
        <w:tc>
          <w:tcPr>
            <w:tcW w:w="1426" w:type="pct"/>
            <w:vAlign w:val="center"/>
          </w:tcPr>
          <w:p w14:paraId="49F15CD0" w14:textId="77777777" w:rsidR="0014336E" w:rsidRPr="009C565F" w:rsidRDefault="0014336E">
            <w:pPr>
              <w:keepNext/>
              <w:keepLines/>
              <w:jc w:val="left"/>
              <w:rPr>
                <w:rFonts w:ascii="Arial Narrow" w:eastAsiaTheme="majorEastAsia" w:hAnsi="Arial Narrow" w:cstheme="majorBidi"/>
                <w:b/>
                <w:color w:val="000000" w:themeColor="text1"/>
                <w:sz w:val="20"/>
              </w:rPr>
            </w:pPr>
            <w:r w:rsidRPr="009C565F">
              <w:rPr>
                <w:rFonts w:ascii="Arial Narrow" w:eastAsiaTheme="majorEastAsia" w:hAnsi="Arial Narrow" w:cstheme="majorBidi"/>
                <w:bCs/>
                <w:color w:val="000000" w:themeColor="text1"/>
                <w:sz w:val="20"/>
                <w:szCs w:val="20"/>
              </w:rPr>
              <w:t>QUEST (</w:t>
            </w:r>
            <w:r w:rsidRPr="009C565F">
              <w:rPr>
                <w:rFonts w:ascii="Arial Narrow" w:eastAsiaTheme="majorEastAsia" w:hAnsi="Arial Narrow" w:cstheme="majorBidi"/>
                <w:color w:val="000000" w:themeColor="text1"/>
                <w:sz w:val="20"/>
              </w:rPr>
              <w:t>DUPI 200 Q2W)</w:t>
            </w:r>
          </w:p>
        </w:tc>
        <w:tc>
          <w:tcPr>
            <w:tcW w:w="1350" w:type="pct"/>
            <w:vAlign w:val="center"/>
          </w:tcPr>
          <w:p w14:paraId="4B828362" w14:textId="77777777" w:rsidR="0014336E" w:rsidRPr="009C565F" w:rsidRDefault="0014336E">
            <w:pPr>
              <w:keepNext/>
              <w:keepLines/>
              <w:jc w:val="center"/>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rPr>
              <w:t>0.46 (0.39, 0.53) [631]</w:t>
            </w:r>
          </w:p>
        </w:tc>
        <w:tc>
          <w:tcPr>
            <w:tcW w:w="1111" w:type="pct"/>
            <w:vAlign w:val="center"/>
          </w:tcPr>
          <w:p w14:paraId="68F72F0D" w14:textId="77777777" w:rsidR="0014336E" w:rsidRPr="009C565F" w:rsidRDefault="0014336E">
            <w:pPr>
              <w:keepNext/>
              <w:keepLines/>
              <w:jc w:val="center"/>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rPr>
              <w:t>0.87 (0.72, 1.05) [317]</w:t>
            </w:r>
          </w:p>
        </w:tc>
        <w:tc>
          <w:tcPr>
            <w:tcW w:w="1113" w:type="pct"/>
            <w:vAlign w:val="center"/>
          </w:tcPr>
          <w:p w14:paraId="6DD4E780" w14:textId="77777777" w:rsidR="0014336E" w:rsidRPr="009C565F" w:rsidRDefault="0014336E">
            <w:pPr>
              <w:keepNext/>
              <w:keepLines/>
              <w:jc w:val="center"/>
              <w:rPr>
                <w:rFonts w:ascii="Arial Narrow" w:eastAsiaTheme="majorEastAsia" w:hAnsi="Arial Narrow" w:cstheme="majorBidi"/>
                <w:b/>
                <w:color w:val="000000" w:themeColor="text1"/>
                <w:sz w:val="20"/>
                <w:szCs w:val="20"/>
              </w:rPr>
            </w:pPr>
            <w:r w:rsidRPr="009C565F">
              <w:rPr>
                <w:rFonts w:ascii="Arial Narrow" w:eastAsiaTheme="majorEastAsia" w:hAnsi="Arial Narrow" w:cstheme="majorBidi"/>
                <w:b/>
                <w:color w:val="000000" w:themeColor="text1"/>
                <w:sz w:val="20"/>
              </w:rPr>
              <w:t>0.52 (0.41, 0.66)</w:t>
            </w:r>
          </w:p>
        </w:tc>
      </w:tr>
      <w:tr w:rsidR="0014336E" w:rsidRPr="009C565F" w14:paraId="3962A9CB" w14:textId="77777777">
        <w:trPr>
          <w:cantSplit/>
        </w:trPr>
        <w:tc>
          <w:tcPr>
            <w:tcW w:w="1426" w:type="pct"/>
            <w:vAlign w:val="center"/>
          </w:tcPr>
          <w:p w14:paraId="009D3D5A" w14:textId="77777777" w:rsidR="0014336E" w:rsidRPr="009C565F" w:rsidRDefault="0014336E">
            <w:pPr>
              <w:keepNext/>
              <w:keepLines/>
              <w:jc w:val="left"/>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szCs w:val="20"/>
              </w:rPr>
              <w:t>DRI12544 (</w:t>
            </w:r>
            <w:r w:rsidRPr="009C565F">
              <w:rPr>
                <w:rFonts w:ascii="Arial Narrow" w:eastAsiaTheme="majorEastAsia" w:hAnsi="Arial Narrow" w:cstheme="majorBidi"/>
                <w:color w:val="000000" w:themeColor="text1"/>
                <w:sz w:val="20"/>
              </w:rPr>
              <w:t>DUPI 200 Q2W)</w:t>
            </w:r>
          </w:p>
        </w:tc>
        <w:tc>
          <w:tcPr>
            <w:tcW w:w="1350" w:type="pct"/>
            <w:vAlign w:val="center"/>
          </w:tcPr>
          <w:p w14:paraId="2B474EE8" w14:textId="77777777" w:rsidR="0014336E" w:rsidRPr="009C565F" w:rsidRDefault="0014336E">
            <w:pPr>
              <w:keepNext/>
              <w:keepLines/>
              <w:jc w:val="center"/>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rPr>
              <w:t>0.27 (0.16, 0.46) [158]</w:t>
            </w:r>
          </w:p>
        </w:tc>
        <w:tc>
          <w:tcPr>
            <w:tcW w:w="1111" w:type="pct"/>
            <w:vAlign w:val="center"/>
          </w:tcPr>
          <w:p w14:paraId="69AAF05F" w14:textId="77777777" w:rsidR="0014336E" w:rsidRPr="009C565F" w:rsidRDefault="0014336E">
            <w:pPr>
              <w:keepNext/>
              <w:keepLines/>
              <w:jc w:val="center"/>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rPr>
              <w:t>0.90 (0.62, 1.30) [158]</w:t>
            </w:r>
          </w:p>
        </w:tc>
        <w:tc>
          <w:tcPr>
            <w:tcW w:w="1113" w:type="pct"/>
            <w:vAlign w:val="center"/>
          </w:tcPr>
          <w:p w14:paraId="5DD46CE6" w14:textId="77777777" w:rsidR="0014336E" w:rsidRPr="009C565F" w:rsidRDefault="0014336E">
            <w:pPr>
              <w:keepNext/>
              <w:keepLines/>
              <w:jc w:val="center"/>
              <w:rPr>
                <w:rFonts w:ascii="Arial Narrow" w:eastAsiaTheme="majorEastAsia" w:hAnsi="Arial Narrow" w:cstheme="majorBidi"/>
                <w:b/>
                <w:color w:val="000000" w:themeColor="text1"/>
                <w:sz w:val="20"/>
                <w:szCs w:val="20"/>
              </w:rPr>
            </w:pPr>
            <w:r w:rsidRPr="009C565F">
              <w:rPr>
                <w:rFonts w:ascii="Arial Narrow" w:eastAsiaTheme="majorEastAsia" w:hAnsi="Arial Narrow" w:cstheme="majorBidi"/>
                <w:b/>
                <w:color w:val="000000" w:themeColor="text1"/>
                <w:sz w:val="20"/>
              </w:rPr>
              <w:t>0.30 (0.16, 0.57)</w:t>
            </w:r>
          </w:p>
        </w:tc>
      </w:tr>
      <w:tr w:rsidR="0014336E" w:rsidRPr="009C565F" w14:paraId="4C7A150D" w14:textId="77777777">
        <w:trPr>
          <w:cantSplit/>
        </w:trPr>
        <w:tc>
          <w:tcPr>
            <w:tcW w:w="1426" w:type="pct"/>
            <w:vAlign w:val="center"/>
          </w:tcPr>
          <w:p w14:paraId="19189C5A" w14:textId="77777777" w:rsidR="0014336E" w:rsidRPr="009C565F" w:rsidRDefault="0014336E">
            <w:pPr>
              <w:keepNext/>
              <w:keepLines/>
              <w:jc w:val="left"/>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szCs w:val="20"/>
              </w:rPr>
              <w:t>VENTURE (</w:t>
            </w:r>
            <w:r w:rsidRPr="009C565F">
              <w:rPr>
                <w:rFonts w:ascii="Arial Narrow" w:eastAsiaTheme="majorEastAsia" w:hAnsi="Arial Narrow" w:cstheme="majorBidi"/>
                <w:color w:val="000000" w:themeColor="text1"/>
                <w:sz w:val="20"/>
              </w:rPr>
              <w:t>DUPI 300 Q2W)</w:t>
            </w:r>
          </w:p>
        </w:tc>
        <w:tc>
          <w:tcPr>
            <w:tcW w:w="1350" w:type="pct"/>
            <w:vAlign w:val="center"/>
          </w:tcPr>
          <w:p w14:paraId="6032E6BC" w14:textId="77777777" w:rsidR="0014336E" w:rsidRPr="009C565F" w:rsidRDefault="0014336E">
            <w:pPr>
              <w:keepNext/>
              <w:keepLines/>
              <w:jc w:val="center"/>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rPr>
              <w:t>0.65 (0.44, 0.96) [103]</w:t>
            </w:r>
          </w:p>
        </w:tc>
        <w:tc>
          <w:tcPr>
            <w:tcW w:w="1111" w:type="pct"/>
            <w:vAlign w:val="center"/>
          </w:tcPr>
          <w:p w14:paraId="1BCAA36C" w14:textId="77777777" w:rsidR="0014336E" w:rsidRPr="009C565F" w:rsidRDefault="0014336E">
            <w:pPr>
              <w:keepNext/>
              <w:keepLines/>
              <w:jc w:val="center"/>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rPr>
              <w:t>1.60 (1.25, 2.04) [107]</w:t>
            </w:r>
          </w:p>
        </w:tc>
        <w:tc>
          <w:tcPr>
            <w:tcW w:w="1113" w:type="pct"/>
            <w:vAlign w:val="center"/>
          </w:tcPr>
          <w:p w14:paraId="47EC3A01" w14:textId="77777777" w:rsidR="0014336E" w:rsidRPr="009C565F" w:rsidRDefault="0014336E">
            <w:pPr>
              <w:keepNext/>
              <w:keepLines/>
              <w:jc w:val="center"/>
              <w:rPr>
                <w:rFonts w:ascii="Arial Narrow" w:eastAsiaTheme="majorEastAsia" w:hAnsi="Arial Narrow" w:cstheme="majorBidi"/>
                <w:b/>
                <w:color w:val="000000" w:themeColor="text1"/>
                <w:sz w:val="20"/>
                <w:szCs w:val="20"/>
              </w:rPr>
            </w:pPr>
            <w:r w:rsidRPr="009C565F">
              <w:rPr>
                <w:rFonts w:ascii="Arial Narrow" w:eastAsiaTheme="majorEastAsia" w:hAnsi="Arial Narrow" w:cstheme="majorBidi"/>
                <w:b/>
                <w:color w:val="000000" w:themeColor="text1"/>
                <w:sz w:val="20"/>
              </w:rPr>
              <w:t>0.41 (0.26, 0.63)</w:t>
            </w:r>
          </w:p>
        </w:tc>
      </w:tr>
      <w:tr w:rsidR="0014336E" w:rsidRPr="009C565F" w14:paraId="785CF38B" w14:textId="77777777">
        <w:trPr>
          <w:cantSplit/>
        </w:trPr>
        <w:tc>
          <w:tcPr>
            <w:tcW w:w="5000" w:type="pct"/>
            <w:gridSpan w:val="4"/>
            <w:vAlign w:val="center"/>
          </w:tcPr>
          <w:p w14:paraId="028661A7" w14:textId="77777777" w:rsidR="0014336E" w:rsidRPr="009C565F" w:rsidRDefault="0014336E">
            <w:pPr>
              <w:keepNext/>
              <w:keepLines/>
              <w:jc w:val="left"/>
              <w:rPr>
                <w:rFonts w:ascii="Arial Narrow" w:eastAsiaTheme="majorEastAsia" w:hAnsi="Arial Narrow"/>
                <w:b/>
                <w:snapToGrid w:val="0"/>
                <w:color w:val="000000" w:themeColor="text1"/>
                <w:sz w:val="20"/>
                <w:szCs w:val="20"/>
              </w:rPr>
            </w:pPr>
            <w:r>
              <w:rPr>
                <w:rFonts w:ascii="Arial Narrow" w:eastAsiaTheme="majorEastAsia" w:hAnsi="Arial Narrow" w:cstheme="majorBidi"/>
                <w:b/>
                <w:color w:val="000000" w:themeColor="text1"/>
                <w:sz w:val="20"/>
                <w:szCs w:val="20"/>
              </w:rPr>
              <w:t>AAER</w:t>
            </w:r>
            <w:r w:rsidRPr="009C565F">
              <w:rPr>
                <w:rFonts w:ascii="Arial Narrow" w:eastAsiaTheme="majorEastAsia" w:hAnsi="Arial Narrow" w:cstheme="majorBidi"/>
                <w:b/>
                <w:color w:val="000000" w:themeColor="text1"/>
                <w:sz w:val="20"/>
                <w:szCs w:val="20"/>
              </w:rPr>
              <w:t xml:space="preserve"> (</w:t>
            </w:r>
            <w:r w:rsidRPr="009C565F">
              <w:rPr>
                <w:rFonts w:ascii="Arial Narrow" w:eastAsiaTheme="majorEastAsia" w:hAnsi="Arial Narrow" w:cstheme="majorBidi"/>
                <w:b/>
                <w:color w:val="000000" w:themeColor="text1"/>
                <w:sz w:val="20"/>
              </w:rPr>
              <w:t>EOS</w:t>
            </w:r>
            <w:r>
              <w:rPr>
                <w:rFonts w:ascii="Arial Narrow" w:eastAsiaTheme="majorEastAsia" w:hAnsi="Arial Narrow" w:cstheme="majorBidi"/>
                <w:b/>
                <w:color w:val="000000" w:themeColor="text1"/>
                <w:sz w:val="20"/>
              </w:rPr>
              <w:t xml:space="preserve"> </w:t>
            </w:r>
            <w:r w:rsidRPr="009C565F">
              <w:rPr>
                <w:rFonts w:ascii="Arial Narrow" w:eastAsiaTheme="majorEastAsia" w:hAnsi="Arial Narrow" w:cstheme="majorBidi"/>
                <w:b/>
                <w:color w:val="000000" w:themeColor="text1"/>
                <w:sz w:val="20"/>
              </w:rPr>
              <w:t>≥300 cells/</w:t>
            </w:r>
            <w:proofErr w:type="spellStart"/>
            <w:r w:rsidRPr="009C565F">
              <w:rPr>
                <w:rFonts w:ascii="Arial Narrow" w:eastAsiaTheme="majorEastAsia" w:hAnsi="Arial Narrow" w:cstheme="majorBidi"/>
                <w:b/>
                <w:color w:val="000000" w:themeColor="text1"/>
                <w:sz w:val="20"/>
              </w:rPr>
              <w:t>μL</w:t>
            </w:r>
            <w:proofErr w:type="spellEnd"/>
            <w:r w:rsidRPr="009C565F">
              <w:rPr>
                <w:rFonts w:ascii="Arial Narrow" w:eastAsiaTheme="majorEastAsia" w:hAnsi="Arial Narrow" w:cstheme="majorBidi"/>
                <w:b/>
                <w:color w:val="000000" w:themeColor="text1"/>
                <w:sz w:val="20"/>
              </w:rPr>
              <w:t>)</w:t>
            </w:r>
          </w:p>
        </w:tc>
      </w:tr>
      <w:tr w:rsidR="0014336E" w:rsidRPr="009C565F" w14:paraId="55B5E133" w14:textId="77777777">
        <w:trPr>
          <w:cantSplit/>
        </w:trPr>
        <w:tc>
          <w:tcPr>
            <w:tcW w:w="1426" w:type="pct"/>
            <w:vAlign w:val="center"/>
          </w:tcPr>
          <w:p w14:paraId="20F81E53" w14:textId="77777777" w:rsidR="0014336E" w:rsidRPr="009C565F" w:rsidRDefault="0014336E">
            <w:pPr>
              <w:keepNext/>
              <w:keepLines/>
              <w:jc w:val="left"/>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szCs w:val="20"/>
              </w:rPr>
              <w:t>QUEST (</w:t>
            </w:r>
            <w:r w:rsidRPr="009C565F">
              <w:rPr>
                <w:rFonts w:ascii="Arial Narrow" w:eastAsiaTheme="majorEastAsia" w:hAnsi="Arial Narrow" w:cstheme="majorBidi"/>
                <w:color w:val="000000" w:themeColor="text1"/>
                <w:sz w:val="20"/>
              </w:rPr>
              <w:t>DUPI 200 Q2W)</w:t>
            </w:r>
          </w:p>
        </w:tc>
        <w:tc>
          <w:tcPr>
            <w:tcW w:w="1350" w:type="pct"/>
            <w:vAlign w:val="center"/>
          </w:tcPr>
          <w:p w14:paraId="69B02640" w14:textId="77777777" w:rsidR="0014336E" w:rsidRPr="009C565F" w:rsidRDefault="0014336E">
            <w:pPr>
              <w:keepNext/>
              <w:keepLines/>
              <w:jc w:val="center"/>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rPr>
              <w:t>0.37 (0.29, 0.48) [264]</w:t>
            </w:r>
          </w:p>
        </w:tc>
        <w:tc>
          <w:tcPr>
            <w:tcW w:w="1111" w:type="pct"/>
            <w:vAlign w:val="center"/>
          </w:tcPr>
          <w:p w14:paraId="25B845C2" w14:textId="77777777" w:rsidR="0014336E" w:rsidRPr="009C565F" w:rsidRDefault="0014336E">
            <w:pPr>
              <w:keepNext/>
              <w:keepLines/>
              <w:jc w:val="center"/>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rPr>
              <w:t>1.08 (0.85, 1.38) [148]</w:t>
            </w:r>
          </w:p>
        </w:tc>
        <w:tc>
          <w:tcPr>
            <w:tcW w:w="1113" w:type="pct"/>
            <w:vAlign w:val="center"/>
          </w:tcPr>
          <w:p w14:paraId="2958FB85" w14:textId="77777777" w:rsidR="0014336E" w:rsidRPr="009C565F" w:rsidRDefault="0014336E">
            <w:pPr>
              <w:keepNext/>
              <w:keepLines/>
              <w:jc w:val="center"/>
              <w:rPr>
                <w:rFonts w:ascii="Arial Narrow" w:eastAsiaTheme="majorEastAsia" w:hAnsi="Arial Narrow" w:cstheme="majorBidi"/>
                <w:b/>
                <w:color w:val="000000" w:themeColor="text1"/>
                <w:sz w:val="20"/>
                <w:szCs w:val="20"/>
              </w:rPr>
            </w:pPr>
            <w:r w:rsidRPr="009C565F">
              <w:rPr>
                <w:rFonts w:ascii="Arial Narrow" w:eastAsiaTheme="majorEastAsia" w:hAnsi="Arial Narrow" w:cstheme="majorBidi"/>
                <w:b/>
                <w:color w:val="000000" w:themeColor="text1"/>
                <w:sz w:val="20"/>
              </w:rPr>
              <w:t>0.34 (0.24, 0.48)</w:t>
            </w:r>
          </w:p>
        </w:tc>
      </w:tr>
      <w:tr w:rsidR="0014336E" w:rsidRPr="009C565F" w14:paraId="207B7166" w14:textId="77777777">
        <w:trPr>
          <w:cantSplit/>
        </w:trPr>
        <w:tc>
          <w:tcPr>
            <w:tcW w:w="1426" w:type="pct"/>
            <w:vAlign w:val="center"/>
          </w:tcPr>
          <w:p w14:paraId="3D8D5119" w14:textId="77777777" w:rsidR="0014336E" w:rsidRPr="009C565F" w:rsidRDefault="0014336E">
            <w:pPr>
              <w:keepNext/>
              <w:keepLines/>
              <w:jc w:val="left"/>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szCs w:val="20"/>
              </w:rPr>
              <w:t>DRI12544 (</w:t>
            </w:r>
            <w:r w:rsidRPr="009C565F">
              <w:rPr>
                <w:rFonts w:ascii="Arial Narrow" w:eastAsiaTheme="majorEastAsia" w:hAnsi="Arial Narrow" w:cstheme="majorBidi"/>
                <w:color w:val="000000" w:themeColor="text1"/>
                <w:sz w:val="20"/>
              </w:rPr>
              <w:t>DUPI 200 Q2W)</w:t>
            </w:r>
          </w:p>
        </w:tc>
        <w:tc>
          <w:tcPr>
            <w:tcW w:w="1350" w:type="pct"/>
            <w:vAlign w:val="center"/>
          </w:tcPr>
          <w:p w14:paraId="716CF150" w14:textId="77777777" w:rsidR="0014336E" w:rsidRPr="009C565F" w:rsidRDefault="0014336E">
            <w:pPr>
              <w:keepNext/>
              <w:keepLines/>
              <w:jc w:val="center"/>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rPr>
              <w:t>0.30 (0.13, 0.68) [66]</w:t>
            </w:r>
            <w:r>
              <w:rPr>
                <w:rFonts w:ascii="Arial Narrow" w:eastAsiaTheme="majorEastAsia" w:hAnsi="Arial Narrow" w:cstheme="majorBidi"/>
                <w:bCs/>
                <w:color w:val="000000" w:themeColor="text1"/>
                <w:sz w:val="20"/>
              </w:rPr>
              <w:t xml:space="preserve"> </w:t>
            </w:r>
          </w:p>
        </w:tc>
        <w:tc>
          <w:tcPr>
            <w:tcW w:w="1111" w:type="pct"/>
            <w:vAlign w:val="center"/>
          </w:tcPr>
          <w:p w14:paraId="7B7283F8" w14:textId="77777777" w:rsidR="0014336E" w:rsidRPr="009C565F" w:rsidRDefault="0014336E">
            <w:pPr>
              <w:keepNext/>
              <w:keepLines/>
              <w:jc w:val="center"/>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rPr>
              <w:t>1.04 (0.57, 1.90) [68]</w:t>
            </w:r>
          </w:p>
        </w:tc>
        <w:tc>
          <w:tcPr>
            <w:tcW w:w="1113" w:type="pct"/>
            <w:vAlign w:val="center"/>
          </w:tcPr>
          <w:p w14:paraId="733DAF4F" w14:textId="77777777" w:rsidR="0014336E" w:rsidRPr="009C565F" w:rsidRDefault="0014336E">
            <w:pPr>
              <w:keepNext/>
              <w:keepLines/>
              <w:jc w:val="center"/>
              <w:rPr>
                <w:rFonts w:ascii="Arial Narrow" w:eastAsiaTheme="majorEastAsia" w:hAnsi="Arial Narrow" w:cstheme="majorBidi"/>
                <w:b/>
                <w:color w:val="000000" w:themeColor="text1"/>
                <w:sz w:val="20"/>
                <w:szCs w:val="20"/>
              </w:rPr>
            </w:pPr>
            <w:r w:rsidRPr="009C565F">
              <w:rPr>
                <w:rFonts w:ascii="Arial Narrow" w:eastAsiaTheme="majorEastAsia" w:hAnsi="Arial Narrow" w:cstheme="majorBidi"/>
                <w:b/>
                <w:color w:val="000000" w:themeColor="text1"/>
                <w:sz w:val="20"/>
              </w:rPr>
              <w:t>0.29 (0.10, 0.76)</w:t>
            </w:r>
          </w:p>
        </w:tc>
      </w:tr>
      <w:tr w:rsidR="0014336E" w:rsidRPr="009C565F" w14:paraId="0DC77B2F" w14:textId="77777777">
        <w:trPr>
          <w:cantSplit/>
        </w:trPr>
        <w:tc>
          <w:tcPr>
            <w:tcW w:w="5000" w:type="pct"/>
            <w:gridSpan w:val="4"/>
            <w:vAlign w:val="center"/>
          </w:tcPr>
          <w:p w14:paraId="3ABA07BC" w14:textId="77777777" w:rsidR="0014336E" w:rsidRPr="009C565F" w:rsidRDefault="0014336E">
            <w:pPr>
              <w:keepNext/>
              <w:keepLines/>
              <w:rPr>
                <w:rFonts w:ascii="Arial Narrow" w:eastAsiaTheme="majorEastAsia" w:hAnsi="Arial Narrow" w:cstheme="majorBidi"/>
                <w:b/>
                <w:color w:val="000000" w:themeColor="text1"/>
                <w:sz w:val="20"/>
              </w:rPr>
            </w:pPr>
            <w:r>
              <w:rPr>
                <w:rFonts w:ascii="Arial Narrow" w:eastAsiaTheme="majorEastAsia" w:hAnsi="Arial Narrow" w:cstheme="majorBidi"/>
                <w:b/>
                <w:color w:val="000000" w:themeColor="text1"/>
                <w:sz w:val="20"/>
                <w:szCs w:val="20"/>
              </w:rPr>
              <w:t>AAER</w:t>
            </w:r>
            <w:r w:rsidRPr="009C565F">
              <w:rPr>
                <w:rFonts w:ascii="Arial Narrow" w:eastAsiaTheme="majorEastAsia" w:hAnsi="Arial Narrow" w:cstheme="majorBidi"/>
                <w:b/>
                <w:color w:val="000000" w:themeColor="text1"/>
                <w:sz w:val="20"/>
                <w:szCs w:val="20"/>
              </w:rPr>
              <w:t xml:space="preserve"> (EOS</w:t>
            </w:r>
            <w:r>
              <w:rPr>
                <w:rFonts w:ascii="Arial Narrow" w:eastAsiaTheme="majorEastAsia" w:hAnsi="Arial Narrow" w:cstheme="majorBidi"/>
                <w:b/>
                <w:color w:val="000000" w:themeColor="text1"/>
                <w:sz w:val="20"/>
                <w:szCs w:val="20"/>
              </w:rPr>
              <w:t xml:space="preserve"> </w:t>
            </w:r>
            <w:r w:rsidRPr="009C565F">
              <w:rPr>
                <w:rFonts w:ascii="Arial Narrow" w:eastAsiaTheme="majorEastAsia" w:hAnsi="Arial Narrow" w:cstheme="majorBidi"/>
                <w:b/>
                <w:color w:val="000000" w:themeColor="text1"/>
                <w:sz w:val="20"/>
                <w:szCs w:val="20"/>
              </w:rPr>
              <w:t>≥150 cells/</w:t>
            </w:r>
            <w:proofErr w:type="spellStart"/>
            <w:r w:rsidRPr="009C565F">
              <w:rPr>
                <w:rFonts w:ascii="Arial Narrow" w:eastAsiaTheme="majorEastAsia" w:hAnsi="Arial Narrow" w:cstheme="majorBidi"/>
                <w:b/>
                <w:color w:val="000000" w:themeColor="text1"/>
                <w:sz w:val="20"/>
                <w:szCs w:val="20"/>
              </w:rPr>
              <w:t>μL</w:t>
            </w:r>
            <w:proofErr w:type="spellEnd"/>
            <w:r w:rsidRPr="009C565F">
              <w:rPr>
                <w:rFonts w:ascii="Arial Narrow" w:eastAsiaTheme="majorEastAsia" w:hAnsi="Arial Narrow" w:cstheme="majorBidi"/>
                <w:b/>
                <w:color w:val="000000" w:themeColor="text1"/>
                <w:sz w:val="20"/>
                <w:szCs w:val="20"/>
              </w:rPr>
              <w:t>)</w:t>
            </w:r>
          </w:p>
        </w:tc>
      </w:tr>
      <w:tr w:rsidR="0014336E" w:rsidRPr="009C565F" w14:paraId="597272D2" w14:textId="77777777">
        <w:trPr>
          <w:cantSplit/>
        </w:trPr>
        <w:tc>
          <w:tcPr>
            <w:tcW w:w="1426" w:type="pct"/>
            <w:vAlign w:val="center"/>
          </w:tcPr>
          <w:p w14:paraId="38CD8348" w14:textId="77777777" w:rsidR="0014336E" w:rsidRPr="009C565F" w:rsidRDefault="0014336E">
            <w:pPr>
              <w:keepNext/>
              <w:keepLines/>
              <w:jc w:val="left"/>
              <w:rPr>
                <w:rFonts w:ascii="Arial Narrow" w:eastAsiaTheme="majorEastAsia" w:hAnsi="Arial Narrow" w:cstheme="majorBidi"/>
                <w:bCs/>
                <w:color w:val="000000" w:themeColor="text1"/>
                <w:sz w:val="20"/>
                <w:szCs w:val="20"/>
              </w:rPr>
            </w:pPr>
            <w:r w:rsidRPr="009C565F">
              <w:rPr>
                <w:rFonts w:ascii="Arial Narrow" w:eastAsiaTheme="majorEastAsia" w:hAnsi="Arial Narrow" w:cstheme="majorBidi"/>
                <w:bCs/>
                <w:color w:val="000000" w:themeColor="text1"/>
                <w:sz w:val="20"/>
                <w:szCs w:val="20"/>
              </w:rPr>
              <w:t>VENTURE (</w:t>
            </w:r>
            <w:r w:rsidRPr="009C565F">
              <w:rPr>
                <w:rFonts w:ascii="Arial Narrow" w:eastAsiaTheme="majorEastAsia" w:hAnsi="Arial Narrow" w:cstheme="majorBidi"/>
                <w:color w:val="000000" w:themeColor="text1"/>
                <w:sz w:val="20"/>
              </w:rPr>
              <w:t>DUPI 300 Q2W)</w:t>
            </w:r>
          </w:p>
        </w:tc>
        <w:tc>
          <w:tcPr>
            <w:tcW w:w="1350" w:type="pct"/>
            <w:vAlign w:val="center"/>
          </w:tcPr>
          <w:p w14:paraId="3F322664" w14:textId="77777777" w:rsidR="0014336E" w:rsidRPr="009C565F" w:rsidRDefault="0014336E">
            <w:pPr>
              <w:keepNext/>
              <w:keepLines/>
              <w:jc w:val="center"/>
              <w:rPr>
                <w:rFonts w:ascii="Arial Narrow" w:eastAsiaTheme="majorEastAsia" w:hAnsi="Arial Narrow" w:cstheme="majorBidi"/>
                <w:bCs/>
                <w:color w:val="000000" w:themeColor="text1"/>
                <w:sz w:val="20"/>
              </w:rPr>
            </w:pPr>
            <w:r w:rsidRPr="009C565F">
              <w:rPr>
                <w:rFonts w:ascii="Arial Narrow" w:eastAsiaTheme="majorEastAsia" w:hAnsi="Arial Narrow" w:cstheme="majorBidi"/>
                <w:bCs/>
                <w:color w:val="000000" w:themeColor="text1"/>
                <w:sz w:val="20"/>
              </w:rPr>
              <w:t>0.64 (0.43, 0.97) [81]</w:t>
            </w:r>
          </w:p>
        </w:tc>
        <w:tc>
          <w:tcPr>
            <w:tcW w:w="1111" w:type="pct"/>
            <w:vAlign w:val="center"/>
          </w:tcPr>
          <w:p w14:paraId="01F79DE1" w14:textId="77777777" w:rsidR="0014336E" w:rsidRPr="009C565F" w:rsidRDefault="0014336E">
            <w:pPr>
              <w:keepNext/>
              <w:keepLines/>
              <w:jc w:val="center"/>
              <w:rPr>
                <w:rFonts w:ascii="Arial Narrow" w:eastAsiaTheme="majorEastAsia" w:hAnsi="Arial Narrow" w:cstheme="majorBidi"/>
                <w:bCs/>
                <w:color w:val="000000" w:themeColor="text1"/>
                <w:sz w:val="20"/>
              </w:rPr>
            </w:pPr>
            <w:r w:rsidRPr="009C565F">
              <w:rPr>
                <w:rFonts w:ascii="Arial Narrow" w:eastAsiaTheme="majorEastAsia" w:hAnsi="Arial Narrow" w:cstheme="majorBidi"/>
                <w:bCs/>
                <w:color w:val="000000" w:themeColor="text1"/>
                <w:sz w:val="20"/>
              </w:rPr>
              <w:t>1.54 (1.14, 2.07) [69]</w:t>
            </w:r>
          </w:p>
        </w:tc>
        <w:tc>
          <w:tcPr>
            <w:tcW w:w="1113" w:type="pct"/>
            <w:vAlign w:val="center"/>
          </w:tcPr>
          <w:p w14:paraId="13706229" w14:textId="77777777" w:rsidR="0014336E" w:rsidRPr="009C565F" w:rsidRDefault="0014336E">
            <w:pPr>
              <w:keepNext/>
              <w:keepLines/>
              <w:jc w:val="center"/>
              <w:rPr>
                <w:rFonts w:ascii="Arial Narrow" w:eastAsiaTheme="majorEastAsia" w:hAnsi="Arial Narrow" w:cstheme="majorBidi"/>
                <w:b/>
                <w:color w:val="000000" w:themeColor="text1"/>
                <w:sz w:val="20"/>
              </w:rPr>
            </w:pPr>
            <w:r w:rsidRPr="009C565F">
              <w:rPr>
                <w:rFonts w:ascii="Arial Narrow" w:eastAsiaTheme="majorEastAsia" w:hAnsi="Arial Narrow" w:cstheme="majorBidi"/>
                <w:b/>
                <w:color w:val="000000" w:themeColor="text1"/>
                <w:sz w:val="20"/>
              </w:rPr>
              <w:t>0.42 (0.25, 0.69)</w:t>
            </w:r>
          </w:p>
        </w:tc>
      </w:tr>
      <w:tr w:rsidR="0014336E" w:rsidRPr="009C565F" w14:paraId="581A701A" w14:textId="77777777">
        <w:trPr>
          <w:cantSplit/>
        </w:trPr>
        <w:tc>
          <w:tcPr>
            <w:tcW w:w="5000" w:type="pct"/>
            <w:gridSpan w:val="4"/>
            <w:vAlign w:val="center"/>
          </w:tcPr>
          <w:p w14:paraId="16ABCE6A" w14:textId="77777777" w:rsidR="0014336E" w:rsidRPr="009C565F" w:rsidRDefault="0014336E">
            <w:pPr>
              <w:keepNext/>
              <w:keepLines/>
              <w:jc w:val="left"/>
              <w:rPr>
                <w:rFonts w:ascii="Arial Narrow" w:eastAsiaTheme="majorEastAsia" w:hAnsi="Arial Narrow" w:cstheme="majorBidi"/>
                <w:bCs/>
                <w:color w:val="000000" w:themeColor="text1"/>
                <w:sz w:val="20"/>
              </w:rPr>
            </w:pPr>
            <w:r w:rsidRPr="009C565F">
              <w:rPr>
                <w:rFonts w:ascii="Arial Narrow" w:eastAsiaTheme="majorEastAsia" w:hAnsi="Arial Narrow" w:cstheme="majorBidi"/>
                <w:b/>
                <w:color w:val="000000" w:themeColor="text1"/>
                <w:sz w:val="20"/>
                <w:szCs w:val="20"/>
              </w:rPr>
              <w:t>A</w:t>
            </w:r>
            <w:r>
              <w:rPr>
                <w:rFonts w:ascii="Arial Narrow" w:eastAsiaTheme="majorEastAsia" w:hAnsi="Arial Narrow" w:cstheme="majorBidi"/>
                <w:b/>
                <w:color w:val="000000" w:themeColor="text1"/>
                <w:sz w:val="20"/>
                <w:szCs w:val="20"/>
              </w:rPr>
              <w:t>AER</w:t>
            </w:r>
            <w:r w:rsidRPr="009C565F">
              <w:rPr>
                <w:rFonts w:ascii="Arial Narrow" w:eastAsiaTheme="majorEastAsia" w:hAnsi="Arial Narrow" w:cstheme="majorBidi"/>
                <w:b/>
                <w:color w:val="000000" w:themeColor="text1"/>
                <w:sz w:val="20"/>
                <w:szCs w:val="20"/>
              </w:rPr>
              <w:t xml:space="preserve"> (Allergic)</w:t>
            </w:r>
            <w:r>
              <w:rPr>
                <w:rFonts w:ascii="Arial Narrow" w:eastAsiaTheme="majorEastAsia" w:hAnsi="Arial Narrow" w:cstheme="majorBidi"/>
                <w:b/>
                <w:color w:val="000000" w:themeColor="text1"/>
                <w:sz w:val="20"/>
                <w:szCs w:val="20"/>
              </w:rPr>
              <w:t xml:space="preserve"> </w:t>
            </w:r>
            <w:r w:rsidRPr="009C565F">
              <w:rPr>
                <w:rFonts w:ascii="Arial Narrow" w:eastAsiaTheme="majorEastAsia" w:hAnsi="Arial Narrow" w:cstheme="majorBidi"/>
                <w:b/>
                <w:color w:val="000000" w:themeColor="text1"/>
                <w:sz w:val="20"/>
                <w:szCs w:val="20"/>
                <w:vertAlign w:val="superscript"/>
              </w:rPr>
              <w:t>a</w:t>
            </w:r>
          </w:p>
        </w:tc>
      </w:tr>
      <w:tr w:rsidR="0014336E" w:rsidRPr="009C565F" w14:paraId="445F5D28" w14:textId="77777777">
        <w:trPr>
          <w:cantSplit/>
        </w:trPr>
        <w:tc>
          <w:tcPr>
            <w:tcW w:w="1426" w:type="pct"/>
            <w:vAlign w:val="center"/>
          </w:tcPr>
          <w:p w14:paraId="094B8D1C" w14:textId="77777777" w:rsidR="0014336E" w:rsidRPr="009C565F" w:rsidRDefault="0014336E">
            <w:pPr>
              <w:keepNext/>
              <w:keepLines/>
              <w:jc w:val="left"/>
              <w:rPr>
                <w:rFonts w:ascii="Arial Narrow" w:eastAsiaTheme="majorEastAsia" w:hAnsi="Arial Narrow" w:cstheme="majorBidi"/>
                <w:b/>
                <w:color w:val="000000" w:themeColor="text1"/>
                <w:sz w:val="20"/>
                <w:szCs w:val="20"/>
              </w:rPr>
            </w:pPr>
            <w:r w:rsidRPr="009C565F">
              <w:rPr>
                <w:rFonts w:ascii="Arial Narrow" w:eastAsiaTheme="majorEastAsia" w:hAnsi="Arial Narrow" w:cstheme="majorBidi"/>
                <w:bCs/>
                <w:color w:val="000000" w:themeColor="text1"/>
                <w:sz w:val="20"/>
                <w:szCs w:val="20"/>
              </w:rPr>
              <w:t>QUEST (</w:t>
            </w:r>
            <w:r w:rsidRPr="009C565F">
              <w:rPr>
                <w:rFonts w:ascii="Arial Narrow" w:eastAsiaTheme="majorEastAsia" w:hAnsi="Arial Narrow" w:cstheme="majorBidi"/>
                <w:color w:val="000000" w:themeColor="text1"/>
                <w:sz w:val="20"/>
              </w:rPr>
              <w:t>DUPI 200 Q2W)</w:t>
            </w:r>
          </w:p>
        </w:tc>
        <w:tc>
          <w:tcPr>
            <w:tcW w:w="1350" w:type="pct"/>
            <w:vAlign w:val="center"/>
          </w:tcPr>
          <w:p w14:paraId="327121B9" w14:textId="77777777" w:rsidR="0014336E" w:rsidRPr="009C565F" w:rsidRDefault="0014336E">
            <w:pPr>
              <w:keepNext/>
              <w:keepLines/>
              <w:jc w:val="center"/>
              <w:rPr>
                <w:rFonts w:ascii="Arial Narrow" w:eastAsiaTheme="majorEastAsia" w:hAnsi="Arial Narrow" w:cstheme="majorBidi"/>
                <w:bCs/>
                <w:color w:val="000000" w:themeColor="text1"/>
                <w:sz w:val="20"/>
              </w:rPr>
            </w:pPr>
            <w:r w:rsidRPr="009C565F">
              <w:rPr>
                <w:rFonts w:ascii="Arial Narrow" w:eastAsiaTheme="majorEastAsia" w:hAnsi="Arial Narrow" w:cstheme="majorBidi"/>
                <w:bCs/>
                <w:color w:val="000000" w:themeColor="text1"/>
                <w:sz w:val="20"/>
              </w:rPr>
              <w:t>0.47 (0.38, 0.57) [360]</w:t>
            </w:r>
          </w:p>
        </w:tc>
        <w:tc>
          <w:tcPr>
            <w:tcW w:w="1111" w:type="pct"/>
            <w:vAlign w:val="center"/>
          </w:tcPr>
          <w:p w14:paraId="392772AD" w14:textId="77777777" w:rsidR="0014336E" w:rsidRPr="009C565F" w:rsidRDefault="0014336E">
            <w:pPr>
              <w:keepNext/>
              <w:keepLines/>
              <w:jc w:val="center"/>
              <w:rPr>
                <w:rFonts w:ascii="Arial Narrow" w:eastAsiaTheme="majorEastAsia" w:hAnsi="Arial Narrow" w:cstheme="majorBidi"/>
                <w:bCs/>
                <w:color w:val="000000" w:themeColor="text1"/>
                <w:sz w:val="20"/>
              </w:rPr>
            </w:pPr>
            <w:r w:rsidRPr="009C565F">
              <w:rPr>
                <w:rFonts w:ascii="Arial Narrow" w:eastAsiaTheme="majorEastAsia" w:hAnsi="Arial Narrow" w:cstheme="majorBidi"/>
                <w:bCs/>
                <w:color w:val="000000" w:themeColor="text1"/>
                <w:sz w:val="20"/>
              </w:rPr>
              <w:t>0.74 (0.57, 0.95) [183]</w:t>
            </w:r>
          </w:p>
        </w:tc>
        <w:tc>
          <w:tcPr>
            <w:tcW w:w="1113" w:type="pct"/>
            <w:vAlign w:val="center"/>
          </w:tcPr>
          <w:p w14:paraId="396720BA" w14:textId="77777777" w:rsidR="0014336E" w:rsidRPr="009C565F" w:rsidRDefault="0014336E">
            <w:pPr>
              <w:keepNext/>
              <w:keepLines/>
              <w:jc w:val="center"/>
              <w:rPr>
                <w:rFonts w:ascii="Arial Narrow" w:eastAsiaTheme="majorEastAsia" w:hAnsi="Arial Narrow" w:cstheme="majorBidi"/>
                <w:b/>
                <w:color w:val="000000" w:themeColor="text1"/>
                <w:sz w:val="20"/>
              </w:rPr>
            </w:pPr>
            <w:r w:rsidRPr="009C565F">
              <w:rPr>
                <w:rFonts w:ascii="Arial Narrow" w:eastAsiaTheme="majorEastAsia" w:hAnsi="Arial Narrow" w:cstheme="majorBidi"/>
                <w:b/>
                <w:color w:val="000000" w:themeColor="text1"/>
                <w:sz w:val="20"/>
              </w:rPr>
              <w:t>0.63 (0.46, 0.87)</w:t>
            </w:r>
          </w:p>
        </w:tc>
      </w:tr>
    </w:tbl>
    <w:p w14:paraId="19859C5A" w14:textId="77777777" w:rsidR="0014336E" w:rsidRPr="009C565F" w:rsidRDefault="0014336E" w:rsidP="0014336E">
      <w:pPr>
        <w:pStyle w:val="TableFigureFooter"/>
      </w:pPr>
      <w:r w:rsidRPr="009C565F">
        <w:t>Source: Table 2-131, p203; Table 2-132, p203 and Table 2-133, p204 of the submission.</w:t>
      </w:r>
    </w:p>
    <w:p w14:paraId="35CBF3D9" w14:textId="77777777" w:rsidR="0014336E" w:rsidRPr="009C565F" w:rsidRDefault="0014336E" w:rsidP="0014336E">
      <w:pPr>
        <w:pStyle w:val="TableFigureFooter"/>
      </w:pPr>
      <w:r w:rsidRPr="009C565F">
        <w:t xml:space="preserve">CI = confidence interval; DUPI = dupilumab; EOS+ = eosinophilic; ITT = intention-to-treat; N = </w:t>
      </w:r>
      <w:r>
        <w:t>Number;</w:t>
      </w:r>
      <w:r w:rsidRPr="009C565F">
        <w:t xml:space="preserve"> NR = not reported; OCS = oral corticosteroid; Q2W = every 2 weeks.</w:t>
      </w:r>
    </w:p>
    <w:p w14:paraId="6C56ACC9" w14:textId="77777777" w:rsidR="0014336E" w:rsidRPr="009C565F" w:rsidRDefault="0014336E" w:rsidP="0014336E">
      <w:pPr>
        <w:pStyle w:val="TableFigureFooter"/>
      </w:pPr>
      <w:r w:rsidRPr="009C565F">
        <w:rPr>
          <w:rFonts w:cs="TimesNewRoman"/>
          <w:vertAlign w:val="superscript"/>
        </w:rPr>
        <w:t>a</w:t>
      </w:r>
      <w:r w:rsidRPr="009C565F">
        <w:t xml:space="preserve"> Results for the allergic population were available only for the QUEST trial in the submission.</w:t>
      </w:r>
    </w:p>
    <w:p w14:paraId="542F9CDF" w14:textId="77777777" w:rsidR="0014336E" w:rsidRDefault="0014336E" w:rsidP="0014336E">
      <w:pPr>
        <w:pStyle w:val="TableFigureFooter"/>
      </w:pPr>
      <w:r w:rsidRPr="009C565F">
        <w:rPr>
          <w:b/>
          <w:bCs/>
        </w:rPr>
        <w:t>Bold</w:t>
      </w:r>
      <w:r w:rsidRPr="009C565F">
        <w:t xml:space="preserve"> indicates statistically significant results.</w:t>
      </w:r>
    </w:p>
    <w:p w14:paraId="444A9F81" w14:textId="01186E37" w:rsidR="00D21A6A" w:rsidRDefault="0014336E" w:rsidP="00F77BB7">
      <w:pPr>
        <w:pStyle w:val="COMESnumberedpara"/>
      </w:pPr>
      <w:r>
        <w:fldChar w:fldCharType="begin"/>
      </w:r>
      <w:r>
        <w:instrText xml:space="preserve"> REF _Ref206422433 \h  \* MERGEFORMAT </w:instrText>
      </w:r>
      <w:r>
        <w:fldChar w:fldCharType="separate"/>
      </w:r>
      <w:r w:rsidR="0078760A">
        <w:t>Table 9</w:t>
      </w:r>
      <w:r>
        <w:fldChar w:fldCharType="end"/>
      </w:r>
      <w:r>
        <w:t xml:space="preserve"> </w:t>
      </w:r>
      <w:r w:rsidRPr="003F75E3">
        <w:t>presents the indirect comparison and summary of comparative benefits for</w:t>
      </w:r>
      <w:r w:rsidRPr="006D7334">
        <w:t xml:space="preserve"> </w:t>
      </w:r>
      <w:proofErr w:type="spellStart"/>
      <w:r w:rsidRPr="006D7334">
        <w:t>tezepelumab</w:t>
      </w:r>
      <w:proofErr w:type="spellEnd"/>
      <w:r w:rsidRPr="006D7334">
        <w:t xml:space="preserve"> and </w:t>
      </w:r>
      <w:r>
        <w:t>dupilumab via placebo</w:t>
      </w:r>
      <w:r w:rsidRPr="006D7334">
        <w:t>.</w:t>
      </w:r>
      <w:r>
        <w:t xml:space="preserve"> </w:t>
      </w:r>
    </w:p>
    <w:p w14:paraId="7F301A10" w14:textId="715CB7FC" w:rsidR="0014336E" w:rsidRDefault="0014336E" w:rsidP="00D21A6A">
      <w:pPr>
        <w:pStyle w:val="TableFigureHeading"/>
        <w:keepLines/>
      </w:pPr>
      <w:bookmarkStart w:id="41" w:name="_Ref206422433"/>
      <w:r>
        <w:t xml:space="preserve">Table </w:t>
      </w:r>
      <w:r w:rsidR="001146FA">
        <w:fldChar w:fldCharType="begin"/>
      </w:r>
      <w:r w:rsidR="001146FA">
        <w:instrText xml:space="preserve"> SEQ Table \* ARABIC </w:instrText>
      </w:r>
      <w:r w:rsidR="001146FA">
        <w:fldChar w:fldCharType="separate"/>
      </w:r>
      <w:r w:rsidR="0078760A">
        <w:rPr>
          <w:noProof/>
        </w:rPr>
        <w:t>9</w:t>
      </w:r>
      <w:r w:rsidR="001146FA">
        <w:rPr>
          <w:noProof/>
        </w:rPr>
        <w:fldChar w:fldCharType="end"/>
      </w:r>
      <w:bookmarkEnd w:id="41"/>
      <w:r>
        <w:t xml:space="preserve">: </w:t>
      </w:r>
      <w:r w:rsidRPr="000200B1">
        <w:t xml:space="preserve">AAER </w:t>
      </w:r>
      <w:r>
        <w:t>ITC</w:t>
      </w:r>
      <w:r w:rsidRPr="000200B1">
        <w:t xml:space="preserve">: Summary of comparative benefits for </w:t>
      </w:r>
      <w:proofErr w:type="spellStart"/>
      <w:r w:rsidRPr="000200B1">
        <w:t>tezepelumab</w:t>
      </w:r>
      <w:proofErr w:type="spellEnd"/>
      <w:r w:rsidRPr="000200B1">
        <w:t xml:space="preserve"> </w:t>
      </w:r>
      <w:r>
        <w:t xml:space="preserve">versus </w:t>
      </w:r>
      <w:r w:rsidRPr="000200B1">
        <w:t>dupilumab</w:t>
      </w:r>
      <w:r>
        <w:t xml:space="preserve"> via placebo</w:t>
      </w:r>
    </w:p>
    <w:tbl>
      <w:tblPr>
        <w:tblStyle w:val="AZTable"/>
        <w:tblW w:w="5000" w:type="pct"/>
        <w:jc w:val="center"/>
        <w:tblLook w:val="04A0" w:firstRow="1" w:lastRow="0" w:firstColumn="1" w:lastColumn="0" w:noHBand="0" w:noVBand="1"/>
        <w:tblCaption w:val="AAER ITC: Summary of comparative benefits for tezepelumab versus dupilumab via placebo"/>
      </w:tblPr>
      <w:tblGrid>
        <w:gridCol w:w="1403"/>
        <w:gridCol w:w="1217"/>
        <w:gridCol w:w="1322"/>
        <w:gridCol w:w="1322"/>
        <w:gridCol w:w="1322"/>
        <w:gridCol w:w="1221"/>
        <w:gridCol w:w="1210"/>
      </w:tblGrid>
      <w:tr w:rsidR="0014336E" w:rsidRPr="00DF6B30" w14:paraId="2EB292F5" w14:textId="77777777" w:rsidTr="008A1238">
        <w:trPr>
          <w:cnfStyle w:val="100000000000" w:firstRow="1" w:lastRow="0" w:firstColumn="0" w:lastColumn="0" w:oddVBand="0" w:evenVBand="0" w:oddHBand="0" w:evenHBand="0" w:firstRowFirstColumn="0" w:firstRowLastColumn="0" w:lastRowFirstColumn="0" w:lastRowLastColumn="0"/>
          <w:cantSplit/>
          <w:jc w:val="center"/>
        </w:trPr>
        <w:tc>
          <w:tcPr>
            <w:tcW w:w="778" w:type="pct"/>
          </w:tcPr>
          <w:p w14:paraId="7364C9A0" w14:textId="77777777" w:rsidR="0014336E" w:rsidRPr="00754BCB" w:rsidRDefault="0014336E" w:rsidP="008A1238">
            <w:pPr>
              <w:keepNext/>
              <w:keepLines/>
              <w:jc w:val="center"/>
              <w:rPr>
                <w:rFonts w:ascii="Arial Narrow" w:eastAsia="SimSun" w:hAnsi="Arial Narrow"/>
                <w:b/>
                <w:sz w:val="20"/>
                <w:szCs w:val="20"/>
                <w:lang w:bidi="en-US"/>
              </w:rPr>
            </w:pPr>
            <w:r w:rsidRPr="00DF6B30">
              <w:rPr>
                <w:rFonts w:ascii="Arial Narrow" w:eastAsia="SimSun" w:hAnsi="Arial Narrow"/>
                <w:b/>
                <w:sz w:val="20"/>
                <w:szCs w:val="20"/>
                <w:lang w:bidi="en-US"/>
              </w:rPr>
              <w:t>Trial</w:t>
            </w:r>
          </w:p>
        </w:tc>
        <w:tc>
          <w:tcPr>
            <w:tcW w:w="675" w:type="pct"/>
          </w:tcPr>
          <w:p w14:paraId="7C97FC07" w14:textId="77777777" w:rsidR="0014336E" w:rsidRPr="00DF6B30" w:rsidRDefault="0014336E" w:rsidP="008A1238">
            <w:pPr>
              <w:pStyle w:val="TableHeading0"/>
              <w:spacing w:before="0" w:after="0"/>
              <w:jc w:val="center"/>
              <w:rPr>
                <w:sz w:val="20"/>
              </w:rPr>
            </w:pPr>
            <w:r w:rsidRPr="00DF6B30">
              <w:rPr>
                <w:sz w:val="20"/>
              </w:rPr>
              <w:t>TEZE vs PBO</w:t>
            </w:r>
          </w:p>
          <w:p w14:paraId="6DAC90F3" w14:textId="77777777" w:rsidR="0014336E" w:rsidRPr="00754BCB" w:rsidRDefault="0014336E" w:rsidP="008A1238">
            <w:pPr>
              <w:keepNext/>
              <w:keepLines/>
              <w:jc w:val="center"/>
              <w:rPr>
                <w:rFonts w:ascii="Arial Narrow" w:eastAsia="SimSun" w:hAnsi="Arial Narrow"/>
                <w:b/>
                <w:sz w:val="20"/>
                <w:szCs w:val="20"/>
                <w:lang w:bidi="en-US"/>
              </w:rPr>
            </w:pPr>
            <w:r w:rsidRPr="00DF6B30">
              <w:rPr>
                <w:rFonts w:ascii="Arial Narrow" w:hAnsi="Arial Narrow"/>
                <w:b/>
                <w:sz w:val="20"/>
                <w:szCs w:val="20"/>
              </w:rPr>
              <w:t>RR (95% CI)</w:t>
            </w:r>
          </w:p>
        </w:tc>
        <w:tc>
          <w:tcPr>
            <w:tcW w:w="733" w:type="pct"/>
          </w:tcPr>
          <w:p w14:paraId="1041B696" w14:textId="77777777" w:rsidR="0014336E" w:rsidRPr="00DF6B30" w:rsidRDefault="0014336E" w:rsidP="008A1238">
            <w:pPr>
              <w:pStyle w:val="TableHeading0"/>
              <w:spacing w:before="0" w:after="0"/>
              <w:jc w:val="center"/>
              <w:rPr>
                <w:iCs/>
                <w:sz w:val="20"/>
              </w:rPr>
            </w:pPr>
            <w:r w:rsidRPr="00DF6B30">
              <w:rPr>
                <w:iCs/>
                <w:sz w:val="20"/>
              </w:rPr>
              <w:t>TEZE rate</w:t>
            </w:r>
          </w:p>
          <w:p w14:paraId="44065928" w14:textId="77777777" w:rsidR="0014336E" w:rsidRPr="00754BCB" w:rsidRDefault="0014336E" w:rsidP="008A1238">
            <w:pPr>
              <w:keepNext/>
              <w:keepLines/>
              <w:jc w:val="center"/>
              <w:rPr>
                <w:rFonts w:ascii="Arial Narrow" w:eastAsia="SimSun" w:hAnsi="Arial Narrow"/>
                <w:b/>
                <w:iCs/>
                <w:sz w:val="20"/>
                <w:szCs w:val="20"/>
                <w:lang w:bidi="en-US"/>
              </w:rPr>
            </w:pPr>
            <w:r w:rsidRPr="00DF6B30">
              <w:rPr>
                <w:rFonts w:ascii="Arial Narrow" w:hAnsi="Arial Narrow"/>
                <w:b/>
                <w:iCs/>
                <w:sz w:val="20"/>
                <w:szCs w:val="20"/>
              </w:rPr>
              <w:t>(exac</w:t>
            </w:r>
            <w:r>
              <w:rPr>
                <w:rFonts w:ascii="Arial Narrow" w:hAnsi="Arial Narrow"/>
                <w:b/>
                <w:iCs/>
                <w:sz w:val="20"/>
                <w:szCs w:val="20"/>
              </w:rPr>
              <w:t xml:space="preserve">erbation </w:t>
            </w:r>
            <w:r w:rsidRPr="00DF6B30">
              <w:rPr>
                <w:rFonts w:ascii="Arial Narrow" w:hAnsi="Arial Narrow"/>
                <w:b/>
                <w:iCs/>
                <w:sz w:val="20"/>
                <w:szCs w:val="20"/>
              </w:rPr>
              <w:t>/year)</w:t>
            </w:r>
          </w:p>
        </w:tc>
        <w:tc>
          <w:tcPr>
            <w:tcW w:w="733" w:type="pct"/>
          </w:tcPr>
          <w:p w14:paraId="42972401" w14:textId="77777777" w:rsidR="0014336E" w:rsidRPr="00754BCB" w:rsidRDefault="0014336E" w:rsidP="008A1238">
            <w:pPr>
              <w:keepNext/>
              <w:keepLines/>
              <w:jc w:val="center"/>
              <w:rPr>
                <w:rFonts w:ascii="Arial Narrow" w:eastAsia="SimSun" w:hAnsi="Arial Narrow"/>
                <w:b/>
                <w:sz w:val="20"/>
                <w:szCs w:val="20"/>
                <w:lang w:bidi="en-US"/>
              </w:rPr>
            </w:pPr>
            <w:r w:rsidRPr="00DF6B30">
              <w:rPr>
                <w:rFonts w:ascii="Arial Narrow" w:hAnsi="Arial Narrow"/>
                <w:b/>
                <w:sz w:val="20"/>
                <w:szCs w:val="20"/>
              </w:rPr>
              <w:t>PBO rate (exac</w:t>
            </w:r>
            <w:r>
              <w:rPr>
                <w:rFonts w:ascii="Arial Narrow" w:hAnsi="Arial Narrow"/>
                <w:b/>
                <w:sz w:val="20"/>
                <w:szCs w:val="20"/>
              </w:rPr>
              <w:t xml:space="preserve">erbation </w:t>
            </w:r>
            <w:r w:rsidRPr="00DF6B30">
              <w:rPr>
                <w:rFonts w:ascii="Arial Narrow" w:hAnsi="Arial Narrow"/>
                <w:b/>
                <w:sz w:val="20"/>
                <w:szCs w:val="20"/>
              </w:rPr>
              <w:t>/year)</w:t>
            </w:r>
          </w:p>
        </w:tc>
        <w:tc>
          <w:tcPr>
            <w:tcW w:w="733" w:type="pct"/>
          </w:tcPr>
          <w:p w14:paraId="3B4D175A" w14:textId="77777777" w:rsidR="0014336E" w:rsidRPr="00754BCB" w:rsidRDefault="0014336E" w:rsidP="008A1238">
            <w:pPr>
              <w:keepNext/>
              <w:keepLines/>
              <w:jc w:val="center"/>
              <w:rPr>
                <w:rFonts w:ascii="Arial Narrow" w:eastAsia="SimSun" w:hAnsi="Arial Narrow"/>
                <w:b/>
                <w:sz w:val="20"/>
                <w:szCs w:val="20"/>
                <w:lang w:bidi="en-US"/>
              </w:rPr>
            </w:pPr>
            <w:r w:rsidRPr="00DF6B30">
              <w:rPr>
                <w:rFonts w:ascii="Arial Narrow" w:hAnsi="Arial Narrow"/>
                <w:b/>
                <w:sz w:val="20"/>
                <w:szCs w:val="20"/>
              </w:rPr>
              <w:t>DUPI 200 rate (exac</w:t>
            </w:r>
            <w:r>
              <w:rPr>
                <w:rFonts w:ascii="Arial Narrow" w:hAnsi="Arial Narrow"/>
                <w:b/>
                <w:sz w:val="20"/>
                <w:szCs w:val="20"/>
              </w:rPr>
              <w:t xml:space="preserve">erbation </w:t>
            </w:r>
            <w:r w:rsidRPr="00DF6B30">
              <w:rPr>
                <w:rFonts w:ascii="Arial Narrow" w:hAnsi="Arial Narrow"/>
                <w:b/>
                <w:sz w:val="20"/>
                <w:szCs w:val="20"/>
              </w:rPr>
              <w:t>/year)</w:t>
            </w:r>
          </w:p>
        </w:tc>
        <w:tc>
          <w:tcPr>
            <w:tcW w:w="677" w:type="pct"/>
          </w:tcPr>
          <w:p w14:paraId="17859B22" w14:textId="77777777" w:rsidR="0014336E" w:rsidRPr="00DF6B30" w:rsidRDefault="0014336E" w:rsidP="008A1238">
            <w:pPr>
              <w:pStyle w:val="TableHeading0"/>
              <w:spacing w:before="0" w:after="0"/>
              <w:jc w:val="center"/>
              <w:rPr>
                <w:sz w:val="20"/>
                <w:lang w:val="da-DK"/>
              </w:rPr>
            </w:pPr>
            <w:r w:rsidRPr="00DF6B30">
              <w:rPr>
                <w:sz w:val="20"/>
                <w:lang w:val="da-DK"/>
              </w:rPr>
              <w:t>DUPI 200 vs PBO</w:t>
            </w:r>
          </w:p>
          <w:p w14:paraId="7B9D2D1B" w14:textId="77777777" w:rsidR="0014336E" w:rsidRPr="00754BCB" w:rsidRDefault="0014336E" w:rsidP="008A1238">
            <w:pPr>
              <w:keepNext/>
              <w:keepLines/>
              <w:jc w:val="center"/>
              <w:rPr>
                <w:rFonts w:ascii="Arial Narrow" w:eastAsia="SimSun" w:hAnsi="Arial Narrow"/>
                <w:b/>
                <w:sz w:val="20"/>
                <w:szCs w:val="20"/>
                <w:lang w:bidi="en-US"/>
              </w:rPr>
            </w:pPr>
            <w:r w:rsidRPr="00DF6B30">
              <w:rPr>
                <w:rFonts w:ascii="Arial Narrow" w:hAnsi="Arial Narrow"/>
                <w:b/>
                <w:sz w:val="20"/>
                <w:szCs w:val="20"/>
                <w:lang w:val="da-DK"/>
              </w:rPr>
              <w:t>RR (95% CI)</w:t>
            </w:r>
          </w:p>
        </w:tc>
        <w:tc>
          <w:tcPr>
            <w:tcW w:w="671" w:type="pct"/>
          </w:tcPr>
          <w:p w14:paraId="57D86921" w14:textId="77777777" w:rsidR="0014336E" w:rsidRPr="00DF6B30" w:rsidRDefault="0014336E" w:rsidP="008A1238">
            <w:pPr>
              <w:pStyle w:val="TableHeading0"/>
              <w:spacing w:before="0" w:after="0"/>
              <w:jc w:val="center"/>
              <w:rPr>
                <w:sz w:val="20"/>
                <w:lang w:val="da-DK"/>
              </w:rPr>
            </w:pPr>
            <w:r w:rsidRPr="00DF6B30">
              <w:rPr>
                <w:sz w:val="20"/>
                <w:lang w:val="da-DK"/>
              </w:rPr>
              <w:t>TEZE vs DUPI 200 via PBO</w:t>
            </w:r>
          </w:p>
          <w:p w14:paraId="24460ECD" w14:textId="77777777" w:rsidR="0014336E" w:rsidRPr="00754BCB" w:rsidRDefault="0014336E" w:rsidP="008A1238">
            <w:pPr>
              <w:keepNext/>
              <w:keepLines/>
              <w:jc w:val="center"/>
              <w:rPr>
                <w:rFonts w:ascii="Arial Narrow" w:eastAsia="SimSun" w:hAnsi="Arial Narrow"/>
                <w:b/>
                <w:sz w:val="20"/>
                <w:szCs w:val="20"/>
                <w:lang w:bidi="en-US"/>
              </w:rPr>
            </w:pPr>
            <w:r w:rsidRPr="00DF6B30">
              <w:rPr>
                <w:rFonts w:ascii="Arial Narrow" w:hAnsi="Arial Narrow"/>
                <w:b/>
                <w:sz w:val="20"/>
                <w:szCs w:val="20"/>
                <w:lang w:val="da-DK"/>
              </w:rPr>
              <w:t>RR (95% CI)</w:t>
            </w:r>
          </w:p>
        </w:tc>
      </w:tr>
      <w:tr w:rsidR="0014336E" w:rsidRPr="00DF6B30" w14:paraId="45A9E0D9" w14:textId="77777777" w:rsidTr="008A1238">
        <w:trPr>
          <w:cantSplit/>
          <w:jc w:val="center"/>
        </w:trPr>
        <w:tc>
          <w:tcPr>
            <w:tcW w:w="5000" w:type="pct"/>
            <w:gridSpan w:val="7"/>
          </w:tcPr>
          <w:p w14:paraId="13BC9B98" w14:textId="77777777" w:rsidR="0014336E" w:rsidRPr="00DF6B30" w:rsidRDefault="0014336E" w:rsidP="008A1238">
            <w:pPr>
              <w:pStyle w:val="TableHeading0"/>
              <w:spacing w:before="0" w:after="0"/>
              <w:rPr>
                <w:sz w:val="20"/>
                <w:lang w:val="da-DK"/>
              </w:rPr>
            </w:pPr>
            <w:bookmarkStart w:id="42" w:name="_Hlk206171745"/>
            <w:r w:rsidRPr="00DF6B30">
              <w:rPr>
                <w:sz w:val="20"/>
                <w:lang w:val="da-DK"/>
              </w:rPr>
              <w:t xml:space="preserve">EOSic </w:t>
            </w:r>
            <w:r w:rsidRPr="000D6B0B">
              <w:rPr>
                <w:rFonts w:cstheme="majorBidi"/>
                <w:sz w:val="20"/>
              </w:rPr>
              <w:t>(EOS ≥300 cells/</w:t>
            </w:r>
            <w:proofErr w:type="spellStart"/>
            <w:r w:rsidRPr="000D6B0B">
              <w:rPr>
                <w:rFonts w:cstheme="majorBidi"/>
                <w:sz w:val="20"/>
              </w:rPr>
              <w:t>μL</w:t>
            </w:r>
            <w:proofErr w:type="spellEnd"/>
            <w:r w:rsidRPr="000D6B0B">
              <w:rPr>
                <w:rFonts w:cstheme="majorBidi"/>
                <w:sz w:val="20"/>
              </w:rPr>
              <w:t>)</w:t>
            </w:r>
            <w:r>
              <w:rPr>
                <w:rFonts w:cstheme="majorBidi"/>
                <w:sz w:val="20"/>
              </w:rPr>
              <w:t xml:space="preserve"> </w:t>
            </w:r>
            <w:r w:rsidRPr="00DF6B30">
              <w:rPr>
                <w:sz w:val="20"/>
                <w:lang w:val="da-DK"/>
              </w:rPr>
              <w:t>+ H</w:t>
            </w:r>
            <w:r>
              <w:rPr>
                <w:sz w:val="20"/>
                <w:lang w:val="da-DK"/>
              </w:rPr>
              <w:t>igh ICS with no</w:t>
            </w:r>
            <w:r w:rsidRPr="00DF6B30">
              <w:rPr>
                <w:sz w:val="20"/>
                <w:lang w:val="da-DK"/>
              </w:rPr>
              <w:t xml:space="preserve"> OCS</w:t>
            </w:r>
            <w:bookmarkEnd w:id="42"/>
          </w:p>
        </w:tc>
      </w:tr>
      <w:tr w:rsidR="0014336E" w:rsidRPr="00DF6B30" w14:paraId="72D823D8" w14:textId="77777777" w:rsidTr="008A1238">
        <w:trPr>
          <w:cantSplit/>
          <w:jc w:val="center"/>
        </w:trPr>
        <w:tc>
          <w:tcPr>
            <w:tcW w:w="5000" w:type="pct"/>
            <w:gridSpan w:val="7"/>
            <w:vAlign w:val="center"/>
          </w:tcPr>
          <w:p w14:paraId="2123BB60" w14:textId="77777777" w:rsidR="0014336E" w:rsidRPr="00DF6B30" w:rsidRDefault="0014336E" w:rsidP="008A1238">
            <w:pPr>
              <w:keepNext/>
              <w:keepLines/>
              <w:rPr>
                <w:rFonts w:ascii="Arial Narrow" w:eastAsia="SimSun" w:hAnsi="Arial Narrow"/>
                <w:b/>
                <w:bCs/>
                <w:sz w:val="20"/>
                <w:szCs w:val="20"/>
                <w:lang w:bidi="en-US"/>
              </w:rPr>
            </w:pPr>
            <w:r w:rsidRPr="00DF6B30">
              <w:rPr>
                <w:rFonts w:ascii="Arial Narrow" w:eastAsia="SimSun" w:hAnsi="Arial Narrow"/>
                <w:b/>
                <w:bCs/>
                <w:sz w:val="20"/>
                <w:szCs w:val="20"/>
                <w:lang w:bidi="en-US"/>
              </w:rPr>
              <w:t xml:space="preserve">Tezepelumab </w:t>
            </w:r>
            <w:r w:rsidRPr="00DD466A">
              <w:rPr>
                <w:rFonts w:ascii="Arial Narrow" w:eastAsia="SimSun" w:hAnsi="Arial Narrow"/>
                <w:b/>
                <w:bCs/>
                <w:sz w:val="20"/>
                <w:szCs w:val="20"/>
                <w:lang w:bidi="en-US"/>
              </w:rPr>
              <w:t>210 mg SC Q4W</w:t>
            </w:r>
          </w:p>
        </w:tc>
      </w:tr>
      <w:tr w:rsidR="0014336E" w:rsidRPr="00754BCB" w14:paraId="04165356" w14:textId="77777777" w:rsidTr="008A1238">
        <w:trPr>
          <w:cantSplit/>
          <w:jc w:val="center"/>
        </w:trPr>
        <w:tc>
          <w:tcPr>
            <w:tcW w:w="778" w:type="pct"/>
            <w:vAlign w:val="center"/>
          </w:tcPr>
          <w:p w14:paraId="68E40ABB" w14:textId="77777777" w:rsidR="0014336E" w:rsidRPr="00754BCB" w:rsidRDefault="0014336E" w:rsidP="008A1238">
            <w:pPr>
              <w:keepNext/>
              <w:keepLines/>
              <w:rPr>
                <w:rFonts w:ascii="Arial Narrow" w:eastAsia="SimSun" w:hAnsi="Arial Narrow"/>
                <w:sz w:val="20"/>
                <w:szCs w:val="20"/>
                <w:lang w:bidi="en-US"/>
              </w:rPr>
            </w:pPr>
            <w:r w:rsidRPr="00754BCB">
              <w:rPr>
                <w:rFonts w:ascii="Arial Narrow" w:eastAsia="SimSun" w:hAnsi="Arial Narrow"/>
                <w:sz w:val="20"/>
                <w:szCs w:val="20"/>
                <w:lang w:bidi="en-US"/>
              </w:rPr>
              <w:t>NAVIGATOR</w:t>
            </w:r>
          </w:p>
        </w:tc>
        <w:tc>
          <w:tcPr>
            <w:tcW w:w="675" w:type="pct"/>
            <w:vAlign w:val="center"/>
          </w:tcPr>
          <w:p w14:paraId="0F7C8C1E"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0.24</w:t>
            </w:r>
          </w:p>
          <w:p w14:paraId="381808C1"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(0.17, 0.35)</w:t>
            </w:r>
          </w:p>
        </w:tc>
        <w:tc>
          <w:tcPr>
            <w:tcW w:w="733" w:type="pct"/>
            <w:vAlign w:val="center"/>
          </w:tcPr>
          <w:p w14:paraId="0D14B440" w14:textId="77777777" w:rsidR="0014336E" w:rsidRPr="00754BCB" w:rsidRDefault="0014336E" w:rsidP="008A1238">
            <w:pPr>
              <w:keepNext/>
              <w:keepLines/>
              <w:jc w:val="center"/>
              <w:rPr>
                <w:rFonts w:ascii="Arial Narrow" w:eastAsia="SimSun" w:hAnsi="Arial Narrow"/>
                <w:iCs/>
                <w:sz w:val="20"/>
                <w:szCs w:val="20"/>
                <w:lang w:bidi="en-US"/>
              </w:rPr>
            </w:pPr>
            <w:r w:rsidRPr="00754BCB">
              <w:rPr>
                <w:rFonts w:ascii="Arial Narrow" w:eastAsia="SimSun" w:hAnsi="Arial Narrow"/>
                <w:iCs/>
                <w:sz w:val="20"/>
                <w:szCs w:val="20"/>
                <w:lang w:bidi="en-US"/>
              </w:rPr>
              <w:t>0.69</w:t>
            </w:r>
          </w:p>
          <w:p w14:paraId="6E53B072" w14:textId="77777777" w:rsidR="0014336E" w:rsidRPr="00754BCB" w:rsidRDefault="0014336E" w:rsidP="008A1238">
            <w:pPr>
              <w:keepNext/>
              <w:keepLines/>
              <w:jc w:val="center"/>
              <w:rPr>
                <w:rFonts w:ascii="Arial Narrow" w:eastAsia="SimSun" w:hAnsi="Arial Narrow"/>
                <w:iCs/>
                <w:sz w:val="20"/>
                <w:szCs w:val="20"/>
                <w:lang w:bidi="en-US"/>
              </w:rPr>
            </w:pPr>
            <w:r w:rsidRPr="00754BCB">
              <w:rPr>
                <w:rFonts w:ascii="Arial Narrow" w:eastAsia="SimSun" w:hAnsi="Arial Narrow"/>
                <w:iCs/>
                <w:sz w:val="20"/>
                <w:szCs w:val="20"/>
                <w:lang w:bidi="en-US"/>
              </w:rPr>
              <w:t>(0.52, 0.91)</w:t>
            </w:r>
          </w:p>
        </w:tc>
        <w:tc>
          <w:tcPr>
            <w:tcW w:w="733" w:type="pct"/>
            <w:vAlign w:val="center"/>
          </w:tcPr>
          <w:p w14:paraId="1BA50445"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2.83</w:t>
            </w:r>
          </w:p>
          <w:p w14:paraId="24A1927A"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(2.26, 3.54)</w:t>
            </w:r>
          </w:p>
        </w:tc>
        <w:tc>
          <w:tcPr>
            <w:tcW w:w="733" w:type="pct"/>
            <w:vAlign w:val="center"/>
          </w:tcPr>
          <w:p w14:paraId="657D09C4"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c>
          <w:tcPr>
            <w:tcW w:w="677" w:type="pct"/>
            <w:vAlign w:val="center"/>
          </w:tcPr>
          <w:p w14:paraId="08EC8DEE"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c>
          <w:tcPr>
            <w:tcW w:w="671" w:type="pct"/>
            <w:vAlign w:val="center"/>
          </w:tcPr>
          <w:p w14:paraId="760DA23F"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r>
      <w:tr w:rsidR="0014336E" w:rsidRPr="00754BCB" w14:paraId="47FD9C73" w14:textId="77777777" w:rsidTr="008A1238">
        <w:trPr>
          <w:cantSplit/>
          <w:jc w:val="center"/>
        </w:trPr>
        <w:tc>
          <w:tcPr>
            <w:tcW w:w="778" w:type="pct"/>
            <w:vAlign w:val="center"/>
          </w:tcPr>
          <w:p w14:paraId="6787B4E0" w14:textId="77777777" w:rsidR="0014336E" w:rsidRPr="00754BCB" w:rsidRDefault="0014336E" w:rsidP="008A1238">
            <w:pPr>
              <w:keepNext/>
              <w:keepLines/>
              <w:rPr>
                <w:rFonts w:ascii="Arial Narrow" w:eastAsia="SimSun" w:hAnsi="Arial Narrow"/>
                <w:sz w:val="20"/>
                <w:szCs w:val="20"/>
                <w:lang w:bidi="en-US"/>
              </w:rPr>
            </w:pPr>
            <w:r w:rsidRPr="00754BCB">
              <w:rPr>
                <w:rFonts w:ascii="Arial Narrow" w:eastAsia="SimSun" w:hAnsi="Arial Narrow"/>
                <w:sz w:val="20"/>
                <w:szCs w:val="20"/>
                <w:lang w:bidi="en-US"/>
              </w:rPr>
              <w:t>PATHWAY</w:t>
            </w:r>
          </w:p>
        </w:tc>
        <w:tc>
          <w:tcPr>
            <w:tcW w:w="675" w:type="pct"/>
            <w:vAlign w:val="center"/>
          </w:tcPr>
          <w:p w14:paraId="5C32DCC6"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0.21</w:t>
            </w:r>
          </w:p>
          <w:p w14:paraId="264C8B3F"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(0.06, 0.72)</w:t>
            </w:r>
          </w:p>
        </w:tc>
        <w:tc>
          <w:tcPr>
            <w:tcW w:w="733" w:type="pct"/>
            <w:vAlign w:val="center"/>
          </w:tcPr>
          <w:p w14:paraId="6186B844" w14:textId="77777777" w:rsidR="0014336E" w:rsidRPr="00754BCB" w:rsidRDefault="0014336E" w:rsidP="008A1238">
            <w:pPr>
              <w:keepNext/>
              <w:keepLines/>
              <w:jc w:val="center"/>
              <w:rPr>
                <w:rFonts w:ascii="Arial Narrow" w:eastAsia="SimSun" w:hAnsi="Arial Narrow"/>
                <w:iCs/>
                <w:sz w:val="20"/>
                <w:szCs w:val="20"/>
                <w:lang w:bidi="en-US"/>
              </w:rPr>
            </w:pPr>
            <w:r w:rsidRPr="00754BCB">
              <w:rPr>
                <w:rFonts w:ascii="Arial Narrow" w:eastAsia="SimSun" w:hAnsi="Arial Narrow"/>
                <w:iCs/>
                <w:sz w:val="20"/>
                <w:szCs w:val="20"/>
                <w:lang w:bidi="en-US"/>
              </w:rPr>
              <w:t>0.19</w:t>
            </w:r>
          </w:p>
          <w:p w14:paraId="0857F461" w14:textId="77777777" w:rsidR="0014336E" w:rsidRPr="00754BCB" w:rsidRDefault="0014336E" w:rsidP="008A1238">
            <w:pPr>
              <w:keepNext/>
              <w:keepLines/>
              <w:jc w:val="center"/>
              <w:rPr>
                <w:rFonts w:ascii="Arial Narrow" w:eastAsia="SimSun" w:hAnsi="Arial Narrow"/>
                <w:iCs/>
                <w:sz w:val="20"/>
                <w:szCs w:val="20"/>
                <w:lang w:bidi="en-US"/>
              </w:rPr>
            </w:pPr>
            <w:r w:rsidRPr="00754BCB">
              <w:rPr>
                <w:rFonts w:ascii="Arial Narrow" w:eastAsia="SimSun" w:hAnsi="Arial Narrow"/>
                <w:iCs/>
                <w:sz w:val="20"/>
                <w:szCs w:val="20"/>
                <w:lang w:bidi="en-US"/>
              </w:rPr>
              <w:t>(0.06, 0.45)</w:t>
            </w:r>
          </w:p>
        </w:tc>
        <w:tc>
          <w:tcPr>
            <w:tcW w:w="733" w:type="pct"/>
            <w:vAlign w:val="center"/>
          </w:tcPr>
          <w:p w14:paraId="3146E164"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0.91</w:t>
            </w:r>
          </w:p>
          <w:p w14:paraId="07417CFE"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(0.56, 1.40)</w:t>
            </w:r>
          </w:p>
        </w:tc>
        <w:tc>
          <w:tcPr>
            <w:tcW w:w="733" w:type="pct"/>
            <w:vAlign w:val="center"/>
          </w:tcPr>
          <w:p w14:paraId="7664D092"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c>
          <w:tcPr>
            <w:tcW w:w="677" w:type="pct"/>
            <w:vAlign w:val="center"/>
          </w:tcPr>
          <w:p w14:paraId="14A26901"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c>
          <w:tcPr>
            <w:tcW w:w="671" w:type="pct"/>
            <w:vAlign w:val="center"/>
          </w:tcPr>
          <w:p w14:paraId="35A2F77F"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r>
      <w:tr w:rsidR="0014336E" w:rsidRPr="00754BCB" w14:paraId="6FF0A759" w14:textId="77777777" w:rsidTr="008A1238">
        <w:trPr>
          <w:cantSplit/>
          <w:jc w:val="center"/>
        </w:trPr>
        <w:tc>
          <w:tcPr>
            <w:tcW w:w="778" w:type="pct"/>
            <w:vAlign w:val="center"/>
          </w:tcPr>
          <w:p w14:paraId="6767D565" w14:textId="77777777" w:rsidR="0014336E" w:rsidRPr="006A0A55" w:rsidRDefault="0014336E" w:rsidP="008A1238">
            <w:pPr>
              <w:keepNext/>
              <w:keepLines/>
              <w:rPr>
                <w:rFonts w:ascii="Arial Narrow" w:eastAsia="SimSun" w:hAnsi="Arial Narrow"/>
                <w:b/>
                <w:bCs/>
                <w:sz w:val="20"/>
                <w:szCs w:val="20"/>
                <w:lang w:bidi="en-US"/>
              </w:rPr>
            </w:pPr>
            <w:r w:rsidRPr="006A0A55">
              <w:rPr>
                <w:rFonts w:ascii="Arial Narrow" w:eastAsia="SimSun" w:hAnsi="Arial Narrow"/>
                <w:b/>
                <w:bCs/>
                <w:sz w:val="20"/>
                <w:szCs w:val="20"/>
                <w:lang w:bidi="en-US"/>
              </w:rPr>
              <w:t>Pooled</w:t>
            </w:r>
          </w:p>
        </w:tc>
        <w:tc>
          <w:tcPr>
            <w:tcW w:w="675" w:type="pct"/>
            <w:vAlign w:val="center"/>
          </w:tcPr>
          <w:p w14:paraId="157279EE" w14:textId="77777777" w:rsidR="0014336E" w:rsidRPr="006A0A55" w:rsidRDefault="0014336E" w:rsidP="008A1238">
            <w:pPr>
              <w:keepNext/>
              <w:keepLines/>
              <w:jc w:val="center"/>
              <w:rPr>
                <w:rFonts w:ascii="Arial Narrow" w:eastAsia="SimSun" w:hAnsi="Arial Narrow"/>
                <w:b/>
                <w:bCs/>
                <w:sz w:val="20"/>
                <w:szCs w:val="20"/>
                <w:lang w:bidi="en-US"/>
              </w:rPr>
            </w:pPr>
            <w:r w:rsidRPr="006A0A55">
              <w:rPr>
                <w:rFonts w:ascii="Arial Narrow" w:eastAsia="SimSun" w:hAnsi="Arial Narrow"/>
                <w:b/>
                <w:bCs/>
                <w:sz w:val="20"/>
                <w:szCs w:val="20"/>
                <w:lang w:bidi="en-US"/>
              </w:rPr>
              <w:t>0.24</w:t>
            </w:r>
          </w:p>
          <w:p w14:paraId="63BC6B10" w14:textId="77777777" w:rsidR="0014336E" w:rsidRPr="006A0A55" w:rsidRDefault="0014336E" w:rsidP="008A1238">
            <w:pPr>
              <w:keepNext/>
              <w:keepLines/>
              <w:jc w:val="center"/>
              <w:rPr>
                <w:rFonts w:ascii="Arial Narrow" w:eastAsia="SimSun" w:hAnsi="Arial Narrow"/>
                <w:b/>
                <w:bCs/>
                <w:sz w:val="20"/>
                <w:szCs w:val="20"/>
                <w:lang w:bidi="en-US"/>
              </w:rPr>
            </w:pPr>
            <w:r w:rsidRPr="006A0A55">
              <w:rPr>
                <w:rFonts w:ascii="Arial Narrow" w:eastAsia="SimSun" w:hAnsi="Arial Narrow"/>
                <w:b/>
                <w:bCs/>
                <w:sz w:val="20"/>
                <w:szCs w:val="20"/>
                <w:lang w:bidi="en-US"/>
              </w:rPr>
              <w:t>(0.17, 0.34)</w:t>
            </w:r>
          </w:p>
        </w:tc>
        <w:tc>
          <w:tcPr>
            <w:tcW w:w="733" w:type="pct"/>
            <w:vAlign w:val="center"/>
          </w:tcPr>
          <w:p w14:paraId="4E642937"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c>
          <w:tcPr>
            <w:tcW w:w="733" w:type="pct"/>
            <w:vAlign w:val="center"/>
          </w:tcPr>
          <w:p w14:paraId="738E0C1A"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c>
          <w:tcPr>
            <w:tcW w:w="733" w:type="pct"/>
            <w:vAlign w:val="center"/>
          </w:tcPr>
          <w:p w14:paraId="2B733B94"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c>
          <w:tcPr>
            <w:tcW w:w="677" w:type="pct"/>
            <w:vAlign w:val="center"/>
          </w:tcPr>
          <w:p w14:paraId="7EC17999"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c>
          <w:tcPr>
            <w:tcW w:w="671" w:type="pct"/>
            <w:vAlign w:val="center"/>
          </w:tcPr>
          <w:p w14:paraId="5F62E4CE"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r>
      <w:tr w:rsidR="0014336E" w:rsidRPr="00DF6B30" w14:paraId="018CFAF0" w14:textId="77777777" w:rsidTr="008A1238">
        <w:trPr>
          <w:cantSplit/>
          <w:jc w:val="center"/>
        </w:trPr>
        <w:tc>
          <w:tcPr>
            <w:tcW w:w="5000" w:type="pct"/>
            <w:gridSpan w:val="7"/>
            <w:vAlign w:val="center"/>
          </w:tcPr>
          <w:p w14:paraId="7E50EC7A" w14:textId="77777777" w:rsidR="0014336E" w:rsidRPr="00754BCB" w:rsidRDefault="0014336E" w:rsidP="008A1238">
            <w:pPr>
              <w:keepNext/>
              <w:keepLines/>
              <w:rPr>
                <w:rFonts w:ascii="Arial Narrow" w:eastAsia="SimSun" w:hAnsi="Arial Narrow"/>
                <w:b/>
                <w:bCs/>
                <w:sz w:val="20"/>
                <w:szCs w:val="20"/>
                <w:lang w:bidi="en-US"/>
              </w:rPr>
            </w:pPr>
            <w:r w:rsidRPr="00DF6B30">
              <w:rPr>
                <w:rFonts w:ascii="Arial Narrow" w:eastAsia="SimSun" w:hAnsi="Arial Narrow"/>
                <w:b/>
                <w:bCs/>
                <w:sz w:val="20"/>
                <w:szCs w:val="20"/>
                <w:lang w:bidi="en-US"/>
              </w:rPr>
              <w:t xml:space="preserve">Dupilumab </w:t>
            </w:r>
            <w:r w:rsidRPr="00DD466A">
              <w:rPr>
                <w:rFonts w:ascii="Arial Narrow" w:eastAsia="SimSun" w:hAnsi="Arial Narrow"/>
                <w:b/>
                <w:bCs/>
                <w:sz w:val="20"/>
                <w:szCs w:val="20"/>
                <w:lang w:bidi="en-US"/>
              </w:rPr>
              <w:t>200 mg Q2W</w:t>
            </w:r>
          </w:p>
        </w:tc>
      </w:tr>
      <w:tr w:rsidR="0014336E" w:rsidRPr="00754BCB" w14:paraId="22C2DBC6" w14:textId="77777777" w:rsidTr="008A1238">
        <w:trPr>
          <w:cantSplit/>
          <w:jc w:val="center"/>
        </w:trPr>
        <w:tc>
          <w:tcPr>
            <w:tcW w:w="778" w:type="pct"/>
            <w:vAlign w:val="center"/>
          </w:tcPr>
          <w:p w14:paraId="18836AFC" w14:textId="77777777" w:rsidR="0014336E" w:rsidRPr="00754BCB" w:rsidRDefault="0014336E" w:rsidP="008A1238">
            <w:pPr>
              <w:keepNext/>
              <w:keepLines/>
              <w:rPr>
                <w:rFonts w:ascii="Arial Narrow" w:eastAsia="SimSun" w:hAnsi="Arial Narrow"/>
                <w:sz w:val="20"/>
                <w:szCs w:val="20"/>
                <w:lang w:bidi="en-US"/>
              </w:rPr>
            </w:pPr>
            <w:r w:rsidRPr="00754BCB">
              <w:rPr>
                <w:rFonts w:ascii="Arial Narrow" w:eastAsia="SimSun" w:hAnsi="Arial Narrow"/>
                <w:sz w:val="20"/>
                <w:szCs w:val="20"/>
                <w:lang w:bidi="en-US"/>
              </w:rPr>
              <w:t>QUEST</w:t>
            </w:r>
          </w:p>
        </w:tc>
        <w:tc>
          <w:tcPr>
            <w:tcW w:w="675" w:type="pct"/>
            <w:vAlign w:val="center"/>
          </w:tcPr>
          <w:p w14:paraId="04ABF5F5"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c>
          <w:tcPr>
            <w:tcW w:w="733" w:type="pct"/>
            <w:vAlign w:val="center"/>
          </w:tcPr>
          <w:p w14:paraId="54075DA8" w14:textId="77777777" w:rsidR="0014336E" w:rsidRPr="00754BCB" w:rsidRDefault="0014336E" w:rsidP="008A1238">
            <w:pPr>
              <w:keepNext/>
              <w:keepLines/>
              <w:jc w:val="center"/>
              <w:rPr>
                <w:rFonts w:ascii="Arial Narrow" w:eastAsia="SimSun" w:hAnsi="Arial Narrow"/>
                <w:iCs/>
                <w:sz w:val="20"/>
                <w:szCs w:val="20"/>
                <w:lang w:bidi="en-US"/>
              </w:rPr>
            </w:pPr>
            <w:r w:rsidRPr="00754BCB">
              <w:rPr>
                <w:rFonts w:ascii="Arial Narrow" w:eastAsia="SimSun" w:hAnsi="Arial Narrow"/>
                <w:iCs/>
                <w:sz w:val="20"/>
                <w:szCs w:val="20"/>
                <w:lang w:bidi="en-US"/>
              </w:rPr>
              <w:t>-</w:t>
            </w:r>
          </w:p>
        </w:tc>
        <w:tc>
          <w:tcPr>
            <w:tcW w:w="733" w:type="pct"/>
            <w:vAlign w:val="center"/>
          </w:tcPr>
          <w:p w14:paraId="39A0C737"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1.35</w:t>
            </w:r>
          </w:p>
          <w:p w14:paraId="68076E95"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(0.98, 1.84)</w:t>
            </w:r>
          </w:p>
        </w:tc>
        <w:tc>
          <w:tcPr>
            <w:tcW w:w="733" w:type="pct"/>
            <w:vAlign w:val="center"/>
          </w:tcPr>
          <w:p w14:paraId="002A2FA9"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0.55</w:t>
            </w:r>
          </w:p>
          <w:p w14:paraId="6D731E97"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(0.40, 0.75)</w:t>
            </w:r>
          </w:p>
        </w:tc>
        <w:tc>
          <w:tcPr>
            <w:tcW w:w="677" w:type="pct"/>
            <w:vAlign w:val="center"/>
          </w:tcPr>
          <w:p w14:paraId="74696989"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0.41</w:t>
            </w:r>
          </w:p>
          <w:p w14:paraId="0B029D8A"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(0.26, 0.64)</w:t>
            </w:r>
          </w:p>
        </w:tc>
        <w:tc>
          <w:tcPr>
            <w:tcW w:w="671" w:type="pct"/>
            <w:vAlign w:val="center"/>
          </w:tcPr>
          <w:p w14:paraId="7E6278D7"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r>
      <w:tr w:rsidR="0014336E" w:rsidRPr="00754BCB" w14:paraId="561A621B" w14:textId="77777777" w:rsidTr="008A1238">
        <w:trPr>
          <w:cantSplit/>
          <w:jc w:val="center"/>
        </w:trPr>
        <w:tc>
          <w:tcPr>
            <w:tcW w:w="778" w:type="pct"/>
            <w:vAlign w:val="center"/>
          </w:tcPr>
          <w:p w14:paraId="28760496" w14:textId="77777777" w:rsidR="0014336E" w:rsidRPr="00754BCB" w:rsidRDefault="0014336E" w:rsidP="008A1238">
            <w:pPr>
              <w:keepNext/>
              <w:keepLines/>
              <w:rPr>
                <w:rFonts w:ascii="Arial Narrow" w:eastAsia="SimSun" w:hAnsi="Arial Narrow"/>
                <w:sz w:val="20"/>
                <w:szCs w:val="20"/>
                <w:lang w:bidi="en-US"/>
              </w:rPr>
            </w:pPr>
            <w:r w:rsidRPr="00754BCB">
              <w:rPr>
                <w:rFonts w:ascii="Arial Narrow" w:eastAsia="SimSun" w:hAnsi="Arial Narrow"/>
                <w:sz w:val="20"/>
                <w:szCs w:val="20"/>
                <w:lang w:bidi="en-US"/>
              </w:rPr>
              <w:t>DRI12544</w:t>
            </w:r>
          </w:p>
        </w:tc>
        <w:tc>
          <w:tcPr>
            <w:tcW w:w="675" w:type="pct"/>
            <w:vAlign w:val="center"/>
          </w:tcPr>
          <w:p w14:paraId="529AB72C"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c>
          <w:tcPr>
            <w:tcW w:w="733" w:type="pct"/>
            <w:vAlign w:val="center"/>
          </w:tcPr>
          <w:p w14:paraId="1471F42B" w14:textId="77777777" w:rsidR="0014336E" w:rsidRPr="00754BCB" w:rsidRDefault="0014336E" w:rsidP="008A1238">
            <w:pPr>
              <w:keepNext/>
              <w:keepLines/>
              <w:jc w:val="center"/>
              <w:rPr>
                <w:rFonts w:ascii="Arial Narrow" w:eastAsia="SimSun" w:hAnsi="Arial Narrow"/>
                <w:iCs/>
                <w:sz w:val="20"/>
                <w:szCs w:val="20"/>
                <w:lang w:bidi="en-US"/>
              </w:rPr>
            </w:pPr>
            <w:r w:rsidRPr="00754BCB">
              <w:rPr>
                <w:rFonts w:ascii="Arial Narrow" w:eastAsia="SimSun" w:hAnsi="Arial Narrow"/>
                <w:iCs/>
                <w:sz w:val="20"/>
                <w:szCs w:val="20"/>
                <w:lang w:bidi="en-US"/>
              </w:rPr>
              <w:t>-</w:t>
            </w:r>
          </w:p>
        </w:tc>
        <w:tc>
          <w:tcPr>
            <w:tcW w:w="733" w:type="pct"/>
            <w:vAlign w:val="center"/>
          </w:tcPr>
          <w:p w14:paraId="72B0DFA6"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1.28</w:t>
            </w:r>
          </w:p>
          <w:p w14:paraId="0680CED5"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(0.71, 2.32)</w:t>
            </w:r>
          </w:p>
        </w:tc>
        <w:tc>
          <w:tcPr>
            <w:tcW w:w="733" w:type="pct"/>
            <w:vAlign w:val="center"/>
          </w:tcPr>
          <w:p w14:paraId="168B67AC"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0.97</w:t>
            </w:r>
          </w:p>
          <w:p w14:paraId="7D14DDFD"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(0.51, 1.84)</w:t>
            </w:r>
          </w:p>
        </w:tc>
        <w:tc>
          <w:tcPr>
            <w:tcW w:w="677" w:type="pct"/>
            <w:vAlign w:val="center"/>
          </w:tcPr>
          <w:p w14:paraId="24952F11"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0.76</w:t>
            </w:r>
          </w:p>
          <w:p w14:paraId="0A3B7845"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(0.32, 1.81)</w:t>
            </w:r>
          </w:p>
        </w:tc>
        <w:tc>
          <w:tcPr>
            <w:tcW w:w="671" w:type="pct"/>
            <w:vAlign w:val="center"/>
          </w:tcPr>
          <w:p w14:paraId="2681A16C"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r>
      <w:tr w:rsidR="0014336E" w:rsidRPr="00754BCB" w14:paraId="4F3F8720" w14:textId="77777777" w:rsidTr="008A1238">
        <w:trPr>
          <w:cantSplit/>
          <w:jc w:val="center"/>
        </w:trPr>
        <w:tc>
          <w:tcPr>
            <w:tcW w:w="778" w:type="pct"/>
            <w:vAlign w:val="center"/>
          </w:tcPr>
          <w:p w14:paraId="4D3296A6" w14:textId="77777777" w:rsidR="0014336E" w:rsidRPr="006A0A55" w:rsidRDefault="0014336E" w:rsidP="008A1238">
            <w:pPr>
              <w:keepNext/>
              <w:keepLines/>
              <w:rPr>
                <w:rFonts w:ascii="Arial Narrow" w:eastAsia="SimSun" w:hAnsi="Arial Narrow"/>
                <w:b/>
                <w:bCs/>
                <w:sz w:val="20"/>
                <w:szCs w:val="20"/>
                <w:lang w:bidi="en-US"/>
              </w:rPr>
            </w:pPr>
            <w:r w:rsidRPr="006A0A55">
              <w:rPr>
                <w:rFonts w:ascii="Arial Narrow" w:eastAsia="SimSun" w:hAnsi="Arial Narrow"/>
                <w:b/>
                <w:bCs/>
                <w:sz w:val="20"/>
                <w:szCs w:val="20"/>
                <w:lang w:bidi="en-US"/>
              </w:rPr>
              <w:t>Pooled</w:t>
            </w:r>
          </w:p>
        </w:tc>
        <w:tc>
          <w:tcPr>
            <w:tcW w:w="675" w:type="pct"/>
            <w:vAlign w:val="center"/>
          </w:tcPr>
          <w:p w14:paraId="28CA4D46" w14:textId="77777777" w:rsidR="0014336E" w:rsidRPr="006A0A55" w:rsidRDefault="0014336E" w:rsidP="008A1238">
            <w:pPr>
              <w:keepNext/>
              <w:keepLines/>
              <w:jc w:val="center"/>
              <w:rPr>
                <w:rFonts w:ascii="Arial Narrow" w:eastAsia="SimSun" w:hAnsi="Arial Narrow"/>
                <w:b/>
                <w:bCs/>
                <w:sz w:val="20"/>
                <w:szCs w:val="20"/>
                <w:lang w:bidi="en-US"/>
              </w:rPr>
            </w:pPr>
            <w:r w:rsidRPr="006A0A55">
              <w:rPr>
                <w:rFonts w:ascii="Arial Narrow" w:eastAsia="SimSun" w:hAnsi="Arial Narrow"/>
                <w:b/>
                <w:bCs/>
                <w:sz w:val="20"/>
                <w:szCs w:val="20"/>
                <w:lang w:bidi="en-US"/>
              </w:rPr>
              <w:t>-</w:t>
            </w:r>
          </w:p>
        </w:tc>
        <w:tc>
          <w:tcPr>
            <w:tcW w:w="733" w:type="pct"/>
            <w:vAlign w:val="center"/>
          </w:tcPr>
          <w:p w14:paraId="740350A4" w14:textId="77777777" w:rsidR="0014336E" w:rsidRPr="006A0A55" w:rsidRDefault="0014336E" w:rsidP="008A1238">
            <w:pPr>
              <w:keepNext/>
              <w:keepLines/>
              <w:jc w:val="center"/>
              <w:rPr>
                <w:rFonts w:ascii="Arial Narrow" w:eastAsia="SimSun" w:hAnsi="Arial Narrow"/>
                <w:b/>
                <w:bCs/>
                <w:sz w:val="20"/>
                <w:szCs w:val="20"/>
                <w:lang w:bidi="en-US"/>
              </w:rPr>
            </w:pPr>
            <w:r w:rsidRPr="006A0A55">
              <w:rPr>
                <w:rFonts w:ascii="Arial Narrow" w:eastAsia="SimSun" w:hAnsi="Arial Narrow"/>
                <w:b/>
                <w:bCs/>
                <w:sz w:val="20"/>
                <w:szCs w:val="20"/>
                <w:lang w:bidi="en-US"/>
              </w:rPr>
              <w:t>-</w:t>
            </w:r>
          </w:p>
        </w:tc>
        <w:tc>
          <w:tcPr>
            <w:tcW w:w="733" w:type="pct"/>
            <w:vAlign w:val="center"/>
          </w:tcPr>
          <w:p w14:paraId="3E399818" w14:textId="77777777" w:rsidR="0014336E" w:rsidRPr="006A0A55" w:rsidRDefault="0014336E" w:rsidP="008A1238">
            <w:pPr>
              <w:keepNext/>
              <w:keepLines/>
              <w:jc w:val="center"/>
              <w:rPr>
                <w:rFonts w:ascii="Arial Narrow" w:eastAsia="SimSun" w:hAnsi="Arial Narrow"/>
                <w:b/>
                <w:bCs/>
                <w:sz w:val="20"/>
                <w:szCs w:val="20"/>
                <w:lang w:bidi="en-US"/>
              </w:rPr>
            </w:pPr>
            <w:r w:rsidRPr="006A0A55">
              <w:rPr>
                <w:rFonts w:ascii="Arial Narrow" w:eastAsia="SimSun" w:hAnsi="Arial Narrow"/>
                <w:b/>
                <w:bCs/>
                <w:sz w:val="20"/>
                <w:szCs w:val="20"/>
                <w:lang w:bidi="en-US"/>
              </w:rPr>
              <w:t>-</w:t>
            </w:r>
          </w:p>
        </w:tc>
        <w:tc>
          <w:tcPr>
            <w:tcW w:w="733" w:type="pct"/>
            <w:vAlign w:val="center"/>
          </w:tcPr>
          <w:p w14:paraId="428C9594" w14:textId="77777777" w:rsidR="0014336E" w:rsidRPr="006A0A55" w:rsidRDefault="0014336E" w:rsidP="008A1238">
            <w:pPr>
              <w:keepNext/>
              <w:keepLines/>
              <w:jc w:val="center"/>
              <w:rPr>
                <w:rFonts w:ascii="Arial Narrow" w:eastAsia="SimSun" w:hAnsi="Arial Narrow"/>
                <w:b/>
                <w:bCs/>
                <w:sz w:val="20"/>
                <w:szCs w:val="20"/>
                <w:lang w:bidi="en-US"/>
              </w:rPr>
            </w:pPr>
            <w:r w:rsidRPr="006A0A55">
              <w:rPr>
                <w:rFonts w:ascii="Arial Narrow" w:eastAsia="SimSun" w:hAnsi="Arial Narrow"/>
                <w:b/>
                <w:bCs/>
                <w:sz w:val="20"/>
                <w:szCs w:val="20"/>
                <w:lang w:bidi="en-US"/>
              </w:rPr>
              <w:t>-</w:t>
            </w:r>
          </w:p>
        </w:tc>
        <w:tc>
          <w:tcPr>
            <w:tcW w:w="677" w:type="pct"/>
            <w:vAlign w:val="center"/>
          </w:tcPr>
          <w:p w14:paraId="265325D6" w14:textId="77777777" w:rsidR="0014336E" w:rsidRPr="006A0A55" w:rsidRDefault="0014336E" w:rsidP="008A1238">
            <w:pPr>
              <w:keepNext/>
              <w:keepLines/>
              <w:jc w:val="center"/>
              <w:rPr>
                <w:rFonts w:ascii="Arial Narrow" w:eastAsia="SimSun" w:hAnsi="Arial Narrow"/>
                <w:b/>
                <w:bCs/>
                <w:sz w:val="20"/>
                <w:szCs w:val="20"/>
                <w:lang w:bidi="en-US"/>
              </w:rPr>
            </w:pPr>
            <w:r w:rsidRPr="006A0A55">
              <w:rPr>
                <w:rFonts w:ascii="Arial Narrow" w:eastAsia="SimSun" w:hAnsi="Arial Narrow"/>
                <w:b/>
                <w:bCs/>
                <w:sz w:val="20"/>
                <w:szCs w:val="20"/>
                <w:lang w:bidi="en-US"/>
              </w:rPr>
              <w:t>0.46</w:t>
            </w:r>
          </w:p>
          <w:p w14:paraId="5EDF38C4" w14:textId="77777777" w:rsidR="0014336E" w:rsidRPr="006A0A55" w:rsidRDefault="0014336E" w:rsidP="008A1238">
            <w:pPr>
              <w:keepNext/>
              <w:keepLines/>
              <w:jc w:val="center"/>
              <w:rPr>
                <w:rFonts w:ascii="Arial Narrow" w:eastAsia="SimSun" w:hAnsi="Arial Narrow"/>
                <w:b/>
                <w:bCs/>
                <w:sz w:val="20"/>
                <w:szCs w:val="20"/>
                <w:lang w:bidi="en-US"/>
              </w:rPr>
            </w:pPr>
            <w:r w:rsidRPr="006A0A55">
              <w:rPr>
                <w:rFonts w:ascii="Arial Narrow" w:eastAsia="SimSun" w:hAnsi="Arial Narrow"/>
                <w:b/>
                <w:bCs/>
                <w:sz w:val="20"/>
                <w:szCs w:val="20"/>
                <w:lang w:bidi="en-US"/>
              </w:rPr>
              <w:t>(0.31, 0.69)</w:t>
            </w:r>
          </w:p>
        </w:tc>
        <w:tc>
          <w:tcPr>
            <w:tcW w:w="671" w:type="pct"/>
            <w:vAlign w:val="center"/>
          </w:tcPr>
          <w:p w14:paraId="34918F9F" w14:textId="77777777" w:rsidR="0014336E" w:rsidRPr="00754BCB" w:rsidRDefault="0014336E" w:rsidP="008A1238">
            <w:pPr>
              <w:keepNext/>
              <w:keepLines/>
              <w:jc w:val="center"/>
              <w:rPr>
                <w:rFonts w:ascii="Arial Narrow" w:eastAsia="SimSun" w:hAnsi="Arial Narrow"/>
                <w:sz w:val="20"/>
                <w:szCs w:val="20"/>
                <w:lang w:bidi="en-US"/>
              </w:rPr>
            </w:pPr>
            <w:r w:rsidRPr="00754BCB">
              <w:rPr>
                <w:rFonts w:ascii="Arial Narrow" w:eastAsia="SimSun" w:hAnsi="Arial Narrow"/>
                <w:sz w:val="20"/>
                <w:szCs w:val="20"/>
                <w:lang w:bidi="en-US"/>
              </w:rPr>
              <w:t>-</w:t>
            </w:r>
          </w:p>
        </w:tc>
      </w:tr>
      <w:tr w:rsidR="0014336E" w:rsidRPr="00DF6B30" w14:paraId="100FDF63" w14:textId="77777777" w:rsidTr="008A1238">
        <w:trPr>
          <w:cantSplit/>
          <w:jc w:val="center"/>
        </w:trPr>
        <w:tc>
          <w:tcPr>
            <w:tcW w:w="4329" w:type="pct"/>
            <w:gridSpan w:val="6"/>
            <w:vAlign w:val="center"/>
          </w:tcPr>
          <w:p w14:paraId="532FB196" w14:textId="77777777" w:rsidR="0014336E" w:rsidRPr="00DF6B30" w:rsidRDefault="0014336E" w:rsidP="008A1238">
            <w:pPr>
              <w:keepNext/>
              <w:keepLines/>
              <w:rPr>
                <w:rFonts w:ascii="Arial Narrow" w:eastAsia="SimSun" w:hAnsi="Arial Narrow"/>
                <w:sz w:val="20"/>
                <w:szCs w:val="20"/>
                <w:lang w:bidi="en-US"/>
              </w:rPr>
            </w:pPr>
            <w:r w:rsidRPr="00DF6B30">
              <w:rPr>
                <w:rFonts w:ascii="Arial Narrow" w:eastAsia="SimSun" w:hAnsi="Arial Narrow"/>
                <w:sz w:val="20"/>
                <w:szCs w:val="20"/>
                <w:lang w:bidi="en-US"/>
              </w:rPr>
              <w:t xml:space="preserve">Indirect </w:t>
            </w:r>
            <w:r>
              <w:rPr>
                <w:rFonts w:ascii="Arial Narrow" w:eastAsia="SimSun" w:hAnsi="Arial Narrow"/>
                <w:sz w:val="20"/>
                <w:szCs w:val="20"/>
                <w:lang w:bidi="en-US"/>
              </w:rPr>
              <w:t xml:space="preserve">treatment </w:t>
            </w:r>
            <w:r w:rsidRPr="00DF6B30">
              <w:rPr>
                <w:rFonts w:ascii="Arial Narrow" w:eastAsia="SimSun" w:hAnsi="Arial Narrow"/>
                <w:sz w:val="20"/>
                <w:szCs w:val="20"/>
                <w:lang w:bidi="en-US"/>
              </w:rPr>
              <w:t>comparison</w:t>
            </w:r>
          </w:p>
        </w:tc>
        <w:tc>
          <w:tcPr>
            <w:tcW w:w="671" w:type="pct"/>
            <w:vAlign w:val="center"/>
          </w:tcPr>
          <w:p w14:paraId="67BCB4F6" w14:textId="77777777" w:rsidR="0014336E" w:rsidRPr="00DF6B30" w:rsidRDefault="0014336E" w:rsidP="008A1238">
            <w:pPr>
              <w:keepNext/>
              <w:keepLines/>
              <w:jc w:val="center"/>
              <w:rPr>
                <w:rFonts w:ascii="Arial Narrow" w:eastAsia="SimSun" w:hAnsi="Arial Narrow"/>
                <w:b/>
                <w:bCs/>
                <w:sz w:val="20"/>
                <w:szCs w:val="20"/>
                <w:lang w:bidi="en-US"/>
              </w:rPr>
            </w:pPr>
            <w:r w:rsidRPr="00DF6B30">
              <w:rPr>
                <w:rFonts w:ascii="Arial Narrow" w:eastAsia="SimSun" w:hAnsi="Arial Narrow"/>
                <w:b/>
                <w:bCs/>
                <w:sz w:val="20"/>
                <w:szCs w:val="20"/>
                <w:lang w:bidi="en-US"/>
              </w:rPr>
              <w:t>0.52</w:t>
            </w:r>
          </w:p>
          <w:p w14:paraId="4D7729AB" w14:textId="77777777" w:rsidR="0014336E" w:rsidRDefault="0014336E" w:rsidP="008A1238">
            <w:pPr>
              <w:keepNext/>
              <w:keepLines/>
              <w:jc w:val="center"/>
              <w:rPr>
                <w:rFonts w:ascii="Arial Narrow" w:eastAsia="SimSun" w:hAnsi="Arial Narrow"/>
                <w:b/>
                <w:bCs/>
                <w:sz w:val="20"/>
                <w:szCs w:val="20"/>
                <w:lang w:bidi="en-US"/>
              </w:rPr>
            </w:pPr>
            <w:r w:rsidRPr="00DF6B30">
              <w:rPr>
                <w:rFonts w:ascii="Arial Narrow" w:eastAsia="SimSun" w:hAnsi="Arial Narrow"/>
                <w:b/>
                <w:bCs/>
                <w:sz w:val="20"/>
                <w:szCs w:val="20"/>
                <w:lang w:bidi="en-US"/>
              </w:rPr>
              <w:t>(0.31, 0.89)</w:t>
            </w:r>
          </w:p>
          <w:p w14:paraId="6F8658F7" w14:textId="77777777" w:rsidR="0014336E" w:rsidRPr="00DF6B30" w:rsidRDefault="0014336E" w:rsidP="008A1238">
            <w:pPr>
              <w:keepNext/>
              <w:keepLines/>
              <w:jc w:val="center"/>
              <w:rPr>
                <w:rFonts w:ascii="Arial Narrow" w:eastAsia="SimSun" w:hAnsi="Arial Narrow"/>
                <w:b/>
                <w:bCs/>
                <w:sz w:val="20"/>
                <w:szCs w:val="20"/>
                <w:lang w:bidi="en-US"/>
              </w:rPr>
            </w:pPr>
            <w:r w:rsidRPr="00F02399">
              <w:rPr>
                <w:rFonts w:ascii="Arial Narrow" w:eastAsia="SimSun" w:hAnsi="Arial Narrow"/>
                <w:b/>
                <w:bCs/>
                <w:sz w:val="20"/>
                <w:szCs w:val="20"/>
                <w:lang w:bidi="en-US"/>
              </w:rPr>
              <w:t>p=0.02</w:t>
            </w:r>
          </w:p>
        </w:tc>
      </w:tr>
      <w:tr w:rsidR="0014336E" w:rsidRPr="00DF6B30" w14:paraId="42EBF5ED" w14:textId="77777777" w:rsidTr="008A1238">
        <w:trPr>
          <w:cantSplit/>
          <w:jc w:val="center"/>
        </w:trPr>
        <w:tc>
          <w:tcPr>
            <w:tcW w:w="5000" w:type="pct"/>
            <w:gridSpan w:val="7"/>
            <w:vAlign w:val="center"/>
          </w:tcPr>
          <w:p w14:paraId="4BF9A2EB" w14:textId="784FBA23" w:rsidR="0014336E" w:rsidRPr="00DF6B30" w:rsidRDefault="0014336E" w:rsidP="008A1238">
            <w:pPr>
              <w:keepNext/>
              <w:keepLines/>
              <w:rPr>
                <w:rFonts w:ascii="Arial Narrow" w:eastAsia="SimSun" w:hAnsi="Arial Narrow"/>
                <w:b/>
                <w:bCs/>
                <w:sz w:val="20"/>
                <w:szCs w:val="20"/>
                <w:lang w:bidi="en-US"/>
              </w:rPr>
            </w:pPr>
            <w:bookmarkStart w:id="43" w:name="_Hlk206130519"/>
            <w:r w:rsidRPr="00DF6B30">
              <w:rPr>
                <w:rFonts w:ascii="Arial Narrow" w:eastAsia="SimSun" w:hAnsi="Arial Narrow"/>
                <w:b/>
                <w:bCs/>
                <w:sz w:val="20"/>
                <w:szCs w:val="20"/>
                <w:lang w:bidi="en-US"/>
              </w:rPr>
              <w:t xml:space="preserve">Allergic + </w:t>
            </w:r>
            <w:r w:rsidR="00B47EF3">
              <w:rPr>
                <w:rFonts w:ascii="Arial Narrow" w:eastAsia="SimSun" w:hAnsi="Arial Narrow"/>
                <w:b/>
                <w:bCs/>
                <w:sz w:val="20"/>
                <w:szCs w:val="20"/>
                <w:lang w:bidi="en-US"/>
              </w:rPr>
              <w:t>M</w:t>
            </w:r>
            <w:r>
              <w:rPr>
                <w:rFonts w:ascii="Arial Narrow" w:eastAsia="SimSun" w:hAnsi="Arial Narrow"/>
                <w:b/>
                <w:bCs/>
                <w:sz w:val="20"/>
                <w:szCs w:val="20"/>
                <w:lang w:bidi="en-US"/>
              </w:rPr>
              <w:t xml:space="preserve">edium </w:t>
            </w:r>
            <w:r w:rsidR="00B47EF3">
              <w:rPr>
                <w:rFonts w:ascii="Arial Narrow" w:eastAsia="SimSun" w:hAnsi="Arial Narrow"/>
                <w:b/>
                <w:bCs/>
                <w:sz w:val="20"/>
                <w:szCs w:val="20"/>
                <w:lang w:bidi="en-US"/>
              </w:rPr>
              <w:t xml:space="preserve">or </w:t>
            </w:r>
            <w:r>
              <w:rPr>
                <w:rFonts w:ascii="Arial Narrow" w:eastAsia="SimSun" w:hAnsi="Arial Narrow"/>
                <w:b/>
                <w:bCs/>
                <w:sz w:val="20"/>
                <w:szCs w:val="20"/>
                <w:lang w:bidi="en-US"/>
              </w:rPr>
              <w:t xml:space="preserve">High ICS </w:t>
            </w:r>
            <w:bookmarkEnd w:id="43"/>
          </w:p>
        </w:tc>
      </w:tr>
      <w:tr w:rsidR="0014336E" w:rsidRPr="00DF6B30" w14:paraId="32563EA3" w14:textId="77777777" w:rsidTr="008A1238">
        <w:trPr>
          <w:cantSplit/>
          <w:jc w:val="center"/>
        </w:trPr>
        <w:tc>
          <w:tcPr>
            <w:tcW w:w="5000" w:type="pct"/>
            <w:gridSpan w:val="7"/>
            <w:vAlign w:val="center"/>
          </w:tcPr>
          <w:p w14:paraId="714655CB" w14:textId="77777777" w:rsidR="0014336E" w:rsidRPr="00DF6B30" w:rsidRDefault="0014336E" w:rsidP="008A1238">
            <w:pPr>
              <w:keepNext/>
              <w:keepLines/>
              <w:rPr>
                <w:rFonts w:ascii="Arial Narrow" w:eastAsia="SimSun" w:hAnsi="Arial Narrow"/>
                <w:b/>
                <w:bCs/>
                <w:sz w:val="20"/>
                <w:szCs w:val="20"/>
                <w:lang w:bidi="en-US"/>
              </w:rPr>
            </w:pPr>
            <w:r w:rsidRPr="00DF6B30">
              <w:rPr>
                <w:rFonts w:ascii="Arial Narrow" w:eastAsia="SimSun" w:hAnsi="Arial Narrow"/>
                <w:b/>
                <w:bCs/>
                <w:sz w:val="20"/>
                <w:szCs w:val="20"/>
                <w:lang w:bidi="en-US"/>
              </w:rPr>
              <w:t>Tezepelumab</w:t>
            </w:r>
            <w:r>
              <w:rPr>
                <w:rFonts w:ascii="Arial Narrow" w:eastAsia="SimSun" w:hAnsi="Arial Narrow"/>
                <w:b/>
                <w:bCs/>
                <w:sz w:val="20"/>
                <w:szCs w:val="20"/>
                <w:lang w:bidi="en-US"/>
              </w:rPr>
              <w:t xml:space="preserve"> </w:t>
            </w:r>
            <w:r w:rsidRPr="00DD466A">
              <w:rPr>
                <w:rFonts w:ascii="Arial Narrow" w:eastAsia="SimSun" w:hAnsi="Arial Narrow"/>
                <w:b/>
                <w:bCs/>
                <w:sz w:val="20"/>
                <w:szCs w:val="20"/>
                <w:lang w:bidi="en-US"/>
              </w:rPr>
              <w:t>210 mg SC Q4W</w:t>
            </w:r>
          </w:p>
        </w:tc>
      </w:tr>
      <w:tr w:rsidR="0014336E" w:rsidRPr="00DF6B30" w14:paraId="2711A32D" w14:textId="77777777" w:rsidTr="008A1238">
        <w:trPr>
          <w:cantSplit/>
          <w:jc w:val="center"/>
        </w:trPr>
        <w:tc>
          <w:tcPr>
            <w:tcW w:w="778" w:type="pct"/>
            <w:vAlign w:val="center"/>
          </w:tcPr>
          <w:p w14:paraId="31ADD0A7" w14:textId="77777777" w:rsidR="0014336E" w:rsidRPr="00DF6B30" w:rsidRDefault="0014336E" w:rsidP="008A1238">
            <w:pPr>
              <w:keepNext/>
              <w:keepLines/>
              <w:rPr>
                <w:rFonts w:ascii="Arial Narrow" w:eastAsia="SimSun" w:hAnsi="Arial Narrow"/>
                <w:sz w:val="20"/>
                <w:szCs w:val="20"/>
                <w:lang w:bidi="en-US"/>
              </w:rPr>
            </w:pPr>
            <w:r w:rsidRPr="00DF6B30">
              <w:rPr>
                <w:rFonts w:ascii="Arial Narrow" w:hAnsi="Arial Narrow"/>
                <w:sz w:val="20"/>
                <w:szCs w:val="20"/>
              </w:rPr>
              <w:t>NAVIGATOR</w:t>
            </w:r>
          </w:p>
        </w:tc>
        <w:tc>
          <w:tcPr>
            <w:tcW w:w="675" w:type="pct"/>
            <w:vAlign w:val="center"/>
          </w:tcPr>
          <w:p w14:paraId="742A5D8C" w14:textId="77777777" w:rsidR="0014336E" w:rsidRPr="00DF6B30" w:rsidRDefault="0014336E" w:rsidP="008A1238">
            <w:pPr>
              <w:pStyle w:val="TableText"/>
              <w:jc w:val="center"/>
              <w:rPr>
                <w:sz w:val="20"/>
                <w:szCs w:val="20"/>
              </w:rPr>
            </w:pPr>
            <w:r w:rsidRPr="00DF6B30">
              <w:rPr>
                <w:sz w:val="20"/>
                <w:szCs w:val="20"/>
              </w:rPr>
              <w:t>0.42</w:t>
            </w:r>
          </w:p>
          <w:p w14:paraId="1853BD9F"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(0.33, 0.53)</w:t>
            </w:r>
          </w:p>
        </w:tc>
        <w:tc>
          <w:tcPr>
            <w:tcW w:w="733" w:type="pct"/>
            <w:vAlign w:val="center"/>
          </w:tcPr>
          <w:p w14:paraId="5F9E36AE"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iCs/>
                <w:sz w:val="20"/>
                <w:szCs w:val="20"/>
              </w:rPr>
              <w:t>0.85</w:t>
            </w:r>
          </w:p>
        </w:tc>
        <w:tc>
          <w:tcPr>
            <w:tcW w:w="733" w:type="pct"/>
            <w:vAlign w:val="center"/>
          </w:tcPr>
          <w:p w14:paraId="53A49AB6"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2.03</w:t>
            </w:r>
          </w:p>
        </w:tc>
        <w:tc>
          <w:tcPr>
            <w:tcW w:w="733" w:type="pct"/>
            <w:vAlign w:val="center"/>
          </w:tcPr>
          <w:p w14:paraId="6CD0085D"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w:t>
            </w:r>
          </w:p>
        </w:tc>
        <w:tc>
          <w:tcPr>
            <w:tcW w:w="677" w:type="pct"/>
            <w:vAlign w:val="center"/>
          </w:tcPr>
          <w:p w14:paraId="03DDC63C"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w:t>
            </w:r>
          </w:p>
        </w:tc>
        <w:tc>
          <w:tcPr>
            <w:tcW w:w="671" w:type="pct"/>
            <w:vAlign w:val="center"/>
          </w:tcPr>
          <w:p w14:paraId="6E0A9561"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w:t>
            </w:r>
          </w:p>
        </w:tc>
      </w:tr>
      <w:tr w:rsidR="0014336E" w:rsidRPr="00DF6B30" w14:paraId="29FDF756" w14:textId="77777777" w:rsidTr="008A1238">
        <w:trPr>
          <w:cantSplit/>
          <w:jc w:val="center"/>
        </w:trPr>
        <w:tc>
          <w:tcPr>
            <w:tcW w:w="778" w:type="pct"/>
            <w:vAlign w:val="center"/>
          </w:tcPr>
          <w:p w14:paraId="6AADAF6A" w14:textId="77777777" w:rsidR="0014336E" w:rsidRPr="00DF6B30" w:rsidRDefault="0014336E" w:rsidP="008A1238">
            <w:pPr>
              <w:keepNext/>
              <w:keepLines/>
              <w:rPr>
                <w:rFonts w:ascii="Arial Narrow" w:eastAsia="SimSun" w:hAnsi="Arial Narrow"/>
                <w:sz w:val="20"/>
                <w:szCs w:val="20"/>
                <w:lang w:bidi="en-US"/>
              </w:rPr>
            </w:pPr>
            <w:r w:rsidRPr="00DF6B30">
              <w:rPr>
                <w:rFonts w:ascii="Arial Narrow" w:hAnsi="Arial Narrow"/>
                <w:sz w:val="20"/>
                <w:szCs w:val="20"/>
              </w:rPr>
              <w:t>PATHWAY</w:t>
            </w:r>
          </w:p>
        </w:tc>
        <w:tc>
          <w:tcPr>
            <w:tcW w:w="675" w:type="pct"/>
            <w:vAlign w:val="center"/>
          </w:tcPr>
          <w:p w14:paraId="242F6CF2" w14:textId="77777777" w:rsidR="0014336E" w:rsidRPr="00DF6B30" w:rsidRDefault="0014336E" w:rsidP="008A1238">
            <w:pPr>
              <w:pStyle w:val="TableText"/>
              <w:jc w:val="center"/>
              <w:rPr>
                <w:sz w:val="20"/>
                <w:szCs w:val="20"/>
              </w:rPr>
            </w:pPr>
            <w:r w:rsidRPr="00DF6B30">
              <w:rPr>
                <w:sz w:val="20"/>
                <w:szCs w:val="20"/>
              </w:rPr>
              <w:t>0.18</w:t>
            </w:r>
          </w:p>
          <w:p w14:paraId="4A7347EB"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(0.07, 0.46)</w:t>
            </w:r>
          </w:p>
        </w:tc>
        <w:tc>
          <w:tcPr>
            <w:tcW w:w="733" w:type="pct"/>
            <w:vAlign w:val="center"/>
          </w:tcPr>
          <w:p w14:paraId="439AF191"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iCs/>
                <w:sz w:val="20"/>
                <w:szCs w:val="20"/>
              </w:rPr>
              <w:t>0.14</w:t>
            </w:r>
          </w:p>
        </w:tc>
        <w:tc>
          <w:tcPr>
            <w:tcW w:w="733" w:type="pct"/>
            <w:vAlign w:val="center"/>
          </w:tcPr>
          <w:p w14:paraId="2A32106F"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0.75</w:t>
            </w:r>
          </w:p>
        </w:tc>
        <w:tc>
          <w:tcPr>
            <w:tcW w:w="733" w:type="pct"/>
            <w:vAlign w:val="center"/>
          </w:tcPr>
          <w:p w14:paraId="5DAD341C"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w:t>
            </w:r>
          </w:p>
        </w:tc>
        <w:tc>
          <w:tcPr>
            <w:tcW w:w="677" w:type="pct"/>
            <w:vAlign w:val="center"/>
          </w:tcPr>
          <w:p w14:paraId="58B50271"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w:t>
            </w:r>
          </w:p>
        </w:tc>
        <w:tc>
          <w:tcPr>
            <w:tcW w:w="671" w:type="pct"/>
            <w:vAlign w:val="center"/>
          </w:tcPr>
          <w:p w14:paraId="332B94F3"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w:t>
            </w:r>
          </w:p>
        </w:tc>
      </w:tr>
      <w:tr w:rsidR="0014336E" w:rsidRPr="00DF6B30" w14:paraId="3791E84A" w14:textId="77777777" w:rsidTr="008A1238">
        <w:trPr>
          <w:cantSplit/>
          <w:jc w:val="center"/>
        </w:trPr>
        <w:tc>
          <w:tcPr>
            <w:tcW w:w="778" w:type="pct"/>
            <w:vAlign w:val="center"/>
          </w:tcPr>
          <w:p w14:paraId="0F06558B" w14:textId="77777777" w:rsidR="0014336E" w:rsidRPr="00D03E2D" w:rsidRDefault="0014336E" w:rsidP="008A1238">
            <w:pPr>
              <w:keepNext/>
              <w:keepLines/>
              <w:rPr>
                <w:rFonts w:ascii="Arial Narrow" w:eastAsia="SimSun" w:hAnsi="Arial Narrow"/>
                <w:sz w:val="20"/>
                <w:szCs w:val="20"/>
                <w:lang w:bidi="en-US"/>
              </w:rPr>
            </w:pPr>
            <w:r w:rsidRPr="00D03E2D">
              <w:rPr>
                <w:rFonts w:ascii="Arial Narrow" w:hAnsi="Arial Narrow"/>
                <w:sz w:val="20"/>
                <w:szCs w:val="20"/>
              </w:rPr>
              <w:t>Pooled</w:t>
            </w:r>
          </w:p>
        </w:tc>
        <w:tc>
          <w:tcPr>
            <w:tcW w:w="675" w:type="pct"/>
            <w:vAlign w:val="center"/>
          </w:tcPr>
          <w:p w14:paraId="010C6AED" w14:textId="77777777" w:rsidR="0014336E" w:rsidRPr="00D03E2D" w:rsidRDefault="0014336E" w:rsidP="008A1238">
            <w:pPr>
              <w:pStyle w:val="TableText"/>
              <w:jc w:val="center"/>
              <w:rPr>
                <w:sz w:val="20"/>
                <w:szCs w:val="20"/>
              </w:rPr>
            </w:pPr>
            <w:r w:rsidRPr="00D03E2D">
              <w:rPr>
                <w:sz w:val="20"/>
                <w:szCs w:val="20"/>
              </w:rPr>
              <w:t>0.31</w:t>
            </w:r>
          </w:p>
          <w:p w14:paraId="546EA6C4" w14:textId="77777777" w:rsidR="0014336E" w:rsidRPr="00D03E2D" w:rsidRDefault="0014336E" w:rsidP="008A1238">
            <w:pPr>
              <w:keepNext/>
              <w:keepLines/>
              <w:jc w:val="center"/>
              <w:rPr>
                <w:rFonts w:ascii="Arial Narrow" w:eastAsia="SimSun" w:hAnsi="Arial Narrow"/>
                <w:sz w:val="20"/>
                <w:szCs w:val="20"/>
                <w:lang w:bidi="en-US"/>
              </w:rPr>
            </w:pPr>
            <w:r w:rsidRPr="00D03E2D">
              <w:rPr>
                <w:rFonts w:ascii="Arial Narrow" w:hAnsi="Arial Narrow"/>
                <w:sz w:val="20"/>
                <w:szCs w:val="20"/>
              </w:rPr>
              <w:t>(0.14, 0.69)</w:t>
            </w:r>
          </w:p>
        </w:tc>
        <w:tc>
          <w:tcPr>
            <w:tcW w:w="733" w:type="pct"/>
            <w:vAlign w:val="center"/>
          </w:tcPr>
          <w:p w14:paraId="34008E8A" w14:textId="77777777" w:rsidR="0014336E" w:rsidRPr="00D03E2D" w:rsidRDefault="0014336E" w:rsidP="008A1238">
            <w:pPr>
              <w:keepNext/>
              <w:keepLines/>
              <w:jc w:val="center"/>
              <w:rPr>
                <w:rFonts w:ascii="Arial Narrow" w:eastAsia="SimSun" w:hAnsi="Arial Narrow"/>
                <w:sz w:val="20"/>
                <w:szCs w:val="20"/>
                <w:lang w:bidi="en-US"/>
              </w:rPr>
            </w:pPr>
            <w:r w:rsidRPr="00D03E2D">
              <w:rPr>
                <w:rFonts w:ascii="Arial Narrow" w:hAnsi="Arial Narrow"/>
                <w:sz w:val="20"/>
                <w:szCs w:val="20"/>
              </w:rPr>
              <w:t>-</w:t>
            </w:r>
          </w:p>
        </w:tc>
        <w:tc>
          <w:tcPr>
            <w:tcW w:w="733" w:type="pct"/>
            <w:vAlign w:val="center"/>
          </w:tcPr>
          <w:p w14:paraId="14690134" w14:textId="77777777" w:rsidR="0014336E" w:rsidRPr="00D03E2D" w:rsidRDefault="0014336E" w:rsidP="008A1238">
            <w:pPr>
              <w:keepNext/>
              <w:keepLines/>
              <w:jc w:val="center"/>
              <w:rPr>
                <w:rFonts w:ascii="Arial Narrow" w:eastAsia="SimSun" w:hAnsi="Arial Narrow"/>
                <w:sz w:val="20"/>
                <w:szCs w:val="20"/>
                <w:lang w:bidi="en-US"/>
              </w:rPr>
            </w:pPr>
            <w:r w:rsidRPr="00D03E2D">
              <w:rPr>
                <w:rFonts w:ascii="Arial Narrow" w:hAnsi="Arial Narrow"/>
                <w:sz w:val="20"/>
                <w:szCs w:val="20"/>
              </w:rPr>
              <w:t>-</w:t>
            </w:r>
          </w:p>
        </w:tc>
        <w:tc>
          <w:tcPr>
            <w:tcW w:w="733" w:type="pct"/>
            <w:vAlign w:val="center"/>
          </w:tcPr>
          <w:p w14:paraId="1B5FDCCB" w14:textId="77777777" w:rsidR="0014336E" w:rsidRPr="00D03E2D" w:rsidRDefault="0014336E" w:rsidP="008A1238">
            <w:pPr>
              <w:keepNext/>
              <w:keepLines/>
              <w:jc w:val="center"/>
              <w:rPr>
                <w:rFonts w:ascii="Arial Narrow" w:eastAsia="SimSun" w:hAnsi="Arial Narrow"/>
                <w:sz w:val="20"/>
                <w:szCs w:val="20"/>
                <w:lang w:bidi="en-US"/>
              </w:rPr>
            </w:pPr>
            <w:r w:rsidRPr="00D03E2D">
              <w:rPr>
                <w:rFonts w:ascii="Arial Narrow" w:hAnsi="Arial Narrow"/>
                <w:sz w:val="20"/>
                <w:szCs w:val="20"/>
              </w:rPr>
              <w:t>-</w:t>
            </w:r>
          </w:p>
        </w:tc>
        <w:tc>
          <w:tcPr>
            <w:tcW w:w="677" w:type="pct"/>
            <w:vAlign w:val="center"/>
          </w:tcPr>
          <w:p w14:paraId="47A6145D" w14:textId="77777777" w:rsidR="0014336E" w:rsidRPr="00D03E2D" w:rsidRDefault="0014336E" w:rsidP="008A1238">
            <w:pPr>
              <w:keepNext/>
              <w:keepLines/>
              <w:jc w:val="center"/>
              <w:rPr>
                <w:rFonts w:ascii="Arial Narrow" w:eastAsia="SimSun" w:hAnsi="Arial Narrow"/>
                <w:sz w:val="20"/>
                <w:szCs w:val="20"/>
                <w:lang w:bidi="en-US"/>
              </w:rPr>
            </w:pPr>
            <w:r w:rsidRPr="00D03E2D">
              <w:rPr>
                <w:rFonts w:ascii="Arial Narrow" w:hAnsi="Arial Narrow"/>
                <w:sz w:val="20"/>
                <w:szCs w:val="20"/>
              </w:rPr>
              <w:t>-</w:t>
            </w:r>
          </w:p>
        </w:tc>
        <w:tc>
          <w:tcPr>
            <w:tcW w:w="671" w:type="pct"/>
            <w:vAlign w:val="center"/>
          </w:tcPr>
          <w:p w14:paraId="49680B9A" w14:textId="77777777" w:rsidR="0014336E" w:rsidRPr="00D03E2D" w:rsidRDefault="0014336E" w:rsidP="008A1238">
            <w:pPr>
              <w:keepNext/>
              <w:keepLines/>
              <w:jc w:val="center"/>
              <w:rPr>
                <w:rFonts w:ascii="Arial Narrow" w:eastAsia="SimSun" w:hAnsi="Arial Narrow"/>
                <w:sz w:val="20"/>
                <w:szCs w:val="20"/>
                <w:lang w:bidi="en-US"/>
              </w:rPr>
            </w:pPr>
            <w:r w:rsidRPr="00D03E2D">
              <w:rPr>
                <w:rFonts w:ascii="Arial Narrow" w:hAnsi="Arial Narrow"/>
                <w:sz w:val="20"/>
                <w:szCs w:val="20"/>
              </w:rPr>
              <w:t>-</w:t>
            </w:r>
          </w:p>
        </w:tc>
      </w:tr>
      <w:tr w:rsidR="0014336E" w:rsidRPr="00DF6B30" w14:paraId="71AE0A3F" w14:textId="77777777" w:rsidTr="008A1238">
        <w:trPr>
          <w:cantSplit/>
          <w:jc w:val="center"/>
        </w:trPr>
        <w:tc>
          <w:tcPr>
            <w:tcW w:w="5000" w:type="pct"/>
            <w:gridSpan w:val="7"/>
            <w:vAlign w:val="center"/>
          </w:tcPr>
          <w:p w14:paraId="73893473" w14:textId="77777777" w:rsidR="0014336E" w:rsidRPr="00DF6B30" w:rsidRDefault="0014336E" w:rsidP="008A1238">
            <w:pPr>
              <w:keepNext/>
              <w:keepLines/>
              <w:rPr>
                <w:rFonts w:ascii="Arial Narrow" w:eastAsia="SimSun" w:hAnsi="Arial Narrow"/>
                <w:b/>
                <w:bCs/>
                <w:sz w:val="20"/>
                <w:szCs w:val="20"/>
                <w:lang w:bidi="en-US"/>
              </w:rPr>
            </w:pPr>
            <w:r w:rsidRPr="00DF6B30">
              <w:rPr>
                <w:rFonts w:ascii="Arial Narrow" w:eastAsia="SimSun" w:hAnsi="Arial Narrow"/>
                <w:b/>
                <w:bCs/>
                <w:sz w:val="20"/>
                <w:szCs w:val="20"/>
                <w:lang w:bidi="en-US"/>
              </w:rPr>
              <w:t xml:space="preserve">Dupilumab </w:t>
            </w:r>
            <w:r w:rsidRPr="00DD466A">
              <w:rPr>
                <w:rFonts w:ascii="Arial Narrow" w:eastAsia="SimSun" w:hAnsi="Arial Narrow"/>
                <w:b/>
                <w:bCs/>
                <w:sz w:val="20"/>
                <w:szCs w:val="20"/>
                <w:lang w:bidi="en-US"/>
              </w:rPr>
              <w:t>200 mg Q2W</w:t>
            </w:r>
          </w:p>
        </w:tc>
      </w:tr>
      <w:tr w:rsidR="0014336E" w:rsidRPr="00DF6B30" w14:paraId="66094848" w14:textId="77777777" w:rsidTr="008A1238">
        <w:trPr>
          <w:cantSplit/>
          <w:jc w:val="center"/>
        </w:trPr>
        <w:tc>
          <w:tcPr>
            <w:tcW w:w="778" w:type="pct"/>
            <w:vAlign w:val="center"/>
          </w:tcPr>
          <w:p w14:paraId="3CCC176F" w14:textId="77777777" w:rsidR="0014336E" w:rsidRPr="00DF6B30" w:rsidRDefault="0014336E" w:rsidP="008A1238">
            <w:pPr>
              <w:keepNext/>
              <w:keepLines/>
              <w:rPr>
                <w:rFonts w:ascii="Arial Narrow" w:eastAsia="SimSun" w:hAnsi="Arial Narrow"/>
                <w:sz w:val="20"/>
                <w:szCs w:val="20"/>
                <w:lang w:bidi="en-US"/>
              </w:rPr>
            </w:pPr>
            <w:r w:rsidRPr="00DF6B30">
              <w:rPr>
                <w:rFonts w:ascii="Arial Narrow" w:hAnsi="Arial Narrow"/>
                <w:sz w:val="20"/>
                <w:szCs w:val="20"/>
              </w:rPr>
              <w:t>QUEST</w:t>
            </w:r>
          </w:p>
        </w:tc>
        <w:tc>
          <w:tcPr>
            <w:tcW w:w="675" w:type="pct"/>
            <w:vAlign w:val="center"/>
          </w:tcPr>
          <w:p w14:paraId="7CABE399"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w:t>
            </w:r>
          </w:p>
        </w:tc>
        <w:tc>
          <w:tcPr>
            <w:tcW w:w="733" w:type="pct"/>
            <w:vAlign w:val="center"/>
          </w:tcPr>
          <w:p w14:paraId="69476276"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iCs/>
                <w:sz w:val="20"/>
                <w:szCs w:val="20"/>
              </w:rPr>
              <w:t xml:space="preserve"> -</w:t>
            </w:r>
          </w:p>
        </w:tc>
        <w:tc>
          <w:tcPr>
            <w:tcW w:w="733" w:type="pct"/>
            <w:vAlign w:val="center"/>
          </w:tcPr>
          <w:p w14:paraId="729928B3" w14:textId="77777777" w:rsidR="0014336E" w:rsidRPr="00DF6B30" w:rsidRDefault="0014336E" w:rsidP="008A1238">
            <w:pPr>
              <w:pStyle w:val="TableText"/>
              <w:jc w:val="center"/>
              <w:rPr>
                <w:iCs/>
                <w:sz w:val="20"/>
                <w:szCs w:val="20"/>
              </w:rPr>
            </w:pPr>
            <w:r w:rsidRPr="00DF6B30">
              <w:rPr>
                <w:iCs/>
                <w:sz w:val="20"/>
                <w:szCs w:val="20"/>
              </w:rPr>
              <w:t>0.74</w:t>
            </w:r>
          </w:p>
          <w:p w14:paraId="78BB4114"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iCs/>
                <w:sz w:val="20"/>
                <w:szCs w:val="20"/>
              </w:rPr>
              <w:t>(0.57. 0.95)</w:t>
            </w:r>
          </w:p>
        </w:tc>
        <w:tc>
          <w:tcPr>
            <w:tcW w:w="733" w:type="pct"/>
            <w:vAlign w:val="center"/>
          </w:tcPr>
          <w:p w14:paraId="42BC8564" w14:textId="77777777" w:rsidR="0014336E" w:rsidRPr="00DF6B30" w:rsidRDefault="0014336E" w:rsidP="008A1238">
            <w:pPr>
              <w:pStyle w:val="TableText"/>
              <w:jc w:val="center"/>
              <w:rPr>
                <w:sz w:val="20"/>
                <w:szCs w:val="20"/>
              </w:rPr>
            </w:pPr>
            <w:r w:rsidRPr="00DF6B30">
              <w:rPr>
                <w:sz w:val="20"/>
                <w:szCs w:val="20"/>
              </w:rPr>
              <w:t>0.47</w:t>
            </w:r>
          </w:p>
          <w:p w14:paraId="5556212C"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(0.38, 0.57)</w:t>
            </w:r>
          </w:p>
        </w:tc>
        <w:tc>
          <w:tcPr>
            <w:tcW w:w="677" w:type="pct"/>
            <w:vAlign w:val="center"/>
          </w:tcPr>
          <w:p w14:paraId="644378A3" w14:textId="77777777" w:rsidR="0014336E" w:rsidRPr="00DF6B30" w:rsidRDefault="0014336E" w:rsidP="008A1238">
            <w:pPr>
              <w:pStyle w:val="TableText"/>
              <w:jc w:val="center"/>
              <w:rPr>
                <w:sz w:val="20"/>
                <w:szCs w:val="20"/>
              </w:rPr>
            </w:pPr>
            <w:r w:rsidRPr="00DF6B30">
              <w:rPr>
                <w:sz w:val="20"/>
                <w:szCs w:val="20"/>
              </w:rPr>
              <w:t>0.63</w:t>
            </w:r>
          </w:p>
          <w:p w14:paraId="0B77F563"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(0.46, 0.87)</w:t>
            </w:r>
          </w:p>
        </w:tc>
        <w:tc>
          <w:tcPr>
            <w:tcW w:w="671" w:type="pct"/>
            <w:vAlign w:val="center"/>
          </w:tcPr>
          <w:p w14:paraId="140D8739" w14:textId="77777777" w:rsidR="0014336E" w:rsidRPr="00DF6B30" w:rsidRDefault="0014336E" w:rsidP="008A1238">
            <w:pPr>
              <w:keepNext/>
              <w:keepLines/>
              <w:jc w:val="center"/>
              <w:rPr>
                <w:rFonts w:ascii="Arial Narrow" w:eastAsia="SimSun" w:hAnsi="Arial Narrow"/>
                <w:sz w:val="20"/>
                <w:szCs w:val="20"/>
                <w:lang w:bidi="en-US"/>
              </w:rPr>
            </w:pPr>
            <w:r w:rsidRPr="00DF6B30">
              <w:rPr>
                <w:rFonts w:ascii="Arial Narrow" w:hAnsi="Arial Narrow"/>
                <w:sz w:val="20"/>
                <w:szCs w:val="20"/>
              </w:rPr>
              <w:t>-</w:t>
            </w:r>
          </w:p>
        </w:tc>
      </w:tr>
      <w:tr w:rsidR="0014336E" w:rsidRPr="00DF6B30" w14:paraId="0030DEA5" w14:textId="77777777" w:rsidTr="008A1238">
        <w:trPr>
          <w:cantSplit/>
          <w:jc w:val="center"/>
        </w:trPr>
        <w:tc>
          <w:tcPr>
            <w:tcW w:w="4329" w:type="pct"/>
            <w:gridSpan w:val="6"/>
            <w:tcBorders>
              <w:top w:val="single" w:sz="4" w:space="0" w:color="auto"/>
              <w:bottom w:val="single" w:sz="4" w:space="0" w:color="auto"/>
            </w:tcBorders>
            <w:vAlign w:val="center"/>
          </w:tcPr>
          <w:p w14:paraId="0D26E34D" w14:textId="77777777" w:rsidR="0014336E" w:rsidRPr="00DF6B30" w:rsidRDefault="0014336E" w:rsidP="008A1238">
            <w:pPr>
              <w:keepNext/>
              <w:keepLines/>
              <w:rPr>
                <w:rFonts w:ascii="Arial Narrow" w:eastAsia="SimSun" w:hAnsi="Arial Narrow"/>
                <w:sz w:val="20"/>
                <w:szCs w:val="20"/>
                <w:lang w:bidi="en-US"/>
              </w:rPr>
            </w:pPr>
            <w:r w:rsidRPr="005908E5">
              <w:rPr>
                <w:rFonts w:ascii="Arial Narrow" w:eastAsia="SimSun" w:hAnsi="Arial Narrow"/>
                <w:sz w:val="20"/>
                <w:szCs w:val="20"/>
                <w:lang w:bidi="en-US"/>
              </w:rPr>
              <w:t xml:space="preserve">Indirect </w:t>
            </w:r>
            <w:r>
              <w:rPr>
                <w:rFonts w:ascii="Arial Narrow" w:eastAsia="SimSun" w:hAnsi="Arial Narrow"/>
                <w:sz w:val="20"/>
                <w:szCs w:val="20"/>
                <w:lang w:bidi="en-US"/>
              </w:rPr>
              <w:t xml:space="preserve">treatment </w:t>
            </w:r>
            <w:r w:rsidRPr="005908E5">
              <w:rPr>
                <w:rFonts w:ascii="Arial Narrow" w:eastAsia="SimSun" w:hAnsi="Arial Narrow"/>
                <w:sz w:val="20"/>
                <w:szCs w:val="20"/>
                <w:lang w:bidi="en-US"/>
              </w:rPr>
              <w:t>comparison</w:t>
            </w:r>
            <w:r>
              <w:rPr>
                <w:rFonts w:ascii="Arial Narrow" w:eastAsia="SimSun" w:hAnsi="Arial Narrow"/>
                <w:sz w:val="20"/>
                <w:szCs w:val="20"/>
                <w:lang w:bidi="en-US"/>
              </w:rPr>
              <w:t xml:space="preserve"> (all trials)</w:t>
            </w:r>
            <w:r w:rsidRPr="005908E5">
              <w:rPr>
                <w:rFonts w:ascii="Arial Narrow" w:eastAsia="SimSun" w:hAnsi="Arial Narrow"/>
                <w:sz w:val="20"/>
                <w:szCs w:val="20"/>
                <w:lang w:bidi="en-US"/>
              </w:rPr>
              <w:t xml:space="preserve">: </w:t>
            </w:r>
          </w:p>
        </w:tc>
        <w:tc>
          <w:tcPr>
            <w:tcW w:w="671" w:type="pct"/>
            <w:tcBorders>
              <w:top w:val="single" w:sz="4" w:space="0" w:color="auto"/>
              <w:bottom w:val="single" w:sz="4" w:space="0" w:color="auto"/>
            </w:tcBorders>
            <w:vAlign w:val="center"/>
          </w:tcPr>
          <w:p w14:paraId="27EABF17" w14:textId="77777777" w:rsidR="0014336E" w:rsidRPr="0077161F" w:rsidRDefault="0014336E" w:rsidP="008A1238">
            <w:pPr>
              <w:pStyle w:val="TableText"/>
              <w:jc w:val="center"/>
              <w:rPr>
                <w:bCs w:val="0"/>
                <w:sz w:val="20"/>
                <w:szCs w:val="20"/>
              </w:rPr>
            </w:pPr>
            <w:r w:rsidRPr="0077161F">
              <w:rPr>
                <w:bCs w:val="0"/>
                <w:sz w:val="20"/>
                <w:szCs w:val="20"/>
              </w:rPr>
              <w:t>0.49</w:t>
            </w:r>
          </w:p>
          <w:p w14:paraId="73B19F15" w14:textId="77777777" w:rsidR="0014336E" w:rsidRPr="0077161F" w:rsidRDefault="0014336E" w:rsidP="008A1238">
            <w:pPr>
              <w:keepNext/>
              <w:keepLines/>
              <w:jc w:val="center"/>
              <w:rPr>
                <w:rFonts w:ascii="Arial Narrow" w:eastAsia="SimSun" w:hAnsi="Arial Narrow"/>
                <w:sz w:val="20"/>
                <w:szCs w:val="20"/>
                <w:lang w:bidi="en-US"/>
              </w:rPr>
            </w:pPr>
            <w:r w:rsidRPr="0077161F">
              <w:rPr>
                <w:rFonts w:ascii="Arial Narrow" w:hAnsi="Arial Narrow"/>
                <w:sz w:val="20"/>
                <w:szCs w:val="20"/>
              </w:rPr>
              <w:t>(0.21, 1.16)</w:t>
            </w:r>
          </w:p>
        </w:tc>
      </w:tr>
      <w:tr w:rsidR="0014336E" w:rsidRPr="00DF6B30" w14:paraId="7311E4C7" w14:textId="77777777" w:rsidTr="008A1238">
        <w:trPr>
          <w:cantSplit/>
          <w:jc w:val="center"/>
        </w:trPr>
        <w:tc>
          <w:tcPr>
            <w:tcW w:w="4329" w:type="pct"/>
            <w:gridSpan w:val="6"/>
            <w:tcBorders>
              <w:top w:val="single" w:sz="4" w:space="0" w:color="auto"/>
              <w:bottom w:val="single" w:sz="4" w:space="0" w:color="auto"/>
            </w:tcBorders>
            <w:vAlign w:val="center"/>
          </w:tcPr>
          <w:p w14:paraId="6DDA16B6" w14:textId="77777777" w:rsidR="0014336E" w:rsidRPr="005908E5" w:rsidRDefault="0014336E" w:rsidP="008A1238">
            <w:pPr>
              <w:keepNext/>
              <w:keepLines/>
              <w:rPr>
                <w:rFonts w:ascii="Arial Narrow" w:eastAsia="SimSun" w:hAnsi="Arial Narrow"/>
                <w:sz w:val="20"/>
                <w:szCs w:val="20"/>
                <w:lang w:bidi="en-US"/>
              </w:rPr>
            </w:pPr>
            <w:r w:rsidRPr="005908E5">
              <w:rPr>
                <w:rFonts w:ascii="Arial Narrow" w:eastAsia="SimSun" w:hAnsi="Arial Narrow"/>
                <w:sz w:val="20"/>
                <w:szCs w:val="20"/>
                <w:lang w:bidi="en-US"/>
              </w:rPr>
              <w:t xml:space="preserve">Indirect </w:t>
            </w:r>
            <w:r>
              <w:rPr>
                <w:rFonts w:ascii="Arial Narrow" w:eastAsia="SimSun" w:hAnsi="Arial Narrow"/>
                <w:sz w:val="20"/>
                <w:szCs w:val="20"/>
                <w:lang w:bidi="en-US"/>
              </w:rPr>
              <w:t xml:space="preserve">treatment </w:t>
            </w:r>
            <w:r w:rsidRPr="005908E5">
              <w:rPr>
                <w:rFonts w:ascii="Arial Narrow" w:eastAsia="SimSun" w:hAnsi="Arial Narrow"/>
                <w:sz w:val="20"/>
                <w:szCs w:val="20"/>
                <w:lang w:bidi="en-US"/>
              </w:rPr>
              <w:t>comparison</w:t>
            </w:r>
            <w:r>
              <w:rPr>
                <w:rFonts w:ascii="Arial Narrow" w:eastAsia="SimSun" w:hAnsi="Arial Narrow"/>
                <w:sz w:val="20"/>
                <w:szCs w:val="20"/>
                <w:lang w:bidi="en-US"/>
              </w:rPr>
              <w:t xml:space="preserve"> (NAVIGATOR and QUEST trials only)</w:t>
            </w:r>
            <w:r w:rsidRPr="005908E5">
              <w:rPr>
                <w:rFonts w:ascii="Arial Narrow" w:eastAsia="SimSun" w:hAnsi="Arial Narrow"/>
                <w:sz w:val="20"/>
                <w:szCs w:val="20"/>
                <w:lang w:bidi="en-US"/>
              </w:rPr>
              <w:t>:</w:t>
            </w:r>
          </w:p>
        </w:tc>
        <w:tc>
          <w:tcPr>
            <w:tcW w:w="671" w:type="pct"/>
            <w:tcBorders>
              <w:top w:val="single" w:sz="4" w:space="0" w:color="auto"/>
              <w:bottom w:val="single" w:sz="4" w:space="0" w:color="auto"/>
            </w:tcBorders>
            <w:vAlign w:val="center"/>
          </w:tcPr>
          <w:p w14:paraId="62A63BDA" w14:textId="77777777" w:rsidR="0014336E" w:rsidRPr="00B47EF3" w:rsidRDefault="0014336E" w:rsidP="008A1238">
            <w:pPr>
              <w:pStyle w:val="TableText"/>
              <w:jc w:val="center"/>
              <w:rPr>
                <w:b/>
                <w:sz w:val="20"/>
                <w:szCs w:val="20"/>
              </w:rPr>
            </w:pPr>
            <w:r w:rsidRPr="00B47EF3">
              <w:rPr>
                <w:b/>
                <w:sz w:val="20"/>
                <w:szCs w:val="20"/>
              </w:rPr>
              <w:t>0.67</w:t>
            </w:r>
          </w:p>
          <w:p w14:paraId="1F38BFC7" w14:textId="77777777" w:rsidR="0014336E" w:rsidRDefault="0014336E" w:rsidP="008A1238">
            <w:pPr>
              <w:pStyle w:val="TableText"/>
              <w:jc w:val="center"/>
              <w:rPr>
                <w:b/>
                <w:sz w:val="20"/>
                <w:szCs w:val="20"/>
              </w:rPr>
            </w:pPr>
            <w:r w:rsidRPr="00B47EF3">
              <w:rPr>
                <w:b/>
                <w:sz w:val="20"/>
                <w:szCs w:val="20"/>
              </w:rPr>
              <w:t>(0.45, 0.99)</w:t>
            </w:r>
          </w:p>
          <w:p w14:paraId="1E530C77" w14:textId="6D7FF2AA" w:rsidR="00B47EF3" w:rsidRPr="00B47EF3" w:rsidRDefault="00B47EF3" w:rsidP="008A1238">
            <w:pPr>
              <w:pStyle w:val="TableText"/>
              <w:jc w:val="center"/>
              <w:rPr>
                <w:b/>
                <w:szCs w:val="20"/>
              </w:rPr>
            </w:pPr>
            <w:r w:rsidRPr="00B47EF3">
              <w:rPr>
                <w:b/>
                <w:sz w:val="20"/>
                <w:szCs w:val="20"/>
              </w:rPr>
              <w:t>p=0.045</w:t>
            </w:r>
          </w:p>
        </w:tc>
      </w:tr>
      <w:tr w:rsidR="0014336E" w:rsidRPr="00DF6B30" w14:paraId="7F0C29F3" w14:textId="77777777" w:rsidTr="008A1238">
        <w:trPr>
          <w:cantSplit/>
          <w:jc w:val="center"/>
        </w:trPr>
        <w:tc>
          <w:tcPr>
            <w:tcW w:w="5000" w:type="pct"/>
            <w:gridSpan w:val="7"/>
            <w:vAlign w:val="center"/>
          </w:tcPr>
          <w:p w14:paraId="1082A54D" w14:textId="77777777" w:rsidR="0014336E" w:rsidRPr="00DF6B30" w:rsidRDefault="0014336E" w:rsidP="008925C9">
            <w:pPr>
              <w:keepNext/>
              <w:keepLines/>
              <w:rPr>
                <w:rFonts w:ascii="Arial Narrow" w:eastAsia="SimSun" w:hAnsi="Arial Narrow"/>
                <w:b/>
                <w:bCs/>
                <w:sz w:val="20"/>
                <w:szCs w:val="20"/>
                <w:lang w:bidi="en-US"/>
              </w:rPr>
            </w:pPr>
            <w:proofErr w:type="spellStart"/>
            <w:r w:rsidRPr="00DF6B30">
              <w:rPr>
                <w:rFonts w:ascii="Arial Narrow" w:eastAsia="SimSun" w:hAnsi="Arial Narrow"/>
                <w:b/>
                <w:bCs/>
                <w:sz w:val="20"/>
                <w:szCs w:val="20"/>
                <w:lang w:bidi="en-US"/>
              </w:rPr>
              <w:t>EOSic</w:t>
            </w:r>
            <w:proofErr w:type="spellEnd"/>
            <w:r w:rsidRPr="00DF6B30">
              <w:rPr>
                <w:rFonts w:ascii="Arial Narrow" w:eastAsia="SimSun" w:hAnsi="Arial Narrow"/>
                <w:b/>
                <w:bCs/>
                <w:sz w:val="20"/>
                <w:szCs w:val="20"/>
                <w:lang w:bidi="en-US"/>
              </w:rPr>
              <w:t xml:space="preserve"> </w:t>
            </w:r>
            <w:r w:rsidRPr="000D6B0B">
              <w:rPr>
                <w:rFonts w:ascii="Arial Narrow" w:eastAsiaTheme="majorEastAsia" w:hAnsi="Arial Narrow" w:cstheme="majorBidi"/>
                <w:b/>
                <w:sz w:val="20"/>
                <w:szCs w:val="20"/>
              </w:rPr>
              <w:t>(EOS ≥</w:t>
            </w:r>
            <w:r>
              <w:rPr>
                <w:rFonts w:ascii="Arial Narrow" w:eastAsiaTheme="majorEastAsia" w:hAnsi="Arial Narrow" w:cstheme="majorBidi"/>
                <w:b/>
                <w:sz w:val="20"/>
                <w:szCs w:val="20"/>
              </w:rPr>
              <w:t>150</w:t>
            </w:r>
            <w:r w:rsidRPr="000D6B0B">
              <w:rPr>
                <w:rFonts w:ascii="Arial Narrow" w:eastAsiaTheme="majorEastAsia" w:hAnsi="Arial Narrow" w:cstheme="majorBidi"/>
                <w:b/>
                <w:sz w:val="20"/>
                <w:szCs w:val="20"/>
              </w:rPr>
              <w:t xml:space="preserve"> cells/</w:t>
            </w:r>
            <w:proofErr w:type="spellStart"/>
            <w:r w:rsidRPr="000D6B0B">
              <w:rPr>
                <w:rFonts w:ascii="Arial Narrow" w:eastAsiaTheme="majorEastAsia" w:hAnsi="Arial Narrow" w:cstheme="majorBidi"/>
                <w:b/>
                <w:sz w:val="20"/>
                <w:szCs w:val="20"/>
              </w:rPr>
              <w:t>μL</w:t>
            </w:r>
            <w:proofErr w:type="spellEnd"/>
            <w:r w:rsidRPr="000D6B0B">
              <w:rPr>
                <w:rFonts w:ascii="Arial Narrow" w:eastAsiaTheme="majorEastAsia" w:hAnsi="Arial Narrow" w:cstheme="majorBidi"/>
                <w:b/>
                <w:sz w:val="20"/>
                <w:szCs w:val="20"/>
              </w:rPr>
              <w:t>)</w:t>
            </w:r>
            <w:r>
              <w:rPr>
                <w:rFonts w:cstheme="majorBidi"/>
                <w:sz w:val="20"/>
              </w:rPr>
              <w:t xml:space="preserve"> </w:t>
            </w:r>
            <w:r w:rsidRPr="00DF6B30">
              <w:rPr>
                <w:rFonts w:ascii="Arial Narrow" w:eastAsia="SimSun" w:hAnsi="Arial Narrow"/>
                <w:b/>
                <w:bCs/>
                <w:sz w:val="20"/>
                <w:szCs w:val="20"/>
                <w:lang w:bidi="en-US"/>
              </w:rPr>
              <w:t>+ H</w:t>
            </w:r>
            <w:r>
              <w:rPr>
                <w:rFonts w:ascii="Arial Narrow" w:eastAsia="SimSun" w:hAnsi="Arial Narrow"/>
                <w:b/>
                <w:bCs/>
                <w:sz w:val="20"/>
                <w:szCs w:val="20"/>
                <w:lang w:bidi="en-US"/>
              </w:rPr>
              <w:t>igh ICS</w:t>
            </w:r>
            <w:r w:rsidRPr="00DF6B30">
              <w:rPr>
                <w:rFonts w:ascii="Arial Narrow" w:eastAsia="SimSun" w:hAnsi="Arial Narrow"/>
                <w:b/>
                <w:bCs/>
                <w:sz w:val="20"/>
                <w:szCs w:val="20"/>
                <w:lang w:bidi="en-US"/>
              </w:rPr>
              <w:t xml:space="preserve"> </w:t>
            </w:r>
            <w:r>
              <w:rPr>
                <w:rFonts w:ascii="Arial Narrow" w:eastAsia="SimSun" w:hAnsi="Arial Narrow"/>
                <w:b/>
                <w:bCs/>
                <w:sz w:val="20"/>
                <w:szCs w:val="20"/>
                <w:lang w:bidi="en-US"/>
              </w:rPr>
              <w:t xml:space="preserve">and </w:t>
            </w:r>
            <w:r w:rsidRPr="00DF6B30">
              <w:rPr>
                <w:rFonts w:ascii="Arial Narrow" w:eastAsia="SimSun" w:hAnsi="Arial Narrow"/>
                <w:b/>
                <w:bCs/>
                <w:sz w:val="20"/>
                <w:szCs w:val="20"/>
                <w:lang w:bidi="en-US"/>
              </w:rPr>
              <w:t>OCS</w:t>
            </w:r>
          </w:p>
        </w:tc>
      </w:tr>
      <w:tr w:rsidR="0014336E" w:rsidRPr="00DF6B30" w14:paraId="22FC1AE1" w14:textId="77777777" w:rsidTr="008A1238">
        <w:trPr>
          <w:cantSplit/>
          <w:jc w:val="center"/>
        </w:trPr>
        <w:tc>
          <w:tcPr>
            <w:tcW w:w="5000" w:type="pct"/>
            <w:gridSpan w:val="7"/>
            <w:vAlign w:val="center"/>
          </w:tcPr>
          <w:p w14:paraId="10B24B36" w14:textId="77777777" w:rsidR="0014336E" w:rsidRPr="00DF6B30" w:rsidRDefault="0014336E" w:rsidP="008925C9">
            <w:pPr>
              <w:keepNext/>
              <w:keepLines/>
              <w:rPr>
                <w:rFonts w:ascii="Arial Narrow" w:eastAsia="SimSun" w:hAnsi="Arial Narrow"/>
                <w:b/>
                <w:bCs/>
                <w:sz w:val="20"/>
                <w:szCs w:val="20"/>
                <w:lang w:bidi="en-US"/>
              </w:rPr>
            </w:pPr>
            <w:r w:rsidRPr="00DF6B30">
              <w:rPr>
                <w:rFonts w:ascii="Arial Narrow" w:eastAsia="SimSun" w:hAnsi="Arial Narrow"/>
                <w:b/>
                <w:bCs/>
                <w:sz w:val="20"/>
                <w:szCs w:val="20"/>
                <w:lang w:bidi="en-US"/>
              </w:rPr>
              <w:t xml:space="preserve">Tezepelumab </w:t>
            </w:r>
            <w:r w:rsidRPr="00DD466A">
              <w:rPr>
                <w:rFonts w:ascii="Arial Narrow" w:eastAsia="SimSun" w:hAnsi="Arial Narrow"/>
                <w:b/>
                <w:bCs/>
                <w:sz w:val="20"/>
                <w:szCs w:val="20"/>
                <w:lang w:bidi="en-US"/>
              </w:rPr>
              <w:t>210 mg SC Q4W</w:t>
            </w:r>
          </w:p>
        </w:tc>
      </w:tr>
      <w:tr w:rsidR="0014336E" w:rsidRPr="00DF6B30" w14:paraId="6FFADE1A" w14:textId="77777777" w:rsidTr="008A1238">
        <w:trPr>
          <w:cantSplit/>
          <w:jc w:val="center"/>
        </w:trPr>
        <w:tc>
          <w:tcPr>
            <w:tcW w:w="778" w:type="pct"/>
            <w:vAlign w:val="center"/>
          </w:tcPr>
          <w:p w14:paraId="3C9FEF6C" w14:textId="77777777" w:rsidR="0014336E" w:rsidRPr="00DF6B30" w:rsidRDefault="0014336E" w:rsidP="008925C9">
            <w:pPr>
              <w:keepNext/>
              <w:keepLines/>
              <w:rPr>
                <w:rFonts w:ascii="Arial Narrow" w:eastAsia="SimSun" w:hAnsi="Arial Narrow"/>
                <w:sz w:val="20"/>
                <w:szCs w:val="20"/>
                <w:lang w:bidi="en-US"/>
              </w:rPr>
            </w:pPr>
            <w:r w:rsidRPr="00DF6B30">
              <w:rPr>
                <w:rFonts w:ascii="Arial Narrow" w:hAnsi="Arial Narrow"/>
                <w:sz w:val="20"/>
                <w:szCs w:val="20"/>
              </w:rPr>
              <w:t>SOURCE</w:t>
            </w:r>
          </w:p>
        </w:tc>
        <w:tc>
          <w:tcPr>
            <w:tcW w:w="675" w:type="pct"/>
            <w:vAlign w:val="center"/>
          </w:tcPr>
          <w:p w14:paraId="5EB0D939" w14:textId="77777777" w:rsidR="0014336E" w:rsidRPr="00DF6B30" w:rsidRDefault="0014336E" w:rsidP="008925C9">
            <w:pPr>
              <w:pStyle w:val="TableText"/>
              <w:jc w:val="center"/>
              <w:rPr>
                <w:sz w:val="20"/>
                <w:szCs w:val="20"/>
              </w:rPr>
            </w:pPr>
            <w:r w:rsidRPr="00DF6B30">
              <w:rPr>
                <w:sz w:val="20"/>
                <w:szCs w:val="20"/>
              </w:rPr>
              <w:t>0.43</w:t>
            </w:r>
          </w:p>
          <w:p w14:paraId="418A5B7D"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sz w:val="20"/>
                <w:szCs w:val="20"/>
              </w:rPr>
              <w:t>(0.24, 0.76)</w:t>
            </w:r>
          </w:p>
        </w:tc>
        <w:tc>
          <w:tcPr>
            <w:tcW w:w="733" w:type="pct"/>
            <w:vAlign w:val="center"/>
          </w:tcPr>
          <w:p w14:paraId="73E4A6F2" w14:textId="77777777" w:rsidR="0014336E" w:rsidRPr="00DF6B30" w:rsidRDefault="0014336E" w:rsidP="008925C9">
            <w:pPr>
              <w:pStyle w:val="TableText"/>
              <w:jc w:val="center"/>
              <w:rPr>
                <w:iCs/>
                <w:sz w:val="20"/>
                <w:szCs w:val="20"/>
              </w:rPr>
            </w:pPr>
            <w:r w:rsidRPr="00DF6B30">
              <w:rPr>
                <w:iCs/>
                <w:sz w:val="20"/>
                <w:szCs w:val="20"/>
              </w:rPr>
              <w:t>0.92</w:t>
            </w:r>
          </w:p>
          <w:p w14:paraId="25E57845"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iCs/>
                <w:sz w:val="20"/>
                <w:szCs w:val="20"/>
              </w:rPr>
              <w:t>(0.58, 1.44)</w:t>
            </w:r>
          </w:p>
        </w:tc>
        <w:tc>
          <w:tcPr>
            <w:tcW w:w="733" w:type="pct"/>
            <w:vAlign w:val="center"/>
          </w:tcPr>
          <w:p w14:paraId="6F43A756" w14:textId="77777777" w:rsidR="0014336E" w:rsidRPr="00DF6B30" w:rsidRDefault="0014336E" w:rsidP="008925C9">
            <w:pPr>
              <w:pStyle w:val="TableText"/>
              <w:jc w:val="center"/>
              <w:rPr>
                <w:sz w:val="20"/>
                <w:szCs w:val="20"/>
              </w:rPr>
            </w:pPr>
            <w:r w:rsidRPr="00DF6B30">
              <w:rPr>
                <w:sz w:val="20"/>
                <w:szCs w:val="20"/>
              </w:rPr>
              <w:t>2.15</w:t>
            </w:r>
          </w:p>
          <w:p w14:paraId="117777E5"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sz w:val="20"/>
                <w:szCs w:val="20"/>
              </w:rPr>
              <w:t>(1.49, 3.09)</w:t>
            </w:r>
          </w:p>
        </w:tc>
        <w:tc>
          <w:tcPr>
            <w:tcW w:w="733" w:type="pct"/>
            <w:vAlign w:val="center"/>
          </w:tcPr>
          <w:p w14:paraId="2F3F442A"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sz w:val="20"/>
                <w:szCs w:val="20"/>
              </w:rPr>
              <w:t>-</w:t>
            </w:r>
          </w:p>
        </w:tc>
        <w:tc>
          <w:tcPr>
            <w:tcW w:w="677" w:type="pct"/>
            <w:vAlign w:val="center"/>
          </w:tcPr>
          <w:p w14:paraId="2926CD09"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sz w:val="20"/>
                <w:szCs w:val="20"/>
              </w:rPr>
              <w:t>-</w:t>
            </w:r>
          </w:p>
        </w:tc>
        <w:tc>
          <w:tcPr>
            <w:tcW w:w="671" w:type="pct"/>
            <w:vAlign w:val="center"/>
          </w:tcPr>
          <w:p w14:paraId="50949A93"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sz w:val="20"/>
                <w:szCs w:val="20"/>
              </w:rPr>
              <w:t>-</w:t>
            </w:r>
          </w:p>
        </w:tc>
      </w:tr>
      <w:tr w:rsidR="0014336E" w:rsidRPr="00DF6B30" w14:paraId="36DD28C7" w14:textId="77777777" w:rsidTr="008A1238">
        <w:trPr>
          <w:cantSplit/>
          <w:jc w:val="center"/>
        </w:trPr>
        <w:tc>
          <w:tcPr>
            <w:tcW w:w="5000" w:type="pct"/>
            <w:gridSpan w:val="7"/>
            <w:vAlign w:val="center"/>
          </w:tcPr>
          <w:p w14:paraId="06279072" w14:textId="77777777" w:rsidR="0014336E" w:rsidRPr="005908E5" w:rsidRDefault="0014336E" w:rsidP="008925C9">
            <w:pPr>
              <w:keepNext/>
              <w:keepLines/>
              <w:rPr>
                <w:rFonts w:ascii="Arial Narrow" w:eastAsia="SimSun" w:hAnsi="Arial Narrow"/>
                <w:b/>
                <w:bCs/>
                <w:sz w:val="20"/>
                <w:szCs w:val="20"/>
                <w:lang w:bidi="en-US"/>
              </w:rPr>
            </w:pPr>
            <w:r w:rsidRPr="005908E5">
              <w:rPr>
                <w:rFonts w:ascii="Arial Narrow" w:eastAsia="SimSun" w:hAnsi="Arial Narrow"/>
                <w:b/>
                <w:bCs/>
                <w:sz w:val="20"/>
                <w:szCs w:val="20"/>
                <w:lang w:bidi="en-US"/>
              </w:rPr>
              <w:t>Dupilumab 300</w:t>
            </w:r>
            <w:r>
              <w:rPr>
                <w:rFonts w:ascii="Arial Narrow" w:eastAsia="SimSun" w:hAnsi="Arial Narrow"/>
                <w:b/>
                <w:bCs/>
                <w:sz w:val="20"/>
                <w:szCs w:val="20"/>
                <w:lang w:bidi="en-US"/>
              </w:rPr>
              <w:t xml:space="preserve"> </w:t>
            </w:r>
            <w:r w:rsidRPr="00DD466A">
              <w:rPr>
                <w:rFonts w:ascii="Arial Narrow" w:eastAsia="SimSun" w:hAnsi="Arial Narrow"/>
                <w:b/>
                <w:bCs/>
                <w:sz w:val="20"/>
                <w:szCs w:val="20"/>
                <w:lang w:bidi="en-US"/>
              </w:rPr>
              <w:t>mg Q2W</w:t>
            </w:r>
          </w:p>
        </w:tc>
      </w:tr>
      <w:tr w:rsidR="0014336E" w:rsidRPr="00DF6B30" w14:paraId="12C42F62" w14:textId="77777777" w:rsidTr="008A1238">
        <w:trPr>
          <w:cantSplit/>
          <w:jc w:val="center"/>
        </w:trPr>
        <w:tc>
          <w:tcPr>
            <w:tcW w:w="778" w:type="pct"/>
            <w:vAlign w:val="center"/>
          </w:tcPr>
          <w:p w14:paraId="5D721915" w14:textId="77777777" w:rsidR="0014336E" w:rsidRPr="00DF6B30" w:rsidRDefault="0014336E" w:rsidP="008925C9">
            <w:pPr>
              <w:keepNext/>
              <w:keepLines/>
              <w:rPr>
                <w:rFonts w:ascii="Arial Narrow" w:eastAsia="SimSun" w:hAnsi="Arial Narrow"/>
                <w:sz w:val="20"/>
                <w:szCs w:val="20"/>
                <w:lang w:bidi="en-US"/>
              </w:rPr>
            </w:pPr>
            <w:r w:rsidRPr="00DF6B30">
              <w:rPr>
                <w:rFonts w:ascii="Arial Narrow" w:hAnsi="Arial Narrow"/>
                <w:sz w:val="20"/>
                <w:szCs w:val="20"/>
              </w:rPr>
              <w:t>VENTURE</w:t>
            </w:r>
          </w:p>
        </w:tc>
        <w:tc>
          <w:tcPr>
            <w:tcW w:w="675" w:type="pct"/>
            <w:vAlign w:val="center"/>
          </w:tcPr>
          <w:p w14:paraId="7D391CB5"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sz w:val="20"/>
                <w:szCs w:val="20"/>
              </w:rPr>
              <w:t>-</w:t>
            </w:r>
          </w:p>
        </w:tc>
        <w:tc>
          <w:tcPr>
            <w:tcW w:w="733" w:type="pct"/>
            <w:vAlign w:val="center"/>
          </w:tcPr>
          <w:p w14:paraId="130F430B"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iCs/>
                <w:sz w:val="20"/>
                <w:szCs w:val="20"/>
              </w:rPr>
              <w:t>-</w:t>
            </w:r>
          </w:p>
        </w:tc>
        <w:tc>
          <w:tcPr>
            <w:tcW w:w="733" w:type="pct"/>
            <w:vAlign w:val="center"/>
          </w:tcPr>
          <w:p w14:paraId="4B8BB711" w14:textId="77777777" w:rsidR="0014336E" w:rsidRPr="00DF6B30" w:rsidRDefault="0014336E" w:rsidP="008925C9">
            <w:pPr>
              <w:pStyle w:val="TableText"/>
              <w:jc w:val="center"/>
              <w:rPr>
                <w:sz w:val="20"/>
                <w:szCs w:val="20"/>
              </w:rPr>
            </w:pPr>
            <w:r w:rsidRPr="00DF6B30">
              <w:rPr>
                <w:sz w:val="20"/>
                <w:szCs w:val="20"/>
              </w:rPr>
              <w:t>1.54</w:t>
            </w:r>
          </w:p>
          <w:p w14:paraId="49FAD83F"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sz w:val="20"/>
                <w:szCs w:val="20"/>
              </w:rPr>
              <w:t>(1.14, 2.07)</w:t>
            </w:r>
          </w:p>
        </w:tc>
        <w:tc>
          <w:tcPr>
            <w:tcW w:w="733" w:type="pct"/>
            <w:vAlign w:val="center"/>
          </w:tcPr>
          <w:p w14:paraId="3746D742" w14:textId="77777777" w:rsidR="0014336E" w:rsidRPr="00DF6B30" w:rsidRDefault="0014336E" w:rsidP="008925C9">
            <w:pPr>
              <w:pStyle w:val="TableText"/>
              <w:jc w:val="center"/>
              <w:rPr>
                <w:sz w:val="20"/>
                <w:szCs w:val="20"/>
              </w:rPr>
            </w:pPr>
            <w:r w:rsidRPr="00DF6B30">
              <w:rPr>
                <w:sz w:val="20"/>
                <w:szCs w:val="20"/>
              </w:rPr>
              <w:t>0.64</w:t>
            </w:r>
          </w:p>
          <w:p w14:paraId="33BCC7CF"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sz w:val="20"/>
                <w:szCs w:val="20"/>
              </w:rPr>
              <w:t>(0.43, 0.97)</w:t>
            </w:r>
          </w:p>
        </w:tc>
        <w:tc>
          <w:tcPr>
            <w:tcW w:w="677" w:type="pct"/>
            <w:vAlign w:val="center"/>
          </w:tcPr>
          <w:p w14:paraId="6C4A18F4" w14:textId="77777777" w:rsidR="0014336E" w:rsidRPr="00DF6B30" w:rsidRDefault="0014336E" w:rsidP="008925C9">
            <w:pPr>
              <w:pStyle w:val="TableText"/>
              <w:jc w:val="center"/>
              <w:rPr>
                <w:sz w:val="20"/>
                <w:szCs w:val="20"/>
              </w:rPr>
            </w:pPr>
            <w:r w:rsidRPr="00DF6B30">
              <w:rPr>
                <w:sz w:val="20"/>
                <w:szCs w:val="20"/>
              </w:rPr>
              <w:t>0.42</w:t>
            </w:r>
          </w:p>
          <w:p w14:paraId="71AC30CA"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sz w:val="20"/>
                <w:szCs w:val="20"/>
              </w:rPr>
              <w:t>(0.25, 0.69)</w:t>
            </w:r>
          </w:p>
        </w:tc>
        <w:tc>
          <w:tcPr>
            <w:tcW w:w="671" w:type="pct"/>
            <w:vAlign w:val="center"/>
          </w:tcPr>
          <w:p w14:paraId="75D8A1CD" w14:textId="77777777" w:rsidR="0014336E" w:rsidRPr="00DF6B30" w:rsidRDefault="0014336E" w:rsidP="008925C9">
            <w:pPr>
              <w:keepNext/>
              <w:keepLines/>
              <w:jc w:val="center"/>
              <w:rPr>
                <w:rFonts w:ascii="Arial Narrow" w:eastAsia="SimSun" w:hAnsi="Arial Narrow"/>
                <w:sz w:val="20"/>
                <w:szCs w:val="20"/>
                <w:lang w:bidi="en-US"/>
              </w:rPr>
            </w:pPr>
            <w:r w:rsidRPr="00DF6B30">
              <w:rPr>
                <w:rFonts w:ascii="Arial Narrow" w:hAnsi="Arial Narrow"/>
                <w:sz w:val="20"/>
                <w:szCs w:val="20"/>
              </w:rPr>
              <w:t>-</w:t>
            </w:r>
          </w:p>
        </w:tc>
      </w:tr>
      <w:tr w:rsidR="0014336E" w:rsidRPr="00DF6B30" w14:paraId="02159566" w14:textId="77777777" w:rsidTr="008A1238">
        <w:trPr>
          <w:cantSplit/>
          <w:jc w:val="center"/>
        </w:trPr>
        <w:tc>
          <w:tcPr>
            <w:tcW w:w="4329" w:type="pct"/>
            <w:gridSpan w:val="6"/>
            <w:tcBorders>
              <w:top w:val="single" w:sz="4" w:space="0" w:color="auto"/>
              <w:bottom w:val="single" w:sz="4" w:space="0" w:color="auto"/>
            </w:tcBorders>
            <w:vAlign w:val="center"/>
          </w:tcPr>
          <w:p w14:paraId="0B5A8A76" w14:textId="77777777" w:rsidR="0014336E" w:rsidRPr="00DF6B30" w:rsidRDefault="0014336E" w:rsidP="008925C9">
            <w:pPr>
              <w:keepNext/>
              <w:keepLines/>
              <w:rPr>
                <w:rFonts w:ascii="Arial Narrow" w:eastAsia="SimSun" w:hAnsi="Arial Narrow"/>
                <w:sz w:val="20"/>
                <w:szCs w:val="20"/>
                <w:lang w:bidi="en-US"/>
              </w:rPr>
            </w:pPr>
            <w:r w:rsidRPr="005908E5">
              <w:rPr>
                <w:rFonts w:ascii="Arial Narrow" w:eastAsia="SimSun" w:hAnsi="Arial Narrow"/>
                <w:sz w:val="20"/>
                <w:szCs w:val="20"/>
                <w:lang w:bidi="en-US"/>
              </w:rPr>
              <w:t xml:space="preserve">Indirect </w:t>
            </w:r>
            <w:r>
              <w:rPr>
                <w:rFonts w:ascii="Arial Narrow" w:eastAsia="SimSun" w:hAnsi="Arial Narrow"/>
                <w:sz w:val="20"/>
                <w:szCs w:val="20"/>
                <w:lang w:bidi="en-US"/>
              </w:rPr>
              <w:t xml:space="preserve">treatment </w:t>
            </w:r>
            <w:r w:rsidRPr="005908E5">
              <w:rPr>
                <w:rFonts w:ascii="Arial Narrow" w:eastAsia="SimSun" w:hAnsi="Arial Narrow"/>
                <w:sz w:val="20"/>
                <w:szCs w:val="20"/>
                <w:lang w:bidi="en-US"/>
              </w:rPr>
              <w:t>comparison:</w:t>
            </w:r>
          </w:p>
        </w:tc>
        <w:tc>
          <w:tcPr>
            <w:tcW w:w="671" w:type="pct"/>
            <w:tcBorders>
              <w:top w:val="single" w:sz="4" w:space="0" w:color="auto"/>
              <w:bottom w:val="single" w:sz="4" w:space="0" w:color="auto"/>
            </w:tcBorders>
            <w:vAlign w:val="center"/>
          </w:tcPr>
          <w:p w14:paraId="2B7E8BC3" w14:textId="77777777" w:rsidR="0014336E" w:rsidRPr="0077161F" w:rsidRDefault="0014336E" w:rsidP="008925C9">
            <w:pPr>
              <w:pStyle w:val="TableText"/>
              <w:jc w:val="center"/>
              <w:rPr>
                <w:bCs w:val="0"/>
                <w:sz w:val="20"/>
                <w:szCs w:val="20"/>
              </w:rPr>
            </w:pPr>
            <w:r w:rsidRPr="0077161F">
              <w:rPr>
                <w:bCs w:val="0"/>
                <w:sz w:val="20"/>
                <w:szCs w:val="20"/>
              </w:rPr>
              <w:t>1.03</w:t>
            </w:r>
          </w:p>
          <w:p w14:paraId="30C488D7" w14:textId="77777777" w:rsidR="0014336E" w:rsidRPr="0077161F" w:rsidRDefault="0014336E" w:rsidP="008925C9">
            <w:pPr>
              <w:keepNext/>
              <w:keepLines/>
              <w:jc w:val="center"/>
              <w:rPr>
                <w:rFonts w:ascii="Arial Narrow" w:hAnsi="Arial Narrow"/>
                <w:sz w:val="20"/>
                <w:szCs w:val="20"/>
              </w:rPr>
            </w:pPr>
            <w:r w:rsidRPr="0077161F">
              <w:rPr>
                <w:rFonts w:ascii="Arial Narrow" w:hAnsi="Arial Narrow"/>
                <w:sz w:val="20"/>
                <w:szCs w:val="20"/>
              </w:rPr>
              <w:t>(0.48, 2.21)</w:t>
            </w:r>
          </w:p>
          <w:p w14:paraId="7EC26124" w14:textId="77777777" w:rsidR="0014336E" w:rsidRPr="00DF6B30" w:rsidRDefault="0014336E" w:rsidP="008925C9">
            <w:pPr>
              <w:keepNext/>
              <w:keepLines/>
              <w:jc w:val="center"/>
              <w:rPr>
                <w:rFonts w:ascii="Arial Narrow" w:eastAsia="SimSun" w:hAnsi="Arial Narrow"/>
                <w:sz w:val="20"/>
                <w:szCs w:val="20"/>
                <w:lang w:bidi="en-US"/>
              </w:rPr>
            </w:pPr>
            <w:r w:rsidRPr="0077161F">
              <w:rPr>
                <w:rFonts w:ascii="Arial Narrow" w:hAnsi="Arial Narrow"/>
                <w:sz w:val="20"/>
                <w:szCs w:val="20"/>
                <w:lang w:bidi="en-US"/>
              </w:rPr>
              <w:t>p=0.94</w:t>
            </w:r>
          </w:p>
        </w:tc>
      </w:tr>
    </w:tbl>
    <w:p w14:paraId="11110C26" w14:textId="77777777" w:rsidR="0014336E" w:rsidRDefault="0014336E" w:rsidP="008925C9">
      <w:pPr>
        <w:pStyle w:val="TableFigureFooter"/>
        <w:keepNext/>
      </w:pPr>
      <w:r>
        <w:t>Source: Table 2-143, p214; Table 2-145, p217; Table 2-147, p219 of the submission.</w:t>
      </w:r>
    </w:p>
    <w:p w14:paraId="560BDA15" w14:textId="77777777" w:rsidR="0014336E" w:rsidRPr="000B5811" w:rsidRDefault="0014336E" w:rsidP="008925C9">
      <w:pPr>
        <w:pStyle w:val="TableFigureFooter"/>
        <w:keepNext/>
      </w:pPr>
      <w:r>
        <w:t xml:space="preserve">AAER = </w:t>
      </w:r>
      <w:r w:rsidRPr="00D03E2D">
        <w:t>annual asthma exacerbation rate</w:t>
      </w:r>
      <w:r>
        <w:t xml:space="preserve">; </w:t>
      </w:r>
      <w:r w:rsidRPr="005908E5">
        <w:t xml:space="preserve">CI = confidence interval; </w:t>
      </w:r>
      <w:r w:rsidRPr="00DD466A">
        <w:t>DUPI = dupilumab;</w:t>
      </w:r>
      <w:r w:rsidRPr="00DD466A" w:rsidDel="003957ED">
        <w:t xml:space="preserve"> </w:t>
      </w:r>
      <w:proofErr w:type="spellStart"/>
      <w:r w:rsidRPr="005908E5">
        <w:t>EOS</w:t>
      </w:r>
      <w:r>
        <w:t>ic</w:t>
      </w:r>
      <w:proofErr w:type="spellEnd"/>
      <w:r w:rsidRPr="005908E5">
        <w:t xml:space="preserve"> = eosinophilic; ICS =</w:t>
      </w:r>
      <w:r w:rsidRPr="005908E5" w:rsidDel="00C859B4">
        <w:t xml:space="preserve"> </w:t>
      </w:r>
      <w:r w:rsidRPr="005908E5">
        <w:t>inhaled corticosteroids; ITC = indirect treatment comparison;</w:t>
      </w:r>
      <w:r w:rsidDel="00C859B4">
        <w:t xml:space="preserve"> </w:t>
      </w:r>
      <w:r w:rsidRPr="005908E5">
        <w:t xml:space="preserve">OCS = oral corticosteroid; PBO = placebo; </w:t>
      </w:r>
      <w:r>
        <w:t xml:space="preserve">Q4W= once every 4 weeks; </w:t>
      </w:r>
      <w:r w:rsidRPr="005908E5">
        <w:t xml:space="preserve">RR = rate ratio; </w:t>
      </w:r>
      <w:r>
        <w:t xml:space="preserve">SC = subcutaneous; </w:t>
      </w:r>
      <w:r w:rsidRPr="005908E5">
        <w:t xml:space="preserve">TEZE = </w:t>
      </w:r>
      <w:proofErr w:type="spellStart"/>
      <w:r w:rsidRPr="005908E5">
        <w:t>tezepelumab</w:t>
      </w:r>
      <w:proofErr w:type="spellEnd"/>
    </w:p>
    <w:p w14:paraId="1FBA4507" w14:textId="77777777" w:rsidR="0014336E" w:rsidRDefault="0014336E" w:rsidP="0014336E">
      <w:pPr>
        <w:pStyle w:val="TableFigureFooter"/>
      </w:pPr>
      <w:r w:rsidRPr="00D03E2D">
        <w:rPr>
          <w:b/>
          <w:bCs/>
        </w:rPr>
        <w:t>Bold</w:t>
      </w:r>
      <w:r w:rsidRPr="00D03E2D">
        <w:t xml:space="preserve"> indicates statistically significant result.</w:t>
      </w:r>
    </w:p>
    <w:p w14:paraId="47F6D883" w14:textId="247CB288" w:rsidR="0014336E" w:rsidRPr="00F02399" w:rsidRDefault="0014336E" w:rsidP="0014336E">
      <w:pPr>
        <w:pStyle w:val="COMESnumberedpara"/>
      </w:pPr>
      <w:r>
        <w:t>For patients with an eosinophil count of 300 cells/</w:t>
      </w:r>
      <w:r>
        <w:rPr>
          <w:rFonts w:cstheme="minorHAnsi"/>
        </w:rPr>
        <w:t>µ</w:t>
      </w:r>
      <w:r>
        <w:t>L</w:t>
      </w:r>
      <w:r w:rsidRPr="00F02399">
        <w:t xml:space="preserve"> </w:t>
      </w:r>
      <w:r>
        <w:t xml:space="preserve">on high-dose ICS and no OSC, </w:t>
      </w:r>
      <w:proofErr w:type="spellStart"/>
      <w:r>
        <w:t>tezepelumab</w:t>
      </w:r>
      <w:proofErr w:type="spellEnd"/>
      <w:r w:rsidRPr="00F02399">
        <w:t xml:space="preserve"> </w:t>
      </w:r>
      <w:r>
        <w:t xml:space="preserve">showed </w:t>
      </w:r>
      <w:r w:rsidRPr="00F02399">
        <w:t xml:space="preserve">a statistically significant greater reduction in </w:t>
      </w:r>
      <w:r>
        <w:t>AAER</w:t>
      </w:r>
      <w:r w:rsidDel="009A667B">
        <w:t xml:space="preserve"> </w:t>
      </w:r>
      <w:r w:rsidRPr="00F02399">
        <w:t xml:space="preserve">compared with </w:t>
      </w:r>
      <w:r>
        <w:t xml:space="preserve">dupilumab </w:t>
      </w:r>
      <w:r w:rsidRPr="00F02399">
        <w:t>(</w:t>
      </w:r>
      <w:r>
        <w:t>RR 0.52</w:t>
      </w:r>
      <w:r w:rsidRPr="00F02399">
        <w:t xml:space="preserve">, 95%CI: </w:t>
      </w:r>
      <w:r>
        <w:t>0.31</w:t>
      </w:r>
      <w:r w:rsidRPr="00F02399">
        <w:t>,</w:t>
      </w:r>
      <w:r>
        <w:t xml:space="preserve"> 0.89; p=0.02</w:t>
      </w:r>
      <w:r w:rsidRPr="00F02399">
        <w:t>).</w:t>
      </w:r>
    </w:p>
    <w:p w14:paraId="63DCF18E" w14:textId="77777777" w:rsidR="0014336E" w:rsidRPr="00F02399" w:rsidRDefault="0014336E" w:rsidP="0014336E">
      <w:pPr>
        <w:pStyle w:val="COMESnumberedpara"/>
      </w:pPr>
      <w:r>
        <w:t>For patients with a</w:t>
      </w:r>
      <w:r w:rsidRPr="00F02399">
        <w:t xml:space="preserve">llergic </w:t>
      </w:r>
      <w:r>
        <w:t>asthma on</w:t>
      </w:r>
      <w:r w:rsidRPr="00F02399">
        <w:t xml:space="preserve"> </w:t>
      </w:r>
      <w:r>
        <w:t xml:space="preserve">moderate or high-dose </w:t>
      </w:r>
      <w:r w:rsidRPr="00F02399">
        <w:t>ICS</w:t>
      </w:r>
      <w:r>
        <w:t>,</w:t>
      </w:r>
      <w:r w:rsidRPr="00F02399">
        <w:t xml:space="preserve"> there was </w:t>
      </w:r>
      <w:r>
        <w:t>no</w:t>
      </w:r>
      <w:r w:rsidRPr="00F02399">
        <w:t xml:space="preserve"> statistically significant </w:t>
      </w:r>
      <w:r>
        <w:t>difference</w:t>
      </w:r>
      <w:r w:rsidRPr="00F02399">
        <w:t xml:space="preserve"> in AAER for </w:t>
      </w:r>
      <w:proofErr w:type="spellStart"/>
      <w:r w:rsidRPr="00F02399">
        <w:t>tezepelumab</w:t>
      </w:r>
      <w:proofErr w:type="spellEnd"/>
      <w:r w:rsidRPr="00F02399">
        <w:t xml:space="preserve"> compared with dupilumab (RR </w:t>
      </w:r>
      <w:r>
        <w:t>0.49</w:t>
      </w:r>
      <w:r w:rsidRPr="00F02399">
        <w:t>, 95%CI: 0.</w:t>
      </w:r>
      <w:r>
        <w:t>21</w:t>
      </w:r>
      <w:r w:rsidRPr="00F02399">
        <w:t xml:space="preserve">, </w:t>
      </w:r>
      <w:r>
        <w:t>1.16; p=NR</w:t>
      </w:r>
      <w:r w:rsidRPr="00F02399">
        <w:t>).</w:t>
      </w:r>
      <w:r>
        <w:t xml:space="preserve"> </w:t>
      </w:r>
      <w:r w:rsidRPr="00D21A6A">
        <w:t>The upper 95% CI did not exceed the proposed NIM of 1.28.</w:t>
      </w:r>
      <w:r w:rsidRPr="00EE227E">
        <w:rPr>
          <w:iCs/>
        </w:rPr>
        <w:t xml:space="preserve"> </w:t>
      </w:r>
      <w:r w:rsidRPr="00E44C09">
        <w:t xml:space="preserve">Due to substantial heterogeneity caused by including data from the small phase </w:t>
      </w:r>
      <w:r>
        <w:t>II</w:t>
      </w:r>
      <w:r w:rsidRPr="00E44C09">
        <w:t xml:space="preserve"> PATHWAY trial, the analysis was repeated using only the phase </w:t>
      </w:r>
      <w:r>
        <w:t>III</w:t>
      </w:r>
      <w:r w:rsidRPr="00E44C09">
        <w:t xml:space="preserve"> NAVIGATOR trial. This analysis showed a marginally statistically significant result favouring </w:t>
      </w:r>
      <w:proofErr w:type="spellStart"/>
      <w:r w:rsidRPr="00E44C09">
        <w:t>tezepelumab</w:t>
      </w:r>
      <w:proofErr w:type="spellEnd"/>
      <w:r w:rsidRPr="00E44C09">
        <w:t xml:space="preserve"> over dupilumab (RR 0.67; 95% CI 0.45, 0.99; p=0.045).</w:t>
      </w:r>
    </w:p>
    <w:p w14:paraId="24874499" w14:textId="25A4CFB8" w:rsidR="00F77BB7" w:rsidRDefault="0014336E" w:rsidP="005D090F">
      <w:pPr>
        <w:pStyle w:val="COMESnumberedpara"/>
      </w:pPr>
      <w:r>
        <w:t>For patients with an eosinophil count of 150 cells/</w:t>
      </w:r>
      <w:r w:rsidRPr="00315A73">
        <w:t>µ</w:t>
      </w:r>
      <w:r>
        <w:t>L</w:t>
      </w:r>
      <w:r w:rsidRPr="00F02399">
        <w:t xml:space="preserve"> </w:t>
      </w:r>
      <w:r>
        <w:t xml:space="preserve">on high-dose ICS and taking OSC, </w:t>
      </w:r>
      <w:r w:rsidRPr="00F02399">
        <w:t xml:space="preserve">there was </w:t>
      </w:r>
      <w:r>
        <w:t>no</w:t>
      </w:r>
      <w:r w:rsidRPr="00F02399">
        <w:t xml:space="preserve"> statistically significant </w:t>
      </w:r>
      <w:r>
        <w:t>difference</w:t>
      </w:r>
      <w:r w:rsidRPr="00F02399">
        <w:t xml:space="preserve"> in AAER for </w:t>
      </w:r>
      <w:proofErr w:type="spellStart"/>
      <w:r w:rsidRPr="00F02399">
        <w:t>tezepelumab</w:t>
      </w:r>
      <w:proofErr w:type="spellEnd"/>
      <w:r w:rsidRPr="00F02399">
        <w:t xml:space="preserve"> compared with dupilumab (RR </w:t>
      </w:r>
      <w:r>
        <w:t>1.03</w:t>
      </w:r>
      <w:r w:rsidRPr="00F02399">
        <w:t>, 95%CI: 0</w:t>
      </w:r>
      <w:r>
        <w:t>.48</w:t>
      </w:r>
      <w:r w:rsidRPr="00F02399">
        <w:t xml:space="preserve">, </w:t>
      </w:r>
      <w:r>
        <w:t xml:space="preserve">2.21; </w:t>
      </w:r>
      <w:r w:rsidRPr="00F02399">
        <w:t>p=0.94).</w:t>
      </w:r>
      <w:r>
        <w:t xml:space="preserve"> </w:t>
      </w:r>
      <w:r w:rsidRPr="00D21A6A">
        <w:t>The upper 95% CI exceeded the NIM of 1.28.</w:t>
      </w:r>
    </w:p>
    <w:p w14:paraId="6EBABEFE" w14:textId="53C4E4FC" w:rsidR="00AC5B9A" w:rsidRDefault="00AC5B9A" w:rsidP="005D090F">
      <w:pPr>
        <w:pStyle w:val="COMESnumberedpara"/>
      </w:pPr>
      <w:bookmarkStart w:id="44" w:name="_Ref211574536"/>
      <w:r w:rsidRPr="00EE227E">
        <w:rPr>
          <w:iCs/>
        </w:rPr>
        <w:t xml:space="preserve">The PSCR </w:t>
      </w:r>
      <w:r w:rsidR="00934D8A" w:rsidRPr="00EE227E">
        <w:rPr>
          <w:iCs/>
        </w:rPr>
        <w:t>argued</w:t>
      </w:r>
      <w:r w:rsidR="00C94D01" w:rsidRPr="00EE227E">
        <w:rPr>
          <w:iCs/>
        </w:rPr>
        <w:t xml:space="preserve"> additional data supporting the non-inferior</w:t>
      </w:r>
      <w:r w:rsidR="006120A2" w:rsidRPr="00EE227E">
        <w:rPr>
          <w:iCs/>
        </w:rPr>
        <w:t>ity</w:t>
      </w:r>
      <w:r w:rsidR="00C94D01" w:rsidRPr="00EE227E">
        <w:rPr>
          <w:iCs/>
        </w:rPr>
        <w:t xml:space="preserve"> efficacy claim</w:t>
      </w:r>
      <w:r w:rsidR="006120A2" w:rsidRPr="00EE227E">
        <w:rPr>
          <w:iCs/>
        </w:rPr>
        <w:t xml:space="preserve"> </w:t>
      </w:r>
      <w:r w:rsidR="00C94D01" w:rsidRPr="00EE227E">
        <w:rPr>
          <w:iCs/>
        </w:rPr>
        <w:t>in the eosinophilic or allergic SUA population</w:t>
      </w:r>
      <w:r w:rsidR="009B34C8" w:rsidRPr="00EE227E">
        <w:rPr>
          <w:iCs/>
        </w:rPr>
        <w:t xml:space="preserve"> includ</w:t>
      </w:r>
      <w:r w:rsidR="00934D8A" w:rsidRPr="00EE227E">
        <w:rPr>
          <w:iCs/>
        </w:rPr>
        <w:t>ed</w:t>
      </w:r>
      <w:r w:rsidR="009B34C8" w:rsidRPr="00EE227E">
        <w:rPr>
          <w:iCs/>
        </w:rPr>
        <w:t xml:space="preserve"> the </w:t>
      </w:r>
      <w:r w:rsidR="00207193" w:rsidRPr="00EE227E">
        <w:rPr>
          <w:iCs/>
        </w:rPr>
        <w:t>non-randomised</w:t>
      </w:r>
      <w:r w:rsidR="00934D8A" w:rsidRPr="00EE227E">
        <w:rPr>
          <w:iCs/>
        </w:rPr>
        <w:t xml:space="preserve"> </w:t>
      </w:r>
      <w:r w:rsidRPr="00EE227E">
        <w:rPr>
          <w:iCs/>
        </w:rPr>
        <w:t xml:space="preserve">WAYFINDER study (N=298) and a retrospective study </w:t>
      </w:r>
      <w:r w:rsidR="00375720" w:rsidRPr="00EE227E">
        <w:rPr>
          <w:iCs/>
        </w:rPr>
        <w:t xml:space="preserve">by </w:t>
      </w:r>
      <w:r w:rsidRPr="00EE227E">
        <w:rPr>
          <w:iCs/>
        </w:rPr>
        <w:t>Biener et al. 2024</w:t>
      </w:r>
      <w:r w:rsidRPr="00EE227E">
        <w:rPr>
          <w:rStyle w:val="FootnoteReference"/>
          <w:iCs/>
        </w:rPr>
        <w:footnoteReference w:id="3"/>
      </w:r>
      <w:r w:rsidRPr="00EE227E">
        <w:rPr>
          <w:iCs/>
        </w:rPr>
        <w:t xml:space="preserve"> (N=129)</w:t>
      </w:r>
      <w:r w:rsidR="00375720" w:rsidRPr="00EE227E">
        <w:rPr>
          <w:iCs/>
        </w:rPr>
        <w:t xml:space="preserve">. </w:t>
      </w:r>
      <w:r w:rsidR="00D12D36" w:rsidRPr="00EE227E">
        <w:rPr>
          <w:iCs/>
        </w:rPr>
        <w:t xml:space="preserve">The </w:t>
      </w:r>
      <w:proofErr w:type="gramStart"/>
      <w:r w:rsidR="00D12D36" w:rsidRPr="00EE227E">
        <w:rPr>
          <w:iCs/>
        </w:rPr>
        <w:t>PSCR  argued</w:t>
      </w:r>
      <w:proofErr w:type="gramEnd"/>
      <w:r w:rsidR="00D12D36" w:rsidRPr="00EE227E">
        <w:rPr>
          <w:iCs/>
        </w:rPr>
        <w:t xml:space="preserve"> that these studies </w:t>
      </w:r>
      <w:r w:rsidR="00405E9B" w:rsidRPr="00EE227E">
        <w:rPr>
          <w:iCs/>
        </w:rPr>
        <w:t xml:space="preserve">provided evidence of </w:t>
      </w:r>
      <w:proofErr w:type="spellStart"/>
      <w:r w:rsidR="00405E9B" w:rsidRPr="00EE227E">
        <w:rPr>
          <w:iCs/>
        </w:rPr>
        <w:t>tezepelumab</w:t>
      </w:r>
      <w:proofErr w:type="spellEnd"/>
      <w:r w:rsidR="00405E9B" w:rsidRPr="00EE227E">
        <w:rPr>
          <w:iCs/>
        </w:rPr>
        <w:t xml:space="preserve"> </w:t>
      </w:r>
      <w:r w:rsidRPr="00EE227E">
        <w:rPr>
          <w:iCs/>
        </w:rPr>
        <w:t>efficacy in OCS-dependent populations</w:t>
      </w:r>
      <w:r w:rsidR="00E5646B" w:rsidRPr="00EE227E">
        <w:rPr>
          <w:iCs/>
        </w:rPr>
        <w:t xml:space="preserve">. </w:t>
      </w:r>
      <w:r w:rsidR="00752E84" w:rsidRPr="00EE227E">
        <w:rPr>
          <w:iCs/>
        </w:rPr>
        <w:t xml:space="preserve"> </w:t>
      </w:r>
      <w:r w:rsidRPr="00EE227E">
        <w:rPr>
          <w:iCs/>
        </w:rPr>
        <w:t xml:space="preserve">The Response stated that Biener et al. 2024 reported that </w:t>
      </w:r>
      <w:proofErr w:type="spellStart"/>
      <w:r w:rsidRPr="00EE227E">
        <w:rPr>
          <w:iCs/>
        </w:rPr>
        <w:t>tezepelumab</w:t>
      </w:r>
      <w:proofErr w:type="spellEnd"/>
      <w:r w:rsidRPr="00EE227E">
        <w:rPr>
          <w:iCs/>
        </w:rPr>
        <w:t xml:space="preserve"> was associated with a reduction in </w:t>
      </w:r>
      <w:r w:rsidR="004E47E3" w:rsidRPr="00EE227E">
        <w:rPr>
          <w:iCs/>
        </w:rPr>
        <w:t>annual exacerbations</w:t>
      </w:r>
      <w:r w:rsidRPr="00EE227E">
        <w:rPr>
          <w:iCs/>
        </w:rPr>
        <w:t xml:space="preserve"> and OCS use in a cohort where 37.2% received long-term OCS therapy.</w:t>
      </w:r>
      <w:bookmarkEnd w:id="44"/>
    </w:p>
    <w:p w14:paraId="1452C351" w14:textId="55226B9D" w:rsidR="00B60939" w:rsidRPr="0098262F" w:rsidRDefault="00B60939" w:rsidP="00D86231">
      <w:pPr>
        <w:pStyle w:val="COMESSubsectionheading"/>
      </w:pPr>
      <w:bookmarkStart w:id="45" w:name="_Toc209016996"/>
      <w:r w:rsidRPr="0098262F">
        <w:t>Comparative harms</w:t>
      </w:r>
      <w:bookmarkEnd w:id="30"/>
      <w:bookmarkEnd w:id="45"/>
    </w:p>
    <w:p w14:paraId="33724765" w14:textId="31072EE7" w:rsidR="00787112" w:rsidRDefault="00787112" w:rsidP="00787112">
      <w:pPr>
        <w:pStyle w:val="3-BodyText"/>
        <w:numPr>
          <w:ilvl w:val="1"/>
          <w:numId w:val="1"/>
        </w:numPr>
        <w:ind w:left="709"/>
      </w:pPr>
      <w:r w:rsidRPr="00413443">
        <w:t xml:space="preserve">An overview of the </w:t>
      </w:r>
      <w:r>
        <w:t>adverse events</w:t>
      </w:r>
      <w:r w:rsidRPr="00413443">
        <w:t xml:space="preserve"> from the </w:t>
      </w:r>
      <w:proofErr w:type="spellStart"/>
      <w:r w:rsidRPr="00413443">
        <w:t>tezepelumab</w:t>
      </w:r>
      <w:proofErr w:type="spellEnd"/>
      <w:r w:rsidRPr="00413443">
        <w:t xml:space="preserve"> trials is summarised in </w:t>
      </w:r>
      <w:r>
        <w:fldChar w:fldCharType="begin"/>
      </w:r>
      <w:r>
        <w:instrText xml:space="preserve"> REF _Ref208238789 \h  \* MERGEFORMAT </w:instrText>
      </w:r>
      <w:r>
        <w:fldChar w:fldCharType="separate"/>
      </w:r>
      <w:r w:rsidR="0078760A">
        <w:t>Table 10</w:t>
      </w:r>
      <w:r>
        <w:fldChar w:fldCharType="end"/>
      </w:r>
      <w:r w:rsidRPr="00413443">
        <w:t>.</w:t>
      </w:r>
      <w:r>
        <w:t xml:space="preserve"> </w:t>
      </w:r>
    </w:p>
    <w:p w14:paraId="4229AF8E" w14:textId="1A7A0520" w:rsidR="00787112" w:rsidRDefault="00787112" w:rsidP="00787112">
      <w:pPr>
        <w:pStyle w:val="TableFigureHeading"/>
      </w:pPr>
      <w:bookmarkStart w:id="46" w:name="_Ref208238789"/>
      <w:r>
        <w:t xml:space="preserve">Table </w:t>
      </w:r>
      <w:r w:rsidR="001146FA">
        <w:fldChar w:fldCharType="begin"/>
      </w:r>
      <w:r w:rsidR="001146FA">
        <w:instrText xml:space="preserve"> SEQ Table \* ARABIC </w:instrText>
      </w:r>
      <w:r w:rsidR="001146FA">
        <w:fldChar w:fldCharType="separate"/>
      </w:r>
      <w:r w:rsidR="0078760A">
        <w:rPr>
          <w:noProof/>
        </w:rPr>
        <w:t>10</w:t>
      </w:r>
      <w:r w:rsidR="001146FA">
        <w:rPr>
          <w:noProof/>
        </w:rPr>
        <w:fldChar w:fldCharType="end"/>
      </w:r>
      <w:bookmarkEnd w:id="46"/>
      <w:r>
        <w:t xml:space="preserve">: </w:t>
      </w:r>
      <w:r w:rsidRPr="00413443">
        <w:t xml:space="preserve">Summary of AEs in the </w:t>
      </w:r>
      <w:proofErr w:type="spellStart"/>
      <w:r w:rsidRPr="00413443">
        <w:t>tezepelumab</w:t>
      </w:r>
      <w:proofErr w:type="spellEnd"/>
      <w:r w:rsidRPr="00413443">
        <w:t xml:space="preserve"> trials </w:t>
      </w:r>
    </w:p>
    <w:tbl>
      <w:tblPr>
        <w:tblStyle w:val="TableGrid"/>
        <w:tblW w:w="5033" w:type="pct"/>
        <w:tblLook w:val="04A0" w:firstRow="1" w:lastRow="0" w:firstColumn="1" w:lastColumn="0" w:noHBand="0" w:noVBand="1"/>
        <w:tblCaption w:val="Summary of AEs in the tezepelumab trials "/>
      </w:tblPr>
      <w:tblGrid>
        <w:gridCol w:w="1698"/>
        <w:gridCol w:w="2414"/>
        <w:gridCol w:w="2554"/>
        <w:gridCol w:w="2411"/>
      </w:tblGrid>
      <w:tr w:rsidR="00787112" w:rsidRPr="009C565F" w14:paraId="529EC635" w14:textId="77777777">
        <w:trPr>
          <w:cantSplit/>
        </w:trPr>
        <w:tc>
          <w:tcPr>
            <w:tcW w:w="935" w:type="pct"/>
            <w:tcMar>
              <w:top w:w="0" w:type="dxa"/>
              <w:left w:w="28" w:type="dxa"/>
              <w:bottom w:w="0" w:type="dxa"/>
              <w:right w:w="28" w:type="dxa"/>
            </w:tcMar>
            <w:vAlign w:val="center"/>
          </w:tcPr>
          <w:p w14:paraId="5440A776" w14:textId="77777777" w:rsidR="00787112" w:rsidRPr="009C565F" w:rsidRDefault="00787112">
            <w:pPr>
              <w:keepNext/>
              <w:keepLines/>
              <w:jc w:val="center"/>
              <w:rPr>
                <w:rFonts w:ascii="Arial Narrow" w:eastAsiaTheme="majorEastAsia" w:hAnsi="Arial Narrow" w:cstheme="majorBidi"/>
                <w:b/>
                <w:sz w:val="20"/>
                <w:lang w:bidi="en-US"/>
              </w:rPr>
            </w:pPr>
            <w:r w:rsidRPr="009C565F">
              <w:rPr>
                <w:rFonts w:ascii="Arial Narrow" w:eastAsiaTheme="majorEastAsia" w:hAnsi="Arial Narrow" w:cstheme="majorBidi"/>
                <w:b/>
                <w:sz w:val="20"/>
                <w:lang w:bidi="en-US"/>
              </w:rPr>
              <w:t>Trial ID</w:t>
            </w:r>
          </w:p>
        </w:tc>
        <w:tc>
          <w:tcPr>
            <w:tcW w:w="1330" w:type="pct"/>
            <w:tcMar>
              <w:top w:w="0" w:type="dxa"/>
              <w:left w:w="28" w:type="dxa"/>
              <w:bottom w:w="0" w:type="dxa"/>
              <w:right w:w="28" w:type="dxa"/>
            </w:tcMar>
            <w:vAlign w:val="center"/>
          </w:tcPr>
          <w:p w14:paraId="4F6541A4" w14:textId="77777777" w:rsidR="00787112" w:rsidRPr="009C565F" w:rsidRDefault="00787112">
            <w:pPr>
              <w:keepNext/>
              <w:keepLines/>
              <w:jc w:val="center"/>
              <w:rPr>
                <w:rFonts w:ascii="Arial Narrow" w:eastAsiaTheme="majorEastAsia" w:hAnsi="Arial Narrow" w:cstheme="majorBidi"/>
                <w:b/>
                <w:sz w:val="20"/>
                <w:lang w:bidi="en-US"/>
              </w:rPr>
            </w:pPr>
            <w:r w:rsidRPr="009C565F">
              <w:rPr>
                <w:rFonts w:ascii="Arial Narrow" w:eastAsiaTheme="majorEastAsia" w:hAnsi="Arial Narrow" w:cstheme="majorBidi"/>
                <w:b/>
                <w:sz w:val="20"/>
                <w:lang w:bidi="en-US"/>
              </w:rPr>
              <w:t>Tezepelumab 210 mg</w:t>
            </w:r>
          </w:p>
          <w:p w14:paraId="7A94205E" w14:textId="77777777" w:rsidR="00787112" w:rsidRPr="009C565F" w:rsidRDefault="00787112">
            <w:pPr>
              <w:keepNext/>
              <w:keepLines/>
              <w:jc w:val="center"/>
              <w:rPr>
                <w:rFonts w:ascii="Arial Narrow" w:eastAsiaTheme="majorEastAsia" w:hAnsi="Arial Narrow" w:cstheme="majorBidi"/>
                <w:b/>
                <w:sz w:val="20"/>
                <w:lang w:bidi="en-US"/>
              </w:rPr>
            </w:pPr>
            <w:r w:rsidRPr="009C565F">
              <w:rPr>
                <w:rFonts w:ascii="Arial Narrow" w:eastAsiaTheme="majorEastAsia" w:hAnsi="Arial Narrow" w:cstheme="majorBidi"/>
                <w:b/>
                <w:sz w:val="20"/>
                <w:lang w:bidi="en-US"/>
              </w:rPr>
              <w:t>n/N (%)</w:t>
            </w:r>
          </w:p>
        </w:tc>
        <w:tc>
          <w:tcPr>
            <w:tcW w:w="1407" w:type="pct"/>
            <w:tcMar>
              <w:left w:w="28" w:type="dxa"/>
              <w:right w:w="28" w:type="dxa"/>
            </w:tcMar>
            <w:vAlign w:val="center"/>
          </w:tcPr>
          <w:p w14:paraId="1FAAB6A7" w14:textId="77777777" w:rsidR="00787112" w:rsidRPr="009C565F" w:rsidRDefault="00787112">
            <w:pPr>
              <w:keepNext/>
              <w:keepLines/>
              <w:jc w:val="center"/>
              <w:rPr>
                <w:rFonts w:ascii="Arial Narrow" w:eastAsiaTheme="majorEastAsia" w:hAnsi="Arial Narrow" w:cstheme="majorBidi"/>
                <w:b/>
                <w:sz w:val="20"/>
                <w:lang w:bidi="en-US"/>
              </w:rPr>
            </w:pPr>
            <w:r w:rsidRPr="009C565F">
              <w:rPr>
                <w:rFonts w:ascii="Arial Narrow" w:eastAsiaTheme="majorEastAsia" w:hAnsi="Arial Narrow" w:cstheme="majorBidi"/>
                <w:b/>
                <w:sz w:val="20"/>
                <w:lang w:bidi="en-US"/>
              </w:rPr>
              <w:t>Placebo</w:t>
            </w:r>
          </w:p>
          <w:p w14:paraId="732DEBEC" w14:textId="77777777" w:rsidR="00787112" w:rsidRPr="009C565F" w:rsidRDefault="00787112">
            <w:pPr>
              <w:keepNext/>
              <w:keepLines/>
              <w:jc w:val="center"/>
              <w:rPr>
                <w:rFonts w:ascii="Arial Narrow" w:eastAsiaTheme="majorEastAsia" w:hAnsi="Arial Narrow" w:cstheme="majorBidi"/>
                <w:b/>
                <w:sz w:val="20"/>
                <w:lang w:bidi="en-US"/>
              </w:rPr>
            </w:pPr>
            <w:r w:rsidRPr="009C565F">
              <w:rPr>
                <w:rFonts w:ascii="Arial Narrow" w:eastAsiaTheme="majorEastAsia" w:hAnsi="Arial Narrow" w:cstheme="majorBidi"/>
                <w:b/>
                <w:sz w:val="20"/>
                <w:lang w:bidi="en-US"/>
              </w:rPr>
              <w:t>n/N (%)</w:t>
            </w:r>
          </w:p>
        </w:tc>
        <w:tc>
          <w:tcPr>
            <w:tcW w:w="1328" w:type="pct"/>
            <w:tcMar>
              <w:top w:w="0" w:type="dxa"/>
              <w:left w:w="28" w:type="dxa"/>
              <w:bottom w:w="0" w:type="dxa"/>
              <w:right w:w="28" w:type="dxa"/>
            </w:tcMar>
            <w:vAlign w:val="center"/>
          </w:tcPr>
          <w:p w14:paraId="43C0B2F9" w14:textId="77777777" w:rsidR="00787112" w:rsidRPr="009C565F" w:rsidRDefault="00787112">
            <w:pPr>
              <w:keepNext/>
              <w:keepLines/>
              <w:jc w:val="center"/>
              <w:rPr>
                <w:rFonts w:ascii="Arial Narrow" w:eastAsiaTheme="majorEastAsia" w:hAnsi="Arial Narrow" w:cstheme="majorBidi"/>
                <w:b/>
                <w:sz w:val="20"/>
                <w:lang w:bidi="en-US"/>
              </w:rPr>
            </w:pPr>
            <w:r w:rsidRPr="009C565F">
              <w:rPr>
                <w:rFonts w:ascii="Arial Narrow" w:eastAsiaTheme="majorEastAsia" w:hAnsi="Arial Narrow" w:cstheme="majorBidi"/>
                <w:b/>
                <w:sz w:val="20"/>
                <w:lang w:bidi="en-US"/>
              </w:rPr>
              <w:t>RR (95% CI)</w:t>
            </w:r>
          </w:p>
        </w:tc>
      </w:tr>
      <w:tr w:rsidR="00787112" w:rsidRPr="009C565F" w14:paraId="5C43951A" w14:textId="77777777">
        <w:trPr>
          <w:cantSplit/>
        </w:trPr>
        <w:tc>
          <w:tcPr>
            <w:tcW w:w="5000" w:type="pct"/>
            <w:gridSpan w:val="4"/>
            <w:tcMar>
              <w:top w:w="0" w:type="dxa"/>
              <w:left w:w="28" w:type="dxa"/>
              <w:bottom w:w="0" w:type="dxa"/>
              <w:right w:w="28" w:type="dxa"/>
            </w:tcMar>
            <w:vAlign w:val="center"/>
          </w:tcPr>
          <w:p w14:paraId="3026D199" w14:textId="77777777" w:rsidR="00787112" w:rsidRPr="009C565F" w:rsidRDefault="00787112">
            <w:pPr>
              <w:keepNext/>
              <w:keepLines/>
              <w:jc w:val="left"/>
              <w:rPr>
                <w:rFonts w:ascii="Arial Narrow" w:eastAsiaTheme="majorEastAsia" w:hAnsi="Arial Narrow" w:cstheme="majorBidi"/>
                <w:b/>
                <w:sz w:val="20"/>
                <w:lang w:bidi="en-US"/>
              </w:rPr>
            </w:pPr>
            <w:r w:rsidRPr="009C565F">
              <w:rPr>
                <w:rFonts w:ascii="Arial Narrow" w:eastAsiaTheme="majorEastAsia" w:hAnsi="Arial Narrow" w:cstheme="majorBidi"/>
                <w:b/>
                <w:sz w:val="20"/>
                <w:lang w:bidi="en-US"/>
              </w:rPr>
              <w:t>NAVIGATOR (52 weeks)</w:t>
            </w:r>
          </w:p>
        </w:tc>
      </w:tr>
      <w:tr w:rsidR="00787112" w:rsidRPr="009C565F" w14:paraId="56FDCDE9" w14:textId="77777777">
        <w:trPr>
          <w:cantSplit/>
        </w:trPr>
        <w:tc>
          <w:tcPr>
            <w:tcW w:w="935" w:type="pct"/>
            <w:tcMar>
              <w:top w:w="0" w:type="dxa"/>
              <w:left w:w="28" w:type="dxa"/>
              <w:bottom w:w="0" w:type="dxa"/>
              <w:right w:w="28" w:type="dxa"/>
            </w:tcMar>
            <w:vAlign w:val="center"/>
          </w:tcPr>
          <w:p w14:paraId="27BBDAF7"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 AE</w:t>
            </w:r>
          </w:p>
        </w:tc>
        <w:tc>
          <w:tcPr>
            <w:tcW w:w="1330" w:type="pct"/>
            <w:tcMar>
              <w:top w:w="0" w:type="dxa"/>
              <w:left w:w="28" w:type="dxa"/>
              <w:bottom w:w="0" w:type="dxa"/>
              <w:right w:w="28" w:type="dxa"/>
            </w:tcMar>
            <w:vAlign w:val="center"/>
          </w:tcPr>
          <w:p w14:paraId="6CCC0B5F"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rPr>
              <w:t>407/528 (77.1)</w:t>
            </w:r>
          </w:p>
        </w:tc>
        <w:tc>
          <w:tcPr>
            <w:tcW w:w="1407" w:type="pct"/>
            <w:tcMar>
              <w:left w:w="28" w:type="dxa"/>
              <w:right w:w="28" w:type="dxa"/>
            </w:tcMar>
            <w:vAlign w:val="center"/>
          </w:tcPr>
          <w:p w14:paraId="6ADD2CF3"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rPr>
              <w:t>422/</w:t>
            </w:r>
            <w:r>
              <w:rPr>
                <w:rFonts w:ascii="Arial Narrow" w:eastAsiaTheme="majorEastAsia" w:hAnsi="Arial Narrow" w:cstheme="majorBidi"/>
                <w:bCs/>
                <w:sz w:val="20"/>
              </w:rPr>
              <w:t>5</w:t>
            </w:r>
            <w:r w:rsidRPr="009C565F">
              <w:rPr>
                <w:rFonts w:ascii="Arial Narrow" w:eastAsiaTheme="majorEastAsia" w:hAnsi="Arial Narrow" w:cstheme="majorBidi"/>
                <w:bCs/>
                <w:sz w:val="20"/>
              </w:rPr>
              <w:t>31 (79.5)</w:t>
            </w:r>
          </w:p>
        </w:tc>
        <w:tc>
          <w:tcPr>
            <w:tcW w:w="1328" w:type="pct"/>
            <w:tcMar>
              <w:top w:w="0" w:type="dxa"/>
              <w:left w:w="28" w:type="dxa"/>
              <w:bottom w:w="0" w:type="dxa"/>
              <w:right w:w="28" w:type="dxa"/>
            </w:tcMar>
            <w:vAlign w:val="center"/>
          </w:tcPr>
          <w:p w14:paraId="421266C8"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0.97 (0.91, 1.03)</w:t>
            </w:r>
          </w:p>
        </w:tc>
      </w:tr>
      <w:tr w:rsidR="00787112" w:rsidRPr="009C565F" w14:paraId="09833DC9" w14:textId="77777777">
        <w:trPr>
          <w:cantSplit/>
        </w:trPr>
        <w:tc>
          <w:tcPr>
            <w:tcW w:w="935" w:type="pct"/>
            <w:tcMar>
              <w:top w:w="0" w:type="dxa"/>
              <w:left w:w="28" w:type="dxa"/>
              <w:bottom w:w="0" w:type="dxa"/>
              <w:right w:w="28" w:type="dxa"/>
            </w:tcMar>
            <w:vAlign w:val="center"/>
          </w:tcPr>
          <w:p w14:paraId="61D159E1"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 SAE</w:t>
            </w:r>
          </w:p>
        </w:tc>
        <w:tc>
          <w:tcPr>
            <w:tcW w:w="1330" w:type="pct"/>
            <w:tcMar>
              <w:top w:w="0" w:type="dxa"/>
              <w:left w:w="28" w:type="dxa"/>
              <w:bottom w:w="0" w:type="dxa"/>
              <w:right w:w="28" w:type="dxa"/>
            </w:tcMar>
            <w:vAlign w:val="center"/>
          </w:tcPr>
          <w:p w14:paraId="3771FEB4" w14:textId="77777777" w:rsidR="00787112" w:rsidRPr="009C565F" w:rsidRDefault="00787112">
            <w:pPr>
              <w:keepNext/>
              <w:keepLines/>
              <w:jc w:val="center"/>
              <w:rPr>
                <w:rFonts w:ascii="Arial Narrow" w:eastAsiaTheme="majorEastAsia" w:hAnsi="Arial Narrow" w:cstheme="majorBidi"/>
                <w:bCs/>
                <w:sz w:val="20"/>
              </w:rPr>
            </w:pPr>
            <w:r w:rsidRPr="009C565F">
              <w:rPr>
                <w:rFonts w:ascii="Arial Narrow" w:eastAsiaTheme="majorEastAsia" w:hAnsi="Arial Narrow" w:cstheme="majorBidi"/>
                <w:bCs/>
                <w:sz w:val="20"/>
              </w:rPr>
              <w:t>46/528 (8.7)</w:t>
            </w:r>
          </w:p>
        </w:tc>
        <w:tc>
          <w:tcPr>
            <w:tcW w:w="1407" w:type="pct"/>
            <w:tcMar>
              <w:left w:w="28" w:type="dxa"/>
              <w:right w:w="28" w:type="dxa"/>
            </w:tcMar>
            <w:vAlign w:val="center"/>
          </w:tcPr>
          <w:p w14:paraId="2B4523CC" w14:textId="77777777" w:rsidR="00787112" w:rsidRPr="009C565F" w:rsidRDefault="00787112">
            <w:pPr>
              <w:keepNext/>
              <w:keepLines/>
              <w:jc w:val="center"/>
              <w:rPr>
                <w:rFonts w:ascii="Arial Narrow" w:eastAsiaTheme="majorEastAsia" w:hAnsi="Arial Narrow" w:cstheme="majorBidi"/>
                <w:bCs/>
                <w:sz w:val="20"/>
              </w:rPr>
            </w:pPr>
            <w:r w:rsidRPr="009C565F">
              <w:rPr>
                <w:rFonts w:ascii="Arial Narrow" w:eastAsiaTheme="majorEastAsia" w:hAnsi="Arial Narrow" w:cstheme="majorBidi"/>
                <w:bCs/>
                <w:sz w:val="20"/>
              </w:rPr>
              <w:t>70/</w:t>
            </w:r>
            <w:r>
              <w:rPr>
                <w:rFonts w:ascii="Arial Narrow" w:eastAsiaTheme="majorEastAsia" w:hAnsi="Arial Narrow" w:cstheme="majorBidi"/>
                <w:bCs/>
                <w:sz w:val="20"/>
              </w:rPr>
              <w:t>5</w:t>
            </w:r>
            <w:r w:rsidRPr="009C565F">
              <w:rPr>
                <w:rFonts w:ascii="Arial Narrow" w:eastAsiaTheme="majorEastAsia" w:hAnsi="Arial Narrow" w:cstheme="majorBidi"/>
                <w:bCs/>
                <w:sz w:val="20"/>
              </w:rPr>
              <w:t>31 (13.2)</w:t>
            </w:r>
          </w:p>
        </w:tc>
        <w:tc>
          <w:tcPr>
            <w:tcW w:w="1328" w:type="pct"/>
            <w:tcMar>
              <w:top w:w="0" w:type="dxa"/>
              <w:left w:w="28" w:type="dxa"/>
              <w:bottom w:w="0" w:type="dxa"/>
              <w:right w:w="28" w:type="dxa"/>
            </w:tcMar>
            <w:vAlign w:val="center"/>
          </w:tcPr>
          <w:p w14:paraId="167B0BE0" w14:textId="77777777" w:rsidR="00787112" w:rsidRPr="006C0B10" w:rsidRDefault="00787112">
            <w:pPr>
              <w:keepNext/>
              <w:keepLines/>
              <w:jc w:val="center"/>
              <w:rPr>
                <w:rFonts w:ascii="Arial Narrow" w:eastAsiaTheme="majorEastAsia" w:hAnsi="Arial Narrow" w:cstheme="majorBidi"/>
                <w:bCs/>
                <w:sz w:val="20"/>
                <w:lang w:bidi="en-US"/>
              </w:rPr>
            </w:pPr>
            <w:r w:rsidRPr="006C0B10">
              <w:rPr>
                <w:rFonts w:ascii="Arial Narrow" w:eastAsiaTheme="majorEastAsia" w:hAnsi="Arial Narrow" w:cstheme="majorBidi"/>
                <w:bCs/>
                <w:sz w:val="20"/>
                <w:lang w:bidi="en-US"/>
              </w:rPr>
              <w:t>0.66 (0.46, 0.94)</w:t>
            </w:r>
          </w:p>
        </w:tc>
      </w:tr>
      <w:tr w:rsidR="00787112" w:rsidRPr="009C565F" w14:paraId="2186B268" w14:textId="77777777">
        <w:trPr>
          <w:cantSplit/>
        </w:trPr>
        <w:tc>
          <w:tcPr>
            <w:tcW w:w="935" w:type="pct"/>
            <w:tcMar>
              <w:top w:w="0" w:type="dxa"/>
              <w:left w:w="28" w:type="dxa"/>
              <w:bottom w:w="0" w:type="dxa"/>
              <w:right w:w="28" w:type="dxa"/>
            </w:tcMar>
            <w:vAlign w:val="center"/>
          </w:tcPr>
          <w:p w14:paraId="0AE5FE59" w14:textId="43187E6D" w:rsidR="00787112" w:rsidRPr="007C434B" w:rsidRDefault="007C434B" w:rsidP="007C434B">
            <w:pPr>
              <w:keepNext/>
              <w:keepLines/>
              <w:rPr>
                <w:rFonts w:ascii="Arial Narrow" w:eastAsiaTheme="majorEastAsia" w:hAnsi="Arial Narrow" w:cstheme="majorBidi"/>
                <w:bCs/>
                <w:sz w:val="20"/>
                <w:lang w:bidi="en-US"/>
              </w:rPr>
            </w:pPr>
            <w:r>
              <w:rPr>
                <w:rFonts w:ascii="Arial Narrow" w:eastAsiaTheme="majorEastAsia" w:hAnsi="Arial Narrow" w:cstheme="majorBidi"/>
                <w:bCs/>
                <w:sz w:val="20"/>
                <w:lang w:bidi="en-US"/>
              </w:rPr>
              <w:t xml:space="preserve">  </w:t>
            </w:r>
            <w:r w:rsidR="00787112" w:rsidRPr="007C434B">
              <w:rPr>
                <w:rFonts w:ascii="Arial Narrow" w:eastAsiaTheme="majorEastAsia" w:hAnsi="Arial Narrow" w:cstheme="majorBidi"/>
                <w:bCs/>
                <w:sz w:val="20"/>
                <w:lang w:bidi="en-US"/>
              </w:rPr>
              <w:t xml:space="preserve">asthma </w:t>
            </w:r>
          </w:p>
        </w:tc>
        <w:tc>
          <w:tcPr>
            <w:tcW w:w="1330" w:type="pct"/>
            <w:tcMar>
              <w:top w:w="0" w:type="dxa"/>
              <w:left w:w="28" w:type="dxa"/>
              <w:bottom w:w="0" w:type="dxa"/>
              <w:right w:w="28" w:type="dxa"/>
            </w:tcMar>
            <w:vAlign w:val="center"/>
          </w:tcPr>
          <w:p w14:paraId="345B43E5"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12/528 (2.3)</w:t>
            </w:r>
          </w:p>
        </w:tc>
        <w:tc>
          <w:tcPr>
            <w:tcW w:w="1407" w:type="pct"/>
            <w:tcMar>
              <w:left w:w="28" w:type="dxa"/>
              <w:right w:w="28" w:type="dxa"/>
            </w:tcMar>
            <w:vAlign w:val="center"/>
          </w:tcPr>
          <w:p w14:paraId="2C487E6F"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 xml:space="preserve">40/531 (7.5) </w:t>
            </w:r>
          </w:p>
        </w:tc>
        <w:tc>
          <w:tcPr>
            <w:tcW w:w="1328" w:type="pct"/>
            <w:tcMar>
              <w:top w:w="0" w:type="dxa"/>
              <w:left w:w="28" w:type="dxa"/>
              <w:bottom w:w="0" w:type="dxa"/>
              <w:right w:w="28" w:type="dxa"/>
            </w:tcMar>
            <w:vAlign w:val="center"/>
          </w:tcPr>
          <w:p w14:paraId="742744C8" w14:textId="77777777" w:rsidR="00787112" w:rsidRPr="006C0B10"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r w:rsidR="00787112" w:rsidRPr="009C565F" w14:paraId="1BB3BB20" w14:textId="77777777">
        <w:trPr>
          <w:cantSplit/>
        </w:trPr>
        <w:tc>
          <w:tcPr>
            <w:tcW w:w="935" w:type="pct"/>
            <w:tcMar>
              <w:top w:w="0" w:type="dxa"/>
              <w:left w:w="28" w:type="dxa"/>
              <w:bottom w:w="0" w:type="dxa"/>
              <w:right w:w="28" w:type="dxa"/>
            </w:tcMar>
            <w:vAlign w:val="center"/>
          </w:tcPr>
          <w:p w14:paraId="4776FC19"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AE leading to discontinuation</w:t>
            </w:r>
          </w:p>
        </w:tc>
        <w:tc>
          <w:tcPr>
            <w:tcW w:w="1330" w:type="pct"/>
            <w:tcMar>
              <w:top w:w="0" w:type="dxa"/>
              <w:left w:w="28" w:type="dxa"/>
              <w:bottom w:w="0" w:type="dxa"/>
              <w:right w:w="28" w:type="dxa"/>
            </w:tcMar>
            <w:vAlign w:val="center"/>
          </w:tcPr>
          <w:p w14:paraId="3AB22D63" w14:textId="77777777" w:rsidR="00787112" w:rsidRPr="009C565F" w:rsidRDefault="00787112">
            <w:pPr>
              <w:keepNext/>
              <w:keepLines/>
              <w:jc w:val="center"/>
              <w:rPr>
                <w:rFonts w:ascii="Arial Narrow" w:eastAsiaTheme="majorEastAsia" w:hAnsi="Arial Narrow" w:cstheme="majorBidi"/>
                <w:bCs/>
                <w:sz w:val="20"/>
              </w:rPr>
            </w:pPr>
            <w:r w:rsidRPr="009C565F">
              <w:rPr>
                <w:rFonts w:ascii="Arial Narrow" w:eastAsiaTheme="majorEastAsia" w:hAnsi="Arial Narrow" w:cstheme="majorBidi"/>
                <w:bCs/>
                <w:sz w:val="20"/>
              </w:rPr>
              <w:t>11/528 (2.1)</w:t>
            </w:r>
          </w:p>
        </w:tc>
        <w:tc>
          <w:tcPr>
            <w:tcW w:w="1407" w:type="pct"/>
            <w:tcMar>
              <w:left w:w="28" w:type="dxa"/>
              <w:right w:w="28" w:type="dxa"/>
            </w:tcMar>
            <w:vAlign w:val="center"/>
          </w:tcPr>
          <w:p w14:paraId="608414CA" w14:textId="77777777" w:rsidR="00787112" w:rsidRPr="009C565F" w:rsidRDefault="00787112">
            <w:pPr>
              <w:keepNext/>
              <w:keepLines/>
              <w:jc w:val="center"/>
              <w:rPr>
                <w:rFonts w:ascii="Arial Narrow" w:eastAsiaTheme="majorEastAsia" w:hAnsi="Arial Narrow" w:cstheme="majorBidi"/>
                <w:bCs/>
                <w:sz w:val="20"/>
              </w:rPr>
            </w:pPr>
            <w:r w:rsidRPr="009C565F">
              <w:rPr>
                <w:rFonts w:ascii="Arial Narrow" w:eastAsiaTheme="majorEastAsia" w:hAnsi="Arial Narrow" w:cstheme="majorBidi"/>
                <w:bCs/>
                <w:sz w:val="20"/>
              </w:rPr>
              <w:t>19/</w:t>
            </w:r>
            <w:r>
              <w:rPr>
                <w:rFonts w:ascii="Arial Narrow" w:eastAsiaTheme="majorEastAsia" w:hAnsi="Arial Narrow" w:cstheme="majorBidi"/>
                <w:bCs/>
                <w:sz w:val="20"/>
              </w:rPr>
              <w:t>5</w:t>
            </w:r>
            <w:r w:rsidRPr="009C565F">
              <w:rPr>
                <w:rFonts w:ascii="Arial Narrow" w:eastAsiaTheme="majorEastAsia" w:hAnsi="Arial Narrow" w:cstheme="majorBidi"/>
                <w:bCs/>
                <w:sz w:val="20"/>
              </w:rPr>
              <w:t>31 (3.6)</w:t>
            </w:r>
          </w:p>
        </w:tc>
        <w:tc>
          <w:tcPr>
            <w:tcW w:w="1328" w:type="pct"/>
            <w:tcMar>
              <w:top w:w="0" w:type="dxa"/>
              <w:left w:w="28" w:type="dxa"/>
              <w:bottom w:w="0" w:type="dxa"/>
              <w:right w:w="28" w:type="dxa"/>
            </w:tcMar>
            <w:vAlign w:val="center"/>
          </w:tcPr>
          <w:p w14:paraId="461E83D1"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0.58 (0.28, 1.21)</w:t>
            </w:r>
          </w:p>
        </w:tc>
      </w:tr>
      <w:tr w:rsidR="00787112" w:rsidRPr="009C565F" w14:paraId="52489777" w14:textId="77777777">
        <w:trPr>
          <w:cantSplit/>
        </w:trPr>
        <w:tc>
          <w:tcPr>
            <w:tcW w:w="935" w:type="pct"/>
            <w:tcMar>
              <w:top w:w="0" w:type="dxa"/>
              <w:left w:w="28" w:type="dxa"/>
              <w:bottom w:w="0" w:type="dxa"/>
              <w:right w:w="28" w:type="dxa"/>
            </w:tcMar>
            <w:vAlign w:val="center"/>
          </w:tcPr>
          <w:p w14:paraId="591E7811"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Deaths</w:t>
            </w:r>
          </w:p>
        </w:tc>
        <w:tc>
          <w:tcPr>
            <w:tcW w:w="1330" w:type="pct"/>
            <w:tcMar>
              <w:top w:w="0" w:type="dxa"/>
              <w:left w:w="28" w:type="dxa"/>
              <w:bottom w:w="0" w:type="dxa"/>
              <w:right w:w="28" w:type="dxa"/>
            </w:tcMar>
            <w:vAlign w:val="center"/>
          </w:tcPr>
          <w:p w14:paraId="00F0FBEC" w14:textId="77777777" w:rsidR="00787112" w:rsidRPr="009C565F" w:rsidRDefault="00787112">
            <w:pPr>
              <w:keepNext/>
              <w:keepLines/>
              <w:jc w:val="center"/>
              <w:rPr>
                <w:rFonts w:ascii="Arial Narrow" w:eastAsiaTheme="majorEastAsia" w:hAnsi="Arial Narrow" w:cstheme="majorBidi"/>
                <w:bCs/>
                <w:sz w:val="20"/>
              </w:rPr>
            </w:pPr>
            <w:r w:rsidRPr="009C565F">
              <w:rPr>
                <w:rFonts w:ascii="Arial Narrow" w:eastAsiaTheme="majorEastAsia" w:hAnsi="Arial Narrow" w:cstheme="majorBidi"/>
                <w:bCs/>
                <w:sz w:val="20"/>
                <w:lang w:bidi="en-US"/>
              </w:rPr>
              <w:t>0/528</w:t>
            </w:r>
          </w:p>
        </w:tc>
        <w:tc>
          <w:tcPr>
            <w:tcW w:w="1407" w:type="pct"/>
            <w:tcMar>
              <w:left w:w="28" w:type="dxa"/>
              <w:right w:w="28" w:type="dxa"/>
            </w:tcMar>
            <w:vAlign w:val="center"/>
          </w:tcPr>
          <w:p w14:paraId="37FD34BF" w14:textId="77777777" w:rsidR="00787112" w:rsidRPr="009C565F" w:rsidRDefault="00787112">
            <w:pPr>
              <w:keepNext/>
              <w:keepLines/>
              <w:jc w:val="center"/>
              <w:rPr>
                <w:rFonts w:ascii="Arial Narrow" w:eastAsiaTheme="majorEastAsia" w:hAnsi="Arial Narrow" w:cstheme="majorBidi"/>
                <w:bCs/>
                <w:sz w:val="20"/>
              </w:rPr>
            </w:pPr>
            <w:r w:rsidRPr="009C565F">
              <w:rPr>
                <w:rFonts w:ascii="Arial Narrow" w:eastAsiaTheme="majorEastAsia" w:hAnsi="Arial Narrow" w:cstheme="majorBidi"/>
                <w:bCs/>
                <w:sz w:val="20"/>
                <w:lang w:bidi="en-US"/>
              </w:rPr>
              <w:t>2/</w:t>
            </w:r>
            <w:r>
              <w:rPr>
                <w:rFonts w:ascii="Arial Narrow" w:eastAsiaTheme="majorEastAsia" w:hAnsi="Arial Narrow" w:cstheme="majorBidi"/>
                <w:bCs/>
                <w:sz w:val="20"/>
                <w:lang w:bidi="en-US"/>
              </w:rPr>
              <w:t>5</w:t>
            </w:r>
            <w:r w:rsidRPr="009C565F">
              <w:rPr>
                <w:rFonts w:ascii="Arial Narrow" w:eastAsiaTheme="majorEastAsia" w:hAnsi="Arial Narrow" w:cstheme="majorBidi"/>
                <w:bCs/>
                <w:sz w:val="20"/>
                <w:lang w:bidi="en-US"/>
              </w:rPr>
              <w:t>31</w:t>
            </w:r>
            <w:r w:rsidRPr="009C565F">
              <w:rPr>
                <w:rFonts w:ascii="Arial Narrow" w:eastAsiaTheme="majorEastAsia" w:hAnsi="Arial Narrow" w:cstheme="majorBidi"/>
                <w:bCs/>
                <w:sz w:val="20"/>
                <w:vertAlign w:val="superscript"/>
                <w:lang w:bidi="en-US"/>
              </w:rPr>
              <w:t>a</w:t>
            </w:r>
          </w:p>
        </w:tc>
        <w:tc>
          <w:tcPr>
            <w:tcW w:w="1328" w:type="pct"/>
            <w:tcMar>
              <w:top w:w="0" w:type="dxa"/>
              <w:left w:w="28" w:type="dxa"/>
              <w:bottom w:w="0" w:type="dxa"/>
              <w:right w:w="28" w:type="dxa"/>
            </w:tcMar>
            <w:vAlign w:val="center"/>
          </w:tcPr>
          <w:p w14:paraId="07DD5D15"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NR</w:t>
            </w:r>
          </w:p>
        </w:tc>
      </w:tr>
      <w:tr w:rsidR="00787112" w:rsidRPr="009C565F" w14:paraId="4246BF49" w14:textId="77777777">
        <w:trPr>
          <w:cantSplit/>
        </w:trPr>
        <w:tc>
          <w:tcPr>
            <w:tcW w:w="935" w:type="pct"/>
            <w:tcMar>
              <w:top w:w="0" w:type="dxa"/>
              <w:left w:w="28" w:type="dxa"/>
              <w:bottom w:w="0" w:type="dxa"/>
              <w:right w:w="28" w:type="dxa"/>
            </w:tcMar>
            <w:vAlign w:val="center"/>
          </w:tcPr>
          <w:p w14:paraId="45E789D8"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Severe infections</w:t>
            </w:r>
          </w:p>
        </w:tc>
        <w:tc>
          <w:tcPr>
            <w:tcW w:w="1330" w:type="pct"/>
            <w:tcMar>
              <w:top w:w="0" w:type="dxa"/>
              <w:left w:w="28" w:type="dxa"/>
              <w:bottom w:w="0" w:type="dxa"/>
              <w:right w:w="28" w:type="dxa"/>
            </w:tcMar>
            <w:vAlign w:val="center"/>
          </w:tcPr>
          <w:p w14:paraId="5EA00699" w14:textId="77777777" w:rsidR="00787112" w:rsidRPr="009C565F" w:rsidRDefault="00787112">
            <w:pPr>
              <w:keepNext/>
              <w:keepLines/>
              <w:jc w:val="center"/>
              <w:rPr>
                <w:rFonts w:ascii="Arial Narrow" w:eastAsiaTheme="majorEastAsia" w:hAnsi="Arial Narrow" w:cstheme="majorBidi"/>
                <w:bCs/>
                <w:sz w:val="20"/>
              </w:rPr>
            </w:pPr>
            <w:r w:rsidRPr="009C565F">
              <w:rPr>
                <w:rFonts w:ascii="Arial Narrow" w:eastAsiaTheme="majorEastAsia" w:hAnsi="Arial Narrow" w:cstheme="majorBidi"/>
                <w:bCs/>
                <w:sz w:val="20"/>
                <w:lang w:bidi="en-US"/>
              </w:rPr>
              <w:t>46/528 (8.7)</w:t>
            </w:r>
          </w:p>
        </w:tc>
        <w:tc>
          <w:tcPr>
            <w:tcW w:w="1407" w:type="pct"/>
            <w:tcMar>
              <w:left w:w="28" w:type="dxa"/>
              <w:right w:w="28" w:type="dxa"/>
            </w:tcMar>
            <w:vAlign w:val="center"/>
          </w:tcPr>
          <w:p w14:paraId="3C2A0156" w14:textId="77777777" w:rsidR="00787112" w:rsidRPr="009C565F" w:rsidRDefault="00787112">
            <w:pPr>
              <w:keepNext/>
              <w:keepLines/>
              <w:jc w:val="center"/>
              <w:rPr>
                <w:rFonts w:ascii="Arial Narrow" w:eastAsiaTheme="majorEastAsia" w:hAnsi="Arial Narrow" w:cstheme="majorBidi"/>
                <w:bCs/>
                <w:sz w:val="20"/>
              </w:rPr>
            </w:pPr>
            <w:r w:rsidRPr="009C565F">
              <w:rPr>
                <w:rFonts w:ascii="Arial Narrow" w:eastAsiaTheme="majorEastAsia" w:hAnsi="Arial Narrow" w:cstheme="majorBidi"/>
                <w:bCs/>
                <w:sz w:val="20"/>
                <w:lang w:bidi="en-US"/>
              </w:rPr>
              <w:t>44/</w:t>
            </w:r>
            <w:r>
              <w:rPr>
                <w:rFonts w:ascii="Arial Narrow" w:eastAsiaTheme="majorEastAsia" w:hAnsi="Arial Narrow" w:cstheme="majorBidi"/>
                <w:bCs/>
                <w:sz w:val="20"/>
                <w:lang w:bidi="en-US"/>
              </w:rPr>
              <w:t>5</w:t>
            </w:r>
            <w:r w:rsidRPr="009C565F">
              <w:rPr>
                <w:rFonts w:ascii="Arial Narrow" w:eastAsiaTheme="majorEastAsia" w:hAnsi="Arial Narrow" w:cstheme="majorBidi"/>
                <w:bCs/>
                <w:sz w:val="20"/>
                <w:lang w:bidi="en-US"/>
              </w:rPr>
              <w:t>31 (8.3)</w:t>
            </w:r>
          </w:p>
        </w:tc>
        <w:tc>
          <w:tcPr>
            <w:tcW w:w="1328" w:type="pct"/>
            <w:tcMar>
              <w:top w:w="0" w:type="dxa"/>
              <w:left w:w="28" w:type="dxa"/>
              <w:bottom w:w="0" w:type="dxa"/>
              <w:right w:w="28" w:type="dxa"/>
            </w:tcMar>
            <w:vAlign w:val="center"/>
          </w:tcPr>
          <w:p w14:paraId="32820D58"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 xml:space="preserve">NR </w:t>
            </w:r>
          </w:p>
        </w:tc>
      </w:tr>
      <w:tr w:rsidR="00787112" w:rsidRPr="009C565F" w14:paraId="41B9E38A" w14:textId="77777777">
        <w:trPr>
          <w:cantSplit/>
        </w:trPr>
        <w:tc>
          <w:tcPr>
            <w:tcW w:w="5000" w:type="pct"/>
            <w:gridSpan w:val="4"/>
            <w:tcMar>
              <w:top w:w="0" w:type="dxa"/>
              <w:left w:w="28" w:type="dxa"/>
              <w:bottom w:w="0" w:type="dxa"/>
              <w:right w:w="28" w:type="dxa"/>
            </w:tcMar>
            <w:vAlign w:val="center"/>
          </w:tcPr>
          <w:p w14:paraId="2F2536F3" w14:textId="77777777" w:rsidR="00787112" w:rsidRPr="009C565F" w:rsidRDefault="00787112">
            <w:pPr>
              <w:keepNext/>
              <w:keepLines/>
              <w:jc w:val="left"/>
              <w:rPr>
                <w:rFonts w:ascii="Arial Narrow" w:eastAsiaTheme="majorEastAsia" w:hAnsi="Arial Narrow" w:cstheme="majorBidi"/>
                <w:b/>
                <w:sz w:val="20"/>
                <w:lang w:bidi="en-US"/>
              </w:rPr>
            </w:pPr>
            <w:r w:rsidRPr="009C565F">
              <w:rPr>
                <w:rFonts w:ascii="Arial Narrow" w:eastAsiaTheme="majorEastAsia" w:hAnsi="Arial Narrow" w:cstheme="majorBidi"/>
                <w:b/>
                <w:sz w:val="20"/>
                <w:lang w:bidi="en-US"/>
              </w:rPr>
              <w:t>PATHWAY (52 weeks)</w:t>
            </w:r>
          </w:p>
        </w:tc>
      </w:tr>
      <w:tr w:rsidR="00787112" w:rsidRPr="009C565F" w14:paraId="667B4A00" w14:textId="77777777">
        <w:trPr>
          <w:cantSplit/>
        </w:trPr>
        <w:tc>
          <w:tcPr>
            <w:tcW w:w="935" w:type="pct"/>
            <w:tcMar>
              <w:top w:w="0" w:type="dxa"/>
              <w:left w:w="28" w:type="dxa"/>
              <w:bottom w:w="0" w:type="dxa"/>
              <w:right w:w="28" w:type="dxa"/>
            </w:tcMar>
            <w:vAlign w:val="center"/>
          </w:tcPr>
          <w:p w14:paraId="135B081E"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 AE</w:t>
            </w:r>
          </w:p>
        </w:tc>
        <w:tc>
          <w:tcPr>
            <w:tcW w:w="1330" w:type="pct"/>
            <w:tcMar>
              <w:top w:w="0" w:type="dxa"/>
              <w:left w:w="28" w:type="dxa"/>
              <w:bottom w:w="0" w:type="dxa"/>
              <w:right w:w="28" w:type="dxa"/>
            </w:tcMar>
            <w:vAlign w:val="center"/>
          </w:tcPr>
          <w:p w14:paraId="2653185A" w14:textId="77777777" w:rsidR="00787112" w:rsidRPr="009C565F" w:rsidRDefault="00787112">
            <w:pPr>
              <w:keepNext/>
              <w:keepLines/>
              <w:jc w:val="center"/>
              <w:rPr>
                <w:rFonts w:ascii="Arial Narrow" w:eastAsiaTheme="majorEastAsia" w:hAnsi="Arial Narrow" w:cstheme="majorBidi"/>
                <w:bCs/>
                <w:sz w:val="20"/>
              </w:rPr>
            </w:pPr>
            <w:r w:rsidRPr="009C565F">
              <w:rPr>
                <w:rFonts w:ascii="Arial Narrow" w:eastAsiaTheme="majorEastAsia" w:hAnsi="Arial Narrow" w:cstheme="majorBidi"/>
                <w:bCs/>
                <w:sz w:val="20"/>
              </w:rPr>
              <w:t>90/137 (65.7)</w:t>
            </w:r>
          </w:p>
        </w:tc>
        <w:tc>
          <w:tcPr>
            <w:tcW w:w="1407" w:type="pct"/>
            <w:tcMar>
              <w:left w:w="28" w:type="dxa"/>
              <w:right w:w="28" w:type="dxa"/>
            </w:tcMar>
            <w:vAlign w:val="center"/>
          </w:tcPr>
          <w:p w14:paraId="5CDA0A0A" w14:textId="77777777" w:rsidR="00787112" w:rsidRPr="009C565F" w:rsidRDefault="00787112">
            <w:pPr>
              <w:keepNext/>
              <w:keepLines/>
              <w:jc w:val="center"/>
              <w:rPr>
                <w:rFonts w:ascii="Arial Narrow" w:eastAsiaTheme="majorEastAsia" w:hAnsi="Arial Narrow" w:cstheme="majorBidi"/>
                <w:bCs/>
                <w:sz w:val="20"/>
              </w:rPr>
            </w:pPr>
            <w:r w:rsidRPr="009C565F">
              <w:rPr>
                <w:rFonts w:ascii="Arial Narrow" w:eastAsiaTheme="majorEastAsia" w:hAnsi="Arial Narrow" w:cstheme="majorBidi"/>
                <w:bCs/>
                <w:sz w:val="20"/>
              </w:rPr>
              <w:t>91/138 (65.9)</w:t>
            </w:r>
          </w:p>
        </w:tc>
        <w:tc>
          <w:tcPr>
            <w:tcW w:w="1328" w:type="pct"/>
            <w:tcMar>
              <w:top w:w="0" w:type="dxa"/>
              <w:left w:w="28" w:type="dxa"/>
              <w:bottom w:w="0" w:type="dxa"/>
              <w:right w:w="28" w:type="dxa"/>
            </w:tcMar>
            <w:vAlign w:val="center"/>
          </w:tcPr>
          <w:p w14:paraId="33BFF734"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1.00 (0.84, 1.18)</w:t>
            </w:r>
          </w:p>
        </w:tc>
      </w:tr>
      <w:tr w:rsidR="00787112" w:rsidRPr="009C565F" w14:paraId="60231E42" w14:textId="77777777">
        <w:trPr>
          <w:cantSplit/>
        </w:trPr>
        <w:tc>
          <w:tcPr>
            <w:tcW w:w="935" w:type="pct"/>
            <w:tcMar>
              <w:top w:w="0" w:type="dxa"/>
              <w:left w:w="28" w:type="dxa"/>
              <w:bottom w:w="0" w:type="dxa"/>
              <w:right w:w="28" w:type="dxa"/>
            </w:tcMar>
            <w:vAlign w:val="center"/>
          </w:tcPr>
          <w:p w14:paraId="22D2C01D"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 SAE</w:t>
            </w:r>
          </w:p>
        </w:tc>
        <w:tc>
          <w:tcPr>
            <w:tcW w:w="1330" w:type="pct"/>
            <w:tcMar>
              <w:top w:w="0" w:type="dxa"/>
              <w:left w:w="28" w:type="dxa"/>
              <w:bottom w:w="0" w:type="dxa"/>
              <w:right w:w="28" w:type="dxa"/>
            </w:tcMar>
            <w:vAlign w:val="center"/>
          </w:tcPr>
          <w:p w14:paraId="0A20D169"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rPr>
              <w:t>13/137 (9.5)</w:t>
            </w:r>
          </w:p>
        </w:tc>
        <w:tc>
          <w:tcPr>
            <w:tcW w:w="1407" w:type="pct"/>
            <w:tcMar>
              <w:left w:w="28" w:type="dxa"/>
              <w:right w:w="28" w:type="dxa"/>
            </w:tcMar>
            <w:vAlign w:val="center"/>
          </w:tcPr>
          <w:p w14:paraId="280E5774"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rPr>
              <w:t>18/138 (13.0)</w:t>
            </w:r>
          </w:p>
        </w:tc>
        <w:tc>
          <w:tcPr>
            <w:tcW w:w="1328" w:type="pct"/>
            <w:tcMar>
              <w:top w:w="0" w:type="dxa"/>
              <w:left w:w="28" w:type="dxa"/>
              <w:bottom w:w="0" w:type="dxa"/>
              <w:right w:w="28" w:type="dxa"/>
            </w:tcMar>
            <w:vAlign w:val="center"/>
          </w:tcPr>
          <w:p w14:paraId="493DBA5B"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0.73 (0.37, 1.43)</w:t>
            </w:r>
          </w:p>
        </w:tc>
      </w:tr>
      <w:tr w:rsidR="00787112" w:rsidRPr="009C565F" w14:paraId="1CF93BC2" w14:textId="77777777">
        <w:trPr>
          <w:cantSplit/>
        </w:trPr>
        <w:tc>
          <w:tcPr>
            <w:tcW w:w="935" w:type="pct"/>
            <w:tcMar>
              <w:top w:w="0" w:type="dxa"/>
              <w:left w:w="28" w:type="dxa"/>
              <w:bottom w:w="0" w:type="dxa"/>
              <w:right w:w="28" w:type="dxa"/>
            </w:tcMar>
            <w:vAlign w:val="center"/>
          </w:tcPr>
          <w:p w14:paraId="3E4CA4B7" w14:textId="0E70B717" w:rsidR="00787112" w:rsidRPr="007C434B" w:rsidRDefault="007C434B" w:rsidP="007C434B">
            <w:pPr>
              <w:keepNext/>
              <w:keepLines/>
              <w:rPr>
                <w:rFonts w:ascii="Arial Narrow" w:eastAsiaTheme="majorEastAsia" w:hAnsi="Arial Narrow" w:cstheme="majorBidi"/>
                <w:bCs/>
                <w:sz w:val="20"/>
                <w:lang w:bidi="en-US"/>
              </w:rPr>
            </w:pPr>
            <w:r>
              <w:rPr>
                <w:rFonts w:ascii="Arial Narrow" w:eastAsiaTheme="majorEastAsia" w:hAnsi="Arial Narrow" w:cstheme="majorBidi"/>
                <w:bCs/>
                <w:sz w:val="20"/>
                <w:lang w:bidi="en-US"/>
              </w:rPr>
              <w:t xml:space="preserve">  </w:t>
            </w:r>
            <w:r w:rsidR="00787112" w:rsidRPr="007C434B">
              <w:rPr>
                <w:rFonts w:ascii="Arial Narrow" w:eastAsiaTheme="majorEastAsia" w:hAnsi="Arial Narrow" w:cstheme="majorBidi"/>
                <w:bCs/>
                <w:sz w:val="20"/>
                <w:lang w:bidi="en-US"/>
              </w:rPr>
              <w:t>asthma</w:t>
            </w:r>
          </w:p>
        </w:tc>
        <w:tc>
          <w:tcPr>
            <w:tcW w:w="1330" w:type="pct"/>
            <w:tcMar>
              <w:top w:w="0" w:type="dxa"/>
              <w:left w:w="28" w:type="dxa"/>
              <w:bottom w:w="0" w:type="dxa"/>
              <w:right w:w="28" w:type="dxa"/>
            </w:tcMar>
            <w:vAlign w:val="center"/>
          </w:tcPr>
          <w:p w14:paraId="1D57D90C"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4/137 (2.9)</w:t>
            </w:r>
          </w:p>
        </w:tc>
        <w:tc>
          <w:tcPr>
            <w:tcW w:w="1407" w:type="pct"/>
            <w:tcMar>
              <w:left w:w="28" w:type="dxa"/>
              <w:right w:w="28" w:type="dxa"/>
            </w:tcMar>
            <w:vAlign w:val="center"/>
          </w:tcPr>
          <w:p w14:paraId="4E2E6FA9"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10/138 (7.2)</w:t>
            </w:r>
          </w:p>
        </w:tc>
        <w:tc>
          <w:tcPr>
            <w:tcW w:w="1328" w:type="pct"/>
            <w:tcMar>
              <w:top w:w="0" w:type="dxa"/>
              <w:left w:w="28" w:type="dxa"/>
              <w:bottom w:w="0" w:type="dxa"/>
              <w:right w:w="28" w:type="dxa"/>
            </w:tcMar>
            <w:vAlign w:val="center"/>
          </w:tcPr>
          <w:p w14:paraId="667E791D" w14:textId="77777777" w:rsidR="00787112" w:rsidRPr="009C565F"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r w:rsidR="00787112" w:rsidRPr="009C565F" w14:paraId="38D6FF6F" w14:textId="77777777">
        <w:trPr>
          <w:cantSplit/>
        </w:trPr>
        <w:tc>
          <w:tcPr>
            <w:tcW w:w="935" w:type="pct"/>
            <w:tcMar>
              <w:top w:w="0" w:type="dxa"/>
              <w:left w:w="28" w:type="dxa"/>
              <w:bottom w:w="0" w:type="dxa"/>
              <w:right w:w="28" w:type="dxa"/>
            </w:tcMar>
            <w:vAlign w:val="center"/>
          </w:tcPr>
          <w:p w14:paraId="20763C5F"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AE leading to discontinuation</w:t>
            </w:r>
          </w:p>
        </w:tc>
        <w:tc>
          <w:tcPr>
            <w:tcW w:w="1330" w:type="pct"/>
            <w:tcMar>
              <w:top w:w="0" w:type="dxa"/>
              <w:left w:w="28" w:type="dxa"/>
              <w:bottom w:w="0" w:type="dxa"/>
              <w:right w:w="28" w:type="dxa"/>
            </w:tcMar>
            <w:vAlign w:val="center"/>
          </w:tcPr>
          <w:p w14:paraId="72F6D982"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2/137 (1.5)</w:t>
            </w:r>
          </w:p>
        </w:tc>
        <w:tc>
          <w:tcPr>
            <w:tcW w:w="1407" w:type="pct"/>
            <w:tcMar>
              <w:left w:w="28" w:type="dxa"/>
              <w:right w:w="28" w:type="dxa"/>
            </w:tcMar>
            <w:vAlign w:val="center"/>
          </w:tcPr>
          <w:p w14:paraId="030337A2"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1/138 (0.7)</w:t>
            </w:r>
          </w:p>
        </w:tc>
        <w:tc>
          <w:tcPr>
            <w:tcW w:w="1328" w:type="pct"/>
            <w:tcMar>
              <w:top w:w="0" w:type="dxa"/>
              <w:left w:w="28" w:type="dxa"/>
              <w:bottom w:w="0" w:type="dxa"/>
              <w:right w:w="28" w:type="dxa"/>
            </w:tcMar>
            <w:vAlign w:val="center"/>
          </w:tcPr>
          <w:p w14:paraId="2D79E871"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2.01 (0.18, 22.0)</w:t>
            </w:r>
          </w:p>
        </w:tc>
      </w:tr>
      <w:tr w:rsidR="00787112" w:rsidRPr="009C565F" w14:paraId="59AB28E7" w14:textId="77777777">
        <w:trPr>
          <w:cantSplit/>
        </w:trPr>
        <w:tc>
          <w:tcPr>
            <w:tcW w:w="935" w:type="pct"/>
            <w:tcMar>
              <w:top w:w="0" w:type="dxa"/>
              <w:left w:w="28" w:type="dxa"/>
              <w:bottom w:w="0" w:type="dxa"/>
              <w:right w:w="28" w:type="dxa"/>
            </w:tcMar>
            <w:vAlign w:val="center"/>
          </w:tcPr>
          <w:p w14:paraId="2B1221A3"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Deaths</w:t>
            </w:r>
          </w:p>
        </w:tc>
        <w:tc>
          <w:tcPr>
            <w:tcW w:w="1330" w:type="pct"/>
            <w:tcMar>
              <w:top w:w="0" w:type="dxa"/>
              <w:left w:w="28" w:type="dxa"/>
              <w:bottom w:w="0" w:type="dxa"/>
              <w:right w:w="28" w:type="dxa"/>
            </w:tcMar>
            <w:vAlign w:val="center"/>
          </w:tcPr>
          <w:p w14:paraId="71A13BA9"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0/137</w:t>
            </w:r>
          </w:p>
        </w:tc>
        <w:tc>
          <w:tcPr>
            <w:tcW w:w="1407" w:type="pct"/>
            <w:tcMar>
              <w:left w:w="28" w:type="dxa"/>
              <w:right w:w="28" w:type="dxa"/>
            </w:tcMar>
            <w:vAlign w:val="center"/>
          </w:tcPr>
          <w:p w14:paraId="517AAD3E"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0/138</w:t>
            </w:r>
          </w:p>
        </w:tc>
        <w:tc>
          <w:tcPr>
            <w:tcW w:w="1328" w:type="pct"/>
            <w:tcMar>
              <w:top w:w="0" w:type="dxa"/>
              <w:left w:w="28" w:type="dxa"/>
              <w:bottom w:w="0" w:type="dxa"/>
              <w:right w:w="28" w:type="dxa"/>
            </w:tcMar>
            <w:vAlign w:val="center"/>
          </w:tcPr>
          <w:p w14:paraId="6A54FE42"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NR</w:t>
            </w:r>
          </w:p>
        </w:tc>
      </w:tr>
      <w:tr w:rsidR="00787112" w:rsidRPr="009C565F" w14:paraId="1E455830" w14:textId="77777777">
        <w:trPr>
          <w:cantSplit/>
        </w:trPr>
        <w:tc>
          <w:tcPr>
            <w:tcW w:w="935" w:type="pct"/>
            <w:tcMar>
              <w:top w:w="0" w:type="dxa"/>
              <w:left w:w="28" w:type="dxa"/>
              <w:bottom w:w="0" w:type="dxa"/>
              <w:right w:w="28" w:type="dxa"/>
            </w:tcMar>
            <w:vAlign w:val="center"/>
          </w:tcPr>
          <w:p w14:paraId="164D1A96"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Severe infections</w:t>
            </w:r>
          </w:p>
        </w:tc>
        <w:tc>
          <w:tcPr>
            <w:tcW w:w="1330" w:type="pct"/>
            <w:tcMar>
              <w:top w:w="0" w:type="dxa"/>
              <w:left w:w="28" w:type="dxa"/>
              <w:bottom w:w="0" w:type="dxa"/>
              <w:right w:w="28" w:type="dxa"/>
            </w:tcMar>
            <w:vAlign w:val="center"/>
          </w:tcPr>
          <w:p w14:paraId="270198DA"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1/137 (0.7)</w:t>
            </w:r>
          </w:p>
        </w:tc>
        <w:tc>
          <w:tcPr>
            <w:tcW w:w="1407" w:type="pct"/>
            <w:tcMar>
              <w:left w:w="28" w:type="dxa"/>
              <w:right w:w="28" w:type="dxa"/>
            </w:tcMar>
            <w:vAlign w:val="center"/>
          </w:tcPr>
          <w:p w14:paraId="0351AB0E"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4/138 (2.9)</w:t>
            </w:r>
          </w:p>
        </w:tc>
        <w:tc>
          <w:tcPr>
            <w:tcW w:w="1328" w:type="pct"/>
            <w:tcMar>
              <w:top w:w="0" w:type="dxa"/>
              <w:left w:w="28" w:type="dxa"/>
              <w:bottom w:w="0" w:type="dxa"/>
              <w:right w:w="28" w:type="dxa"/>
            </w:tcMar>
            <w:vAlign w:val="center"/>
          </w:tcPr>
          <w:p w14:paraId="6F1BF2FA"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 xml:space="preserve">NR </w:t>
            </w:r>
          </w:p>
        </w:tc>
      </w:tr>
      <w:tr w:rsidR="00787112" w:rsidRPr="009C565F" w14:paraId="0366D1CA" w14:textId="77777777">
        <w:trPr>
          <w:cantSplit/>
        </w:trPr>
        <w:tc>
          <w:tcPr>
            <w:tcW w:w="5000" w:type="pct"/>
            <w:gridSpan w:val="4"/>
            <w:tcMar>
              <w:top w:w="0" w:type="dxa"/>
              <w:left w:w="28" w:type="dxa"/>
              <w:bottom w:w="0" w:type="dxa"/>
              <w:right w:w="28" w:type="dxa"/>
            </w:tcMar>
            <w:vAlign w:val="center"/>
          </w:tcPr>
          <w:p w14:paraId="6554DB1D" w14:textId="77777777" w:rsidR="00787112" w:rsidRPr="009C565F" w:rsidRDefault="00787112">
            <w:pPr>
              <w:keepNext/>
              <w:keepLines/>
              <w:jc w:val="left"/>
              <w:rPr>
                <w:rFonts w:ascii="Arial Narrow" w:eastAsiaTheme="majorEastAsia" w:hAnsi="Arial Narrow" w:cstheme="majorBidi"/>
                <w:b/>
                <w:sz w:val="20"/>
                <w:lang w:bidi="en-US"/>
              </w:rPr>
            </w:pPr>
            <w:r w:rsidRPr="009C565F">
              <w:rPr>
                <w:rFonts w:ascii="Arial Narrow" w:eastAsiaTheme="majorEastAsia" w:hAnsi="Arial Narrow" w:cstheme="majorBidi"/>
                <w:b/>
                <w:sz w:val="20"/>
                <w:lang w:bidi="en-US"/>
              </w:rPr>
              <w:t>SOURCE (48 weeks)</w:t>
            </w:r>
          </w:p>
        </w:tc>
      </w:tr>
      <w:tr w:rsidR="00787112" w:rsidRPr="009C565F" w14:paraId="383AB764" w14:textId="77777777">
        <w:trPr>
          <w:cantSplit/>
        </w:trPr>
        <w:tc>
          <w:tcPr>
            <w:tcW w:w="935" w:type="pct"/>
            <w:tcMar>
              <w:top w:w="0" w:type="dxa"/>
              <w:left w:w="28" w:type="dxa"/>
              <w:bottom w:w="0" w:type="dxa"/>
              <w:right w:w="28" w:type="dxa"/>
            </w:tcMar>
            <w:vAlign w:val="center"/>
          </w:tcPr>
          <w:p w14:paraId="1A8AD53A"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 AE</w:t>
            </w:r>
          </w:p>
        </w:tc>
        <w:tc>
          <w:tcPr>
            <w:tcW w:w="1330" w:type="pct"/>
            <w:tcMar>
              <w:top w:w="0" w:type="dxa"/>
              <w:left w:w="28" w:type="dxa"/>
              <w:bottom w:w="0" w:type="dxa"/>
              <w:right w:w="28" w:type="dxa"/>
            </w:tcMar>
            <w:vAlign w:val="center"/>
          </w:tcPr>
          <w:p w14:paraId="5B22D74D"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rPr>
              <w:t>53/74 (71.6)</w:t>
            </w:r>
          </w:p>
        </w:tc>
        <w:tc>
          <w:tcPr>
            <w:tcW w:w="1407" w:type="pct"/>
            <w:tcMar>
              <w:left w:w="28" w:type="dxa"/>
              <w:right w:w="28" w:type="dxa"/>
            </w:tcMar>
            <w:vAlign w:val="center"/>
          </w:tcPr>
          <w:p w14:paraId="62AA9EE1"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rPr>
              <w:t>65/76 (85.5)</w:t>
            </w:r>
          </w:p>
        </w:tc>
        <w:tc>
          <w:tcPr>
            <w:tcW w:w="1328" w:type="pct"/>
            <w:tcMar>
              <w:top w:w="0" w:type="dxa"/>
              <w:left w:w="28" w:type="dxa"/>
              <w:bottom w:w="0" w:type="dxa"/>
              <w:right w:w="28" w:type="dxa"/>
            </w:tcMar>
            <w:vAlign w:val="center"/>
          </w:tcPr>
          <w:p w14:paraId="469E0BE2" w14:textId="77777777" w:rsidR="00787112" w:rsidRPr="006C0B10" w:rsidRDefault="00787112">
            <w:pPr>
              <w:keepNext/>
              <w:keepLines/>
              <w:jc w:val="center"/>
              <w:rPr>
                <w:rFonts w:ascii="Arial Narrow" w:eastAsiaTheme="majorEastAsia" w:hAnsi="Arial Narrow" w:cstheme="majorBidi"/>
                <w:bCs/>
                <w:sz w:val="20"/>
                <w:lang w:bidi="en-US"/>
              </w:rPr>
            </w:pPr>
            <w:r w:rsidRPr="006C0B10">
              <w:rPr>
                <w:rFonts w:ascii="Arial Narrow" w:eastAsiaTheme="majorEastAsia" w:hAnsi="Arial Narrow" w:cstheme="majorBidi"/>
                <w:bCs/>
                <w:sz w:val="20"/>
                <w:lang w:bidi="en-US"/>
              </w:rPr>
              <w:t>0.84 (0.71, 0.99)</w:t>
            </w:r>
          </w:p>
        </w:tc>
      </w:tr>
      <w:tr w:rsidR="00787112" w:rsidRPr="009C565F" w14:paraId="4543DFA2" w14:textId="77777777">
        <w:trPr>
          <w:cantSplit/>
        </w:trPr>
        <w:tc>
          <w:tcPr>
            <w:tcW w:w="935" w:type="pct"/>
            <w:tcMar>
              <w:top w:w="0" w:type="dxa"/>
              <w:left w:w="28" w:type="dxa"/>
              <w:bottom w:w="0" w:type="dxa"/>
              <w:right w:w="28" w:type="dxa"/>
            </w:tcMar>
            <w:vAlign w:val="center"/>
          </w:tcPr>
          <w:p w14:paraId="3F9A4C72"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 SAE</w:t>
            </w:r>
          </w:p>
        </w:tc>
        <w:tc>
          <w:tcPr>
            <w:tcW w:w="1330" w:type="pct"/>
            <w:tcMar>
              <w:top w:w="0" w:type="dxa"/>
              <w:left w:w="28" w:type="dxa"/>
              <w:bottom w:w="0" w:type="dxa"/>
              <w:right w:w="28" w:type="dxa"/>
            </w:tcMar>
            <w:vAlign w:val="center"/>
          </w:tcPr>
          <w:p w14:paraId="1D739871"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rPr>
              <w:t>11/74 (14.9)</w:t>
            </w:r>
          </w:p>
        </w:tc>
        <w:tc>
          <w:tcPr>
            <w:tcW w:w="1407" w:type="pct"/>
            <w:tcMar>
              <w:left w:w="28" w:type="dxa"/>
              <w:right w:w="28" w:type="dxa"/>
            </w:tcMar>
            <w:vAlign w:val="center"/>
          </w:tcPr>
          <w:p w14:paraId="76ABF785"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rPr>
              <w:t>16/76 (21.1)</w:t>
            </w:r>
          </w:p>
        </w:tc>
        <w:tc>
          <w:tcPr>
            <w:tcW w:w="1328" w:type="pct"/>
            <w:tcMar>
              <w:top w:w="0" w:type="dxa"/>
              <w:left w:w="28" w:type="dxa"/>
              <w:bottom w:w="0" w:type="dxa"/>
              <w:right w:w="28" w:type="dxa"/>
            </w:tcMar>
            <w:vAlign w:val="center"/>
          </w:tcPr>
          <w:p w14:paraId="3E43ACAB"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0.71 (0.35, 1.42)</w:t>
            </w:r>
          </w:p>
        </w:tc>
      </w:tr>
      <w:tr w:rsidR="00787112" w:rsidRPr="009C565F" w14:paraId="42116FA1" w14:textId="77777777">
        <w:trPr>
          <w:cantSplit/>
        </w:trPr>
        <w:tc>
          <w:tcPr>
            <w:tcW w:w="935" w:type="pct"/>
            <w:tcMar>
              <w:top w:w="0" w:type="dxa"/>
              <w:left w:w="28" w:type="dxa"/>
              <w:bottom w:w="0" w:type="dxa"/>
              <w:right w:w="28" w:type="dxa"/>
            </w:tcMar>
            <w:vAlign w:val="center"/>
          </w:tcPr>
          <w:p w14:paraId="57E71694" w14:textId="0844710E" w:rsidR="00787112" w:rsidRPr="007C434B" w:rsidRDefault="007C434B" w:rsidP="007C434B">
            <w:pPr>
              <w:keepNext/>
              <w:keepLines/>
              <w:rPr>
                <w:rFonts w:ascii="Arial Narrow" w:eastAsiaTheme="majorEastAsia" w:hAnsi="Arial Narrow" w:cstheme="majorBidi"/>
                <w:bCs/>
                <w:sz w:val="20"/>
                <w:lang w:bidi="en-US"/>
              </w:rPr>
            </w:pPr>
            <w:r>
              <w:rPr>
                <w:rFonts w:ascii="Arial Narrow" w:eastAsiaTheme="majorEastAsia" w:hAnsi="Arial Narrow" w:cstheme="majorBidi"/>
                <w:bCs/>
                <w:sz w:val="20"/>
                <w:lang w:bidi="en-US"/>
              </w:rPr>
              <w:t xml:space="preserve">  </w:t>
            </w:r>
            <w:r w:rsidR="00787112" w:rsidRPr="007C434B">
              <w:rPr>
                <w:rFonts w:ascii="Arial Narrow" w:eastAsiaTheme="majorEastAsia" w:hAnsi="Arial Narrow" w:cstheme="majorBidi"/>
                <w:bCs/>
                <w:sz w:val="20"/>
                <w:lang w:bidi="en-US"/>
              </w:rPr>
              <w:t>asthma</w:t>
            </w:r>
          </w:p>
        </w:tc>
        <w:tc>
          <w:tcPr>
            <w:tcW w:w="1330" w:type="pct"/>
            <w:tcMar>
              <w:top w:w="0" w:type="dxa"/>
              <w:left w:w="28" w:type="dxa"/>
              <w:bottom w:w="0" w:type="dxa"/>
              <w:right w:w="28" w:type="dxa"/>
            </w:tcMar>
            <w:vAlign w:val="center"/>
          </w:tcPr>
          <w:p w14:paraId="575A059B"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2/74 (2.7)</w:t>
            </w:r>
          </w:p>
        </w:tc>
        <w:tc>
          <w:tcPr>
            <w:tcW w:w="1407" w:type="pct"/>
            <w:tcMar>
              <w:left w:w="28" w:type="dxa"/>
              <w:right w:w="28" w:type="dxa"/>
            </w:tcMar>
            <w:vAlign w:val="center"/>
          </w:tcPr>
          <w:p w14:paraId="3395DCFB"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8/76 (10.5)</w:t>
            </w:r>
          </w:p>
        </w:tc>
        <w:tc>
          <w:tcPr>
            <w:tcW w:w="1328" w:type="pct"/>
            <w:tcMar>
              <w:top w:w="0" w:type="dxa"/>
              <w:left w:w="28" w:type="dxa"/>
              <w:bottom w:w="0" w:type="dxa"/>
              <w:right w:w="28" w:type="dxa"/>
            </w:tcMar>
            <w:vAlign w:val="center"/>
          </w:tcPr>
          <w:p w14:paraId="174B6293" w14:textId="77777777" w:rsidR="00787112" w:rsidRPr="009C565F"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r w:rsidR="00787112" w:rsidRPr="009C565F" w14:paraId="0A4629E9" w14:textId="77777777">
        <w:trPr>
          <w:cantSplit/>
        </w:trPr>
        <w:tc>
          <w:tcPr>
            <w:tcW w:w="935" w:type="pct"/>
            <w:tcMar>
              <w:top w:w="0" w:type="dxa"/>
              <w:left w:w="28" w:type="dxa"/>
              <w:bottom w:w="0" w:type="dxa"/>
              <w:right w:w="28" w:type="dxa"/>
            </w:tcMar>
            <w:vAlign w:val="center"/>
          </w:tcPr>
          <w:p w14:paraId="31F43F3E"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AE leading to discontinuation</w:t>
            </w:r>
          </w:p>
        </w:tc>
        <w:tc>
          <w:tcPr>
            <w:tcW w:w="1330" w:type="pct"/>
            <w:tcMar>
              <w:top w:w="0" w:type="dxa"/>
              <w:left w:w="28" w:type="dxa"/>
              <w:bottom w:w="0" w:type="dxa"/>
              <w:right w:w="28" w:type="dxa"/>
            </w:tcMar>
            <w:vAlign w:val="center"/>
          </w:tcPr>
          <w:p w14:paraId="022AF981"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rPr>
              <w:t>2/74 (2.7)</w:t>
            </w:r>
          </w:p>
        </w:tc>
        <w:tc>
          <w:tcPr>
            <w:tcW w:w="1407" w:type="pct"/>
            <w:tcMar>
              <w:left w:w="28" w:type="dxa"/>
              <w:right w:w="28" w:type="dxa"/>
            </w:tcMar>
            <w:vAlign w:val="center"/>
          </w:tcPr>
          <w:p w14:paraId="45B28462"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rPr>
              <w:t>2/76 (2.6)</w:t>
            </w:r>
          </w:p>
        </w:tc>
        <w:tc>
          <w:tcPr>
            <w:tcW w:w="1328" w:type="pct"/>
            <w:tcMar>
              <w:top w:w="0" w:type="dxa"/>
              <w:left w:w="28" w:type="dxa"/>
              <w:bottom w:w="0" w:type="dxa"/>
              <w:right w:w="28" w:type="dxa"/>
            </w:tcMar>
            <w:vAlign w:val="center"/>
          </w:tcPr>
          <w:p w14:paraId="6C8D781F"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1.03 (0.15, 7.10)</w:t>
            </w:r>
          </w:p>
        </w:tc>
      </w:tr>
      <w:tr w:rsidR="00787112" w:rsidRPr="009C565F" w14:paraId="3067B855" w14:textId="77777777">
        <w:trPr>
          <w:cantSplit/>
        </w:trPr>
        <w:tc>
          <w:tcPr>
            <w:tcW w:w="935" w:type="pct"/>
            <w:tcMar>
              <w:top w:w="0" w:type="dxa"/>
              <w:left w:w="28" w:type="dxa"/>
              <w:bottom w:w="0" w:type="dxa"/>
              <w:right w:w="28" w:type="dxa"/>
            </w:tcMar>
            <w:vAlign w:val="center"/>
          </w:tcPr>
          <w:p w14:paraId="40C291CE"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Deaths</w:t>
            </w:r>
          </w:p>
        </w:tc>
        <w:tc>
          <w:tcPr>
            <w:tcW w:w="1330" w:type="pct"/>
            <w:tcMar>
              <w:top w:w="0" w:type="dxa"/>
              <w:left w:w="28" w:type="dxa"/>
              <w:bottom w:w="0" w:type="dxa"/>
              <w:right w:w="28" w:type="dxa"/>
            </w:tcMar>
            <w:vAlign w:val="center"/>
          </w:tcPr>
          <w:p w14:paraId="03607497"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1/74</w:t>
            </w:r>
          </w:p>
        </w:tc>
        <w:tc>
          <w:tcPr>
            <w:tcW w:w="1407" w:type="pct"/>
            <w:tcMar>
              <w:left w:w="28" w:type="dxa"/>
              <w:right w:w="28" w:type="dxa"/>
            </w:tcMar>
            <w:vAlign w:val="center"/>
          </w:tcPr>
          <w:p w14:paraId="266575C9"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0/76</w:t>
            </w:r>
          </w:p>
        </w:tc>
        <w:tc>
          <w:tcPr>
            <w:tcW w:w="1328" w:type="pct"/>
            <w:tcMar>
              <w:top w:w="0" w:type="dxa"/>
              <w:left w:w="28" w:type="dxa"/>
              <w:bottom w:w="0" w:type="dxa"/>
              <w:right w:w="28" w:type="dxa"/>
            </w:tcMar>
            <w:vAlign w:val="center"/>
          </w:tcPr>
          <w:p w14:paraId="1D646AF3"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NR</w:t>
            </w:r>
          </w:p>
        </w:tc>
      </w:tr>
      <w:tr w:rsidR="00787112" w:rsidRPr="009C565F" w14:paraId="1FD04FFF" w14:textId="77777777">
        <w:trPr>
          <w:cantSplit/>
        </w:trPr>
        <w:tc>
          <w:tcPr>
            <w:tcW w:w="935" w:type="pct"/>
            <w:tcMar>
              <w:top w:w="0" w:type="dxa"/>
              <w:left w:w="28" w:type="dxa"/>
              <w:bottom w:w="0" w:type="dxa"/>
              <w:right w:w="28" w:type="dxa"/>
            </w:tcMar>
            <w:vAlign w:val="center"/>
          </w:tcPr>
          <w:p w14:paraId="1617565E"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Severe infections</w:t>
            </w:r>
          </w:p>
        </w:tc>
        <w:tc>
          <w:tcPr>
            <w:tcW w:w="1330" w:type="pct"/>
            <w:tcMar>
              <w:top w:w="0" w:type="dxa"/>
              <w:left w:w="28" w:type="dxa"/>
              <w:bottom w:w="0" w:type="dxa"/>
              <w:right w:w="28" w:type="dxa"/>
            </w:tcMar>
            <w:vAlign w:val="center"/>
          </w:tcPr>
          <w:p w14:paraId="1859248D"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4/74 (5.4)</w:t>
            </w:r>
          </w:p>
        </w:tc>
        <w:tc>
          <w:tcPr>
            <w:tcW w:w="1407" w:type="pct"/>
            <w:tcMar>
              <w:left w:w="28" w:type="dxa"/>
              <w:right w:w="28" w:type="dxa"/>
            </w:tcMar>
            <w:vAlign w:val="center"/>
          </w:tcPr>
          <w:p w14:paraId="2EDBE4E1"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7/76 (9.2)</w:t>
            </w:r>
          </w:p>
        </w:tc>
        <w:tc>
          <w:tcPr>
            <w:tcW w:w="1328" w:type="pct"/>
            <w:tcMar>
              <w:top w:w="0" w:type="dxa"/>
              <w:left w:w="28" w:type="dxa"/>
              <w:bottom w:w="0" w:type="dxa"/>
              <w:right w:w="28" w:type="dxa"/>
            </w:tcMar>
            <w:vAlign w:val="center"/>
          </w:tcPr>
          <w:p w14:paraId="44E8534B" w14:textId="77777777" w:rsidR="00787112" w:rsidRPr="009C565F" w:rsidRDefault="00787112">
            <w:pPr>
              <w:keepNext/>
              <w:keepLines/>
              <w:jc w:val="center"/>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NR</w:t>
            </w:r>
          </w:p>
        </w:tc>
      </w:tr>
      <w:tr w:rsidR="00787112" w:rsidRPr="009C565F" w14:paraId="42526604" w14:textId="77777777">
        <w:trPr>
          <w:cantSplit/>
        </w:trPr>
        <w:tc>
          <w:tcPr>
            <w:tcW w:w="5000" w:type="pct"/>
            <w:gridSpan w:val="4"/>
            <w:tcMar>
              <w:top w:w="0" w:type="dxa"/>
              <w:left w:w="28" w:type="dxa"/>
              <w:bottom w:w="0" w:type="dxa"/>
              <w:right w:w="28" w:type="dxa"/>
            </w:tcMar>
            <w:vAlign w:val="center"/>
          </w:tcPr>
          <w:p w14:paraId="1599A4C2" w14:textId="77777777" w:rsidR="00787112" w:rsidRPr="007F02FF" w:rsidRDefault="00787112">
            <w:pPr>
              <w:keepNext/>
              <w:keepLines/>
              <w:jc w:val="left"/>
              <w:rPr>
                <w:rFonts w:ascii="Arial Narrow" w:eastAsiaTheme="majorEastAsia" w:hAnsi="Arial Narrow" w:cstheme="majorBidi"/>
                <w:b/>
                <w:sz w:val="20"/>
                <w:lang w:bidi="en-US"/>
              </w:rPr>
            </w:pPr>
            <w:r w:rsidRPr="007F02FF">
              <w:rPr>
                <w:rFonts w:ascii="Arial Narrow" w:eastAsiaTheme="majorEastAsia" w:hAnsi="Arial Narrow" w:cstheme="majorBidi"/>
                <w:b/>
                <w:sz w:val="20"/>
                <w:lang w:bidi="en-US"/>
              </w:rPr>
              <w:t>DESTINATION (NAVIGATOR)</w:t>
            </w:r>
            <w:r>
              <w:rPr>
                <w:rFonts w:ascii="Arial Narrow" w:eastAsiaTheme="majorEastAsia" w:hAnsi="Arial Narrow" w:cstheme="majorBidi"/>
                <w:b/>
                <w:sz w:val="20"/>
                <w:lang w:bidi="en-US"/>
              </w:rPr>
              <w:t xml:space="preserve"> </w:t>
            </w:r>
            <w:r>
              <w:rPr>
                <w:rFonts w:ascii="Arial Narrow" w:eastAsiaTheme="majorEastAsia" w:hAnsi="Arial Narrow" w:cstheme="majorBidi"/>
                <w:b/>
                <w:sz w:val="20"/>
                <w:vertAlign w:val="superscript"/>
                <w:lang w:bidi="en-US"/>
              </w:rPr>
              <w:t>b</w:t>
            </w:r>
            <w:r>
              <w:rPr>
                <w:rFonts w:ascii="Arial Narrow" w:eastAsiaTheme="majorEastAsia" w:hAnsi="Arial Narrow" w:cstheme="majorBidi"/>
                <w:b/>
                <w:sz w:val="20"/>
                <w:lang w:bidi="en-US"/>
              </w:rPr>
              <w:t xml:space="preserve"> </w:t>
            </w:r>
          </w:p>
        </w:tc>
      </w:tr>
      <w:tr w:rsidR="00787112" w:rsidRPr="009C565F" w14:paraId="3A60337C" w14:textId="77777777">
        <w:trPr>
          <w:cantSplit/>
        </w:trPr>
        <w:tc>
          <w:tcPr>
            <w:tcW w:w="935" w:type="pct"/>
            <w:tcMar>
              <w:top w:w="0" w:type="dxa"/>
              <w:left w:w="28" w:type="dxa"/>
              <w:bottom w:w="0" w:type="dxa"/>
              <w:right w:w="28" w:type="dxa"/>
            </w:tcMar>
            <w:vAlign w:val="center"/>
          </w:tcPr>
          <w:p w14:paraId="6E20827D"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 AE</w:t>
            </w:r>
          </w:p>
        </w:tc>
        <w:tc>
          <w:tcPr>
            <w:tcW w:w="1330" w:type="pct"/>
            <w:tcMar>
              <w:top w:w="0" w:type="dxa"/>
              <w:left w:w="28" w:type="dxa"/>
              <w:bottom w:w="0" w:type="dxa"/>
              <w:right w:w="28" w:type="dxa"/>
            </w:tcMar>
            <w:vAlign w:val="center"/>
          </w:tcPr>
          <w:p w14:paraId="703AE9D9" w14:textId="77777777" w:rsidR="00787112" w:rsidRPr="009C565F" w:rsidRDefault="00787112">
            <w:pPr>
              <w:keepNext/>
              <w:keepLines/>
              <w:jc w:val="center"/>
              <w:rPr>
                <w:rFonts w:ascii="Arial Narrow" w:eastAsiaTheme="majorEastAsia" w:hAnsi="Arial Narrow" w:cstheme="majorBidi"/>
                <w:bCs/>
                <w:sz w:val="20"/>
              </w:rPr>
            </w:pPr>
            <w:r w:rsidRPr="00EC443F">
              <w:rPr>
                <w:rFonts w:ascii="Arial Narrow" w:eastAsiaTheme="majorEastAsia" w:hAnsi="Arial Narrow" w:cstheme="majorBidi"/>
                <w:bCs/>
                <w:sz w:val="20"/>
              </w:rPr>
              <w:t>359 (86.5)</w:t>
            </w:r>
          </w:p>
        </w:tc>
        <w:tc>
          <w:tcPr>
            <w:tcW w:w="1407" w:type="pct"/>
            <w:tcMar>
              <w:left w:w="28" w:type="dxa"/>
              <w:right w:w="28" w:type="dxa"/>
            </w:tcMar>
            <w:vAlign w:val="center"/>
          </w:tcPr>
          <w:p w14:paraId="1F2A0E2A" w14:textId="77777777" w:rsidR="00787112" w:rsidRPr="009C565F" w:rsidRDefault="00787112">
            <w:pPr>
              <w:keepNext/>
              <w:keepLines/>
              <w:jc w:val="center"/>
              <w:rPr>
                <w:rFonts w:ascii="Arial Narrow" w:eastAsiaTheme="majorEastAsia" w:hAnsi="Arial Narrow" w:cstheme="majorBidi"/>
                <w:bCs/>
                <w:sz w:val="20"/>
              </w:rPr>
            </w:pPr>
            <w:r w:rsidRPr="00EC443F">
              <w:rPr>
                <w:rFonts w:ascii="Arial Narrow" w:eastAsiaTheme="majorEastAsia" w:hAnsi="Arial Narrow" w:cstheme="majorBidi"/>
                <w:bCs/>
                <w:sz w:val="20"/>
              </w:rPr>
              <w:t>178 (86.4)</w:t>
            </w:r>
          </w:p>
        </w:tc>
        <w:tc>
          <w:tcPr>
            <w:tcW w:w="1328" w:type="pct"/>
            <w:tcMar>
              <w:top w:w="0" w:type="dxa"/>
              <w:left w:w="28" w:type="dxa"/>
              <w:bottom w:w="0" w:type="dxa"/>
              <w:right w:w="28" w:type="dxa"/>
            </w:tcMar>
            <w:vAlign w:val="center"/>
          </w:tcPr>
          <w:p w14:paraId="2B6E1D21" w14:textId="77777777" w:rsidR="00787112" w:rsidRPr="009C565F"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r w:rsidR="00787112" w:rsidRPr="009C565F" w14:paraId="492BDFE7" w14:textId="77777777">
        <w:trPr>
          <w:cantSplit/>
        </w:trPr>
        <w:tc>
          <w:tcPr>
            <w:tcW w:w="935" w:type="pct"/>
            <w:tcMar>
              <w:top w:w="0" w:type="dxa"/>
              <w:left w:w="28" w:type="dxa"/>
              <w:bottom w:w="0" w:type="dxa"/>
              <w:right w:w="28" w:type="dxa"/>
            </w:tcMar>
            <w:vAlign w:val="center"/>
          </w:tcPr>
          <w:p w14:paraId="17A3F43E"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 SAE</w:t>
            </w:r>
          </w:p>
        </w:tc>
        <w:tc>
          <w:tcPr>
            <w:tcW w:w="1330" w:type="pct"/>
            <w:tcMar>
              <w:top w:w="0" w:type="dxa"/>
              <w:left w:w="28" w:type="dxa"/>
              <w:bottom w:w="0" w:type="dxa"/>
              <w:right w:w="28" w:type="dxa"/>
            </w:tcMar>
            <w:vAlign w:val="center"/>
          </w:tcPr>
          <w:p w14:paraId="07DD99FC" w14:textId="77777777" w:rsidR="00787112" w:rsidRPr="009C565F" w:rsidRDefault="00787112">
            <w:pPr>
              <w:keepNext/>
              <w:keepLines/>
              <w:jc w:val="center"/>
              <w:rPr>
                <w:rFonts w:ascii="Arial Narrow" w:eastAsiaTheme="majorEastAsia" w:hAnsi="Arial Narrow" w:cstheme="majorBidi"/>
                <w:bCs/>
                <w:sz w:val="20"/>
              </w:rPr>
            </w:pPr>
            <w:r w:rsidRPr="00EC443F">
              <w:rPr>
                <w:rFonts w:ascii="Arial Narrow" w:eastAsiaTheme="majorEastAsia" w:hAnsi="Arial Narrow" w:cstheme="majorBidi"/>
                <w:bCs/>
                <w:sz w:val="20"/>
              </w:rPr>
              <w:t>58 (14.0)</w:t>
            </w:r>
          </w:p>
        </w:tc>
        <w:tc>
          <w:tcPr>
            <w:tcW w:w="1407" w:type="pct"/>
            <w:tcMar>
              <w:left w:w="28" w:type="dxa"/>
              <w:right w:w="28" w:type="dxa"/>
            </w:tcMar>
            <w:vAlign w:val="center"/>
          </w:tcPr>
          <w:p w14:paraId="5B691982" w14:textId="77777777" w:rsidR="00787112" w:rsidRPr="009C565F" w:rsidRDefault="00787112">
            <w:pPr>
              <w:keepNext/>
              <w:keepLines/>
              <w:jc w:val="center"/>
              <w:rPr>
                <w:rFonts w:ascii="Arial Narrow" w:eastAsiaTheme="majorEastAsia" w:hAnsi="Arial Narrow" w:cstheme="majorBidi"/>
                <w:bCs/>
                <w:sz w:val="20"/>
              </w:rPr>
            </w:pPr>
            <w:r w:rsidRPr="00EC443F">
              <w:rPr>
                <w:rFonts w:ascii="Arial Narrow" w:eastAsiaTheme="majorEastAsia" w:hAnsi="Arial Narrow" w:cstheme="majorBidi"/>
                <w:bCs/>
                <w:sz w:val="20"/>
              </w:rPr>
              <w:t>37 (18.0)</w:t>
            </w:r>
          </w:p>
        </w:tc>
        <w:tc>
          <w:tcPr>
            <w:tcW w:w="1328" w:type="pct"/>
            <w:tcMar>
              <w:top w:w="0" w:type="dxa"/>
              <w:left w:w="28" w:type="dxa"/>
              <w:bottom w:w="0" w:type="dxa"/>
              <w:right w:w="28" w:type="dxa"/>
            </w:tcMar>
            <w:vAlign w:val="center"/>
          </w:tcPr>
          <w:p w14:paraId="6A047C92" w14:textId="77777777" w:rsidR="00787112" w:rsidRPr="009C565F"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r w:rsidR="00787112" w:rsidRPr="009C565F" w14:paraId="04499A10" w14:textId="77777777">
        <w:trPr>
          <w:cantSplit/>
        </w:trPr>
        <w:tc>
          <w:tcPr>
            <w:tcW w:w="935" w:type="pct"/>
            <w:tcMar>
              <w:top w:w="0" w:type="dxa"/>
              <w:left w:w="28" w:type="dxa"/>
              <w:bottom w:w="0" w:type="dxa"/>
              <w:right w:w="28" w:type="dxa"/>
            </w:tcMar>
            <w:vAlign w:val="center"/>
          </w:tcPr>
          <w:p w14:paraId="33398C37"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AE leading to discontinuation</w:t>
            </w:r>
          </w:p>
        </w:tc>
        <w:tc>
          <w:tcPr>
            <w:tcW w:w="1330" w:type="pct"/>
            <w:tcMar>
              <w:top w:w="0" w:type="dxa"/>
              <w:left w:w="28" w:type="dxa"/>
              <w:bottom w:w="0" w:type="dxa"/>
              <w:right w:w="28" w:type="dxa"/>
            </w:tcMar>
            <w:vAlign w:val="center"/>
          </w:tcPr>
          <w:p w14:paraId="41C4F804"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4 (1.0)</w:t>
            </w:r>
          </w:p>
        </w:tc>
        <w:tc>
          <w:tcPr>
            <w:tcW w:w="1407" w:type="pct"/>
            <w:tcMar>
              <w:left w:w="28" w:type="dxa"/>
              <w:right w:w="28" w:type="dxa"/>
            </w:tcMar>
            <w:vAlign w:val="center"/>
          </w:tcPr>
          <w:p w14:paraId="3C6B89B8"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2 (1.0)</w:t>
            </w:r>
          </w:p>
        </w:tc>
        <w:tc>
          <w:tcPr>
            <w:tcW w:w="1328" w:type="pct"/>
            <w:tcMar>
              <w:top w:w="0" w:type="dxa"/>
              <w:left w:w="28" w:type="dxa"/>
              <w:bottom w:w="0" w:type="dxa"/>
              <w:right w:w="28" w:type="dxa"/>
            </w:tcMar>
            <w:vAlign w:val="center"/>
          </w:tcPr>
          <w:p w14:paraId="048F30A3" w14:textId="77777777" w:rsidR="00787112" w:rsidRPr="009C565F"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r w:rsidR="00787112" w:rsidRPr="009C565F" w14:paraId="7EF5902B" w14:textId="77777777">
        <w:trPr>
          <w:cantSplit/>
        </w:trPr>
        <w:tc>
          <w:tcPr>
            <w:tcW w:w="935" w:type="pct"/>
            <w:tcMar>
              <w:top w:w="0" w:type="dxa"/>
              <w:left w:w="28" w:type="dxa"/>
              <w:bottom w:w="0" w:type="dxa"/>
              <w:right w:w="28" w:type="dxa"/>
            </w:tcMar>
            <w:vAlign w:val="center"/>
          </w:tcPr>
          <w:p w14:paraId="16A7F7CF" w14:textId="77777777" w:rsidR="00787112" w:rsidRPr="009C565F" w:rsidRDefault="00787112">
            <w:pPr>
              <w:keepNext/>
              <w:keepLines/>
              <w:jc w:val="left"/>
              <w:rPr>
                <w:rFonts w:ascii="Arial Narrow" w:eastAsiaTheme="majorEastAsia" w:hAnsi="Arial Narrow" w:cstheme="majorBidi"/>
                <w:bCs/>
                <w:sz w:val="20"/>
                <w:lang w:bidi="en-US"/>
              </w:rPr>
            </w:pPr>
            <w:r>
              <w:rPr>
                <w:rFonts w:ascii="Arial Narrow" w:eastAsiaTheme="majorEastAsia" w:hAnsi="Arial Narrow" w:cstheme="majorBidi"/>
                <w:bCs/>
                <w:sz w:val="20"/>
                <w:lang w:bidi="en-US"/>
              </w:rPr>
              <w:t>Deaths</w:t>
            </w:r>
          </w:p>
        </w:tc>
        <w:tc>
          <w:tcPr>
            <w:tcW w:w="1330" w:type="pct"/>
            <w:tcMar>
              <w:top w:w="0" w:type="dxa"/>
              <w:left w:w="28" w:type="dxa"/>
              <w:bottom w:w="0" w:type="dxa"/>
              <w:right w:w="28" w:type="dxa"/>
            </w:tcMar>
            <w:vAlign w:val="center"/>
          </w:tcPr>
          <w:p w14:paraId="44DA892E" w14:textId="77777777" w:rsidR="00787112" w:rsidRPr="009C565F" w:rsidRDefault="00787112">
            <w:pPr>
              <w:keepNext/>
              <w:keepLines/>
              <w:jc w:val="center"/>
              <w:rPr>
                <w:rFonts w:ascii="Arial Narrow" w:eastAsiaTheme="majorEastAsia" w:hAnsi="Arial Narrow" w:cstheme="majorBidi"/>
                <w:bCs/>
                <w:sz w:val="20"/>
              </w:rPr>
            </w:pPr>
            <w:r w:rsidRPr="00EC443F">
              <w:rPr>
                <w:rFonts w:ascii="Arial Narrow" w:eastAsiaTheme="majorEastAsia" w:hAnsi="Arial Narrow" w:cstheme="majorBidi"/>
                <w:bCs/>
                <w:sz w:val="20"/>
              </w:rPr>
              <w:t>7 (1.7)</w:t>
            </w:r>
          </w:p>
        </w:tc>
        <w:tc>
          <w:tcPr>
            <w:tcW w:w="1407" w:type="pct"/>
            <w:tcMar>
              <w:left w:w="28" w:type="dxa"/>
              <w:right w:w="28" w:type="dxa"/>
            </w:tcMar>
            <w:vAlign w:val="center"/>
          </w:tcPr>
          <w:p w14:paraId="0ECD8068" w14:textId="77777777" w:rsidR="00787112" w:rsidRPr="009C565F" w:rsidRDefault="00787112">
            <w:pPr>
              <w:keepNext/>
              <w:keepLines/>
              <w:jc w:val="center"/>
              <w:rPr>
                <w:rFonts w:ascii="Arial Narrow" w:eastAsiaTheme="majorEastAsia" w:hAnsi="Arial Narrow" w:cstheme="majorBidi"/>
                <w:bCs/>
                <w:sz w:val="20"/>
              </w:rPr>
            </w:pPr>
            <w:r w:rsidRPr="00EC443F">
              <w:rPr>
                <w:rFonts w:ascii="Arial Narrow" w:eastAsiaTheme="majorEastAsia" w:hAnsi="Arial Narrow" w:cstheme="majorBidi"/>
                <w:bCs/>
                <w:sz w:val="20"/>
              </w:rPr>
              <w:t>1 (0.5)</w:t>
            </w:r>
          </w:p>
        </w:tc>
        <w:tc>
          <w:tcPr>
            <w:tcW w:w="1328" w:type="pct"/>
            <w:tcMar>
              <w:top w:w="0" w:type="dxa"/>
              <w:left w:w="28" w:type="dxa"/>
              <w:bottom w:w="0" w:type="dxa"/>
              <w:right w:w="28" w:type="dxa"/>
            </w:tcMar>
            <w:vAlign w:val="center"/>
          </w:tcPr>
          <w:p w14:paraId="7CC3CF53" w14:textId="77777777" w:rsidR="00787112" w:rsidRPr="009C565F"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r w:rsidR="00787112" w:rsidRPr="009C565F" w14:paraId="3FC9FA42" w14:textId="77777777">
        <w:trPr>
          <w:cantSplit/>
        </w:trPr>
        <w:tc>
          <w:tcPr>
            <w:tcW w:w="5000" w:type="pct"/>
            <w:gridSpan w:val="4"/>
            <w:tcMar>
              <w:top w:w="0" w:type="dxa"/>
              <w:left w:w="28" w:type="dxa"/>
              <w:bottom w:w="0" w:type="dxa"/>
              <w:right w:w="28" w:type="dxa"/>
            </w:tcMar>
            <w:vAlign w:val="center"/>
          </w:tcPr>
          <w:p w14:paraId="2DA8CCEA" w14:textId="77777777" w:rsidR="00787112" w:rsidRPr="009C3B68" w:rsidRDefault="00787112">
            <w:pPr>
              <w:keepNext/>
              <w:keepLines/>
              <w:jc w:val="left"/>
              <w:rPr>
                <w:rFonts w:ascii="Arial Narrow" w:eastAsiaTheme="majorEastAsia" w:hAnsi="Arial Narrow" w:cstheme="majorBidi"/>
                <w:b/>
                <w:sz w:val="20"/>
                <w:vertAlign w:val="superscript"/>
                <w:lang w:bidi="en-US"/>
              </w:rPr>
            </w:pPr>
            <w:r w:rsidRPr="007F02FF">
              <w:rPr>
                <w:rFonts w:ascii="Arial Narrow" w:eastAsiaTheme="majorEastAsia" w:hAnsi="Arial Narrow" w:cstheme="majorBidi"/>
                <w:b/>
                <w:sz w:val="20"/>
                <w:lang w:bidi="en-US"/>
              </w:rPr>
              <w:t>DESTINATION (SOURCE)</w:t>
            </w:r>
            <w:r>
              <w:rPr>
                <w:rFonts w:ascii="Arial Narrow" w:eastAsiaTheme="majorEastAsia" w:hAnsi="Arial Narrow" w:cstheme="majorBidi"/>
                <w:b/>
                <w:sz w:val="20"/>
                <w:lang w:bidi="en-US"/>
              </w:rPr>
              <w:t xml:space="preserve"> </w:t>
            </w:r>
            <w:r>
              <w:rPr>
                <w:rFonts w:ascii="Arial Narrow" w:eastAsiaTheme="majorEastAsia" w:hAnsi="Arial Narrow" w:cstheme="majorBidi"/>
                <w:b/>
                <w:sz w:val="20"/>
                <w:vertAlign w:val="superscript"/>
                <w:lang w:bidi="en-US"/>
              </w:rPr>
              <w:t>c</w:t>
            </w:r>
          </w:p>
        </w:tc>
      </w:tr>
      <w:tr w:rsidR="00787112" w:rsidRPr="009C565F" w14:paraId="05CDBF9F" w14:textId="77777777">
        <w:trPr>
          <w:cantSplit/>
        </w:trPr>
        <w:tc>
          <w:tcPr>
            <w:tcW w:w="935" w:type="pct"/>
            <w:tcMar>
              <w:top w:w="0" w:type="dxa"/>
              <w:left w:w="28" w:type="dxa"/>
              <w:bottom w:w="0" w:type="dxa"/>
              <w:right w:w="28" w:type="dxa"/>
            </w:tcMar>
            <w:vAlign w:val="center"/>
          </w:tcPr>
          <w:p w14:paraId="42929A3B"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 AE</w:t>
            </w:r>
          </w:p>
        </w:tc>
        <w:tc>
          <w:tcPr>
            <w:tcW w:w="1330" w:type="pct"/>
            <w:tcMar>
              <w:top w:w="0" w:type="dxa"/>
              <w:left w:w="28" w:type="dxa"/>
              <w:bottom w:w="0" w:type="dxa"/>
              <w:right w:w="28" w:type="dxa"/>
            </w:tcMar>
            <w:vAlign w:val="center"/>
          </w:tcPr>
          <w:p w14:paraId="0D33A4A0" w14:textId="77777777" w:rsidR="00787112" w:rsidRPr="009C565F" w:rsidRDefault="00787112">
            <w:pPr>
              <w:keepNext/>
              <w:keepLines/>
              <w:jc w:val="center"/>
              <w:rPr>
                <w:rFonts w:ascii="Arial Narrow" w:eastAsiaTheme="majorEastAsia" w:hAnsi="Arial Narrow" w:cstheme="majorBidi"/>
                <w:bCs/>
                <w:sz w:val="20"/>
              </w:rPr>
            </w:pPr>
            <w:r w:rsidRPr="00924577">
              <w:rPr>
                <w:rFonts w:ascii="Arial Narrow" w:eastAsiaTheme="majorEastAsia" w:hAnsi="Arial Narrow" w:cstheme="majorBidi"/>
                <w:bCs/>
                <w:sz w:val="20"/>
              </w:rPr>
              <w:t>52 (86.7)</w:t>
            </w:r>
          </w:p>
        </w:tc>
        <w:tc>
          <w:tcPr>
            <w:tcW w:w="1407" w:type="pct"/>
            <w:tcMar>
              <w:left w:w="28" w:type="dxa"/>
              <w:right w:w="28" w:type="dxa"/>
            </w:tcMar>
            <w:vAlign w:val="center"/>
          </w:tcPr>
          <w:p w14:paraId="113F43C7" w14:textId="77777777" w:rsidR="00787112" w:rsidRPr="009C565F" w:rsidRDefault="00787112">
            <w:pPr>
              <w:keepNext/>
              <w:keepLines/>
              <w:jc w:val="center"/>
              <w:rPr>
                <w:rFonts w:ascii="Arial Narrow" w:eastAsiaTheme="majorEastAsia" w:hAnsi="Arial Narrow" w:cstheme="majorBidi"/>
                <w:bCs/>
                <w:sz w:val="20"/>
              </w:rPr>
            </w:pPr>
            <w:r w:rsidRPr="00924577">
              <w:rPr>
                <w:rFonts w:ascii="Arial Narrow" w:eastAsiaTheme="majorEastAsia" w:hAnsi="Arial Narrow" w:cstheme="majorBidi"/>
                <w:bCs/>
                <w:sz w:val="20"/>
              </w:rPr>
              <w:t>31 (96.9)</w:t>
            </w:r>
          </w:p>
        </w:tc>
        <w:tc>
          <w:tcPr>
            <w:tcW w:w="1328" w:type="pct"/>
            <w:tcMar>
              <w:top w:w="0" w:type="dxa"/>
              <w:left w:w="28" w:type="dxa"/>
              <w:bottom w:w="0" w:type="dxa"/>
              <w:right w:w="28" w:type="dxa"/>
            </w:tcMar>
            <w:vAlign w:val="center"/>
          </w:tcPr>
          <w:p w14:paraId="4317DEDE" w14:textId="77777777" w:rsidR="00787112" w:rsidRPr="009C565F"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r w:rsidR="00787112" w:rsidRPr="009C565F" w14:paraId="4125ABCF" w14:textId="77777777">
        <w:trPr>
          <w:cantSplit/>
        </w:trPr>
        <w:tc>
          <w:tcPr>
            <w:tcW w:w="935" w:type="pct"/>
            <w:tcMar>
              <w:top w:w="0" w:type="dxa"/>
              <w:left w:w="28" w:type="dxa"/>
              <w:bottom w:w="0" w:type="dxa"/>
              <w:right w:w="28" w:type="dxa"/>
            </w:tcMar>
            <w:vAlign w:val="center"/>
          </w:tcPr>
          <w:p w14:paraId="413CE97D"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≥1 SAE</w:t>
            </w:r>
          </w:p>
        </w:tc>
        <w:tc>
          <w:tcPr>
            <w:tcW w:w="1330" w:type="pct"/>
            <w:tcMar>
              <w:top w:w="0" w:type="dxa"/>
              <w:left w:w="28" w:type="dxa"/>
              <w:bottom w:w="0" w:type="dxa"/>
              <w:right w:w="28" w:type="dxa"/>
            </w:tcMar>
            <w:vAlign w:val="center"/>
          </w:tcPr>
          <w:p w14:paraId="58D63920" w14:textId="77777777" w:rsidR="00787112" w:rsidRPr="009C565F" w:rsidRDefault="00787112">
            <w:pPr>
              <w:keepNext/>
              <w:keepLines/>
              <w:jc w:val="center"/>
              <w:rPr>
                <w:rFonts w:ascii="Arial Narrow" w:eastAsiaTheme="majorEastAsia" w:hAnsi="Arial Narrow" w:cstheme="majorBidi"/>
                <w:bCs/>
                <w:sz w:val="20"/>
              </w:rPr>
            </w:pPr>
            <w:r w:rsidRPr="00924577">
              <w:rPr>
                <w:rFonts w:ascii="Arial Narrow" w:eastAsiaTheme="majorEastAsia" w:hAnsi="Arial Narrow" w:cstheme="majorBidi"/>
                <w:bCs/>
                <w:sz w:val="20"/>
              </w:rPr>
              <w:t>14 (23.3)</w:t>
            </w:r>
          </w:p>
        </w:tc>
        <w:tc>
          <w:tcPr>
            <w:tcW w:w="1407" w:type="pct"/>
            <w:tcMar>
              <w:left w:w="28" w:type="dxa"/>
              <w:right w:w="28" w:type="dxa"/>
            </w:tcMar>
            <w:vAlign w:val="center"/>
          </w:tcPr>
          <w:p w14:paraId="2D5A5CDD" w14:textId="77777777" w:rsidR="00787112" w:rsidRPr="009C565F" w:rsidRDefault="00787112">
            <w:pPr>
              <w:keepNext/>
              <w:keepLines/>
              <w:jc w:val="center"/>
              <w:rPr>
                <w:rFonts w:ascii="Arial Narrow" w:eastAsiaTheme="majorEastAsia" w:hAnsi="Arial Narrow" w:cstheme="majorBidi"/>
                <w:bCs/>
                <w:sz w:val="20"/>
              </w:rPr>
            </w:pPr>
            <w:r w:rsidRPr="00924577">
              <w:rPr>
                <w:rFonts w:ascii="Arial Narrow" w:eastAsiaTheme="majorEastAsia" w:hAnsi="Arial Narrow" w:cstheme="majorBidi"/>
                <w:bCs/>
                <w:sz w:val="20"/>
              </w:rPr>
              <w:t>7 (21.9)</w:t>
            </w:r>
          </w:p>
        </w:tc>
        <w:tc>
          <w:tcPr>
            <w:tcW w:w="1328" w:type="pct"/>
            <w:tcMar>
              <w:top w:w="0" w:type="dxa"/>
              <w:left w:w="28" w:type="dxa"/>
              <w:bottom w:w="0" w:type="dxa"/>
              <w:right w:w="28" w:type="dxa"/>
            </w:tcMar>
            <w:vAlign w:val="center"/>
          </w:tcPr>
          <w:p w14:paraId="7EA954C3" w14:textId="77777777" w:rsidR="00787112" w:rsidRPr="009C565F"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r w:rsidR="00787112" w:rsidRPr="009C565F" w14:paraId="275AC714" w14:textId="77777777">
        <w:trPr>
          <w:cantSplit/>
        </w:trPr>
        <w:tc>
          <w:tcPr>
            <w:tcW w:w="935" w:type="pct"/>
            <w:tcMar>
              <w:top w:w="0" w:type="dxa"/>
              <w:left w:w="28" w:type="dxa"/>
              <w:bottom w:w="0" w:type="dxa"/>
              <w:right w:w="28" w:type="dxa"/>
            </w:tcMar>
            <w:vAlign w:val="center"/>
          </w:tcPr>
          <w:p w14:paraId="5D3CFE7D" w14:textId="77777777" w:rsidR="00787112" w:rsidRPr="009C565F" w:rsidRDefault="00787112">
            <w:pPr>
              <w:keepNext/>
              <w:keepLines/>
              <w:jc w:val="left"/>
              <w:rPr>
                <w:rFonts w:ascii="Arial Narrow" w:eastAsiaTheme="majorEastAsia" w:hAnsi="Arial Narrow" w:cstheme="majorBidi"/>
                <w:bCs/>
                <w:sz w:val="20"/>
                <w:lang w:bidi="en-US"/>
              </w:rPr>
            </w:pPr>
            <w:r w:rsidRPr="009C565F">
              <w:rPr>
                <w:rFonts w:ascii="Arial Narrow" w:eastAsiaTheme="majorEastAsia" w:hAnsi="Arial Narrow" w:cstheme="majorBidi"/>
                <w:bCs/>
                <w:sz w:val="20"/>
                <w:lang w:bidi="en-US"/>
              </w:rPr>
              <w:t>AE leading to discontinuation</w:t>
            </w:r>
          </w:p>
        </w:tc>
        <w:tc>
          <w:tcPr>
            <w:tcW w:w="1330" w:type="pct"/>
            <w:tcMar>
              <w:top w:w="0" w:type="dxa"/>
              <w:left w:w="28" w:type="dxa"/>
              <w:bottom w:w="0" w:type="dxa"/>
              <w:right w:w="28" w:type="dxa"/>
            </w:tcMar>
            <w:vAlign w:val="center"/>
          </w:tcPr>
          <w:p w14:paraId="07FBD688"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0</w:t>
            </w:r>
          </w:p>
        </w:tc>
        <w:tc>
          <w:tcPr>
            <w:tcW w:w="1407" w:type="pct"/>
            <w:tcMar>
              <w:left w:w="28" w:type="dxa"/>
              <w:right w:w="28" w:type="dxa"/>
            </w:tcMar>
            <w:vAlign w:val="center"/>
          </w:tcPr>
          <w:p w14:paraId="6361E011"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0</w:t>
            </w:r>
          </w:p>
        </w:tc>
        <w:tc>
          <w:tcPr>
            <w:tcW w:w="1328" w:type="pct"/>
            <w:tcMar>
              <w:top w:w="0" w:type="dxa"/>
              <w:left w:w="28" w:type="dxa"/>
              <w:bottom w:w="0" w:type="dxa"/>
              <w:right w:w="28" w:type="dxa"/>
            </w:tcMar>
            <w:vAlign w:val="center"/>
          </w:tcPr>
          <w:p w14:paraId="3CDDE303" w14:textId="77777777" w:rsidR="00787112" w:rsidRPr="009C565F"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r w:rsidR="00787112" w:rsidRPr="009C565F" w14:paraId="6ED11A69" w14:textId="77777777">
        <w:trPr>
          <w:cantSplit/>
        </w:trPr>
        <w:tc>
          <w:tcPr>
            <w:tcW w:w="935" w:type="pct"/>
            <w:tcMar>
              <w:top w:w="0" w:type="dxa"/>
              <w:left w:w="28" w:type="dxa"/>
              <w:bottom w:w="0" w:type="dxa"/>
              <w:right w:w="28" w:type="dxa"/>
            </w:tcMar>
            <w:vAlign w:val="center"/>
          </w:tcPr>
          <w:p w14:paraId="60940DB3" w14:textId="77777777" w:rsidR="00787112" w:rsidRPr="009C565F" w:rsidRDefault="00787112">
            <w:pPr>
              <w:keepNext/>
              <w:keepLines/>
              <w:jc w:val="left"/>
              <w:rPr>
                <w:rFonts w:ascii="Arial Narrow" w:eastAsiaTheme="majorEastAsia" w:hAnsi="Arial Narrow" w:cstheme="majorBidi"/>
                <w:bCs/>
                <w:sz w:val="20"/>
                <w:lang w:bidi="en-US"/>
              </w:rPr>
            </w:pPr>
            <w:r>
              <w:rPr>
                <w:rFonts w:ascii="Arial Narrow" w:eastAsiaTheme="majorEastAsia" w:hAnsi="Arial Narrow" w:cstheme="majorBidi"/>
                <w:bCs/>
                <w:sz w:val="20"/>
                <w:lang w:bidi="en-US"/>
              </w:rPr>
              <w:t>Deaths</w:t>
            </w:r>
          </w:p>
        </w:tc>
        <w:tc>
          <w:tcPr>
            <w:tcW w:w="1330" w:type="pct"/>
            <w:tcMar>
              <w:top w:w="0" w:type="dxa"/>
              <w:left w:w="28" w:type="dxa"/>
              <w:bottom w:w="0" w:type="dxa"/>
              <w:right w:w="28" w:type="dxa"/>
            </w:tcMar>
            <w:vAlign w:val="center"/>
          </w:tcPr>
          <w:p w14:paraId="2ADE7827" w14:textId="77777777" w:rsidR="00787112" w:rsidRPr="009C565F" w:rsidRDefault="00787112">
            <w:pPr>
              <w:keepNext/>
              <w:keepLines/>
              <w:jc w:val="center"/>
              <w:rPr>
                <w:rFonts w:ascii="Arial Narrow" w:eastAsiaTheme="majorEastAsia" w:hAnsi="Arial Narrow" w:cstheme="majorBidi"/>
                <w:bCs/>
                <w:sz w:val="20"/>
              </w:rPr>
            </w:pPr>
            <w:r w:rsidRPr="00924577">
              <w:rPr>
                <w:rFonts w:ascii="Arial Narrow" w:eastAsiaTheme="majorEastAsia" w:hAnsi="Arial Narrow" w:cstheme="majorBidi"/>
                <w:bCs/>
                <w:sz w:val="20"/>
              </w:rPr>
              <w:t>1 (1.7)</w:t>
            </w:r>
          </w:p>
        </w:tc>
        <w:tc>
          <w:tcPr>
            <w:tcW w:w="1407" w:type="pct"/>
            <w:tcMar>
              <w:left w:w="28" w:type="dxa"/>
              <w:right w:w="28" w:type="dxa"/>
            </w:tcMar>
            <w:vAlign w:val="center"/>
          </w:tcPr>
          <w:p w14:paraId="33B427C4" w14:textId="77777777" w:rsidR="00787112" w:rsidRPr="009C565F" w:rsidRDefault="00787112">
            <w:pPr>
              <w:keepNext/>
              <w:keepLines/>
              <w:jc w:val="center"/>
              <w:rPr>
                <w:rFonts w:ascii="Arial Narrow" w:eastAsiaTheme="majorEastAsia" w:hAnsi="Arial Narrow" w:cstheme="majorBidi"/>
                <w:bCs/>
                <w:sz w:val="20"/>
              </w:rPr>
            </w:pPr>
            <w:r>
              <w:rPr>
                <w:rFonts w:ascii="Arial Narrow" w:eastAsiaTheme="majorEastAsia" w:hAnsi="Arial Narrow" w:cstheme="majorBidi"/>
                <w:bCs/>
                <w:sz w:val="20"/>
              </w:rPr>
              <w:t>0 (0.0)</w:t>
            </w:r>
          </w:p>
        </w:tc>
        <w:tc>
          <w:tcPr>
            <w:tcW w:w="1328" w:type="pct"/>
            <w:tcMar>
              <w:top w:w="0" w:type="dxa"/>
              <w:left w:w="28" w:type="dxa"/>
              <w:bottom w:w="0" w:type="dxa"/>
              <w:right w:w="28" w:type="dxa"/>
            </w:tcMar>
            <w:vAlign w:val="center"/>
          </w:tcPr>
          <w:p w14:paraId="21665B81" w14:textId="77777777" w:rsidR="00787112" w:rsidRPr="009C565F" w:rsidRDefault="00787112">
            <w:pPr>
              <w:keepNext/>
              <w:keepLines/>
              <w:jc w:val="center"/>
              <w:rPr>
                <w:rFonts w:ascii="Arial Narrow" w:eastAsiaTheme="majorEastAsia" w:hAnsi="Arial Narrow" w:cstheme="majorBidi"/>
                <w:bCs/>
                <w:sz w:val="20"/>
                <w:lang w:bidi="en-US"/>
              </w:rPr>
            </w:pPr>
            <w:r>
              <w:rPr>
                <w:rFonts w:ascii="Arial Narrow" w:eastAsiaTheme="majorEastAsia" w:hAnsi="Arial Narrow" w:cstheme="majorBidi"/>
                <w:bCs/>
                <w:sz w:val="20"/>
                <w:lang w:bidi="en-US"/>
              </w:rPr>
              <w:t>NR</w:t>
            </w:r>
          </w:p>
        </w:tc>
      </w:tr>
    </w:tbl>
    <w:p w14:paraId="66EF10F9" w14:textId="578CB226" w:rsidR="00787112" w:rsidRPr="009C565F" w:rsidRDefault="00787112" w:rsidP="00787112">
      <w:pPr>
        <w:keepNext/>
        <w:keepLines/>
        <w:spacing w:after="120"/>
        <w:contextualSpacing/>
        <w:rPr>
          <w:rFonts w:ascii="Arial Narrow" w:hAnsi="Arial Narrow"/>
          <w:snapToGrid w:val="0"/>
          <w:sz w:val="18"/>
          <w:szCs w:val="22"/>
        </w:rPr>
      </w:pPr>
      <w:r w:rsidRPr="009C565F">
        <w:rPr>
          <w:rFonts w:ascii="Arial Narrow" w:hAnsi="Arial Narrow"/>
          <w:snapToGrid w:val="0"/>
          <w:sz w:val="18"/>
          <w:szCs w:val="22"/>
        </w:rPr>
        <w:t xml:space="preserve">Source: Table 2-84, 153; Table 2-154, p246; Table 2-86, p155; Table 2-98, p164; Table 2-103, </w:t>
      </w:r>
      <w:r>
        <w:rPr>
          <w:rFonts w:ascii="Arial Narrow" w:hAnsi="Arial Narrow"/>
          <w:snapToGrid w:val="0"/>
          <w:sz w:val="18"/>
          <w:szCs w:val="22"/>
        </w:rPr>
        <w:t xml:space="preserve">Table 2-104 </w:t>
      </w:r>
      <w:r w:rsidRPr="009C565F">
        <w:rPr>
          <w:rFonts w:ascii="Arial Narrow" w:hAnsi="Arial Narrow"/>
          <w:snapToGrid w:val="0"/>
          <w:sz w:val="18"/>
          <w:szCs w:val="22"/>
        </w:rPr>
        <w:t>p170 of the submission. NAVIGATOR CSR – Table 40, p205 and post</w:t>
      </w:r>
      <w:r>
        <w:rPr>
          <w:rFonts w:ascii="Arial Narrow" w:hAnsi="Arial Narrow"/>
          <w:snapToGrid w:val="0"/>
          <w:sz w:val="18"/>
          <w:szCs w:val="22"/>
        </w:rPr>
        <w:t>-</w:t>
      </w:r>
      <w:r w:rsidRPr="009C565F">
        <w:rPr>
          <w:rFonts w:ascii="Arial Narrow" w:hAnsi="Arial Narrow"/>
          <w:snapToGrid w:val="0"/>
          <w:sz w:val="18"/>
          <w:szCs w:val="22"/>
        </w:rPr>
        <w:t xml:space="preserve">hoc calculations using </w:t>
      </w:r>
      <w:hyperlink r:id="rId12" w:history="1">
        <w:r w:rsidRPr="00E92DAC">
          <w:rPr>
            <w:rStyle w:val="Hyperlink"/>
            <w:rFonts w:ascii="Arial Narrow" w:hAnsi="Arial Narrow"/>
            <w:snapToGrid w:val="0"/>
            <w:sz w:val="18"/>
            <w:szCs w:val="22"/>
          </w:rPr>
          <w:t>https://www.medcalc.org/calc/relative_risk.php</w:t>
        </w:r>
      </w:hyperlink>
    </w:p>
    <w:p w14:paraId="7C6B10C5" w14:textId="77777777" w:rsidR="00787112" w:rsidRPr="009C565F" w:rsidRDefault="00787112" w:rsidP="00787112">
      <w:pPr>
        <w:keepNext/>
        <w:keepLines/>
        <w:spacing w:after="120"/>
        <w:contextualSpacing/>
        <w:rPr>
          <w:rFonts w:ascii="Arial Narrow" w:hAnsi="Arial Narrow"/>
          <w:snapToGrid w:val="0"/>
          <w:sz w:val="18"/>
          <w:szCs w:val="22"/>
        </w:rPr>
      </w:pPr>
      <w:r w:rsidRPr="009C565F">
        <w:rPr>
          <w:rFonts w:ascii="Arial Narrow" w:hAnsi="Arial Narrow"/>
          <w:snapToGrid w:val="0"/>
          <w:sz w:val="18"/>
          <w:szCs w:val="22"/>
        </w:rPr>
        <w:t xml:space="preserve">AE = adverse event; CI = confidence interval; q4w = every 4 weeks; q8w = every 8 weeks; RR = rate ratio; </w:t>
      </w:r>
      <w:r>
        <w:rPr>
          <w:rFonts w:ascii="Arial Narrow" w:hAnsi="Arial Narrow"/>
          <w:snapToGrid w:val="0"/>
          <w:sz w:val="18"/>
          <w:szCs w:val="22"/>
        </w:rPr>
        <w:t xml:space="preserve">SAE = Serious adverse event; </w:t>
      </w:r>
      <w:r w:rsidRPr="009C565F">
        <w:rPr>
          <w:rFonts w:ascii="Arial Narrow" w:hAnsi="Arial Narrow"/>
          <w:snapToGrid w:val="0"/>
          <w:sz w:val="18"/>
          <w:szCs w:val="22"/>
        </w:rPr>
        <w:t>NR= not reported.</w:t>
      </w:r>
    </w:p>
    <w:p w14:paraId="326F607C" w14:textId="77777777" w:rsidR="00787112" w:rsidRDefault="00787112" w:rsidP="00787112">
      <w:pPr>
        <w:keepNext/>
        <w:keepLines/>
        <w:spacing w:after="120"/>
        <w:contextualSpacing/>
        <w:rPr>
          <w:rFonts w:ascii="Arial Narrow" w:hAnsi="Arial Narrow"/>
          <w:snapToGrid w:val="0"/>
          <w:sz w:val="18"/>
          <w:szCs w:val="22"/>
          <w:lang w:eastAsia="zh-CN"/>
        </w:rPr>
      </w:pPr>
      <w:proofErr w:type="spellStart"/>
      <w:r w:rsidRPr="009C3B68">
        <w:rPr>
          <w:rFonts w:ascii="Arial Narrow" w:hAnsi="Arial Narrow"/>
          <w:snapToGrid w:val="0"/>
          <w:sz w:val="18"/>
          <w:szCs w:val="22"/>
          <w:vertAlign w:val="superscript"/>
        </w:rPr>
        <w:t>a</w:t>
      </w:r>
      <w:proofErr w:type="spellEnd"/>
      <w:r w:rsidRPr="009C565F">
        <w:rPr>
          <w:rFonts w:ascii="Arial Narrow" w:hAnsi="Arial Narrow"/>
          <w:snapToGrid w:val="0"/>
          <w:sz w:val="18"/>
          <w:szCs w:val="22"/>
        </w:rPr>
        <w:t xml:space="preserve"> </w:t>
      </w:r>
      <w:proofErr w:type="gramStart"/>
      <w:r w:rsidRPr="009C565F">
        <w:rPr>
          <w:rFonts w:ascii="Arial Narrow" w:hAnsi="Arial Narrow"/>
          <w:snapToGrid w:val="0"/>
          <w:sz w:val="18"/>
          <w:szCs w:val="22"/>
        </w:rPr>
        <w:t>The</w:t>
      </w:r>
      <w:proofErr w:type="gramEnd"/>
      <w:r w:rsidRPr="009C565F">
        <w:rPr>
          <w:rFonts w:ascii="Arial Narrow" w:hAnsi="Arial Narrow"/>
          <w:snapToGrid w:val="0"/>
          <w:sz w:val="18"/>
          <w:szCs w:val="22"/>
        </w:rPr>
        <w:t xml:space="preserve"> submission stated that 2</w:t>
      </w:r>
      <w:r w:rsidRPr="009C565F">
        <w:rPr>
          <w:rFonts w:ascii="Arial Narrow" w:hAnsi="Arial Narrow"/>
          <w:snapToGrid w:val="0"/>
          <w:sz w:val="18"/>
          <w:szCs w:val="22"/>
          <w:lang w:eastAsia="zh-CN"/>
        </w:rPr>
        <w:t xml:space="preserve"> deaths occurred during the </w:t>
      </w:r>
      <w:proofErr w:type="gramStart"/>
      <w:r w:rsidRPr="009C565F">
        <w:rPr>
          <w:rFonts w:ascii="Arial Narrow" w:hAnsi="Arial Narrow"/>
          <w:snapToGrid w:val="0"/>
          <w:sz w:val="18"/>
          <w:szCs w:val="22"/>
          <w:lang w:eastAsia="zh-CN"/>
        </w:rPr>
        <w:t>on study</w:t>
      </w:r>
      <w:proofErr w:type="gramEnd"/>
      <w:r w:rsidRPr="009C565F">
        <w:rPr>
          <w:rFonts w:ascii="Arial Narrow" w:hAnsi="Arial Narrow"/>
          <w:snapToGrid w:val="0"/>
          <w:sz w:val="18"/>
          <w:szCs w:val="22"/>
          <w:lang w:eastAsia="zh-CN"/>
        </w:rPr>
        <w:t xml:space="preserve"> period, both of which occurred in the placebo group (one due to an unknown cause and one due to cardiac failure). Neither death was considered by the investigator to be related to the investigational product (p158 of the submission)</w:t>
      </w:r>
    </w:p>
    <w:p w14:paraId="75D545E4" w14:textId="77777777" w:rsidR="00787112" w:rsidRPr="001D310D" w:rsidRDefault="00787112" w:rsidP="00787112">
      <w:pPr>
        <w:keepNext/>
        <w:keepLines/>
        <w:spacing w:after="120"/>
        <w:contextualSpacing/>
        <w:rPr>
          <w:rFonts w:ascii="Arial Narrow" w:eastAsia="Calibri" w:hAnsi="Arial Narrow"/>
          <w:snapToGrid w:val="0"/>
          <w:sz w:val="18"/>
          <w:szCs w:val="22"/>
        </w:rPr>
      </w:pPr>
      <w:proofErr w:type="gramStart"/>
      <w:r>
        <w:rPr>
          <w:rFonts w:ascii="Arial Narrow" w:eastAsia="Calibri" w:hAnsi="Arial Narrow"/>
          <w:snapToGrid w:val="0"/>
          <w:sz w:val="18"/>
          <w:szCs w:val="22"/>
          <w:vertAlign w:val="superscript"/>
        </w:rPr>
        <w:t>b</w:t>
      </w:r>
      <w:r w:rsidRPr="001D310D">
        <w:rPr>
          <w:rFonts w:ascii="Arial Narrow" w:eastAsia="Calibri" w:hAnsi="Arial Narrow"/>
          <w:snapToGrid w:val="0"/>
          <w:sz w:val="18"/>
          <w:szCs w:val="22"/>
          <w:vertAlign w:val="superscript"/>
        </w:rPr>
        <w:t xml:space="preserve">  </w:t>
      </w:r>
      <w:r w:rsidRPr="001D310D">
        <w:rPr>
          <w:rFonts w:ascii="Arial Narrow" w:eastAsia="Calibri" w:hAnsi="Arial Narrow"/>
          <w:snapToGrid w:val="0"/>
          <w:sz w:val="18"/>
          <w:szCs w:val="22"/>
        </w:rPr>
        <w:t>Tezepelumab</w:t>
      </w:r>
      <w:proofErr w:type="gramEnd"/>
      <w:r w:rsidRPr="001D310D">
        <w:rPr>
          <w:rFonts w:ascii="Arial Narrow" w:eastAsia="Calibri" w:hAnsi="Arial Narrow"/>
          <w:snapToGrid w:val="0"/>
          <w:sz w:val="18"/>
          <w:szCs w:val="22"/>
        </w:rPr>
        <w:t xml:space="preserve"> plus </w:t>
      </w:r>
      <w:r>
        <w:rPr>
          <w:rFonts w:ascii="Arial Narrow" w:eastAsia="Calibri" w:hAnsi="Arial Narrow"/>
          <w:snapToGrid w:val="0"/>
          <w:sz w:val="18"/>
          <w:szCs w:val="22"/>
        </w:rPr>
        <w:t>Tezepelumab (N=</w:t>
      </w:r>
      <w:r w:rsidRPr="001D310D">
        <w:rPr>
          <w:rFonts w:ascii="Arial Narrow" w:eastAsia="Calibri" w:hAnsi="Arial Narrow"/>
          <w:snapToGrid w:val="0"/>
          <w:sz w:val="18"/>
          <w:szCs w:val="22"/>
        </w:rPr>
        <w:t xml:space="preserve"> </w:t>
      </w:r>
      <w:r>
        <w:rPr>
          <w:rFonts w:ascii="Arial Narrow" w:eastAsia="Calibri" w:hAnsi="Arial Narrow"/>
          <w:snapToGrid w:val="0"/>
          <w:sz w:val="18"/>
          <w:szCs w:val="22"/>
        </w:rPr>
        <w:t xml:space="preserve">415) </w:t>
      </w:r>
      <w:r w:rsidRPr="001D310D">
        <w:rPr>
          <w:rFonts w:ascii="Arial Narrow" w:eastAsia="Calibri" w:hAnsi="Arial Narrow"/>
          <w:snapToGrid w:val="0"/>
          <w:sz w:val="18"/>
          <w:szCs w:val="22"/>
        </w:rPr>
        <w:t>versus placebo plus placebo</w:t>
      </w:r>
      <w:r>
        <w:rPr>
          <w:rFonts w:ascii="Arial Narrow" w:eastAsia="Calibri" w:hAnsi="Arial Narrow"/>
          <w:snapToGrid w:val="0"/>
          <w:sz w:val="18"/>
          <w:szCs w:val="22"/>
        </w:rPr>
        <w:t xml:space="preserve"> (N=206)</w:t>
      </w:r>
      <w:r w:rsidRPr="001D310D">
        <w:rPr>
          <w:rFonts w:ascii="Arial Narrow" w:eastAsia="Calibri" w:hAnsi="Arial Narrow"/>
          <w:snapToGrid w:val="0"/>
          <w:sz w:val="18"/>
          <w:szCs w:val="22"/>
        </w:rPr>
        <w:t xml:space="preserve"> (FAS-LTE) </w:t>
      </w:r>
    </w:p>
    <w:p w14:paraId="11E73BA9" w14:textId="77777777" w:rsidR="00787112" w:rsidRPr="00216FF3" w:rsidRDefault="00787112" w:rsidP="00787112">
      <w:pPr>
        <w:keepNext/>
        <w:keepLines/>
        <w:spacing w:after="120"/>
        <w:contextualSpacing/>
        <w:rPr>
          <w:rFonts w:ascii="Arial Narrow" w:eastAsia="Calibri" w:hAnsi="Arial Narrow"/>
          <w:snapToGrid w:val="0"/>
          <w:sz w:val="18"/>
          <w:szCs w:val="22"/>
        </w:rPr>
      </w:pPr>
      <w:r>
        <w:rPr>
          <w:rFonts w:ascii="Arial Narrow" w:eastAsia="Calibri" w:hAnsi="Arial Narrow"/>
          <w:snapToGrid w:val="0"/>
          <w:sz w:val="18"/>
          <w:szCs w:val="22"/>
          <w:vertAlign w:val="superscript"/>
        </w:rPr>
        <w:t>c</w:t>
      </w:r>
      <w:r>
        <w:rPr>
          <w:rFonts w:ascii="Arial Narrow" w:eastAsia="Calibri" w:hAnsi="Arial Narrow"/>
          <w:snapToGrid w:val="0"/>
          <w:sz w:val="18"/>
          <w:szCs w:val="22"/>
        </w:rPr>
        <w:t xml:space="preserve"> </w:t>
      </w:r>
      <w:r w:rsidRPr="009C565F">
        <w:rPr>
          <w:rFonts w:ascii="Arial Narrow" w:eastAsia="Calibri" w:hAnsi="Arial Narrow"/>
          <w:snapToGrid w:val="0"/>
          <w:sz w:val="18"/>
          <w:szCs w:val="22"/>
        </w:rPr>
        <w:t>Tezepelumab</w:t>
      </w:r>
      <w:r>
        <w:rPr>
          <w:rFonts w:ascii="Arial Narrow" w:eastAsia="Calibri" w:hAnsi="Arial Narrow"/>
          <w:snapToGrid w:val="0"/>
          <w:sz w:val="18"/>
          <w:szCs w:val="22"/>
        </w:rPr>
        <w:t xml:space="preserve"> plus</w:t>
      </w:r>
      <w:r w:rsidRPr="009C565F">
        <w:rPr>
          <w:rFonts w:ascii="Arial Narrow" w:eastAsia="Calibri" w:hAnsi="Arial Narrow"/>
          <w:snapToGrid w:val="0"/>
          <w:sz w:val="18"/>
          <w:szCs w:val="22"/>
        </w:rPr>
        <w:t xml:space="preserve"> </w:t>
      </w:r>
      <w:proofErr w:type="spellStart"/>
      <w:r w:rsidRPr="009C565F">
        <w:rPr>
          <w:rFonts w:ascii="Arial Narrow" w:eastAsia="Calibri" w:hAnsi="Arial Narrow"/>
          <w:snapToGrid w:val="0"/>
          <w:sz w:val="18"/>
          <w:szCs w:val="22"/>
        </w:rPr>
        <w:t>tezepelumab</w:t>
      </w:r>
      <w:proofErr w:type="spellEnd"/>
      <w:r w:rsidRPr="009C565F">
        <w:rPr>
          <w:rFonts w:ascii="Arial Narrow" w:eastAsia="Calibri" w:hAnsi="Arial Narrow"/>
          <w:snapToGrid w:val="0"/>
          <w:sz w:val="18"/>
          <w:szCs w:val="22"/>
        </w:rPr>
        <w:t xml:space="preserve"> </w:t>
      </w:r>
      <w:r>
        <w:rPr>
          <w:rFonts w:ascii="Arial Narrow" w:eastAsia="Calibri" w:hAnsi="Arial Narrow"/>
          <w:snapToGrid w:val="0"/>
          <w:sz w:val="18"/>
          <w:szCs w:val="22"/>
        </w:rPr>
        <w:t xml:space="preserve">(N= 60) </w:t>
      </w:r>
      <w:r w:rsidRPr="009C565F">
        <w:rPr>
          <w:rFonts w:ascii="Arial Narrow" w:eastAsia="Calibri" w:hAnsi="Arial Narrow"/>
          <w:snapToGrid w:val="0"/>
          <w:sz w:val="18"/>
          <w:szCs w:val="22"/>
        </w:rPr>
        <w:t>versus placebo</w:t>
      </w:r>
      <w:r>
        <w:rPr>
          <w:rFonts w:ascii="Arial Narrow" w:eastAsia="Calibri" w:hAnsi="Arial Narrow"/>
          <w:snapToGrid w:val="0"/>
          <w:sz w:val="18"/>
          <w:szCs w:val="22"/>
        </w:rPr>
        <w:t xml:space="preserve"> plus </w:t>
      </w:r>
      <w:r w:rsidRPr="009C565F">
        <w:rPr>
          <w:rFonts w:ascii="Arial Narrow" w:eastAsia="Calibri" w:hAnsi="Arial Narrow"/>
          <w:snapToGrid w:val="0"/>
          <w:sz w:val="18"/>
          <w:szCs w:val="22"/>
        </w:rPr>
        <w:t>placebo</w:t>
      </w:r>
      <w:r>
        <w:rPr>
          <w:rFonts w:ascii="Arial Narrow" w:eastAsia="Calibri" w:hAnsi="Arial Narrow"/>
          <w:snapToGrid w:val="0"/>
          <w:sz w:val="18"/>
          <w:szCs w:val="22"/>
        </w:rPr>
        <w:t xml:space="preserve"> (N=32) (FAS-LTE) </w:t>
      </w:r>
    </w:p>
    <w:p w14:paraId="6EE8715F" w14:textId="77777777" w:rsidR="00787112" w:rsidRPr="00525F13" w:rsidRDefault="00787112" w:rsidP="00787112">
      <w:pPr>
        <w:pStyle w:val="3-BodyText"/>
        <w:numPr>
          <w:ilvl w:val="1"/>
          <w:numId w:val="1"/>
        </w:numPr>
        <w:ind w:left="709"/>
      </w:pPr>
      <w:r>
        <w:t xml:space="preserve">Adverse events in the </w:t>
      </w:r>
      <w:proofErr w:type="spellStart"/>
      <w:r>
        <w:t>tezepelumab</w:t>
      </w:r>
      <w:proofErr w:type="spellEnd"/>
      <w:r>
        <w:t xml:space="preserve"> versus placebo groups occurred in 77% versus 80% of patients, respectively, in the NAVIGATOR study; 72% versus 86%, respectively, in the SOURCE study; and 66% of patients in each group in the PATHWAY study. </w:t>
      </w:r>
    </w:p>
    <w:p w14:paraId="66524571" w14:textId="55E3822F" w:rsidR="00787112" w:rsidRDefault="00787112" w:rsidP="00787112">
      <w:pPr>
        <w:pStyle w:val="3-BodyText"/>
        <w:numPr>
          <w:ilvl w:val="1"/>
          <w:numId w:val="1"/>
        </w:numPr>
        <w:ind w:left="709"/>
      </w:pPr>
      <w:bookmarkStart w:id="47" w:name="_Ref208750365"/>
      <w:r>
        <w:t xml:space="preserve">The frequency of adverse events in the DESTINATION study was generally balanced between the </w:t>
      </w:r>
      <w:proofErr w:type="spellStart"/>
      <w:r>
        <w:t>tezepelumab</w:t>
      </w:r>
      <w:proofErr w:type="spellEnd"/>
      <w:r>
        <w:t xml:space="preserve"> and placebo groups. </w:t>
      </w:r>
      <w:r w:rsidRPr="00525F13">
        <w:t xml:space="preserve">However, </w:t>
      </w:r>
      <w:r w:rsidRPr="00E0652F">
        <w:t xml:space="preserve">a numerical imbalance in both the </w:t>
      </w:r>
      <w:r>
        <w:t xml:space="preserve">deaths and </w:t>
      </w:r>
      <w:r w:rsidRPr="00E0652F">
        <w:t>cardiac disorder System Organ Class (SOC) serious adverse event</w:t>
      </w:r>
      <w:r>
        <w:t>s</w:t>
      </w:r>
      <w:r w:rsidRPr="00E0652F">
        <w:t xml:space="preserve"> were noted by the sponsor </w:t>
      </w:r>
      <w:r>
        <w:t>when considering the FAS and were subject to further evaluation (</w:t>
      </w:r>
      <w:r>
        <w:fldChar w:fldCharType="begin"/>
      </w:r>
      <w:r>
        <w:instrText xml:space="preserve"> REF _Ref208681607 \h  \* MERGEFORMAT </w:instrText>
      </w:r>
      <w:r>
        <w:fldChar w:fldCharType="separate"/>
      </w:r>
      <w:r w:rsidR="0078760A">
        <w:t>Table 11</w:t>
      </w:r>
      <w:r>
        <w:fldChar w:fldCharType="end"/>
      </w:r>
      <w:r>
        <w:t xml:space="preserve">). Investigator assessment and blinded Independent Adjudication Committee review reported that none of the deaths were considered related to </w:t>
      </w:r>
      <w:proofErr w:type="spellStart"/>
      <w:r>
        <w:t>tezepelumab</w:t>
      </w:r>
      <w:proofErr w:type="spellEnd"/>
      <w:r>
        <w:t xml:space="preserve">. In terms of the cardiac disorder SOC serious adverse events, the </w:t>
      </w:r>
      <w:proofErr w:type="spellStart"/>
      <w:r>
        <w:t>tezepelumab</w:t>
      </w:r>
      <w:proofErr w:type="spellEnd"/>
      <w:r>
        <w:t xml:space="preserve"> TGA product information states ‘In a long-term clinical study, there were more numerically serious cardiac adverse events observed in patients treated with </w:t>
      </w:r>
      <w:proofErr w:type="spellStart"/>
      <w:r>
        <w:t>tezepelumab</w:t>
      </w:r>
      <w:proofErr w:type="spellEnd"/>
      <w:r>
        <w:t xml:space="preserve"> compared to those treated with placebo. No causal relationship between </w:t>
      </w:r>
      <w:proofErr w:type="spellStart"/>
      <w:r>
        <w:t>tezepelumab</w:t>
      </w:r>
      <w:proofErr w:type="spellEnd"/>
      <w:r>
        <w:t xml:space="preserve"> and these events has been established, nor has a patient population at risk of these events been identified.’ The product information notes the figures in </w:t>
      </w:r>
      <w:r>
        <w:fldChar w:fldCharType="begin"/>
      </w:r>
      <w:r>
        <w:instrText xml:space="preserve"> REF _Ref208681607 \h  \* MERGEFORMAT </w:instrText>
      </w:r>
      <w:r>
        <w:fldChar w:fldCharType="separate"/>
      </w:r>
      <w:r w:rsidR="0078760A">
        <w:t>Table 11</w:t>
      </w:r>
      <w:r>
        <w:fldChar w:fldCharType="end"/>
      </w:r>
      <w:r>
        <w:t xml:space="preserve"> and states ‘The difference in events compared with placebo was present despite a similar spread of cardiovascular risk factors and diagnoses between the drug and the placebo groups at baseline. All patients who experienced a serious cardiac adverse event had an existing cardiovascular disorder or at least two cardiovascular risk factors at baseline. The types of serious cardiac adverse events were heterogeneous.’ The product information states that patients should be advised of signs or symptoms suggestive of a cardiac event and to seek immediate medical attention if such symptoms occur.</w:t>
      </w:r>
      <w:bookmarkEnd w:id="47"/>
      <w:r>
        <w:t xml:space="preserve"> </w:t>
      </w:r>
    </w:p>
    <w:p w14:paraId="7D3EEAAC" w14:textId="3F83AC06" w:rsidR="00787112" w:rsidRPr="00E0652F" w:rsidRDefault="00787112" w:rsidP="00787112">
      <w:pPr>
        <w:pStyle w:val="TableFigureHeading"/>
      </w:pPr>
      <w:bookmarkStart w:id="48" w:name="_Ref208681607"/>
      <w:r>
        <w:t xml:space="preserve">Table </w:t>
      </w:r>
      <w:r w:rsidR="001146FA">
        <w:fldChar w:fldCharType="begin"/>
      </w:r>
      <w:r w:rsidR="001146FA">
        <w:instrText xml:space="preserve"> SEQ Table \* ARABIC </w:instrText>
      </w:r>
      <w:r w:rsidR="001146FA">
        <w:fldChar w:fldCharType="separate"/>
      </w:r>
      <w:r w:rsidR="0078760A">
        <w:rPr>
          <w:noProof/>
        </w:rPr>
        <w:t>11</w:t>
      </w:r>
      <w:r w:rsidR="001146FA">
        <w:rPr>
          <w:noProof/>
        </w:rPr>
        <w:fldChar w:fldCharType="end"/>
      </w:r>
      <w:bookmarkEnd w:id="48"/>
      <w:r>
        <w:t xml:space="preserve">: </w:t>
      </w:r>
      <w:r w:rsidRPr="00E0652F">
        <w:t xml:space="preserve">Summary of </w:t>
      </w:r>
      <w:r>
        <w:t>d</w:t>
      </w:r>
      <w:r w:rsidRPr="00E0652F">
        <w:t xml:space="preserve">eaths and </w:t>
      </w:r>
      <w:r>
        <w:t>c</w:t>
      </w:r>
      <w:r w:rsidRPr="00E0652F">
        <w:t xml:space="preserve">ardiac </w:t>
      </w:r>
      <w:r>
        <w:t>d</w:t>
      </w:r>
      <w:r w:rsidRPr="00E0652F">
        <w:t xml:space="preserve">isorder SOC SAEs in DESTINATION </w:t>
      </w:r>
      <w:r>
        <w:t>(</w:t>
      </w:r>
      <w:r w:rsidRPr="00E0652F">
        <w:t>NAVIGATOR and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deaths and cardiac disorder SOC SAEs in DESTINATION (NAVIGATOR and SOURCE)"/>
      </w:tblPr>
      <w:tblGrid>
        <w:gridCol w:w="1696"/>
        <w:gridCol w:w="2035"/>
        <w:gridCol w:w="1793"/>
        <w:gridCol w:w="1701"/>
        <w:gridCol w:w="1792"/>
      </w:tblGrid>
      <w:tr w:rsidR="00787112" w:rsidRPr="00E0652F" w14:paraId="268702BF" w14:textId="77777777">
        <w:trPr>
          <w:tblHeader/>
        </w:trPr>
        <w:tc>
          <w:tcPr>
            <w:tcW w:w="1696" w:type="dxa"/>
            <w:vMerge w:val="restart"/>
            <w:vAlign w:val="center"/>
          </w:tcPr>
          <w:p w14:paraId="71BDB487" w14:textId="77777777" w:rsidR="00787112" w:rsidRPr="00E0652F" w:rsidRDefault="00787112">
            <w:pPr>
              <w:pStyle w:val="NormalBeforeBullet"/>
              <w:spacing w:after="0"/>
              <w:rPr>
                <w:rFonts w:ascii="Arial Narrow" w:hAnsi="Arial Narrow"/>
                <w:b/>
                <w:sz w:val="20"/>
                <w:szCs w:val="20"/>
              </w:rPr>
            </w:pPr>
            <w:bookmarkStart w:id="49" w:name="_Hlk103253909"/>
          </w:p>
        </w:tc>
        <w:tc>
          <w:tcPr>
            <w:tcW w:w="3828" w:type="dxa"/>
            <w:gridSpan w:val="2"/>
            <w:vAlign w:val="center"/>
          </w:tcPr>
          <w:p w14:paraId="15C39C8D" w14:textId="77777777" w:rsidR="00787112" w:rsidRPr="007A6615" w:rsidRDefault="00787112">
            <w:pPr>
              <w:pStyle w:val="NormalBeforeBullet"/>
              <w:spacing w:after="0"/>
              <w:jc w:val="center"/>
              <w:rPr>
                <w:rFonts w:ascii="Arial Narrow" w:hAnsi="Arial Narrow"/>
                <w:b/>
                <w:sz w:val="20"/>
                <w:szCs w:val="20"/>
                <w:vertAlign w:val="superscript"/>
              </w:rPr>
            </w:pPr>
            <w:r w:rsidRPr="00E0652F">
              <w:rPr>
                <w:rFonts w:ascii="Arial Narrow" w:hAnsi="Arial Narrow"/>
                <w:b/>
                <w:sz w:val="20"/>
                <w:szCs w:val="20"/>
              </w:rPr>
              <w:t>All T</w:t>
            </w:r>
            <w:r>
              <w:rPr>
                <w:rFonts w:ascii="Arial Narrow" w:hAnsi="Arial Narrow"/>
                <w:b/>
                <w:sz w:val="20"/>
                <w:szCs w:val="20"/>
              </w:rPr>
              <w:t>EZE</w:t>
            </w:r>
            <w:r w:rsidRPr="00E0652F">
              <w:rPr>
                <w:rFonts w:ascii="Arial Narrow" w:hAnsi="Arial Narrow"/>
                <w:b/>
                <w:sz w:val="20"/>
                <w:szCs w:val="20"/>
              </w:rPr>
              <w:t xml:space="preserve"> (N=839)</w:t>
            </w:r>
            <w:r>
              <w:rPr>
                <w:rFonts w:ascii="Arial Narrow" w:hAnsi="Arial Narrow"/>
                <w:b/>
                <w:sz w:val="20"/>
                <w:szCs w:val="20"/>
              </w:rPr>
              <w:t xml:space="preserve"> </w:t>
            </w:r>
            <w:r>
              <w:rPr>
                <w:rFonts w:ascii="Arial Narrow" w:hAnsi="Arial Narrow"/>
                <w:b/>
                <w:sz w:val="20"/>
                <w:szCs w:val="20"/>
                <w:vertAlign w:val="superscript"/>
              </w:rPr>
              <w:t>a</w:t>
            </w:r>
          </w:p>
          <w:p w14:paraId="0C598A4B" w14:textId="77777777" w:rsidR="00787112" w:rsidRPr="00E0652F" w:rsidRDefault="00787112">
            <w:pPr>
              <w:pStyle w:val="NormalBeforeBullet"/>
              <w:spacing w:after="0"/>
              <w:jc w:val="center"/>
              <w:rPr>
                <w:rFonts w:ascii="Arial Narrow" w:hAnsi="Arial Narrow"/>
                <w:b/>
                <w:sz w:val="20"/>
                <w:szCs w:val="20"/>
              </w:rPr>
            </w:pPr>
            <w:r w:rsidRPr="00E0652F">
              <w:rPr>
                <w:rFonts w:ascii="Arial Narrow" w:hAnsi="Arial Narrow"/>
                <w:b/>
                <w:sz w:val="20"/>
                <w:szCs w:val="20"/>
              </w:rPr>
              <w:t>Total time at risk on treatment = 1282.9</w:t>
            </w:r>
            <w:r>
              <w:rPr>
                <w:rFonts w:ascii="Arial Narrow" w:hAnsi="Arial Narrow"/>
                <w:b/>
                <w:sz w:val="20"/>
                <w:szCs w:val="20"/>
              </w:rPr>
              <w:t xml:space="preserve"> </w:t>
            </w:r>
            <w:r w:rsidRPr="00E0652F">
              <w:rPr>
                <w:rFonts w:ascii="Arial Narrow" w:hAnsi="Arial Narrow"/>
                <w:b/>
                <w:sz w:val="20"/>
                <w:szCs w:val="20"/>
              </w:rPr>
              <w:t>y</w:t>
            </w:r>
          </w:p>
          <w:p w14:paraId="621B1425" w14:textId="77777777" w:rsidR="00787112" w:rsidRPr="00E0652F" w:rsidRDefault="00787112">
            <w:pPr>
              <w:pStyle w:val="NormalBeforeBullet"/>
              <w:spacing w:after="0"/>
              <w:jc w:val="center"/>
              <w:rPr>
                <w:rFonts w:ascii="Arial Narrow" w:hAnsi="Arial Narrow"/>
                <w:b/>
                <w:sz w:val="20"/>
                <w:szCs w:val="20"/>
              </w:rPr>
            </w:pPr>
            <w:r w:rsidRPr="00E0652F">
              <w:rPr>
                <w:rFonts w:ascii="Arial Narrow" w:hAnsi="Arial Narrow"/>
                <w:b/>
                <w:sz w:val="20"/>
                <w:szCs w:val="20"/>
              </w:rPr>
              <w:t>Total time at risk on study = 1379.6 y</w:t>
            </w:r>
          </w:p>
        </w:tc>
        <w:tc>
          <w:tcPr>
            <w:tcW w:w="3493" w:type="dxa"/>
            <w:gridSpan w:val="2"/>
            <w:vAlign w:val="center"/>
          </w:tcPr>
          <w:p w14:paraId="43E0B26C" w14:textId="77777777" w:rsidR="00787112" w:rsidRPr="007A6615" w:rsidRDefault="00787112">
            <w:pPr>
              <w:pStyle w:val="NormalBeforeBullet"/>
              <w:spacing w:after="0"/>
              <w:jc w:val="center"/>
              <w:rPr>
                <w:rFonts w:ascii="Arial Narrow" w:hAnsi="Arial Narrow"/>
                <w:b/>
                <w:sz w:val="20"/>
                <w:szCs w:val="20"/>
                <w:vertAlign w:val="superscript"/>
              </w:rPr>
            </w:pPr>
            <w:r w:rsidRPr="00E0652F">
              <w:rPr>
                <w:rFonts w:ascii="Arial Narrow" w:hAnsi="Arial Narrow"/>
                <w:b/>
                <w:sz w:val="20"/>
                <w:szCs w:val="20"/>
              </w:rPr>
              <w:t>Rand placebo (N=607)</w:t>
            </w:r>
            <w:r>
              <w:rPr>
                <w:rFonts w:ascii="Arial Narrow" w:hAnsi="Arial Narrow"/>
                <w:b/>
                <w:sz w:val="20"/>
                <w:szCs w:val="20"/>
              </w:rPr>
              <w:t xml:space="preserve"> </w:t>
            </w:r>
            <w:r>
              <w:rPr>
                <w:rFonts w:ascii="Arial Narrow" w:hAnsi="Arial Narrow"/>
                <w:b/>
                <w:sz w:val="20"/>
                <w:szCs w:val="20"/>
                <w:vertAlign w:val="superscript"/>
              </w:rPr>
              <w:t>a</w:t>
            </w:r>
          </w:p>
          <w:p w14:paraId="1E29B10D" w14:textId="77777777" w:rsidR="00787112" w:rsidRPr="00E0652F" w:rsidRDefault="00787112">
            <w:pPr>
              <w:pStyle w:val="NormalBeforeBullet"/>
              <w:spacing w:after="0"/>
              <w:jc w:val="center"/>
              <w:rPr>
                <w:rFonts w:ascii="Arial Narrow" w:hAnsi="Arial Narrow"/>
                <w:b/>
                <w:sz w:val="20"/>
                <w:szCs w:val="20"/>
              </w:rPr>
            </w:pPr>
            <w:r w:rsidRPr="00E0652F">
              <w:rPr>
                <w:rFonts w:ascii="Arial Narrow" w:hAnsi="Arial Narrow"/>
                <w:b/>
                <w:sz w:val="20"/>
                <w:szCs w:val="20"/>
              </w:rPr>
              <w:t>Total time at risk on treatment = 799.0</w:t>
            </w:r>
            <w:r>
              <w:rPr>
                <w:rFonts w:ascii="Arial Narrow" w:hAnsi="Arial Narrow"/>
                <w:b/>
                <w:sz w:val="20"/>
                <w:szCs w:val="20"/>
              </w:rPr>
              <w:t xml:space="preserve"> </w:t>
            </w:r>
            <w:r w:rsidRPr="00E0652F">
              <w:rPr>
                <w:rFonts w:ascii="Arial Narrow" w:hAnsi="Arial Narrow"/>
                <w:b/>
                <w:sz w:val="20"/>
                <w:szCs w:val="20"/>
              </w:rPr>
              <w:t>y</w:t>
            </w:r>
          </w:p>
          <w:p w14:paraId="407A1511" w14:textId="77777777" w:rsidR="00787112" w:rsidRPr="00E0652F" w:rsidRDefault="00787112">
            <w:pPr>
              <w:pStyle w:val="NormalBeforeBullet"/>
              <w:spacing w:after="0"/>
              <w:jc w:val="center"/>
              <w:rPr>
                <w:rFonts w:ascii="Arial Narrow" w:hAnsi="Arial Narrow"/>
                <w:b/>
                <w:sz w:val="20"/>
                <w:szCs w:val="20"/>
              </w:rPr>
            </w:pPr>
            <w:r w:rsidRPr="00E0652F">
              <w:rPr>
                <w:rFonts w:ascii="Arial Narrow" w:hAnsi="Arial Narrow"/>
                <w:b/>
                <w:sz w:val="20"/>
                <w:szCs w:val="20"/>
              </w:rPr>
              <w:t>Total time at risk on study = 868.3 y</w:t>
            </w:r>
          </w:p>
        </w:tc>
      </w:tr>
      <w:tr w:rsidR="00787112" w:rsidRPr="00E0652F" w14:paraId="122B2ED6" w14:textId="77777777">
        <w:trPr>
          <w:tblHeader/>
        </w:trPr>
        <w:tc>
          <w:tcPr>
            <w:tcW w:w="1696" w:type="dxa"/>
            <w:vMerge/>
            <w:vAlign w:val="center"/>
          </w:tcPr>
          <w:p w14:paraId="24811D80" w14:textId="77777777" w:rsidR="00787112" w:rsidRPr="00E0652F" w:rsidRDefault="00787112">
            <w:pPr>
              <w:pStyle w:val="NormalBeforeBullet"/>
              <w:spacing w:after="0"/>
              <w:rPr>
                <w:rFonts w:ascii="Arial Narrow" w:hAnsi="Arial Narrow"/>
                <w:b/>
                <w:sz w:val="20"/>
                <w:szCs w:val="20"/>
              </w:rPr>
            </w:pPr>
          </w:p>
        </w:tc>
        <w:tc>
          <w:tcPr>
            <w:tcW w:w="2035" w:type="dxa"/>
          </w:tcPr>
          <w:p w14:paraId="08556F40" w14:textId="77777777" w:rsidR="00787112" w:rsidRPr="00E0652F" w:rsidRDefault="00787112">
            <w:pPr>
              <w:pStyle w:val="NormalBeforeBullet"/>
              <w:spacing w:after="0"/>
              <w:jc w:val="center"/>
              <w:rPr>
                <w:rFonts w:ascii="Arial Narrow" w:hAnsi="Arial Narrow"/>
                <w:b/>
                <w:sz w:val="20"/>
                <w:szCs w:val="20"/>
              </w:rPr>
            </w:pPr>
            <w:r w:rsidRPr="00E0652F">
              <w:rPr>
                <w:rFonts w:ascii="Arial Narrow" w:hAnsi="Arial Narrow"/>
                <w:b/>
                <w:sz w:val="20"/>
                <w:szCs w:val="20"/>
              </w:rPr>
              <w:t>N</w:t>
            </w:r>
          </w:p>
        </w:tc>
        <w:tc>
          <w:tcPr>
            <w:tcW w:w="1793" w:type="dxa"/>
          </w:tcPr>
          <w:p w14:paraId="5099A31F" w14:textId="77777777" w:rsidR="00787112" w:rsidRPr="00E0652F" w:rsidRDefault="00787112">
            <w:pPr>
              <w:pStyle w:val="NormalBeforeBullet"/>
              <w:spacing w:after="0"/>
              <w:jc w:val="center"/>
              <w:rPr>
                <w:rFonts w:ascii="Arial Narrow" w:hAnsi="Arial Narrow"/>
                <w:b/>
                <w:sz w:val="20"/>
                <w:szCs w:val="20"/>
              </w:rPr>
            </w:pPr>
            <w:r>
              <w:rPr>
                <w:rFonts w:ascii="Arial Narrow" w:hAnsi="Arial Narrow"/>
                <w:b/>
                <w:sz w:val="20"/>
                <w:szCs w:val="20"/>
              </w:rPr>
              <w:t xml:space="preserve">IR (95% CI)/100 </w:t>
            </w:r>
            <w:proofErr w:type="spellStart"/>
            <w:r>
              <w:rPr>
                <w:rFonts w:ascii="Arial Narrow" w:hAnsi="Arial Narrow"/>
                <w:b/>
                <w:sz w:val="20"/>
                <w:szCs w:val="20"/>
              </w:rPr>
              <w:t>py</w:t>
            </w:r>
            <w:proofErr w:type="spellEnd"/>
          </w:p>
        </w:tc>
        <w:tc>
          <w:tcPr>
            <w:tcW w:w="1701" w:type="dxa"/>
          </w:tcPr>
          <w:p w14:paraId="3113B0EF" w14:textId="77777777" w:rsidR="00787112" w:rsidRPr="00E0652F" w:rsidRDefault="00787112">
            <w:pPr>
              <w:pStyle w:val="NormalBeforeBullet"/>
              <w:spacing w:after="0"/>
              <w:jc w:val="center"/>
              <w:rPr>
                <w:rFonts w:ascii="Arial Narrow" w:hAnsi="Arial Narrow"/>
                <w:b/>
                <w:sz w:val="20"/>
                <w:szCs w:val="20"/>
              </w:rPr>
            </w:pPr>
            <w:r w:rsidRPr="00E0652F">
              <w:rPr>
                <w:rFonts w:ascii="Arial Narrow" w:hAnsi="Arial Narrow"/>
                <w:b/>
                <w:sz w:val="20"/>
                <w:szCs w:val="20"/>
              </w:rPr>
              <w:t xml:space="preserve">N </w:t>
            </w:r>
          </w:p>
        </w:tc>
        <w:tc>
          <w:tcPr>
            <w:tcW w:w="1792" w:type="dxa"/>
          </w:tcPr>
          <w:p w14:paraId="5B777E0A" w14:textId="77777777" w:rsidR="00787112" w:rsidRPr="00E0652F" w:rsidRDefault="00787112">
            <w:pPr>
              <w:pStyle w:val="NormalBeforeBullet"/>
              <w:spacing w:after="0"/>
              <w:jc w:val="center"/>
              <w:rPr>
                <w:rFonts w:ascii="Arial Narrow" w:hAnsi="Arial Narrow"/>
                <w:b/>
                <w:sz w:val="20"/>
                <w:szCs w:val="20"/>
              </w:rPr>
            </w:pPr>
            <w:r>
              <w:rPr>
                <w:rFonts w:ascii="Arial Narrow" w:hAnsi="Arial Narrow"/>
                <w:b/>
                <w:sz w:val="20"/>
                <w:szCs w:val="20"/>
              </w:rPr>
              <w:t>IR (95% CI)/100py</w:t>
            </w:r>
          </w:p>
        </w:tc>
      </w:tr>
      <w:tr w:rsidR="00787112" w:rsidRPr="00E0652F" w14:paraId="16966377" w14:textId="77777777">
        <w:tc>
          <w:tcPr>
            <w:tcW w:w="9017" w:type="dxa"/>
            <w:gridSpan w:val="5"/>
            <w:vAlign w:val="center"/>
          </w:tcPr>
          <w:p w14:paraId="1DB07C1F" w14:textId="77777777" w:rsidR="00787112" w:rsidRPr="00E0652F" w:rsidRDefault="00787112">
            <w:pPr>
              <w:pStyle w:val="NormalBeforeBullet"/>
              <w:spacing w:after="0"/>
              <w:rPr>
                <w:rFonts w:ascii="Arial Narrow" w:hAnsi="Arial Narrow"/>
                <w:bCs/>
                <w:sz w:val="20"/>
                <w:szCs w:val="20"/>
              </w:rPr>
            </w:pPr>
            <w:r w:rsidRPr="00E0652F">
              <w:rPr>
                <w:rFonts w:ascii="Arial Narrow" w:hAnsi="Arial Narrow"/>
                <w:b/>
                <w:sz w:val="20"/>
                <w:szCs w:val="20"/>
              </w:rPr>
              <w:t>Death</w:t>
            </w:r>
          </w:p>
        </w:tc>
      </w:tr>
      <w:tr w:rsidR="00787112" w:rsidRPr="00E0652F" w14:paraId="58326BD1" w14:textId="77777777">
        <w:tc>
          <w:tcPr>
            <w:tcW w:w="1696" w:type="dxa"/>
            <w:vAlign w:val="center"/>
          </w:tcPr>
          <w:p w14:paraId="22729A88" w14:textId="77777777" w:rsidR="00787112" w:rsidRPr="00E0652F" w:rsidRDefault="00787112">
            <w:pPr>
              <w:pStyle w:val="NormalBeforeBullet"/>
              <w:spacing w:after="0"/>
              <w:rPr>
                <w:rFonts w:ascii="Arial Narrow" w:hAnsi="Arial Narrow"/>
                <w:bCs/>
                <w:sz w:val="20"/>
                <w:szCs w:val="20"/>
              </w:rPr>
            </w:pPr>
            <w:r w:rsidRPr="00E0652F">
              <w:rPr>
                <w:rFonts w:ascii="Arial Narrow" w:hAnsi="Arial Narrow"/>
                <w:bCs/>
                <w:sz w:val="20"/>
                <w:szCs w:val="20"/>
              </w:rPr>
              <w:t>On treatment</w:t>
            </w:r>
          </w:p>
        </w:tc>
        <w:tc>
          <w:tcPr>
            <w:tcW w:w="2035" w:type="dxa"/>
            <w:vAlign w:val="center"/>
          </w:tcPr>
          <w:p w14:paraId="219F2621"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10</w:t>
            </w:r>
          </w:p>
        </w:tc>
        <w:tc>
          <w:tcPr>
            <w:tcW w:w="1793" w:type="dxa"/>
            <w:vAlign w:val="center"/>
          </w:tcPr>
          <w:p w14:paraId="718687D8"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0.78 (0.37, 1.43)</w:t>
            </w:r>
          </w:p>
        </w:tc>
        <w:tc>
          <w:tcPr>
            <w:tcW w:w="1701" w:type="dxa"/>
            <w:vAlign w:val="center"/>
          </w:tcPr>
          <w:p w14:paraId="51164ABA"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1</w:t>
            </w:r>
          </w:p>
        </w:tc>
        <w:tc>
          <w:tcPr>
            <w:tcW w:w="1792" w:type="dxa"/>
          </w:tcPr>
          <w:p w14:paraId="5F3D92B7"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0.13 (0.00, 0.7)</w:t>
            </w:r>
          </w:p>
        </w:tc>
      </w:tr>
      <w:tr w:rsidR="00787112" w:rsidRPr="00E0652F" w14:paraId="2F58F8F1" w14:textId="77777777">
        <w:tc>
          <w:tcPr>
            <w:tcW w:w="1696" w:type="dxa"/>
            <w:vAlign w:val="center"/>
          </w:tcPr>
          <w:p w14:paraId="215F1C00" w14:textId="77777777" w:rsidR="00787112" w:rsidRPr="00E0652F" w:rsidRDefault="00787112">
            <w:pPr>
              <w:pStyle w:val="NormalBeforeBullet"/>
              <w:spacing w:after="0"/>
              <w:rPr>
                <w:rFonts w:ascii="Arial Narrow" w:hAnsi="Arial Narrow"/>
                <w:bCs/>
                <w:sz w:val="20"/>
                <w:szCs w:val="20"/>
              </w:rPr>
            </w:pPr>
            <w:r w:rsidRPr="00E0652F">
              <w:rPr>
                <w:rFonts w:ascii="Arial Narrow" w:hAnsi="Arial Narrow"/>
                <w:bCs/>
                <w:sz w:val="20"/>
                <w:szCs w:val="20"/>
              </w:rPr>
              <w:t>On study</w:t>
            </w:r>
          </w:p>
        </w:tc>
        <w:tc>
          <w:tcPr>
            <w:tcW w:w="2035" w:type="dxa"/>
            <w:vAlign w:val="center"/>
          </w:tcPr>
          <w:p w14:paraId="58C1F521"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11</w:t>
            </w:r>
          </w:p>
        </w:tc>
        <w:tc>
          <w:tcPr>
            <w:tcW w:w="1793" w:type="dxa"/>
            <w:vAlign w:val="center"/>
          </w:tcPr>
          <w:p w14:paraId="23E5D79E"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0.80 (0.40, 1.43)</w:t>
            </w:r>
          </w:p>
        </w:tc>
        <w:tc>
          <w:tcPr>
            <w:tcW w:w="1701" w:type="dxa"/>
            <w:vAlign w:val="center"/>
          </w:tcPr>
          <w:p w14:paraId="438DA011"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5</w:t>
            </w:r>
          </w:p>
        </w:tc>
        <w:tc>
          <w:tcPr>
            <w:tcW w:w="1792" w:type="dxa"/>
          </w:tcPr>
          <w:p w14:paraId="2B427396"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0.58 (0.19, 1.34)</w:t>
            </w:r>
          </w:p>
        </w:tc>
      </w:tr>
      <w:tr w:rsidR="00787112" w:rsidRPr="00E0652F" w14:paraId="2123E7CD" w14:textId="77777777">
        <w:tc>
          <w:tcPr>
            <w:tcW w:w="9017" w:type="dxa"/>
            <w:gridSpan w:val="5"/>
            <w:vAlign w:val="center"/>
          </w:tcPr>
          <w:p w14:paraId="0352F8EA" w14:textId="77777777" w:rsidR="00787112" w:rsidRPr="00E0652F" w:rsidRDefault="00787112">
            <w:pPr>
              <w:pStyle w:val="NormalBeforeBullet"/>
              <w:spacing w:after="0"/>
              <w:rPr>
                <w:rFonts w:ascii="Arial Narrow" w:hAnsi="Arial Narrow"/>
                <w:bCs/>
                <w:sz w:val="20"/>
                <w:szCs w:val="20"/>
              </w:rPr>
            </w:pPr>
            <w:r w:rsidRPr="00E0652F">
              <w:rPr>
                <w:rFonts w:ascii="Arial Narrow" w:hAnsi="Arial Narrow"/>
                <w:b/>
                <w:sz w:val="20"/>
                <w:szCs w:val="20"/>
              </w:rPr>
              <w:t>Cardiac disorder SOC SAEs</w:t>
            </w:r>
          </w:p>
        </w:tc>
      </w:tr>
      <w:tr w:rsidR="00787112" w:rsidRPr="00E0652F" w14:paraId="7755FDE7" w14:textId="77777777">
        <w:tc>
          <w:tcPr>
            <w:tcW w:w="1696" w:type="dxa"/>
            <w:vAlign w:val="center"/>
          </w:tcPr>
          <w:p w14:paraId="79805F31" w14:textId="77777777" w:rsidR="00787112" w:rsidRPr="00E0652F" w:rsidRDefault="00787112">
            <w:pPr>
              <w:pStyle w:val="NormalBeforeBullet"/>
              <w:spacing w:after="0"/>
              <w:rPr>
                <w:rFonts w:ascii="Arial Narrow" w:hAnsi="Arial Narrow"/>
                <w:bCs/>
                <w:sz w:val="20"/>
                <w:szCs w:val="20"/>
              </w:rPr>
            </w:pPr>
            <w:r w:rsidRPr="00E0652F">
              <w:rPr>
                <w:rFonts w:ascii="Arial Narrow" w:hAnsi="Arial Narrow"/>
                <w:bCs/>
                <w:sz w:val="20"/>
                <w:szCs w:val="20"/>
              </w:rPr>
              <w:t>On treatment</w:t>
            </w:r>
          </w:p>
        </w:tc>
        <w:tc>
          <w:tcPr>
            <w:tcW w:w="2035" w:type="dxa"/>
            <w:vAlign w:val="center"/>
          </w:tcPr>
          <w:p w14:paraId="4CD0C2BA"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17</w:t>
            </w:r>
          </w:p>
        </w:tc>
        <w:tc>
          <w:tcPr>
            <w:tcW w:w="1793" w:type="dxa"/>
            <w:vAlign w:val="center"/>
          </w:tcPr>
          <w:p w14:paraId="7FCB3102"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1.33 (0.77, 2.12)</w:t>
            </w:r>
          </w:p>
        </w:tc>
        <w:tc>
          <w:tcPr>
            <w:tcW w:w="1701" w:type="dxa"/>
            <w:vAlign w:val="center"/>
          </w:tcPr>
          <w:p w14:paraId="312418F5"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0</w:t>
            </w:r>
          </w:p>
        </w:tc>
        <w:tc>
          <w:tcPr>
            <w:tcW w:w="1792" w:type="dxa"/>
          </w:tcPr>
          <w:p w14:paraId="50DE32F7"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0.00 (0.00, 0.37)</w:t>
            </w:r>
          </w:p>
        </w:tc>
      </w:tr>
      <w:tr w:rsidR="00787112" w:rsidRPr="00E0652F" w14:paraId="016668F4" w14:textId="77777777">
        <w:tc>
          <w:tcPr>
            <w:tcW w:w="1696" w:type="dxa"/>
            <w:vAlign w:val="center"/>
          </w:tcPr>
          <w:p w14:paraId="38FA6E65" w14:textId="77777777" w:rsidR="00787112" w:rsidRPr="00E0652F" w:rsidRDefault="00787112">
            <w:pPr>
              <w:pStyle w:val="NormalBeforeBullet"/>
              <w:spacing w:after="0"/>
              <w:rPr>
                <w:rFonts w:ascii="Arial Narrow" w:hAnsi="Arial Narrow"/>
                <w:bCs/>
                <w:sz w:val="20"/>
                <w:szCs w:val="20"/>
              </w:rPr>
            </w:pPr>
            <w:r w:rsidRPr="00E0652F">
              <w:rPr>
                <w:rFonts w:ascii="Arial Narrow" w:hAnsi="Arial Narrow"/>
                <w:bCs/>
                <w:sz w:val="20"/>
                <w:szCs w:val="20"/>
              </w:rPr>
              <w:t>On study</w:t>
            </w:r>
          </w:p>
        </w:tc>
        <w:tc>
          <w:tcPr>
            <w:tcW w:w="2035" w:type="dxa"/>
            <w:vAlign w:val="center"/>
          </w:tcPr>
          <w:p w14:paraId="7A69ECAF"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18</w:t>
            </w:r>
          </w:p>
        </w:tc>
        <w:tc>
          <w:tcPr>
            <w:tcW w:w="1793" w:type="dxa"/>
            <w:vAlign w:val="center"/>
          </w:tcPr>
          <w:p w14:paraId="4CA9E72A"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1.30 (0.77, 2.06)</w:t>
            </w:r>
          </w:p>
        </w:tc>
        <w:tc>
          <w:tcPr>
            <w:tcW w:w="1701" w:type="dxa"/>
            <w:vAlign w:val="center"/>
          </w:tcPr>
          <w:p w14:paraId="2D161E2F"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2</w:t>
            </w:r>
          </w:p>
        </w:tc>
        <w:tc>
          <w:tcPr>
            <w:tcW w:w="1792" w:type="dxa"/>
          </w:tcPr>
          <w:p w14:paraId="4490C871" w14:textId="77777777" w:rsidR="00787112" w:rsidRPr="00E0652F" w:rsidRDefault="00787112">
            <w:pPr>
              <w:pStyle w:val="NormalBeforeBullet"/>
              <w:spacing w:after="0"/>
              <w:jc w:val="center"/>
              <w:rPr>
                <w:rFonts w:ascii="Arial Narrow" w:hAnsi="Arial Narrow"/>
                <w:bCs/>
                <w:sz w:val="20"/>
                <w:szCs w:val="20"/>
              </w:rPr>
            </w:pPr>
            <w:r w:rsidRPr="00E0652F">
              <w:rPr>
                <w:rFonts w:ascii="Arial Narrow" w:hAnsi="Arial Narrow"/>
                <w:bCs/>
                <w:sz w:val="20"/>
                <w:szCs w:val="20"/>
              </w:rPr>
              <w:t>0.23 (0.03, 0.83)</w:t>
            </w:r>
          </w:p>
        </w:tc>
      </w:tr>
    </w:tbl>
    <w:bookmarkEnd w:id="49"/>
    <w:p w14:paraId="50D4FA35" w14:textId="77777777" w:rsidR="00787112" w:rsidRPr="00E0652F" w:rsidRDefault="00787112" w:rsidP="00787112">
      <w:pPr>
        <w:pStyle w:val="TableFigureFooter"/>
      </w:pPr>
      <w:r w:rsidRPr="00E0652F">
        <w:t xml:space="preserve">Source: </w:t>
      </w:r>
      <w:r>
        <w:t xml:space="preserve">Table 2-111, p178. </w:t>
      </w:r>
    </w:p>
    <w:p w14:paraId="158FAB7C" w14:textId="77777777" w:rsidR="00787112" w:rsidRPr="00E0652F" w:rsidRDefault="00787112" w:rsidP="00787112">
      <w:pPr>
        <w:pStyle w:val="TableFigureFooter"/>
      </w:pPr>
      <w:r w:rsidRPr="00A906EE">
        <w:rPr>
          <w:color w:val="000000" w:themeColor="text1"/>
        </w:rPr>
        <w:t xml:space="preserve">CI = confidence interval; IR = incidence rate; PBO = placebo; </w:t>
      </w:r>
      <w:proofErr w:type="spellStart"/>
      <w:r w:rsidRPr="00A906EE">
        <w:rPr>
          <w:color w:val="000000" w:themeColor="text1"/>
        </w:rPr>
        <w:t>py</w:t>
      </w:r>
      <w:proofErr w:type="spellEnd"/>
      <w:r w:rsidRPr="00A906EE">
        <w:rPr>
          <w:color w:val="000000" w:themeColor="text1"/>
        </w:rPr>
        <w:t xml:space="preserve"> = person years; Rand = randomised; SAE = serious adverse event; SOC = System Organ Class; TEZE = </w:t>
      </w:r>
      <w:proofErr w:type="spellStart"/>
      <w:r w:rsidRPr="00A906EE">
        <w:rPr>
          <w:color w:val="000000" w:themeColor="text1"/>
        </w:rPr>
        <w:t>tezepelumab</w:t>
      </w:r>
      <w:proofErr w:type="spellEnd"/>
      <w:r w:rsidRPr="00A906EE">
        <w:rPr>
          <w:color w:val="000000" w:themeColor="text1"/>
        </w:rPr>
        <w:t>; y = years</w:t>
      </w:r>
    </w:p>
    <w:p w14:paraId="43B26606" w14:textId="77777777" w:rsidR="00787112" w:rsidRDefault="00787112" w:rsidP="00787112">
      <w:pPr>
        <w:pStyle w:val="TableFigureFooter"/>
      </w:pPr>
      <w:r w:rsidRPr="00E0652F">
        <w:t xml:space="preserve">Note: Incidence rate = Number of subjects with AEs divided by the total time at risk across all subjects in given treatment group, multiplied by 100. The 95% CI for the incidence rate is calculated using a chi-square distribution and for the </w:t>
      </w:r>
      <w:proofErr w:type="gramStart"/>
      <w:r w:rsidRPr="00E0652F">
        <w:t>0 rate</w:t>
      </w:r>
      <w:proofErr w:type="gramEnd"/>
      <w:r w:rsidRPr="00E0652F">
        <w:t xml:space="preserve"> a (0, 1-sided 95% CI) is included.</w:t>
      </w:r>
    </w:p>
    <w:p w14:paraId="2E00D3F1" w14:textId="77777777" w:rsidR="00787112" w:rsidRPr="00B02D49" w:rsidRDefault="00787112" w:rsidP="00787112">
      <w:pPr>
        <w:pStyle w:val="TableFigureFooter"/>
        <w:jc w:val="both"/>
      </w:pPr>
      <w:proofErr w:type="spellStart"/>
      <w:r>
        <w:rPr>
          <w:vertAlign w:val="superscript"/>
        </w:rPr>
        <w:t>a</w:t>
      </w:r>
      <w:proofErr w:type="spellEnd"/>
      <w:r>
        <w:rPr>
          <w:vertAlign w:val="superscript"/>
        </w:rPr>
        <w:t xml:space="preserve"> </w:t>
      </w:r>
      <w:r w:rsidRPr="00A906EE">
        <w:rPr>
          <w:color w:val="000000" w:themeColor="text1"/>
        </w:rPr>
        <w:t>All TEZE includes subjects randomised to TEZE in the predecessor studies NAVIGATOR and SOURCE and subjects re-randomised from PBO to TEZE in DESTINATION (and as such the N includes the 1 subject randomised to TEZE in DESTINATION with a fatal AE prior to receiving TEZE, however the fatal AE is counted under the Rand PBO group). Rand PBO includes subjects randomised to placebo in the predecessor studies.</w:t>
      </w:r>
    </w:p>
    <w:p w14:paraId="0DDECC81" w14:textId="4CC65A83" w:rsidR="002A1677" w:rsidRPr="00EE227E" w:rsidRDefault="002A1677" w:rsidP="002A1677">
      <w:pPr>
        <w:pStyle w:val="COMESnumberedpara"/>
        <w:rPr>
          <w:iCs/>
        </w:rPr>
      </w:pPr>
      <w:bookmarkStart w:id="50" w:name="_Ref211513568"/>
      <w:r w:rsidRPr="00EE227E">
        <w:rPr>
          <w:iCs/>
        </w:rPr>
        <w:t xml:space="preserve">The PSCR noted that the </w:t>
      </w:r>
      <w:proofErr w:type="spellStart"/>
      <w:r w:rsidRPr="00EE227E">
        <w:rPr>
          <w:iCs/>
        </w:rPr>
        <w:t>tezepelumab</w:t>
      </w:r>
      <w:proofErr w:type="spellEnd"/>
      <w:r w:rsidRPr="00EE227E">
        <w:rPr>
          <w:iCs/>
        </w:rPr>
        <w:t xml:space="preserve"> cumulative global post-marketing patient exposure (January 2022</w:t>
      </w:r>
      <w:r w:rsidRPr="00EE227E">
        <w:rPr>
          <w:rFonts w:cstheme="minorHAnsi"/>
          <w:iCs/>
        </w:rPr>
        <w:t>−</w:t>
      </w:r>
      <w:r w:rsidRPr="00EE227E">
        <w:rPr>
          <w:iCs/>
        </w:rPr>
        <w:t xml:space="preserve">30 November 2024) includes an estimated 73,425 patient-years and reports 131 serious cardiac events with 75 medically confirmed. The Response noted that no causal relationship between </w:t>
      </w:r>
      <w:proofErr w:type="spellStart"/>
      <w:r w:rsidRPr="00EE227E">
        <w:rPr>
          <w:iCs/>
        </w:rPr>
        <w:t>tezepelumab</w:t>
      </w:r>
      <w:proofErr w:type="spellEnd"/>
      <w:r w:rsidRPr="00EE227E">
        <w:rPr>
          <w:iCs/>
        </w:rPr>
        <w:t xml:space="preserve"> and these events has been established. </w:t>
      </w:r>
      <w:bookmarkEnd w:id="50"/>
    </w:p>
    <w:p w14:paraId="70CF7D45" w14:textId="61013EA0" w:rsidR="00787112" w:rsidRPr="006C5610" w:rsidRDefault="00787112" w:rsidP="00787112">
      <w:pPr>
        <w:pStyle w:val="3-BodyText"/>
        <w:numPr>
          <w:ilvl w:val="1"/>
          <w:numId w:val="1"/>
        </w:numPr>
        <w:ind w:left="709"/>
      </w:pPr>
      <w:r>
        <w:fldChar w:fldCharType="begin"/>
      </w:r>
      <w:r>
        <w:instrText xml:space="preserve"> REF _Ref206422589 \h  \* MERGEFORMAT </w:instrText>
      </w:r>
      <w:r>
        <w:fldChar w:fldCharType="separate"/>
      </w:r>
      <w:r w:rsidR="0078760A">
        <w:t>Table 12</w:t>
      </w:r>
      <w:r>
        <w:fldChar w:fldCharType="end"/>
      </w:r>
      <w:r>
        <w:t xml:space="preserve"> </w:t>
      </w:r>
      <w:r w:rsidRPr="00566DF6">
        <w:t>presents the results of the safety indirect comparison (</w:t>
      </w:r>
      <w:proofErr w:type="spellStart"/>
      <w:r w:rsidRPr="00566DF6">
        <w:t>tezepelumab</w:t>
      </w:r>
      <w:proofErr w:type="spellEnd"/>
      <w:r w:rsidRPr="00566DF6">
        <w:t xml:space="preserve"> vs dupilumab). </w:t>
      </w:r>
      <w:r w:rsidRPr="006C5610">
        <w:t xml:space="preserve">All indirect comparisons favoured </w:t>
      </w:r>
      <w:proofErr w:type="spellStart"/>
      <w:r w:rsidRPr="006C5610">
        <w:t>tezepelumab</w:t>
      </w:r>
      <w:proofErr w:type="spellEnd"/>
      <w:r w:rsidRPr="006C5610">
        <w:t xml:space="preserve">. Indirect comparisons of the additional comparators </w:t>
      </w:r>
      <w:proofErr w:type="spellStart"/>
      <w:r w:rsidRPr="006C5610">
        <w:t>benralizumab</w:t>
      </w:r>
      <w:proofErr w:type="spellEnd"/>
      <w:r w:rsidRPr="006C5610">
        <w:t xml:space="preserve">, mepolizumab and omalizumab are </w:t>
      </w:r>
      <w:r w:rsidR="00611CA7" w:rsidRPr="00EE227E">
        <w:rPr>
          <w:iCs/>
        </w:rPr>
        <w:t>not discussed in this document.</w:t>
      </w:r>
    </w:p>
    <w:p w14:paraId="6305AD29" w14:textId="6FB6219D" w:rsidR="00787112" w:rsidRDefault="00787112" w:rsidP="00787112">
      <w:pPr>
        <w:pStyle w:val="TableFigureHeading"/>
      </w:pPr>
      <w:bookmarkStart w:id="51" w:name="_Ref206422589"/>
      <w:r>
        <w:t xml:space="preserve">Table </w:t>
      </w:r>
      <w:r w:rsidR="001146FA">
        <w:fldChar w:fldCharType="begin"/>
      </w:r>
      <w:r w:rsidR="001146FA">
        <w:instrText xml:space="preserve"> SEQ Table \* ARABIC </w:instrText>
      </w:r>
      <w:r w:rsidR="001146FA">
        <w:fldChar w:fldCharType="separate"/>
      </w:r>
      <w:r w:rsidR="0078760A">
        <w:rPr>
          <w:noProof/>
        </w:rPr>
        <w:t>12</w:t>
      </w:r>
      <w:r w:rsidR="001146FA">
        <w:rPr>
          <w:noProof/>
        </w:rPr>
        <w:fldChar w:fldCharType="end"/>
      </w:r>
      <w:bookmarkEnd w:id="51"/>
      <w:r w:rsidRPr="00573DD6">
        <w:t xml:space="preserve">: </w:t>
      </w:r>
      <w:r w:rsidRPr="00692FF7">
        <w:t>Eosinophilic or allergic SUA</w:t>
      </w:r>
      <w:r>
        <w:t xml:space="preserve"> r</w:t>
      </w:r>
      <w:r w:rsidRPr="00573DD6">
        <w:t>esults of the safety indirect comparison (</w:t>
      </w:r>
      <w:proofErr w:type="spellStart"/>
      <w:r w:rsidRPr="00573DD6">
        <w:t>tezepelumab</w:t>
      </w:r>
      <w:proofErr w:type="spellEnd"/>
      <w:r w:rsidRPr="00573DD6">
        <w:t xml:space="preserve"> vs dupilumab)</w:t>
      </w:r>
    </w:p>
    <w:tbl>
      <w:tblPr>
        <w:tblStyle w:val="TableGrid"/>
        <w:tblW w:w="5000" w:type="pct"/>
        <w:tblLook w:val="04A0" w:firstRow="1" w:lastRow="0" w:firstColumn="1" w:lastColumn="0" w:noHBand="0" w:noVBand="1"/>
        <w:tblCaption w:val="Eosinophilic or allergic SUA results of the safety indirect comparison (tezepelumab vs dupilumab)"/>
      </w:tblPr>
      <w:tblGrid>
        <w:gridCol w:w="1980"/>
        <w:gridCol w:w="3466"/>
        <w:gridCol w:w="3571"/>
      </w:tblGrid>
      <w:tr w:rsidR="00787112" w:rsidRPr="00DD3197" w14:paraId="515142AD" w14:textId="77777777">
        <w:trPr>
          <w:tblHeader/>
        </w:trPr>
        <w:tc>
          <w:tcPr>
            <w:tcW w:w="1098" w:type="pct"/>
            <w:tcBorders>
              <w:top w:val="single" w:sz="4" w:space="0" w:color="auto"/>
              <w:left w:val="single" w:sz="4" w:space="0" w:color="auto"/>
              <w:bottom w:val="single" w:sz="4" w:space="0" w:color="auto"/>
              <w:right w:val="single" w:sz="4" w:space="0" w:color="auto"/>
            </w:tcBorders>
            <w:hideMark/>
          </w:tcPr>
          <w:p w14:paraId="6BD0E9B7" w14:textId="77777777" w:rsidR="00787112" w:rsidRPr="00DD3197" w:rsidRDefault="00787112">
            <w:pPr>
              <w:keepNext/>
              <w:keepLines/>
              <w:jc w:val="center"/>
              <w:rPr>
                <w:rFonts w:ascii="Arial Narrow" w:eastAsiaTheme="majorEastAsia" w:hAnsi="Arial Narrow" w:cstheme="majorBidi"/>
                <w:b/>
                <w:sz w:val="20"/>
                <w:szCs w:val="20"/>
              </w:rPr>
            </w:pPr>
            <w:r w:rsidRPr="00DD3197">
              <w:rPr>
                <w:rFonts w:ascii="Arial Narrow" w:eastAsiaTheme="majorEastAsia" w:hAnsi="Arial Narrow" w:cstheme="majorBidi"/>
                <w:b/>
                <w:sz w:val="20"/>
                <w:szCs w:val="20"/>
              </w:rPr>
              <w:t>Analysis</w:t>
            </w:r>
          </w:p>
        </w:tc>
        <w:tc>
          <w:tcPr>
            <w:tcW w:w="1922" w:type="pct"/>
            <w:tcBorders>
              <w:top w:val="single" w:sz="4" w:space="0" w:color="auto"/>
              <w:left w:val="single" w:sz="4" w:space="0" w:color="auto"/>
              <w:bottom w:val="single" w:sz="4" w:space="0" w:color="auto"/>
              <w:right w:val="single" w:sz="4" w:space="0" w:color="auto"/>
            </w:tcBorders>
            <w:hideMark/>
          </w:tcPr>
          <w:p w14:paraId="48A2F9EE" w14:textId="77777777" w:rsidR="00787112" w:rsidRPr="00DD3197" w:rsidRDefault="00787112">
            <w:pPr>
              <w:keepNext/>
              <w:keepLines/>
              <w:jc w:val="center"/>
              <w:rPr>
                <w:rFonts w:ascii="Arial Narrow" w:eastAsiaTheme="majorEastAsia" w:hAnsi="Arial Narrow" w:cstheme="majorBidi"/>
                <w:b/>
                <w:sz w:val="20"/>
                <w:szCs w:val="20"/>
              </w:rPr>
            </w:pPr>
            <w:r w:rsidRPr="00DD3197">
              <w:rPr>
                <w:rFonts w:ascii="Arial Narrow" w:eastAsiaTheme="majorEastAsia" w:hAnsi="Arial Narrow" w:cstheme="majorBidi"/>
                <w:b/>
                <w:sz w:val="20"/>
                <w:szCs w:val="20"/>
              </w:rPr>
              <w:t>Comparison (n)</w:t>
            </w:r>
          </w:p>
        </w:tc>
        <w:tc>
          <w:tcPr>
            <w:tcW w:w="1980" w:type="pct"/>
            <w:tcBorders>
              <w:top w:val="single" w:sz="4" w:space="0" w:color="auto"/>
              <w:left w:val="single" w:sz="4" w:space="0" w:color="auto"/>
              <w:bottom w:val="single" w:sz="4" w:space="0" w:color="auto"/>
              <w:right w:val="single" w:sz="4" w:space="0" w:color="auto"/>
            </w:tcBorders>
            <w:hideMark/>
          </w:tcPr>
          <w:p w14:paraId="2F5B0165" w14:textId="77777777" w:rsidR="00787112" w:rsidRPr="00DD3197" w:rsidRDefault="00787112">
            <w:pPr>
              <w:keepNext/>
              <w:keepLines/>
              <w:jc w:val="center"/>
              <w:rPr>
                <w:rFonts w:ascii="Arial Narrow" w:eastAsiaTheme="majorEastAsia" w:hAnsi="Arial Narrow" w:cstheme="majorBidi"/>
                <w:b/>
                <w:sz w:val="20"/>
                <w:szCs w:val="20"/>
              </w:rPr>
            </w:pPr>
            <w:r w:rsidRPr="00DD3197">
              <w:rPr>
                <w:rFonts w:ascii="Arial Narrow" w:eastAsiaTheme="majorEastAsia" w:hAnsi="Arial Narrow" w:cstheme="majorBidi"/>
                <w:b/>
                <w:sz w:val="20"/>
                <w:szCs w:val="20"/>
              </w:rPr>
              <w:t>RR (95% CI)</w:t>
            </w:r>
          </w:p>
        </w:tc>
      </w:tr>
      <w:tr w:rsidR="00787112" w:rsidRPr="00DD3197" w14:paraId="50611801"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3577CF86" w14:textId="77777777" w:rsidR="00787112" w:rsidRPr="00DD3197" w:rsidRDefault="00787112">
            <w:pPr>
              <w:keepNext/>
              <w:keepLines/>
              <w:jc w:val="left"/>
              <w:rPr>
                <w:rFonts w:ascii="Arial Narrow" w:eastAsiaTheme="majorEastAsia" w:hAnsi="Arial Narrow"/>
                <w:b/>
                <w:sz w:val="20"/>
                <w:szCs w:val="20"/>
              </w:rPr>
            </w:pPr>
            <w:r>
              <w:rPr>
                <w:rFonts w:ascii="Arial Narrow" w:eastAsiaTheme="majorEastAsia" w:hAnsi="Arial Narrow"/>
                <w:b/>
                <w:sz w:val="20"/>
                <w:szCs w:val="20"/>
              </w:rPr>
              <w:t xml:space="preserve">Safety </w:t>
            </w:r>
          </w:p>
        </w:tc>
      </w:tr>
      <w:tr w:rsidR="00787112" w:rsidRPr="00DD3197" w14:paraId="7572576A" w14:textId="77777777">
        <w:tc>
          <w:tcPr>
            <w:tcW w:w="1098" w:type="pct"/>
            <w:tcBorders>
              <w:top w:val="single" w:sz="4" w:space="0" w:color="auto"/>
              <w:left w:val="single" w:sz="4" w:space="0" w:color="auto"/>
              <w:bottom w:val="single" w:sz="4" w:space="0" w:color="auto"/>
              <w:right w:val="single" w:sz="4" w:space="0" w:color="auto"/>
            </w:tcBorders>
            <w:hideMark/>
          </w:tcPr>
          <w:p w14:paraId="37E2AD6A" w14:textId="77777777" w:rsidR="00787112" w:rsidRPr="00DD3197" w:rsidRDefault="00787112">
            <w:pPr>
              <w:keepNext/>
              <w:keepLines/>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AEs</w:t>
            </w:r>
          </w:p>
        </w:tc>
        <w:tc>
          <w:tcPr>
            <w:tcW w:w="1922" w:type="pct"/>
            <w:tcBorders>
              <w:top w:val="single" w:sz="4" w:space="0" w:color="auto"/>
              <w:left w:val="single" w:sz="4" w:space="0" w:color="auto"/>
              <w:bottom w:val="single" w:sz="4" w:space="0" w:color="auto"/>
              <w:right w:val="single" w:sz="4" w:space="0" w:color="auto"/>
            </w:tcBorders>
            <w:hideMark/>
          </w:tcPr>
          <w:p w14:paraId="0E238730" w14:textId="77777777" w:rsidR="00787112" w:rsidRPr="00DD3197" w:rsidRDefault="00787112">
            <w:pPr>
              <w:keepNext/>
              <w:keepLines/>
              <w:jc w:val="left"/>
              <w:rPr>
                <w:rFonts w:ascii="Arial Narrow" w:eastAsiaTheme="majorEastAsia" w:hAnsi="Arial Narrow" w:cstheme="majorBidi"/>
                <w:bCs/>
                <w:sz w:val="20"/>
                <w:szCs w:val="20"/>
              </w:rPr>
            </w:pPr>
            <w:r w:rsidRPr="00DD3197">
              <w:rPr>
                <w:rFonts w:ascii="Arial Narrow" w:eastAsiaTheme="majorEastAsia" w:hAnsi="Arial Narrow" w:cstheme="majorBidi"/>
                <w:bCs/>
                <w:sz w:val="20"/>
                <w:szCs w:val="20"/>
              </w:rPr>
              <w:t>TEZE vs DUPI 200/300</w:t>
            </w:r>
            <w:r>
              <w:rPr>
                <w:rFonts w:ascii="Arial Narrow" w:eastAsiaTheme="majorEastAsia" w:hAnsi="Arial Narrow" w:cstheme="majorBidi"/>
                <w:bCs/>
                <w:sz w:val="20"/>
                <w:szCs w:val="20"/>
              </w:rPr>
              <w:t xml:space="preserve"> (</w:t>
            </w:r>
            <w:r w:rsidRPr="00DD3197">
              <w:rPr>
                <w:rFonts w:ascii="Arial Narrow" w:eastAsiaTheme="majorEastAsia" w:hAnsi="Arial Narrow" w:cstheme="majorBidi"/>
                <w:bCs/>
                <w:sz w:val="20"/>
                <w:szCs w:val="20"/>
              </w:rPr>
              <w:t>4372</w:t>
            </w:r>
            <w:r>
              <w:rPr>
                <w:rFonts w:ascii="Arial Narrow" w:eastAsiaTheme="majorEastAsia" w:hAnsi="Arial Narrow" w:cstheme="majorBidi"/>
                <w:bCs/>
                <w:sz w:val="20"/>
                <w:szCs w:val="20"/>
              </w:rPr>
              <w:t>)</w:t>
            </w:r>
          </w:p>
        </w:tc>
        <w:tc>
          <w:tcPr>
            <w:tcW w:w="1980" w:type="pct"/>
            <w:tcBorders>
              <w:top w:val="single" w:sz="4" w:space="0" w:color="auto"/>
              <w:left w:val="single" w:sz="4" w:space="0" w:color="auto"/>
              <w:bottom w:val="single" w:sz="4" w:space="0" w:color="auto"/>
              <w:right w:val="single" w:sz="4" w:space="0" w:color="auto"/>
            </w:tcBorders>
            <w:hideMark/>
          </w:tcPr>
          <w:p w14:paraId="04060173" w14:textId="77777777" w:rsidR="00787112" w:rsidRPr="00DD3197" w:rsidRDefault="00787112">
            <w:pPr>
              <w:keepNext/>
              <w:keepLines/>
              <w:jc w:val="center"/>
              <w:rPr>
                <w:rFonts w:ascii="Arial Narrow" w:eastAsiaTheme="majorEastAsia" w:hAnsi="Arial Narrow" w:cstheme="majorBidi"/>
                <w:sz w:val="20"/>
                <w:szCs w:val="20"/>
              </w:rPr>
            </w:pPr>
            <w:r w:rsidRPr="00DD3197">
              <w:rPr>
                <w:rFonts w:ascii="Arial Narrow" w:eastAsiaTheme="majorEastAsia" w:hAnsi="Arial Narrow" w:cstheme="majorBidi"/>
                <w:sz w:val="20"/>
                <w:szCs w:val="20"/>
              </w:rPr>
              <w:t>0.96 (0.87, 1.05)</w:t>
            </w:r>
          </w:p>
        </w:tc>
      </w:tr>
      <w:tr w:rsidR="00787112" w:rsidRPr="00DD3197" w14:paraId="09D67AA4" w14:textId="77777777">
        <w:tc>
          <w:tcPr>
            <w:tcW w:w="1098" w:type="pct"/>
            <w:tcBorders>
              <w:top w:val="single" w:sz="4" w:space="0" w:color="auto"/>
              <w:left w:val="single" w:sz="4" w:space="0" w:color="auto"/>
              <w:bottom w:val="single" w:sz="4" w:space="0" w:color="auto"/>
              <w:right w:val="single" w:sz="4" w:space="0" w:color="auto"/>
            </w:tcBorders>
            <w:hideMark/>
          </w:tcPr>
          <w:p w14:paraId="3E907804" w14:textId="77777777" w:rsidR="00787112" w:rsidRPr="00DD3197" w:rsidRDefault="00787112">
            <w:pPr>
              <w:keepNext/>
              <w:keepLines/>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SAEs</w:t>
            </w:r>
          </w:p>
        </w:tc>
        <w:tc>
          <w:tcPr>
            <w:tcW w:w="1922" w:type="pct"/>
            <w:tcBorders>
              <w:top w:val="single" w:sz="4" w:space="0" w:color="auto"/>
              <w:left w:val="single" w:sz="4" w:space="0" w:color="auto"/>
              <w:bottom w:val="single" w:sz="4" w:space="0" w:color="auto"/>
              <w:right w:val="single" w:sz="4" w:space="0" w:color="auto"/>
            </w:tcBorders>
            <w:hideMark/>
          </w:tcPr>
          <w:p w14:paraId="47590AB1" w14:textId="77777777" w:rsidR="00787112" w:rsidRPr="00DD3197" w:rsidRDefault="00787112">
            <w:pPr>
              <w:keepNext/>
              <w:keepLines/>
              <w:jc w:val="left"/>
              <w:rPr>
                <w:rFonts w:ascii="Arial Narrow" w:eastAsiaTheme="majorEastAsia" w:hAnsi="Arial Narrow" w:cstheme="majorBidi"/>
                <w:bCs/>
                <w:sz w:val="20"/>
                <w:szCs w:val="20"/>
              </w:rPr>
            </w:pPr>
            <w:r w:rsidRPr="00DD3197">
              <w:rPr>
                <w:rFonts w:ascii="Arial Narrow" w:eastAsiaTheme="majorEastAsia" w:hAnsi="Arial Narrow" w:cstheme="majorBidi"/>
                <w:bCs/>
                <w:sz w:val="20"/>
                <w:szCs w:val="20"/>
              </w:rPr>
              <w:t>TEZE vs DUPI 200/300</w:t>
            </w:r>
            <w:r>
              <w:rPr>
                <w:rFonts w:ascii="Arial Narrow" w:eastAsiaTheme="majorEastAsia" w:hAnsi="Arial Narrow" w:cstheme="majorBidi"/>
                <w:bCs/>
                <w:sz w:val="20"/>
                <w:szCs w:val="20"/>
              </w:rPr>
              <w:t xml:space="preserve"> (4372)</w:t>
            </w:r>
          </w:p>
        </w:tc>
        <w:tc>
          <w:tcPr>
            <w:tcW w:w="1980" w:type="pct"/>
            <w:tcBorders>
              <w:top w:val="single" w:sz="4" w:space="0" w:color="auto"/>
              <w:left w:val="single" w:sz="4" w:space="0" w:color="auto"/>
              <w:bottom w:val="single" w:sz="4" w:space="0" w:color="auto"/>
              <w:right w:val="single" w:sz="4" w:space="0" w:color="auto"/>
            </w:tcBorders>
            <w:hideMark/>
          </w:tcPr>
          <w:p w14:paraId="3DFC0EF4" w14:textId="77777777" w:rsidR="00787112" w:rsidRPr="006E360E" w:rsidRDefault="00787112">
            <w:pPr>
              <w:keepNext/>
              <w:keepLines/>
              <w:jc w:val="center"/>
              <w:rPr>
                <w:rFonts w:ascii="Arial Narrow" w:eastAsiaTheme="majorEastAsia" w:hAnsi="Arial Narrow" w:cstheme="majorBidi"/>
                <w:sz w:val="20"/>
                <w:szCs w:val="20"/>
              </w:rPr>
            </w:pPr>
            <w:r w:rsidRPr="006E360E">
              <w:rPr>
                <w:rFonts w:ascii="Arial Narrow" w:eastAsiaTheme="majorEastAsia" w:hAnsi="Arial Narrow" w:cstheme="majorBidi"/>
                <w:sz w:val="20"/>
                <w:szCs w:val="20"/>
              </w:rPr>
              <w:t>0.64 (0.43, 0.95)</w:t>
            </w:r>
          </w:p>
        </w:tc>
      </w:tr>
      <w:tr w:rsidR="00787112" w:rsidRPr="00DD3197" w14:paraId="46031156" w14:textId="77777777">
        <w:tc>
          <w:tcPr>
            <w:tcW w:w="1098" w:type="pct"/>
            <w:tcBorders>
              <w:top w:val="single" w:sz="4" w:space="0" w:color="auto"/>
              <w:left w:val="single" w:sz="4" w:space="0" w:color="auto"/>
              <w:bottom w:val="single" w:sz="4" w:space="0" w:color="auto"/>
              <w:right w:val="single" w:sz="4" w:space="0" w:color="auto"/>
            </w:tcBorders>
            <w:hideMark/>
          </w:tcPr>
          <w:p w14:paraId="042B8A72" w14:textId="77777777" w:rsidR="00787112" w:rsidRPr="00DD3197" w:rsidRDefault="00787112">
            <w:pPr>
              <w:keepNext/>
              <w:keepLines/>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Withdrawals due to AEs</w:t>
            </w:r>
          </w:p>
        </w:tc>
        <w:tc>
          <w:tcPr>
            <w:tcW w:w="1922" w:type="pct"/>
            <w:tcBorders>
              <w:top w:val="single" w:sz="4" w:space="0" w:color="auto"/>
              <w:left w:val="single" w:sz="4" w:space="0" w:color="auto"/>
              <w:bottom w:val="single" w:sz="4" w:space="0" w:color="auto"/>
              <w:right w:val="single" w:sz="4" w:space="0" w:color="auto"/>
            </w:tcBorders>
            <w:hideMark/>
          </w:tcPr>
          <w:p w14:paraId="156AF8FB" w14:textId="77777777" w:rsidR="00787112" w:rsidRPr="00DD3197" w:rsidRDefault="00787112">
            <w:pPr>
              <w:keepNext/>
              <w:keepLines/>
              <w:jc w:val="left"/>
              <w:rPr>
                <w:rFonts w:ascii="Arial Narrow" w:eastAsiaTheme="majorEastAsia" w:hAnsi="Arial Narrow" w:cstheme="majorBidi"/>
                <w:bCs/>
                <w:sz w:val="20"/>
                <w:szCs w:val="20"/>
              </w:rPr>
            </w:pPr>
            <w:r w:rsidRPr="00DD3197">
              <w:rPr>
                <w:rFonts w:ascii="Arial Narrow" w:eastAsiaTheme="majorEastAsia" w:hAnsi="Arial Narrow" w:cstheme="majorBidi"/>
                <w:bCs/>
                <w:sz w:val="20"/>
                <w:szCs w:val="20"/>
              </w:rPr>
              <w:t>TEZE vs DUPI 200/300</w:t>
            </w:r>
            <w:r>
              <w:rPr>
                <w:rFonts w:ascii="Arial Narrow" w:eastAsiaTheme="majorEastAsia" w:hAnsi="Arial Narrow" w:cstheme="majorBidi"/>
                <w:bCs/>
                <w:sz w:val="20"/>
                <w:szCs w:val="20"/>
              </w:rPr>
              <w:t xml:space="preserve"> (4372)</w:t>
            </w:r>
          </w:p>
        </w:tc>
        <w:tc>
          <w:tcPr>
            <w:tcW w:w="1980" w:type="pct"/>
            <w:tcBorders>
              <w:top w:val="single" w:sz="4" w:space="0" w:color="auto"/>
              <w:left w:val="single" w:sz="4" w:space="0" w:color="auto"/>
              <w:bottom w:val="single" w:sz="4" w:space="0" w:color="auto"/>
              <w:right w:val="single" w:sz="4" w:space="0" w:color="auto"/>
            </w:tcBorders>
            <w:hideMark/>
          </w:tcPr>
          <w:p w14:paraId="43DE6630" w14:textId="77777777" w:rsidR="00787112" w:rsidRPr="00DD3197" w:rsidRDefault="00787112">
            <w:pPr>
              <w:keepNext/>
              <w:keepLines/>
              <w:jc w:val="center"/>
              <w:rPr>
                <w:rFonts w:ascii="Arial Narrow" w:eastAsiaTheme="majorEastAsia" w:hAnsi="Arial Narrow" w:cstheme="majorBidi"/>
                <w:sz w:val="20"/>
                <w:szCs w:val="20"/>
              </w:rPr>
            </w:pPr>
            <w:r w:rsidRPr="00DD3197">
              <w:rPr>
                <w:rFonts w:ascii="Arial Narrow" w:eastAsiaTheme="majorEastAsia" w:hAnsi="Arial Narrow" w:cstheme="majorBidi"/>
                <w:sz w:val="20"/>
                <w:szCs w:val="20"/>
              </w:rPr>
              <w:t>0.68 (0.32, 1.44)</w:t>
            </w:r>
          </w:p>
        </w:tc>
      </w:tr>
    </w:tbl>
    <w:p w14:paraId="7EBCD82B" w14:textId="77777777" w:rsidR="00787112" w:rsidRDefault="00787112" w:rsidP="00787112">
      <w:pPr>
        <w:pStyle w:val="TableFigureFooter"/>
        <w:keepNext/>
      </w:pPr>
      <w:r>
        <w:t>Source: Table 2-156, p247 of the submission</w:t>
      </w:r>
    </w:p>
    <w:p w14:paraId="2DBDF836" w14:textId="77777777" w:rsidR="00787112" w:rsidRDefault="00787112" w:rsidP="00787112">
      <w:pPr>
        <w:pStyle w:val="TableFigureFooter"/>
        <w:keepNext/>
      </w:pPr>
      <w:r>
        <w:t xml:space="preserve">AE= adverse event; </w:t>
      </w:r>
      <w:r w:rsidRPr="00DD3197">
        <w:t>CI = confidence interval; DUPI = dupilumab; ITC = indirect treatment comparison; RR = rate ratio;</w:t>
      </w:r>
      <w:r>
        <w:t xml:space="preserve"> SAE = serious adverse event;</w:t>
      </w:r>
      <w:r w:rsidRPr="00DD3197">
        <w:t xml:space="preserve"> TEZE = </w:t>
      </w:r>
      <w:proofErr w:type="spellStart"/>
      <w:r w:rsidRPr="00DD3197">
        <w:t>tezepelumab</w:t>
      </w:r>
      <w:proofErr w:type="spellEnd"/>
    </w:p>
    <w:p w14:paraId="6BE7FC91" w14:textId="77777777" w:rsidR="00787112" w:rsidRPr="00B36C2F" w:rsidRDefault="00787112" w:rsidP="00787112">
      <w:pPr>
        <w:pStyle w:val="TableFigureFooter"/>
      </w:pPr>
      <w:r w:rsidRPr="002B7ECC">
        <w:t>RR &lt;1 favours TEZE over the comparator.</w:t>
      </w:r>
    </w:p>
    <w:p w14:paraId="3DD1356C" w14:textId="77777777" w:rsidR="00787112" w:rsidRPr="0098262F" w:rsidRDefault="00787112" w:rsidP="00787112">
      <w:pPr>
        <w:pStyle w:val="4-SubsectionHeading"/>
      </w:pPr>
      <w:bookmarkStart w:id="52" w:name="_Toc22897643"/>
      <w:bookmarkStart w:id="53" w:name="_Toc206291224"/>
      <w:bookmarkStart w:id="54" w:name="_Toc206426966"/>
      <w:bookmarkStart w:id="55" w:name="_Toc209012734"/>
      <w:bookmarkStart w:id="56" w:name="_Toc209016997"/>
      <w:r w:rsidRPr="0098262F">
        <w:t>Benefits/harms</w:t>
      </w:r>
      <w:bookmarkEnd w:id="52"/>
      <w:bookmarkEnd w:id="53"/>
      <w:bookmarkEnd w:id="54"/>
      <w:bookmarkEnd w:id="55"/>
      <w:bookmarkEnd w:id="56"/>
    </w:p>
    <w:p w14:paraId="1DFB35B2" w14:textId="77777777" w:rsidR="00787112" w:rsidRPr="00635C8E" w:rsidRDefault="00787112" w:rsidP="00787112">
      <w:pPr>
        <w:pStyle w:val="3-BodyText"/>
        <w:numPr>
          <w:ilvl w:val="1"/>
          <w:numId w:val="1"/>
        </w:numPr>
        <w:ind w:left="709"/>
      </w:pPr>
      <w:bookmarkStart w:id="57" w:name="_Hlk206103766"/>
      <w:r w:rsidRPr="0098262F">
        <w:t xml:space="preserve">A benefits and harms table </w:t>
      </w:r>
      <w:r>
        <w:t>is</w:t>
      </w:r>
      <w:r w:rsidRPr="0098262F">
        <w:t xml:space="preserve"> not presented </w:t>
      </w:r>
      <w:r>
        <w:t>for the eosinophilic</w:t>
      </w:r>
      <w:r w:rsidRPr="00C415B6">
        <w:t xml:space="preserve"> or </w:t>
      </w:r>
      <w:r>
        <w:t>a</w:t>
      </w:r>
      <w:r w:rsidRPr="00C415B6">
        <w:t xml:space="preserve">llergic </w:t>
      </w:r>
      <w:r>
        <w:t xml:space="preserve">SUA population, </w:t>
      </w:r>
      <w:r w:rsidRPr="0098262F">
        <w:t>as the submission made a claim of non-inferiority</w:t>
      </w:r>
      <w:r>
        <w:t xml:space="preserve"> to dupilumab</w:t>
      </w:r>
      <w:r w:rsidRPr="0098262F">
        <w:t xml:space="preserve">. </w:t>
      </w:r>
    </w:p>
    <w:bookmarkEnd w:id="57"/>
    <w:p w14:paraId="4947AFC0" w14:textId="0C696C5B" w:rsidR="00787112" w:rsidRPr="00D215D8" w:rsidRDefault="00787112" w:rsidP="00787112">
      <w:pPr>
        <w:pStyle w:val="3-BodyText"/>
        <w:numPr>
          <w:ilvl w:val="1"/>
          <w:numId w:val="1"/>
        </w:numPr>
        <w:ind w:left="709"/>
      </w:pPr>
      <w:r w:rsidRPr="00D215D8">
        <w:t xml:space="preserve">For the </w:t>
      </w:r>
      <w:r>
        <w:t>non-</w:t>
      </w:r>
      <w:r w:rsidRPr="00D215D8">
        <w:t xml:space="preserve">eosinophilic </w:t>
      </w:r>
      <w:r>
        <w:t>and</w:t>
      </w:r>
      <w:r w:rsidRPr="00D215D8">
        <w:t xml:space="preserve"> </w:t>
      </w:r>
      <w:r>
        <w:t>non-</w:t>
      </w:r>
      <w:r w:rsidRPr="00D215D8">
        <w:t>allergic SUA population</w:t>
      </w:r>
      <w:r>
        <w:t>,</w:t>
      </w:r>
      <w:r w:rsidRPr="00D215D8">
        <w:t xml:space="preserve"> </w:t>
      </w:r>
      <w:proofErr w:type="gramStart"/>
      <w:r>
        <w:t>o</w:t>
      </w:r>
      <w:r w:rsidRPr="00D215D8">
        <w:t>n the basis of</w:t>
      </w:r>
      <w:proofErr w:type="gramEnd"/>
      <w:r w:rsidRPr="00D215D8">
        <w:t xml:space="preserve"> </w:t>
      </w:r>
      <w:r>
        <w:t xml:space="preserve">the </w:t>
      </w:r>
      <w:r w:rsidRPr="00D215D8">
        <w:t>direct evidence presented in the NAVIGATOR</w:t>
      </w:r>
      <w:r w:rsidRPr="00DE694B">
        <w:rPr>
          <w:vertAlign w:val="superscript"/>
        </w:rPr>
        <w:footnoteReference w:id="4"/>
      </w:r>
      <w:r w:rsidRPr="00D215D8">
        <w:t xml:space="preserve"> trial, patients treated with </w:t>
      </w:r>
      <w:proofErr w:type="spellStart"/>
      <w:r w:rsidRPr="00D215D8">
        <w:t>tezepelumab</w:t>
      </w:r>
      <w:proofErr w:type="spellEnd"/>
      <w:r w:rsidRPr="00D215D8">
        <w:t xml:space="preserve"> in comparison with placebo over 52 weeks</w:t>
      </w:r>
      <w:bookmarkStart w:id="58" w:name="_Hlk206226365"/>
      <w:r>
        <w:t xml:space="preserve"> experienced approximately</w:t>
      </w:r>
      <w:r w:rsidR="006533BF">
        <w:t xml:space="preserve"> </w:t>
      </w:r>
      <w:r>
        <w:t>34%</w:t>
      </w:r>
      <w:r w:rsidRPr="00D215D8">
        <w:t xml:space="preserve"> </w:t>
      </w:r>
      <w:r w:rsidR="006533BF">
        <w:t>fewer asthma exacerbations</w:t>
      </w:r>
      <w:r w:rsidRPr="00D215D8">
        <w:t>.</w:t>
      </w:r>
      <w:r>
        <w:t xml:space="preserve"> In the extended follow up data, for all patients, based on the evidence presented in </w:t>
      </w:r>
      <w:r w:rsidRPr="00E0652F">
        <w:t>DESTINATION</w:t>
      </w:r>
      <w:r>
        <w:rPr>
          <w:rStyle w:val="FootnoteReference"/>
        </w:rPr>
        <w:footnoteReference w:id="5"/>
      </w:r>
      <w:r>
        <w:t xml:space="preserve"> study, a higher incidence of </w:t>
      </w:r>
      <w:r w:rsidRPr="00E0652F">
        <w:t>cardiac disorder SOC serious adverse event</w:t>
      </w:r>
      <w:r>
        <w:t>s</w:t>
      </w:r>
      <w:r w:rsidRPr="00E0652F">
        <w:t xml:space="preserve"> </w:t>
      </w:r>
      <w:proofErr w:type="gramStart"/>
      <w:r w:rsidRPr="00E0652F">
        <w:t>were</w:t>
      </w:r>
      <w:proofErr w:type="gramEnd"/>
      <w:r w:rsidRPr="00E0652F">
        <w:t xml:space="preserve"> noted</w:t>
      </w:r>
      <w:r>
        <w:t xml:space="preserve"> for </w:t>
      </w:r>
      <w:proofErr w:type="spellStart"/>
      <w:r>
        <w:t>tezepelumab</w:t>
      </w:r>
      <w:proofErr w:type="spellEnd"/>
      <w:r>
        <w:t xml:space="preserve"> treated patients compared to placebo.</w:t>
      </w:r>
    </w:p>
    <w:p w14:paraId="5E2E3A88" w14:textId="77777777" w:rsidR="00787112" w:rsidRPr="00B1342C" w:rsidRDefault="00787112" w:rsidP="00787112">
      <w:pPr>
        <w:pStyle w:val="4-SubsectionHeading"/>
      </w:pPr>
      <w:bookmarkStart w:id="59" w:name="_Toc22897644"/>
      <w:bookmarkStart w:id="60" w:name="_Toc206291225"/>
      <w:bookmarkStart w:id="61" w:name="_Toc206426967"/>
      <w:bookmarkStart w:id="62" w:name="_Toc209012735"/>
      <w:bookmarkStart w:id="63" w:name="_Toc209016998"/>
      <w:bookmarkEnd w:id="58"/>
      <w:r w:rsidRPr="0098262F">
        <w:t>Clinical claim</w:t>
      </w:r>
      <w:bookmarkEnd w:id="59"/>
      <w:bookmarkEnd w:id="60"/>
      <w:bookmarkEnd w:id="61"/>
      <w:bookmarkEnd w:id="62"/>
      <w:bookmarkEnd w:id="63"/>
    </w:p>
    <w:p w14:paraId="2E884ED2" w14:textId="77777777" w:rsidR="00787112" w:rsidRPr="003F792E" w:rsidRDefault="00787112" w:rsidP="00787112">
      <w:pPr>
        <w:pStyle w:val="5-SubsectionSubheading"/>
      </w:pPr>
      <w:bookmarkStart w:id="64" w:name="_Toc209012736"/>
      <w:bookmarkStart w:id="65" w:name="_Hlk206146511"/>
      <w:r w:rsidRPr="003F792E">
        <w:t>Non-eosinophilic and non-allergic SUA</w:t>
      </w:r>
      <w:bookmarkEnd w:id="64"/>
    </w:p>
    <w:p w14:paraId="3E4498D8" w14:textId="77CD10E9" w:rsidR="00787112" w:rsidRPr="00EE227E" w:rsidRDefault="00787112" w:rsidP="00787112">
      <w:pPr>
        <w:pStyle w:val="3-BodyText"/>
        <w:numPr>
          <w:ilvl w:val="1"/>
          <w:numId w:val="1"/>
        </w:numPr>
        <w:ind w:left="709"/>
        <w:rPr>
          <w:iCs/>
        </w:rPr>
      </w:pPr>
      <w:bookmarkStart w:id="66" w:name="_Ref211611291"/>
      <w:bookmarkEnd w:id="65"/>
      <w:r w:rsidRPr="00525F13">
        <w:t xml:space="preserve">For the non-eosinophilic and non-allergic SUA population, the submission described </w:t>
      </w:r>
      <w:proofErr w:type="spellStart"/>
      <w:r w:rsidRPr="00525F13">
        <w:t>tezepelumab</w:t>
      </w:r>
      <w:proofErr w:type="spellEnd"/>
      <w:r w:rsidRPr="00525F13" w:rsidDel="007E078A">
        <w:t xml:space="preserve"> </w:t>
      </w:r>
      <w:r w:rsidRPr="00525F13">
        <w:t>as superior in terms of effectiveness compared to placebo.</w:t>
      </w:r>
      <w:r w:rsidR="003A64F1" w:rsidRPr="00EE227E">
        <w:rPr>
          <w:iCs/>
        </w:rPr>
        <w:t xml:space="preserve"> </w:t>
      </w:r>
      <w:r w:rsidR="008813CC" w:rsidRPr="00EE227E">
        <w:rPr>
          <w:iCs/>
        </w:rPr>
        <w:t>T</w:t>
      </w:r>
      <w:r w:rsidR="003A64F1" w:rsidRPr="00EE227E">
        <w:rPr>
          <w:iCs/>
        </w:rPr>
        <w:t xml:space="preserve">he ESC </w:t>
      </w:r>
      <w:r w:rsidR="00DE7CFB" w:rsidRPr="00EE227E">
        <w:rPr>
          <w:iCs/>
        </w:rPr>
        <w:t>noted the following uncertainties</w:t>
      </w:r>
      <w:r w:rsidR="00430323" w:rsidRPr="00EE227E">
        <w:rPr>
          <w:iCs/>
        </w:rPr>
        <w:t xml:space="preserve"> regarding the data presented in the submission</w:t>
      </w:r>
      <w:r w:rsidR="00DE7CFB" w:rsidRPr="00EE227E">
        <w:rPr>
          <w:iCs/>
        </w:rPr>
        <w:t>:</w:t>
      </w:r>
      <w:bookmarkEnd w:id="66"/>
    </w:p>
    <w:p w14:paraId="68A8660A" w14:textId="46A13A28" w:rsidR="00787112" w:rsidRPr="006C5610" w:rsidRDefault="00787112" w:rsidP="005A3B77">
      <w:pPr>
        <w:pStyle w:val="ListParagraph"/>
        <w:numPr>
          <w:ilvl w:val="0"/>
          <w:numId w:val="4"/>
        </w:numPr>
        <w:ind w:left="1134"/>
        <w:jc w:val="both"/>
      </w:pPr>
      <w:r w:rsidRPr="006C5610">
        <w:t xml:space="preserve">The rate ratios observed in the subgroup analyses showed marked variation </w:t>
      </w:r>
      <w:r w:rsidR="00D316F5" w:rsidRPr="00EE227E">
        <w:rPr>
          <w:iCs/>
        </w:rPr>
        <w:t xml:space="preserve">for the primary outcome of </w:t>
      </w:r>
      <w:r w:rsidRPr="006C5610">
        <w:t>AAER (NAVIGATOR</w:t>
      </w:r>
      <w:r w:rsidR="00D316F5">
        <w:t>:</w:t>
      </w:r>
      <w:r w:rsidRPr="006C5610">
        <w:t xml:space="preserve"> RR 0.66, 95% CI: 0.43, 0.99</w:t>
      </w:r>
      <w:r w:rsidR="00D316F5">
        <w:t>;</w:t>
      </w:r>
      <w:r w:rsidRPr="006C5610">
        <w:t xml:space="preserve"> PATHWAY</w:t>
      </w:r>
      <w:r w:rsidR="00D316F5">
        <w:t>:</w:t>
      </w:r>
      <w:r w:rsidRPr="006C5610">
        <w:t xml:space="preserve"> RR 0.33, 95% CI: 0.09, 1.18), with statistical significance in only one study</w:t>
      </w:r>
      <w:r w:rsidR="00FD43C3">
        <w:t xml:space="preserve"> </w:t>
      </w:r>
      <w:r w:rsidR="00FD43C3" w:rsidRPr="00EE227E">
        <w:rPr>
          <w:iCs/>
        </w:rPr>
        <w:t>with</w:t>
      </w:r>
      <w:r w:rsidR="00FB04B3" w:rsidRPr="00EE227E">
        <w:rPr>
          <w:iCs/>
        </w:rPr>
        <w:t xml:space="preserve"> the </w:t>
      </w:r>
      <w:r w:rsidR="006E601C" w:rsidRPr="00EE227E">
        <w:rPr>
          <w:iCs/>
        </w:rPr>
        <w:t>upper bound of the CI almost</w:t>
      </w:r>
      <w:r w:rsidR="00FB04B3" w:rsidRPr="00EE227E">
        <w:rPr>
          <w:iCs/>
        </w:rPr>
        <w:t xml:space="preserve"> cross</w:t>
      </w:r>
      <w:r w:rsidR="00FD43C3" w:rsidRPr="00EE227E">
        <w:rPr>
          <w:iCs/>
        </w:rPr>
        <w:t>ing</w:t>
      </w:r>
      <w:r w:rsidR="00FB04B3" w:rsidRPr="00EE227E">
        <w:rPr>
          <w:iCs/>
        </w:rPr>
        <w:t xml:space="preserve"> 1 (0.99).</w:t>
      </w:r>
      <w:r w:rsidR="00FB04B3" w:rsidRPr="00FB04B3">
        <w:t xml:space="preserve"> </w:t>
      </w:r>
      <w:r w:rsidRPr="006C5610">
        <w:t>While the direction of effect was consistent, the inconsistency in statistical significance increased uncertainty.</w:t>
      </w:r>
      <w:r w:rsidR="009E20C2">
        <w:t xml:space="preserve"> </w:t>
      </w:r>
    </w:p>
    <w:p w14:paraId="1F5F8A17" w14:textId="4A67F5EC" w:rsidR="00787112" w:rsidRDefault="00787112" w:rsidP="005A3B77">
      <w:pPr>
        <w:pStyle w:val="ListParagraph"/>
        <w:numPr>
          <w:ilvl w:val="0"/>
          <w:numId w:val="4"/>
        </w:numPr>
        <w:ind w:left="1134"/>
        <w:jc w:val="both"/>
      </w:pPr>
      <w:r w:rsidRPr="006C5610">
        <w:t>The non-eosinophilic and non-allergic SUA subgroup represented a small proportion of the participants in both the NAVIGATOR trial (</w:t>
      </w:r>
      <w:proofErr w:type="spellStart"/>
      <w:r w:rsidRPr="006C5610">
        <w:t>tezepelumab</w:t>
      </w:r>
      <w:proofErr w:type="spellEnd"/>
      <w:r w:rsidRPr="006C5610">
        <w:t xml:space="preserve"> 86/528= 16%; placebo 83/531 = 16%) and PATHWAY trial (</w:t>
      </w:r>
      <w:proofErr w:type="spellStart"/>
      <w:r w:rsidRPr="006C5610">
        <w:t>tezepelumab</w:t>
      </w:r>
      <w:proofErr w:type="spellEnd"/>
      <w:r w:rsidRPr="006C5610">
        <w:t xml:space="preserve"> 18/137 = 13%; placebo 13/138 = 9%)</w:t>
      </w:r>
      <w:r w:rsidR="001C2F73">
        <w:t xml:space="preserve">. </w:t>
      </w:r>
      <w:r w:rsidR="001C2F73" w:rsidRPr="00EE227E">
        <w:rPr>
          <w:iCs/>
        </w:rPr>
        <w:t>Data from the</w:t>
      </w:r>
      <w:r w:rsidR="001C2F73">
        <w:t xml:space="preserve"> </w:t>
      </w:r>
      <w:r w:rsidR="00B91326" w:rsidRPr="00EE227E">
        <w:rPr>
          <w:iCs/>
        </w:rPr>
        <w:t xml:space="preserve">SOURCE trial </w:t>
      </w:r>
      <w:r w:rsidR="001C2F73" w:rsidRPr="00EE227E">
        <w:rPr>
          <w:iCs/>
        </w:rPr>
        <w:t>for this subgroup was not presented</w:t>
      </w:r>
      <w:r w:rsidRPr="006C5610">
        <w:t>. The reduced</w:t>
      </w:r>
      <w:r w:rsidRPr="006C5610" w:rsidDel="00C14044">
        <w:t xml:space="preserve"> </w:t>
      </w:r>
      <w:r w:rsidRPr="006C5610">
        <w:t>sample size</w:t>
      </w:r>
      <w:r w:rsidRPr="006C5610" w:rsidDel="00C14044">
        <w:t xml:space="preserve"> </w:t>
      </w:r>
      <w:r w:rsidRPr="006C5610">
        <w:t>increased uncertainty</w:t>
      </w:r>
      <w:r w:rsidR="00B54DA8">
        <w:t>.</w:t>
      </w:r>
    </w:p>
    <w:p w14:paraId="5F6E99B8" w14:textId="608C7E24" w:rsidR="008813CC" w:rsidRPr="001830E1" w:rsidRDefault="008813CC" w:rsidP="008C0313">
      <w:pPr>
        <w:ind w:left="709"/>
      </w:pPr>
      <w:r w:rsidRPr="00EE227E">
        <w:rPr>
          <w:iCs/>
        </w:rPr>
        <w:t xml:space="preserve">The ESC noted additional supportive data presented in the PSCR , including a meta-analysis and published pooled analyses (see paragraph </w:t>
      </w:r>
      <w:r w:rsidRPr="00EE227E">
        <w:rPr>
          <w:iCs/>
        </w:rPr>
        <w:fldChar w:fldCharType="begin"/>
      </w:r>
      <w:r w:rsidRPr="00EE227E">
        <w:rPr>
          <w:iCs/>
        </w:rPr>
        <w:instrText xml:space="preserve"> REF _Ref211571880 \r \h </w:instrText>
      </w:r>
      <w:r w:rsidRPr="00EE227E">
        <w:rPr>
          <w:iCs/>
        </w:rPr>
      </w:r>
      <w:r w:rsidRPr="00EE227E">
        <w:rPr>
          <w:iCs/>
        </w:rPr>
        <w:fldChar w:fldCharType="separate"/>
      </w:r>
      <w:r w:rsidR="0078760A">
        <w:rPr>
          <w:iCs/>
        </w:rPr>
        <w:t>6.22</w:t>
      </w:r>
      <w:r w:rsidRPr="00EE227E">
        <w:rPr>
          <w:iCs/>
        </w:rPr>
        <w:fldChar w:fldCharType="end"/>
      </w:r>
      <w:r w:rsidRPr="00EE227E">
        <w:rPr>
          <w:iCs/>
        </w:rPr>
        <w:t>) and considered that overall, despite some uncertainty in the overall evidence, the clinical claim appeared to be supported.</w:t>
      </w:r>
    </w:p>
    <w:p w14:paraId="2F4162E2" w14:textId="32FFB303" w:rsidR="00787112" w:rsidRDefault="00787112" w:rsidP="00787112">
      <w:pPr>
        <w:pStyle w:val="3-BodyText"/>
        <w:numPr>
          <w:ilvl w:val="1"/>
          <w:numId w:val="1"/>
        </w:numPr>
        <w:ind w:left="709"/>
      </w:pPr>
      <w:r w:rsidRPr="001830E1">
        <w:t xml:space="preserve">The submission described </w:t>
      </w:r>
      <w:proofErr w:type="spellStart"/>
      <w:r w:rsidRPr="001830E1">
        <w:t>tezepelumab</w:t>
      </w:r>
      <w:proofErr w:type="spellEnd"/>
      <w:r w:rsidRPr="001830E1">
        <w:t xml:space="preserve"> as non-inferior in terms of safety in the non-eosinophilic and non-allergic SUA subgroup compared to placebo. </w:t>
      </w:r>
      <w:r w:rsidRPr="00EE227E">
        <w:rPr>
          <w:iCs/>
        </w:rPr>
        <w:t>T</w:t>
      </w:r>
      <w:r w:rsidR="00B46B37" w:rsidRPr="00EE227E">
        <w:rPr>
          <w:iCs/>
        </w:rPr>
        <w:t xml:space="preserve">he </w:t>
      </w:r>
      <w:r w:rsidR="001407A4" w:rsidRPr="00EE227E">
        <w:rPr>
          <w:iCs/>
        </w:rPr>
        <w:t xml:space="preserve">ESC </w:t>
      </w:r>
      <w:r w:rsidR="00471633" w:rsidRPr="00EE227E">
        <w:rPr>
          <w:iCs/>
        </w:rPr>
        <w:t xml:space="preserve">noted </w:t>
      </w:r>
      <w:r w:rsidR="00B46B37" w:rsidRPr="00EE227E">
        <w:rPr>
          <w:iCs/>
        </w:rPr>
        <w:t>that</w:t>
      </w:r>
      <w:r w:rsidR="00751E45" w:rsidRPr="00EE227E">
        <w:rPr>
          <w:iCs/>
        </w:rPr>
        <w:t xml:space="preserve"> </w:t>
      </w:r>
      <w:r w:rsidR="00471633" w:rsidRPr="00EE227E">
        <w:rPr>
          <w:iCs/>
        </w:rPr>
        <w:t xml:space="preserve">no </w:t>
      </w:r>
      <w:r w:rsidR="00751E45" w:rsidRPr="00EE227E">
        <w:rPr>
          <w:iCs/>
        </w:rPr>
        <w:t>direct evidence</w:t>
      </w:r>
      <w:r w:rsidR="00471633" w:rsidRPr="00EE227E">
        <w:rPr>
          <w:iCs/>
        </w:rPr>
        <w:t xml:space="preserve"> on safety</w:t>
      </w:r>
      <w:r w:rsidR="00751E45" w:rsidRPr="00EE227E">
        <w:rPr>
          <w:iCs/>
        </w:rPr>
        <w:t xml:space="preserve"> was</w:t>
      </w:r>
      <w:r w:rsidR="00EC4B03" w:rsidRPr="00EE227E">
        <w:rPr>
          <w:iCs/>
        </w:rPr>
        <w:t xml:space="preserve"> </w:t>
      </w:r>
      <w:r w:rsidR="00751E45" w:rsidRPr="00EE227E">
        <w:rPr>
          <w:iCs/>
        </w:rPr>
        <w:t>provided</w:t>
      </w:r>
      <w:r w:rsidR="00471633" w:rsidRPr="00EE227E">
        <w:rPr>
          <w:iCs/>
        </w:rPr>
        <w:t xml:space="preserve"> for this population</w:t>
      </w:r>
      <w:r w:rsidR="00BB62DF" w:rsidRPr="00EE227E">
        <w:rPr>
          <w:iCs/>
        </w:rPr>
        <w:t xml:space="preserve">, </w:t>
      </w:r>
      <w:r w:rsidR="00BB62DF" w:rsidRPr="00BB62DF">
        <w:t>as</w:t>
      </w:r>
      <w:r w:rsidR="00751E45" w:rsidRPr="00EE227E">
        <w:rPr>
          <w:iCs/>
        </w:rPr>
        <w:t xml:space="preserve"> </w:t>
      </w:r>
      <w:r w:rsidRPr="001830E1">
        <w:t xml:space="preserve">no subgroup analysis on safety was reported, with the comparison </w:t>
      </w:r>
      <w:r w:rsidR="00B91326" w:rsidRPr="001830E1">
        <w:t>including</w:t>
      </w:r>
      <w:r w:rsidRPr="001830E1">
        <w:t xml:space="preserve"> all participants in the NAVIGATOR and PATHWAY trials</w:t>
      </w:r>
      <w:r w:rsidR="00471633">
        <w:t>.</w:t>
      </w:r>
      <w:r w:rsidR="00751E45">
        <w:t xml:space="preserve"> </w:t>
      </w:r>
      <w:r w:rsidR="00471633" w:rsidRPr="00EE227E">
        <w:rPr>
          <w:iCs/>
        </w:rPr>
        <w:t>H</w:t>
      </w:r>
      <w:r w:rsidR="00751E45" w:rsidRPr="00EE227E">
        <w:rPr>
          <w:iCs/>
        </w:rPr>
        <w:t xml:space="preserve">owever, </w:t>
      </w:r>
      <w:r w:rsidR="00BB62DF" w:rsidRPr="00EE227E">
        <w:rPr>
          <w:iCs/>
        </w:rPr>
        <w:t xml:space="preserve">the ESC </w:t>
      </w:r>
      <w:r w:rsidR="00751E45" w:rsidRPr="00EE227E">
        <w:rPr>
          <w:iCs/>
        </w:rPr>
        <w:t xml:space="preserve">noted that disease </w:t>
      </w:r>
      <w:r w:rsidR="00D65871" w:rsidRPr="00EE227E">
        <w:rPr>
          <w:iCs/>
        </w:rPr>
        <w:t xml:space="preserve">phenotype </w:t>
      </w:r>
      <w:r w:rsidR="00751E45" w:rsidRPr="00EE227E">
        <w:rPr>
          <w:iCs/>
        </w:rPr>
        <w:t xml:space="preserve">is not likely to affect safety </w:t>
      </w:r>
      <w:r w:rsidR="00D64EF1" w:rsidRPr="00EE227E">
        <w:rPr>
          <w:iCs/>
        </w:rPr>
        <w:t>and</w:t>
      </w:r>
      <w:r w:rsidR="00D65871" w:rsidRPr="00EE227E">
        <w:rPr>
          <w:iCs/>
        </w:rPr>
        <w:t xml:space="preserve"> a</w:t>
      </w:r>
      <w:r w:rsidR="00751E45" w:rsidRPr="00EE227E">
        <w:rPr>
          <w:iCs/>
        </w:rPr>
        <w:t xml:space="preserve"> claim of non-inferior safety </w:t>
      </w:r>
      <w:r w:rsidR="00D65871" w:rsidRPr="00EE227E">
        <w:rPr>
          <w:iCs/>
        </w:rPr>
        <w:t>being</w:t>
      </w:r>
      <w:r w:rsidR="00751E45" w:rsidRPr="00EE227E">
        <w:rPr>
          <w:iCs/>
        </w:rPr>
        <w:t xml:space="preserve"> </w:t>
      </w:r>
      <w:r w:rsidR="008E590B" w:rsidRPr="00EE227E">
        <w:rPr>
          <w:iCs/>
        </w:rPr>
        <w:t xml:space="preserve">reasonable for </w:t>
      </w:r>
      <w:r w:rsidR="00D65871" w:rsidRPr="00EE227E">
        <w:rPr>
          <w:iCs/>
        </w:rPr>
        <w:t>e</w:t>
      </w:r>
      <w:r w:rsidR="008E590B" w:rsidRPr="00EE227E">
        <w:rPr>
          <w:iCs/>
        </w:rPr>
        <w:t xml:space="preserve">osinophilic or allergic SUA (paragraph </w:t>
      </w:r>
      <w:r w:rsidR="00E5198D" w:rsidRPr="00EE227E">
        <w:rPr>
          <w:iCs/>
        </w:rPr>
        <w:fldChar w:fldCharType="begin"/>
      </w:r>
      <w:r w:rsidR="00E5198D" w:rsidRPr="00EE227E">
        <w:rPr>
          <w:iCs/>
        </w:rPr>
        <w:instrText xml:space="preserve"> REF _Ref212023116 \r \h </w:instrText>
      </w:r>
      <w:r w:rsidR="00E5198D" w:rsidRPr="00EE227E">
        <w:rPr>
          <w:iCs/>
        </w:rPr>
      </w:r>
      <w:r w:rsidR="00E5198D" w:rsidRPr="00EE227E">
        <w:rPr>
          <w:iCs/>
        </w:rPr>
        <w:fldChar w:fldCharType="separate"/>
      </w:r>
      <w:r w:rsidR="0078760A">
        <w:rPr>
          <w:iCs/>
        </w:rPr>
        <w:t>6.42</w:t>
      </w:r>
      <w:r w:rsidR="00E5198D" w:rsidRPr="00EE227E">
        <w:rPr>
          <w:iCs/>
        </w:rPr>
        <w:fldChar w:fldCharType="end"/>
      </w:r>
      <w:r w:rsidR="008E590B" w:rsidRPr="00EE227E">
        <w:rPr>
          <w:iCs/>
        </w:rPr>
        <w:t>)</w:t>
      </w:r>
      <w:r w:rsidRPr="00EE227E">
        <w:rPr>
          <w:iCs/>
        </w:rPr>
        <w:t>.</w:t>
      </w:r>
      <w:r w:rsidRPr="001830E1">
        <w:t xml:space="preserve">  </w:t>
      </w:r>
    </w:p>
    <w:p w14:paraId="465A4F6F" w14:textId="7AA42BB5" w:rsidR="000D48D4" w:rsidRPr="00163C83" w:rsidRDefault="000D48D4" w:rsidP="000D48D4">
      <w:pPr>
        <w:pStyle w:val="3-BodyText"/>
        <w:numPr>
          <w:ilvl w:val="1"/>
          <w:numId w:val="1"/>
        </w:numPr>
        <w:ind w:left="709"/>
      </w:pPr>
      <w:r w:rsidRPr="00163C83">
        <w:rPr>
          <w:iCs/>
          <w:snapToGrid w:val="0"/>
        </w:rPr>
        <w:t>The</w:t>
      </w:r>
      <w:r w:rsidRPr="00163C83">
        <w:rPr>
          <w:snapToGrid w:val="0"/>
          <w:szCs w:val="20"/>
        </w:rPr>
        <w:t xml:space="preserve"> PBAC considered that the claim of superior comparative effectiveness w</w:t>
      </w:r>
      <w:r w:rsidR="00D27662" w:rsidRPr="00163C83">
        <w:rPr>
          <w:snapToGrid w:val="0"/>
          <w:szCs w:val="20"/>
        </w:rPr>
        <w:t>as adequately supported by the data.</w:t>
      </w:r>
    </w:p>
    <w:p w14:paraId="54AE8612" w14:textId="16F26522" w:rsidR="000D48D4" w:rsidRPr="006C6804" w:rsidRDefault="000D48D4" w:rsidP="000D48D4">
      <w:pPr>
        <w:pStyle w:val="3-BodyText"/>
        <w:numPr>
          <w:ilvl w:val="1"/>
          <w:numId w:val="1"/>
        </w:numPr>
        <w:ind w:left="709"/>
      </w:pPr>
      <w:r w:rsidRPr="006C6804">
        <w:rPr>
          <w:snapToGrid w:val="0"/>
          <w:szCs w:val="20"/>
        </w:rPr>
        <w:t>The PBAC considered that the claim of non-inferior comparative safety was reasonable.</w:t>
      </w:r>
    </w:p>
    <w:p w14:paraId="7A7B395C" w14:textId="77777777" w:rsidR="00787112" w:rsidRPr="003F792E" w:rsidRDefault="00787112" w:rsidP="00787112">
      <w:pPr>
        <w:pStyle w:val="5-SubsectionSubheading"/>
        <w:rPr>
          <w:b w:val="0"/>
          <w:bCs/>
        </w:rPr>
      </w:pPr>
      <w:bookmarkStart w:id="67" w:name="_Toc209012737"/>
      <w:r>
        <w:t>E</w:t>
      </w:r>
      <w:r w:rsidRPr="00C040B7">
        <w:rPr>
          <w:bCs/>
        </w:rPr>
        <w:t xml:space="preserve">osinophilic </w:t>
      </w:r>
      <w:r>
        <w:rPr>
          <w:bCs/>
        </w:rPr>
        <w:t>or</w:t>
      </w:r>
      <w:r w:rsidRPr="00C040B7">
        <w:rPr>
          <w:bCs/>
        </w:rPr>
        <w:t xml:space="preserve"> allergic </w:t>
      </w:r>
      <w:r>
        <w:rPr>
          <w:bCs/>
        </w:rPr>
        <w:t>SUA</w:t>
      </w:r>
      <w:bookmarkEnd w:id="67"/>
    </w:p>
    <w:p w14:paraId="645486A4" w14:textId="4407FC7B" w:rsidR="00787112" w:rsidRPr="00EE227E" w:rsidRDefault="00787112" w:rsidP="00217379">
      <w:pPr>
        <w:pStyle w:val="3-BodyText"/>
        <w:numPr>
          <w:ilvl w:val="1"/>
          <w:numId w:val="1"/>
        </w:numPr>
        <w:ind w:left="709"/>
        <w:rPr>
          <w:iCs/>
        </w:rPr>
      </w:pPr>
      <w:r w:rsidRPr="00EA3E2F">
        <w:t xml:space="preserve">For the eosinophilic or allergic SUA population, the submission described </w:t>
      </w:r>
      <w:proofErr w:type="spellStart"/>
      <w:r w:rsidRPr="00EA3E2F">
        <w:t>tezepelumab</w:t>
      </w:r>
      <w:proofErr w:type="spellEnd"/>
      <w:r w:rsidRPr="00EA3E2F">
        <w:t xml:space="preserve"> as non-inferior in terms of effectiveness compared to dupilumab (primary comparator) and additional comparators (</w:t>
      </w:r>
      <w:proofErr w:type="spellStart"/>
      <w:r w:rsidRPr="00EA3E2F">
        <w:t>benralizumab</w:t>
      </w:r>
      <w:proofErr w:type="spellEnd"/>
      <w:r w:rsidRPr="00EA3E2F">
        <w:t>, mepolizumab and omalizumab</w:t>
      </w:r>
      <w:r w:rsidRPr="00DB2935">
        <w:t xml:space="preserve">). </w:t>
      </w:r>
      <w:r w:rsidR="005864AC" w:rsidRPr="00EE227E">
        <w:rPr>
          <w:iCs/>
        </w:rPr>
        <w:t>The ESC noted</w:t>
      </w:r>
      <w:r w:rsidR="00217379">
        <w:t xml:space="preserve"> </w:t>
      </w:r>
      <w:r w:rsidRPr="00D405AA">
        <w:t>the key issues were</w:t>
      </w:r>
      <w:r w:rsidRPr="008D41FC">
        <w:t>:</w:t>
      </w:r>
    </w:p>
    <w:p w14:paraId="19BE241D" w14:textId="77777777" w:rsidR="00787112" w:rsidRPr="006C5610" w:rsidRDefault="00787112" w:rsidP="005A3B77">
      <w:pPr>
        <w:pStyle w:val="ListParagraph"/>
        <w:numPr>
          <w:ilvl w:val="0"/>
          <w:numId w:val="4"/>
        </w:numPr>
        <w:ind w:left="1134"/>
        <w:jc w:val="both"/>
      </w:pPr>
      <w:r w:rsidRPr="006C5610">
        <w:t xml:space="preserve">All indirect comparisons of efficacy were based on post hoc subgroups. This reduced the sample size and thus increased uncertainty in the results. </w:t>
      </w:r>
    </w:p>
    <w:p w14:paraId="2E7C1A8B" w14:textId="361A0728" w:rsidR="00787112" w:rsidRPr="006C5610" w:rsidRDefault="00787112" w:rsidP="005A3B77">
      <w:pPr>
        <w:pStyle w:val="ListParagraph"/>
        <w:numPr>
          <w:ilvl w:val="0"/>
          <w:numId w:val="4"/>
        </w:numPr>
        <w:ind w:left="1134"/>
        <w:jc w:val="both"/>
      </w:pPr>
      <w:r w:rsidRPr="006C5610">
        <w:t>There were</w:t>
      </w:r>
      <w:r w:rsidRPr="006C5610" w:rsidDel="004A5EDE">
        <w:t xml:space="preserve"> </w:t>
      </w:r>
      <w:r w:rsidRPr="006C5610">
        <w:t>transitivity issues between the trials included in the indirect comparisons, which may have introduced bias</w:t>
      </w:r>
      <w:r w:rsidR="00DD0960">
        <w:t xml:space="preserve"> </w:t>
      </w:r>
      <w:r w:rsidR="00DD0960" w:rsidRPr="00EE227E">
        <w:rPr>
          <w:iCs/>
        </w:rPr>
        <w:t>(as described in</w:t>
      </w:r>
      <w:r w:rsidR="00DD0960">
        <w:t xml:space="preserve"> </w:t>
      </w:r>
      <w:r w:rsidR="00DD0960" w:rsidRPr="00EE227E">
        <w:rPr>
          <w:iCs/>
        </w:rPr>
        <w:t xml:space="preserve">paragraphs </w:t>
      </w:r>
      <w:r w:rsidR="00DD0960" w:rsidRPr="00EE227E">
        <w:rPr>
          <w:iCs/>
        </w:rPr>
        <w:fldChar w:fldCharType="begin"/>
      </w:r>
      <w:r w:rsidR="00DD0960" w:rsidRPr="00EE227E">
        <w:rPr>
          <w:iCs/>
        </w:rPr>
        <w:instrText xml:space="preserve"> REF _Ref211439689 \r \h </w:instrText>
      </w:r>
      <w:r w:rsidR="00DD0960" w:rsidRPr="00EE227E">
        <w:rPr>
          <w:iCs/>
        </w:rPr>
      </w:r>
      <w:r w:rsidR="00DD0960" w:rsidRPr="00EE227E">
        <w:rPr>
          <w:iCs/>
        </w:rPr>
        <w:fldChar w:fldCharType="separate"/>
      </w:r>
      <w:r w:rsidR="0078760A">
        <w:rPr>
          <w:iCs/>
        </w:rPr>
        <w:t>6.13</w:t>
      </w:r>
      <w:r w:rsidR="00DD0960" w:rsidRPr="00EE227E">
        <w:rPr>
          <w:iCs/>
        </w:rPr>
        <w:fldChar w:fldCharType="end"/>
      </w:r>
      <w:r w:rsidR="00DD0960" w:rsidRPr="00EE227E">
        <w:rPr>
          <w:rFonts w:cstheme="minorHAnsi"/>
          <w:iCs/>
        </w:rPr>
        <w:t>−</w:t>
      </w:r>
      <w:r w:rsidR="00DD0960" w:rsidRPr="00EE227E">
        <w:rPr>
          <w:iCs/>
        </w:rPr>
        <w:fldChar w:fldCharType="begin"/>
      </w:r>
      <w:r w:rsidR="00DD0960" w:rsidRPr="00EE227E">
        <w:rPr>
          <w:iCs/>
        </w:rPr>
        <w:instrText xml:space="preserve"> REF _Ref211439863 \r \h </w:instrText>
      </w:r>
      <w:r w:rsidR="00DD0960" w:rsidRPr="00EE227E">
        <w:rPr>
          <w:iCs/>
        </w:rPr>
      </w:r>
      <w:r w:rsidR="00DD0960" w:rsidRPr="00EE227E">
        <w:rPr>
          <w:iCs/>
        </w:rPr>
        <w:fldChar w:fldCharType="separate"/>
      </w:r>
      <w:r w:rsidR="0078760A">
        <w:rPr>
          <w:iCs/>
        </w:rPr>
        <w:t>6.14</w:t>
      </w:r>
      <w:r w:rsidR="00DD0960" w:rsidRPr="00EE227E">
        <w:rPr>
          <w:iCs/>
        </w:rPr>
        <w:fldChar w:fldCharType="end"/>
      </w:r>
      <w:r w:rsidR="00DD0960" w:rsidRPr="00EE227E">
        <w:rPr>
          <w:iCs/>
        </w:rPr>
        <w:t>)</w:t>
      </w:r>
      <w:r w:rsidRPr="006C5610">
        <w:t xml:space="preserve">. </w:t>
      </w:r>
    </w:p>
    <w:p w14:paraId="6A130E33" w14:textId="27EBA1B2" w:rsidR="00787112" w:rsidRPr="006C5610" w:rsidRDefault="003B708C" w:rsidP="00787112">
      <w:pPr>
        <w:pStyle w:val="3-BodyText"/>
        <w:numPr>
          <w:ilvl w:val="1"/>
          <w:numId w:val="1"/>
        </w:numPr>
        <w:ind w:left="709"/>
      </w:pPr>
      <w:r w:rsidRPr="00EE227E">
        <w:t>The ESC noted that the evidence presented for the eosinophilic or allergic SUA population was the same as previously considered by ESC at their June 2022 meeting.</w:t>
      </w:r>
      <w:r w:rsidRPr="002A4F7B">
        <w:rPr>
          <w:iCs/>
        </w:rPr>
        <w:t xml:space="preserve"> </w:t>
      </w:r>
      <w:r w:rsidR="000F6BF2" w:rsidRPr="00EE227E">
        <w:rPr>
          <w:iCs/>
        </w:rPr>
        <w:t xml:space="preserve">The </w:t>
      </w:r>
      <w:r w:rsidR="00787112" w:rsidRPr="00EE227E">
        <w:rPr>
          <w:iCs/>
        </w:rPr>
        <w:t>ESC</w:t>
      </w:r>
      <w:r w:rsidR="000F6BF2" w:rsidRPr="00EE227E">
        <w:rPr>
          <w:iCs/>
        </w:rPr>
        <w:t xml:space="preserve"> recalled it had</w:t>
      </w:r>
      <w:r w:rsidR="00BD52A2" w:rsidRPr="00EE227E">
        <w:rPr>
          <w:iCs/>
        </w:rPr>
        <w:t xml:space="preserve"> previously considered that the evidence for </w:t>
      </w:r>
      <w:proofErr w:type="spellStart"/>
      <w:r w:rsidR="00BD52A2" w:rsidRPr="00EE227E">
        <w:rPr>
          <w:iCs/>
        </w:rPr>
        <w:t>tezepelumab</w:t>
      </w:r>
      <w:proofErr w:type="spellEnd"/>
      <w:r w:rsidR="00BD52A2" w:rsidRPr="00EE227E">
        <w:rPr>
          <w:iCs/>
        </w:rPr>
        <w:t xml:space="preserve"> was less robust for the OCS dependent population</w:t>
      </w:r>
      <w:r w:rsidR="00787112" w:rsidRPr="00EE227E">
        <w:rPr>
          <w:iCs/>
        </w:rPr>
        <w:t xml:space="preserve"> </w:t>
      </w:r>
      <w:r w:rsidR="00BD52A2" w:rsidRPr="00EE227E">
        <w:rPr>
          <w:iCs/>
        </w:rPr>
        <w:t>and</w:t>
      </w:r>
      <w:r w:rsidR="00BD52A2" w:rsidRPr="006C5610">
        <w:t xml:space="preserve"> </w:t>
      </w:r>
      <w:r w:rsidR="00787112" w:rsidRPr="006C5610">
        <w:t>that overall, the strength of evidence to support a conclusion of non-inferior effectiveness was consistent with the evidence that was considered for dupilumab in November 2020. (para</w:t>
      </w:r>
      <w:r w:rsidR="00BF2080">
        <w:t>graph</w:t>
      </w:r>
      <w:r w:rsidR="00787112" w:rsidRPr="006C5610">
        <w:t xml:space="preserve"> 6.61, </w:t>
      </w:r>
      <w:proofErr w:type="spellStart"/>
      <w:r w:rsidR="00787112" w:rsidRPr="006C5610">
        <w:t>tezepelumab</w:t>
      </w:r>
      <w:proofErr w:type="spellEnd"/>
      <w:r w:rsidR="00787112" w:rsidRPr="006C5610">
        <w:t xml:space="preserve"> ESC advice, July 2022 PBAC Meeting). </w:t>
      </w:r>
      <w:r w:rsidR="0007759B" w:rsidRPr="00EE227E">
        <w:rPr>
          <w:iCs/>
        </w:rPr>
        <w:t xml:space="preserve">The ESC noted the additional supportive data provided in the PSCR (paragraph </w:t>
      </w:r>
      <w:r w:rsidR="0007759B" w:rsidRPr="00EE227E">
        <w:rPr>
          <w:iCs/>
        </w:rPr>
        <w:fldChar w:fldCharType="begin"/>
      </w:r>
      <w:r w:rsidR="0007759B" w:rsidRPr="00EE227E">
        <w:rPr>
          <w:iCs/>
        </w:rPr>
        <w:instrText xml:space="preserve"> REF _Ref211574536 \r \h  \* MERGEFORMAT </w:instrText>
      </w:r>
      <w:r w:rsidR="0007759B" w:rsidRPr="00EE227E">
        <w:rPr>
          <w:iCs/>
        </w:rPr>
      </w:r>
      <w:r w:rsidR="0007759B" w:rsidRPr="00EE227E">
        <w:rPr>
          <w:iCs/>
        </w:rPr>
        <w:fldChar w:fldCharType="separate"/>
      </w:r>
      <w:r w:rsidR="0078760A">
        <w:rPr>
          <w:iCs/>
        </w:rPr>
        <w:t>6.28</w:t>
      </w:r>
      <w:r w:rsidR="0007759B" w:rsidRPr="00EE227E">
        <w:rPr>
          <w:iCs/>
        </w:rPr>
        <w:fldChar w:fldCharType="end"/>
      </w:r>
      <w:r w:rsidR="0007759B" w:rsidRPr="00EE227E">
        <w:rPr>
          <w:iCs/>
        </w:rPr>
        <w:t>). Overall, the ESC considered the efficacy</w:t>
      </w:r>
      <w:r w:rsidR="0007759B" w:rsidRPr="0007759B">
        <w:t xml:space="preserve"> </w:t>
      </w:r>
      <w:r w:rsidR="0007759B" w:rsidRPr="00EE227E">
        <w:rPr>
          <w:iCs/>
        </w:rPr>
        <w:t>claim was generally supported</w:t>
      </w:r>
      <w:r w:rsidR="00AF31F9" w:rsidRPr="00EE227E">
        <w:rPr>
          <w:iCs/>
        </w:rPr>
        <w:t>.</w:t>
      </w:r>
    </w:p>
    <w:p w14:paraId="0B080210" w14:textId="77777777" w:rsidR="00E32264" w:rsidRPr="00E32264" w:rsidRDefault="00787112" w:rsidP="00E32264">
      <w:pPr>
        <w:pStyle w:val="3-BodyText"/>
        <w:numPr>
          <w:ilvl w:val="1"/>
          <w:numId w:val="1"/>
        </w:numPr>
        <w:ind w:left="709"/>
      </w:pPr>
      <w:bookmarkStart w:id="68" w:name="_Ref212023116"/>
      <w:r w:rsidRPr="006C5610">
        <w:t xml:space="preserve">The submission described </w:t>
      </w:r>
      <w:proofErr w:type="spellStart"/>
      <w:r w:rsidRPr="006C5610">
        <w:t>tezepelumab</w:t>
      </w:r>
      <w:proofErr w:type="spellEnd"/>
      <w:r w:rsidRPr="006C5610">
        <w:t xml:space="preserve"> as non-inferior in terms of safety compared to dupilumab (primary comparator) and additional comparators (</w:t>
      </w:r>
      <w:proofErr w:type="spellStart"/>
      <w:r w:rsidRPr="006C5610">
        <w:t>benralizumab</w:t>
      </w:r>
      <w:proofErr w:type="spellEnd"/>
      <w:r w:rsidRPr="006C5610">
        <w:t xml:space="preserve">, mepolizumab and omalizumab). </w:t>
      </w:r>
      <w:r w:rsidR="00C539C1" w:rsidRPr="00EE227E">
        <w:rPr>
          <w:iCs/>
        </w:rPr>
        <w:t>Overall, the ESC considered this was reasonable.</w:t>
      </w:r>
      <w:bookmarkStart w:id="69" w:name="_Hlk76376200"/>
      <w:bookmarkEnd w:id="68"/>
    </w:p>
    <w:p w14:paraId="5B11B4DE" w14:textId="68BDDF20" w:rsidR="00E32264" w:rsidRPr="00385016" w:rsidRDefault="00E32264" w:rsidP="00E32264">
      <w:pPr>
        <w:pStyle w:val="3-BodyText"/>
        <w:numPr>
          <w:ilvl w:val="1"/>
          <w:numId w:val="1"/>
        </w:numPr>
        <w:ind w:left="709"/>
      </w:pPr>
      <w:r w:rsidRPr="00385016">
        <w:rPr>
          <w:iCs/>
          <w:snapToGrid w:val="0"/>
        </w:rPr>
        <w:t>The</w:t>
      </w:r>
      <w:r w:rsidRPr="00385016">
        <w:rPr>
          <w:snapToGrid w:val="0"/>
          <w:szCs w:val="20"/>
        </w:rPr>
        <w:t xml:space="preserve"> PBAC considered that the claim of non-inferior comparative effectiveness </w:t>
      </w:r>
      <w:r w:rsidR="007624FB" w:rsidRPr="00385016">
        <w:rPr>
          <w:snapToGrid w:val="0"/>
          <w:szCs w:val="20"/>
        </w:rPr>
        <w:t>was adequately supported by the data</w:t>
      </w:r>
      <w:r w:rsidR="00985448" w:rsidRPr="00385016">
        <w:rPr>
          <w:snapToGrid w:val="0"/>
          <w:szCs w:val="20"/>
        </w:rPr>
        <w:t>.</w:t>
      </w:r>
    </w:p>
    <w:p w14:paraId="07B288B5" w14:textId="27B8C637" w:rsidR="00E32264" w:rsidRPr="00385016" w:rsidRDefault="00E32264" w:rsidP="00E32264">
      <w:pPr>
        <w:pStyle w:val="3-BodyText"/>
        <w:numPr>
          <w:ilvl w:val="1"/>
          <w:numId w:val="1"/>
        </w:numPr>
        <w:ind w:left="709"/>
      </w:pPr>
      <w:r w:rsidRPr="00385016">
        <w:rPr>
          <w:snapToGrid w:val="0"/>
          <w:szCs w:val="20"/>
        </w:rPr>
        <w:t>The PBAC considered that the claim of non-inferior comparative safety was reasonable.</w:t>
      </w:r>
      <w:bookmarkEnd w:id="69"/>
    </w:p>
    <w:p w14:paraId="74A1172E" w14:textId="128C170E" w:rsidR="00B60939" w:rsidRPr="0098262F" w:rsidRDefault="00B60939" w:rsidP="00E9094A">
      <w:pPr>
        <w:pStyle w:val="COMESSubsectionheading"/>
      </w:pPr>
      <w:bookmarkStart w:id="70" w:name="_Toc22897645"/>
      <w:bookmarkStart w:id="71" w:name="_Toc209016999"/>
      <w:r w:rsidRPr="0098262F">
        <w:t>Economic analysis</w:t>
      </w:r>
      <w:bookmarkEnd w:id="70"/>
      <w:bookmarkEnd w:id="71"/>
      <w:r w:rsidR="00491B3A" w:rsidRPr="0098262F">
        <w:t xml:space="preserve"> </w:t>
      </w:r>
    </w:p>
    <w:p w14:paraId="79162713" w14:textId="77777777" w:rsidR="00985766" w:rsidRPr="004F56D0" w:rsidRDefault="00985766" w:rsidP="00985766">
      <w:pPr>
        <w:keepNext/>
        <w:keepLines/>
        <w:spacing w:before="40"/>
        <w:outlineLvl w:val="2"/>
        <w:rPr>
          <w:rFonts w:asciiTheme="minorHAnsi" w:eastAsiaTheme="majorEastAsia" w:hAnsiTheme="minorHAnsi" w:cstheme="majorBidi"/>
          <w:b/>
          <w:color w:val="000000" w:themeColor="text1"/>
        </w:rPr>
      </w:pPr>
      <w:bookmarkStart w:id="72" w:name="_Toc206426969"/>
      <w:bookmarkStart w:id="73" w:name="_Toc206428380"/>
      <w:r w:rsidRPr="004F56D0">
        <w:rPr>
          <w:rFonts w:asciiTheme="minorHAnsi" w:eastAsiaTheme="majorEastAsia" w:hAnsiTheme="minorHAnsi" w:cstheme="majorBidi"/>
          <w:b/>
          <w:color w:val="000000" w:themeColor="text1"/>
        </w:rPr>
        <w:t xml:space="preserve">Non-eosinophilic and non-allergic SUA </w:t>
      </w:r>
      <w:bookmarkEnd w:id="72"/>
      <w:bookmarkEnd w:id="73"/>
    </w:p>
    <w:p w14:paraId="61E60C6C" w14:textId="77777777" w:rsidR="00985766" w:rsidRPr="00A93ABB" w:rsidRDefault="00985766" w:rsidP="008A1238">
      <w:pPr>
        <w:numPr>
          <w:ilvl w:val="1"/>
          <w:numId w:val="1"/>
        </w:numPr>
        <w:spacing w:before="60" w:after="60"/>
        <w:ind w:left="709"/>
        <w:rPr>
          <w:rFonts w:asciiTheme="minorHAnsi" w:eastAsiaTheme="minorHAnsi" w:hAnsiTheme="minorHAnsi" w:cstheme="minorBidi"/>
          <w:b/>
          <w:bCs/>
          <w:szCs w:val="22"/>
        </w:rPr>
      </w:pPr>
      <w:r w:rsidRPr="004F56D0">
        <w:rPr>
          <w:rFonts w:asciiTheme="minorHAnsi" w:eastAsiaTheme="minorHAnsi" w:hAnsiTheme="minorHAnsi" w:cstheme="minorBidi"/>
          <w:szCs w:val="22"/>
        </w:rPr>
        <w:t xml:space="preserve">The submission presented a stepped economic evaluation </w:t>
      </w:r>
      <w:r>
        <w:rPr>
          <w:rFonts w:asciiTheme="minorHAnsi" w:eastAsiaTheme="minorHAnsi" w:hAnsiTheme="minorHAnsi" w:cstheme="minorBidi"/>
          <w:szCs w:val="22"/>
        </w:rPr>
        <w:t xml:space="preserve">of </w:t>
      </w:r>
      <w:proofErr w:type="spellStart"/>
      <w:r>
        <w:rPr>
          <w:rFonts w:asciiTheme="minorHAnsi" w:eastAsiaTheme="minorHAnsi" w:hAnsiTheme="minorHAnsi" w:cstheme="minorBidi"/>
          <w:szCs w:val="22"/>
        </w:rPr>
        <w:t>tezepelumab</w:t>
      </w:r>
      <w:proofErr w:type="spellEnd"/>
      <w:r>
        <w:rPr>
          <w:rFonts w:asciiTheme="minorHAnsi" w:eastAsiaTheme="minorHAnsi" w:hAnsiTheme="minorHAnsi" w:cstheme="minorBidi"/>
          <w:szCs w:val="22"/>
        </w:rPr>
        <w:t xml:space="preserve"> compared to SoC in patients with non-eosinophilic and non-allergic SUA who require high-dose ICS. </w:t>
      </w:r>
    </w:p>
    <w:p w14:paraId="51776346" w14:textId="4D76ABB8" w:rsidR="00985766" w:rsidRPr="00F70B92" w:rsidRDefault="00985766" w:rsidP="008A1238">
      <w:pPr>
        <w:numPr>
          <w:ilvl w:val="1"/>
          <w:numId w:val="1"/>
        </w:numPr>
        <w:spacing w:before="60" w:after="60"/>
        <w:ind w:left="709"/>
        <w:rPr>
          <w:rFonts w:asciiTheme="minorHAnsi" w:eastAsiaTheme="minorHAnsi" w:hAnsiTheme="minorHAnsi" w:cstheme="minorBidi"/>
          <w:szCs w:val="22"/>
        </w:rPr>
      </w:pPr>
      <w:r w:rsidRPr="00AE5EC9">
        <w:rPr>
          <w:rFonts w:asciiTheme="minorHAnsi" w:eastAsiaTheme="minorHAnsi" w:hAnsiTheme="minorHAnsi" w:cstheme="minorBidi"/>
          <w:szCs w:val="22"/>
        </w:rPr>
        <w:t xml:space="preserve">The type of economic evaluation presented was a cost-utility analysis and cost-effectiveness approach. </w:t>
      </w:r>
      <w:r w:rsidRPr="00F70B92">
        <w:rPr>
          <w:rFonts w:asciiTheme="minorHAnsi" w:eastAsiaTheme="minorHAnsi" w:hAnsiTheme="minorHAnsi" w:cstheme="minorBidi"/>
          <w:szCs w:val="22"/>
        </w:rPr>
        <w:t xml:space="preserve">The cost-utility analysis was consistent with the clinical claim of superior effectiveness and non-inferior safety of </w:t>
      </w:r>
      <w:proofErr w:type="spellStart"/>
      <w:r w:rsidRPr="00F70B92">
        <w:rPr>
          <w:rFonts w:asciiTheme="minorHAnsi" w:eastAsiaTheme="minorHAnsi" w:hAnsiTheme="minorHAnsi" w:cstheme="minorBidi"/>
          <w:szCs w:val="22"/>
        </w:rPr>
        <w:t>tezepelumab</w:t>
      </w:r>
      <w:proofErr w:type="spellEnd"/>
      <w:r w:rsidRPr="00F70B92">
        <w:rPr>
          <w:rFonts w:asciiTheme="minorHAnsi" w:eastAsiaTheme="minorHAnsi" w:hAnsiTheme="minorHAnsi" w:cstheme="minorBidi"/>
          <w:szCs w:val="22"/>
        </w:rPr>
        <w:t xml:space="preserve"> compared to SoC for the population. </w:t>
      </w:r>
    </w:p>
    <w:p w14:paraId="6C285EAD" w14:textId="5C6A9CF7" w:rsidR="00985766" w:rsidRPr="004F56D0" w:rsidRDefault="00985766" w:rsidP="008A1238">
      <w:pPr>
        <w:numPr>
          <w:ilvl w:val="1"/>
          <w:numId w:val="1"/>
        </w:numPr>
        <w:spacing w:before="60" w:after="60"/>
        <w:ind w:left="709"/>
        <w:rPr>
          <w:rFonts w:asciiTheme="minorHAnsi" w:eastAsiaTheme="minorHAnsi" w:hAnsiTheme="minorHAnsi" w:cstheme="minorHAnsi"/>
        </w:rPr>
      </w:pPr>
      <w:r w:rsidRPr="004F56D0">
        <w:rPr>
          <w:rFonts w:asciiTheme="minorHAnsi" w:eastAsiaTheme="minorHAnsi" w:hAnsiTheme="minorHAnsi" w:cstheme="minorBidi"/>
          <w:szCs w:val="22"/>
        </w:rPr>
        <w:t xml:space="preserve">The key features of the economic evaluation are presented </w:t>
      </w:r>
      <w:r w:rsidRPr="000A6094">
        <w:rPr>
          <w:rFonts w:asciiTheme="minorHAnsi" w:eastAsiaTheme="minorHAnsi" w:hAnsiTheme="minorHAnsi" w:cstheme="minorBidi"/>
          <w:szCs w:val="22"/>
        </w:rPr>
        <w:t xml:space="preserve">in </w:t>
      </w:r>
      <w:r w:rsidRPr="000A6094">
        <w:rPr>
          <w:rFonts w:asciiTheme="minorHAnsi" w:eastAsiaTheme="minorHAnsi" w:hAnsiTheme="minorHAnsi" w:cstheme="minorBidi"/>
          <w:szCs w:val="22"/>
        </w:rPr>
        <w:fldChar w:fldCharType="begin"/>
      </w:r>
      <w:r w:rsidRPr="000A6094">
        <w:rPr>
          <w:rFonts w:asciiTheme="minorHAnsi" w:eastAsiaTheme="minorHAnsi" w:hAnsiTheme="minorHAnsi" w:cstheme="minorBidi"/>
          <w:szCs w:val="22"/>
        </w:rPr>
        <w:instrText xml:space="preserve"> REF _Ref205558303 \h  \* MERGEFORMAT </w:instrText>
      </w:r>
      <w:r w:rsidRPr="000A6094">
        <w:rPr>
          <w:rFonts w:asciiTheme="minorHAnsi" w:eastAsiaTheme="minorHAnsi" w:hAnsiTheme="minorHAnsi" w:cstheme="minorBidi"/>
          <w:szCs w:val="22"/>
        </w:rPr>
      </w:r>
      <w:r w:rsidRPr="000A6094">
        <w:rPr>
          <w:rFonts w:asciiTheme="minorHAnsi" w:eastAsiaTheme="minorHAnsi" w:hAnsiTheme="minorHAnsi" w:cstheme="minorBidi"/>
          <w:szCs w:val="22"/>
        </w:rPr>
        <w:fldChar w:fldCharType="separate"/>
      </w:r>
      <w:r w:rsidR="0078760A" w:rsidRPr="0078760A">
        <w:rPr>
          <w:rFonts w:asciiTheme="minorHAnsi" w:eastAsiaTheme="minorHAnsi" w:hAnsiTheme="minorHAnsi" w:cstheme="minorBidi"/>
          <w:szCs w:val="22"/>
        </w:rPr>
        <w:t>Table 13</w:t>
      </w:r>
      <w:r w:rsidRPr="000A6094">
        <w:rPr>
          <w:rFonts w:asciiTheme="minorHAnsi" w:eastAsiaTheme="minorHAnsi" w:hAnsiTheme="minorHAnsi" w:cstheme="minorBidi"/>
          <w:szCs w:val="22"/>
        </w:rPr>
        <w:fldChar w:fldCharType="end"/>
      </w:r>
      <w:r w:rsidRPr="000A6094">
        <w:rPr>
          <w:rFonts w:asciiTheme="minorHAnsi" w:eastAsiaTheme="minorHAnsi" w:hAnsiTheme="minorHAnsi" w:cstheme="minorBidi"/>
          <w:szCs w:val="22"/>
        </w:rPr>
        <w:t>.</w:t>
      </w:r>
    </w:p>
    <w:p w14:paraId="63C5026A" w14:textId="2849C66E" w:rsidR="00985766" w:rsidRPr="00D93076" w:rsidRDefault="00985766" w:rsidP="00985766">
      <w:pPr>
        <w:pStyle w:val="TableFigureHeading"/>
      </w:pPr>
      <w:bookmarkStart w:id="74" w:name="_Ref205558303"/>
      <w:r w:rsidRPr="004F56D0">
        <w:rPr>
          <w:szCs w:val="18"/>
        </w:rPr>
        <w:t xml:space="preserve">Table </w:t>
      </w:r>
      <w:r w:rsidRPr="004F56D0">
        <w:rPr>
          <w:szCs w:val="18"/>
        </w:rPr>
        <w:fldChar w:fldCharType="begin"/>
      </w:r>
      <w:r w:rsidRPr="004F56D0">
        <w:rPr>
          <w:szCs w:val="18"/>
        </w:rPr>
        <w:instrText xml:space="preserve"> SEQ Table \* ARABIC </w:instrText>
      </w:r>
      <w:r w:rsidRPr="004F56D0">
        <w:rPr>
          <w:szCs w:val="18"/>
        </w:rPr>
        <w:fldChar w:fldCharType="separate"/>
      </w:r>
      <w:r w:rsidR="0078760A">
        <w:rPr>
          <w:noProof/>
          <w:szCs w:val="18"/>
        </w:rPr>
        <w:t>13</w:t>
      </w:r>
      <w:r w:rsidRPr="004F56D0">
        <w:rPr>
          <w:noProof/>
          <w:szCs w:val="18"/>
        </w:rPr>
        <w:fldChar w:fldCharType="end"/>
      </w:r>
      <w:bookmarkEnd w:id="74"/>
      <w:r w:rsidRPr="004F56D0">
        <w:rPr>
          <w:szCs w:val="18"/>
        </w:rPr>
        <w:t>:</w:t>
      </w:r>
      <w:r w:rsidRPr="004F56D0">
        <w:t xml:space="preserve"> Summary of model structure, key inputs and</w:t>
      </w:r>
      <w:r w:rsidRPr="00D93076">
        <w:t xml:space="preserve">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Summary of model structure, key inputs and rationale"/>
      </w:tblPr>
      <w:tblGrid>
        <w:gridCol w:w="1924"/>
        <w:gridCol w:w="7093"/>
      </w:tblGrid>
      <w:tr w:rsidR="00985766" w:rsidRPr="00D93076" w14:paraId="21B89FBC" w14:textId="77777777" w:rsidTr="008A1238">
        <w:trPr>
          <w:cantSplit/>
          <w:tblHeader/>
        </w:trPr>
        <w:tc>
          <w:tcPr>
            <w:tcW w:w="1067" w:type="pct"/>
            <w:vAlign w:val="center"/>
          </w:tcPr>
          <w:p w14:paraId="17FA882F" w14:textId="77777777" w:rsidR="00985766" w:rsidRPr="00D93076" w:rsidRDefault="00985766">
            <w:pPr>
              <w:keepNext/>
              <w:jc w:val="center"/>
              <w:rPr>
                <w:rFonts w:ascii="Arial Narrow" w:eastAsiaTheme="majorEastAsia" w:hAnsi="Arial Narrow" w:cstheme="majorBidi"/>
                <w:b/>
                <w:bCs/>
                <w:sz w:val="20"/>
              </w:rPr>
            </w:pPr>
            <w:r w:rsidRPr="00D93076">
              <w:rPr>
                <w:rFonts w:ascii="Arial Narrow" w:eastAsiaTheme="majorEastAsia" w:hAnsi="Arial Narrow" w:cstheme="majorBidi"/>
                <w:b/>
                <w:bCs/>
                <w:sz w:val="20"/>
              </w:rPr>
              <w:t>Component</w:t>
            </w:r>
          </w:p>
        </w:tc>
        <w:tc>
          <w:tcPr>
            <w:tcW w:w="3933" w:type="pct"/>
            <w:vAlign w:val="center"/>
          </w:tcPr>
          <w:p w14:paraId="0147273A" w14:textId="77777777" w:rsidR="00985766" w:rsidRPr="00D93076" w:rsidRDefault="00985766">
            <w:pPr>
              <w:keepNext/>
              <w:jc w:val="center"/>
              <w:rPr>
                <w:rFonts w:ascii="Arial Narrow" w:eastAsiaTheme="majorEastAsia" w:hAnsi="Arial Narrow" w:cstheme="majorBidi"/>
                <w:b/>
                <w:bCs/>
                <w:sz w:val="20"/>
              </w:rPr>
            </w:pPr>
            <w:r w:rsidRPr="00D93076">
              <w:rPr>
                <w:rFonts w:ascii="Arial Narrow" w:eastAsiaTheme="majorEastAsia" w:hAnsi="Arial Narrow" w:cstheme="majorBidi"/>
                <w:b/>
                <w:bCs/>
                <w:sz w:val="20"/>
              </w:rPr>
              <w:t>Description</w:t>
            </w:r>
          </w:p>
        </w:tc>
      </w:tr>
      <w:tr w:rsidR="00985766" w:rsidRPr="00D93076" w14:paraId="596E5151" w14:textId="77777777" w:rsidTr="008A1238">
        <w:trPr>
          <w:cantSplit/>
        </w:trPr>
        <w:tc>
          <w:tcPr>
            <w:tcW w:w="1067" w:type="pct"/>
            <w:vAlign w:val="center"/>
          </w:tcPr>
          <w:p w14:paraId="42D4A399"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Population</w:t>
            </w:r>
          </w:p>
        </w:tc>
        <w:tc>
          <w:tcPr>
            <w:tcW w:w="3933" w:type="pct"/>
            <w:vAlign w:val="center"/>
          </w:tcPr>
          <w:p w14:paraId="729501AD"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Patients with non-eosinophilic and non-allergic SUA, aged 56 years. 32.9% assumed to be men.</w:t>
            </w:r>
          </w:p>
        </w:tc>
      </w:tr>
      <w:tr w:rsidR="00985766" w:rsidRPr="00D93076" w14:paraId="23D039AD" w14:textId="77777777" w:rsidTr="008A1238">
        <w:trPr>
          <w:cantSplit/>
        </w:trPr>
        <w:tc>
          <w:tcPr>
            <w:tcW w:w="1067" w:type="pct"/>
            <w:vAlign w:val="center"/>
          </w:tcPr>
          <w:p w14:paraId="783279D9"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Treatments</w:t>
            </w:r>
          </w:p>
        </w:tc>
        <w:tc>
          <w:tcPr>
            <w:tcW w:w="3933" w:type="pct"/>
            <w:vAlign w:val="center"/>
          </w:tcPr>
          <w:p w14:paraId="4379697A" w14:textId="2F855800"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Tezepelumab</w:t>
            </w:r>
            <w:r w:rsidR="00F302C0">
              <w:rPr>
                <w:rFonts w:ascii="Arial Narrow" w:eastAsiaTheme="majorEastAsia" w:hAnsi="Arial Narrow" w:cstheme="majorBidi"/>
                <w:bCs/>
                <w:sz w:val="20"/>
              </w:rPr>
              <w:t xml:space="preserve"> </w:t>
            </w:r>
            <w:r w:rsidRPr="00D93076">
              <w:rPr>
                <w:rFonts w:ascii="Arial Narrow" w:eastAsiaTheme="majorEastAsia" w:hAnsi="Arial Narrow" w:cstheme="majorBidi"/>
                <w:bCs/>
                <w:sz w:val="20"/>
              </w:rPr>
              <w:t>+ SoC compared to SoC</w:t>
            </w:r>
          </w:p>
        </w:tc>
      </w:tr>
      <w:tr w:rsidR="00985766" w:rsidRPr="00D93076" w14:paraId="01F942E8" w14:textId="77777777" w:rsidTr="008A1238">
        <w:trPr>
          <w:cantSplit/>
        </w:trPr>
        <w:tc>
          <w:tcPr>
            <w:tcW w:w="1067" w:type="pct"/>
            <w:vAlign w:val="center"/>
          </w:tcPr>
          <w:p w14:paraId="064158D9"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Type of analysis</w:t>
            </w:r>
          </w:p>
        </w:tc>
        <w:tc>
          <w:tcPr>
            <w:tcW w:w="3933" w:type="pct"/>
            <w:vAlign w:val="center"/>
          </w:tcPr>
          <w:p w14:paraId="13FA3CC0"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Cost-utility analysis / cost-effectiveness analysis</w:t>
            </w:r>
          </w:p>
        </w:tc>
      </w:tr>
      <w:tr w:rsidR="00985766" w:rsidRPr="00D93076" w14:paraId="42D8A266" w14:textId="77777777" w:rsidTr="008A1238">
        <w:trPr>
          <w:cantSplit/>
        </w:trPr>
        <w:tc>
          <w:tcPr>
            <w:tcW w:w="1067" w:type="pct"/>
            <w:vAlign w:val="center"/>
          </w:tcPr>
          <w:p w14:paraId="528877C0"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Outcomes</w:t>
            </w:r>
          </w:p>
        </w:tc>
        <w:tc>
          <w:tcPr>
            <w:tcW w:w="3933" w:type="pct"/>
            <w:vAlign w:val="center"/>
          </w:tcPr>
          <w:p w14:paraId="5866E6CE"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Number of exacerbations.</w:t>
            </w:r>
          </w:p>
          <w:p w14:paraId="7EB14672"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Change in the rate of asthma exacerbations.</w:t>
            </w:r>
          </w:p>
          <w:p w14:paraId="71E88CE8"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Change in the proportion of exacerbations requiring hospitalisation.</w:t>
            </w:r>
          </w:p>
          <w:p w14:paraId="0172861D"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Change in the proportion of exacerbations leading to emergency department admission and OCS burst.</w:t>
            </w:r>
          </w:p>
          <w:p w14:paraId="218FB452"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Change in the quality of life.</w:t>
            </w:r>
          </w:p>
          <w:p w14:paraId="66576C0A" w14:textId="59B9A2EE"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OCS sparing and associated OCS adverse event avoidance.</w:t>
            </w:r>
          </w:p>
        </w:tc>
      </w:tr>
      <w:tr w:rsidR="00985766" w:rsidRPr="00D93076" w14:paraId="79B284FE" w14:textId="77777777" w:rsidTr="008A1238">
        <w:trPr>
          <w:cantSplit/>
        </w:trPr>
        <w:tc>
          <w:tcPr>
            <w:tcW w:w="1067" w:type="pct"/>
            <w:vAlign w:val="center"/>
          </w:tcPr>
          <w:p w14:paraId="0BDAEE49"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Time horizon</w:t>
            </w:r>
          </w:p>
        </w:tc>
        <w:tc>
          <w:tcPr>
            <w:tcW w:w="3933" w:type="pct"/>
            <w:vAlign w:val="center"/>
          </w:tcPr>
          <w:p w14:paraId="68F42814"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 xml:space="preserve">40 years in the model base case compared to 52 weeks in the key trials. Age at model entrance was assumed to be 56 years based on the mean baseline age of patients in the NAVIGATOR and SOURCE trials. </w:t>
            </w:r>
          </w:p>
        </w:tc>
      </w:tr>
      <w:tr w:rsidR="00985766" w:rsidRPr="00D93076" w14:paraId="0B942A20" w14:textId="77777777" w:rsidTr="008A1238">
        <w:trPr>
          <w:cantSplit/>
        </w:trPr>
        <w:tc>
          <w:tcPr>
            <w:tcW w:w="1067" w:type="pct"/>
            <w:vAlign w:val="center"/>
          </w:tcPr>
          <w:p w14:paraId="50A4FC88"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Methods used to generate results</w:t>
            </w:r>
          </w:p>
        </w:tc>
        <w:tc>
          <w:tcPr>
            <w:tcW w:w="3933" w:type="pct"/>
            <w:vAlign w:val="center"/>
          </w:tcPr>
          <w:p w14:paraId="6478DBC6" w14:textId="0269F563"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Markov cohort model</w:t>
            </w:r>
            <w:r w:rsidRPr="00EE227E">
              <w:rPr>
                <w:rFonts w:ascii="Arial Narrow" w:eastAsiaTheme="majorEastAsia" w:hAnsi="Arial Narrow" w:cstheme="majorBidi"/>
                <w:bCs/>
                <w:iCs/>
                <w:sz w:val="20"/>
              </w:rPr>
              <w:t>. Th</w:t>
            </w:r>
            <w:r w:rsidR="00347F5E" w:rsidRPr="00EE227E">
              <w:rPr>
                <w:rFonts w:ascii="Arial Narrow" w:eastAsiaTheme="majorEastAsia" w:hAnsi="Arial Narrow" w:cstheme="majorBidi"/>
                <w:bCs/>
                <w:iCs/>
                <w:sz w:val="20"/>
              </w:rPr>
              <w:t>e evaluation considered that this</w:t>
            </w:r>
            <w:r w:rsidRPr="00D93076">
              <w:rPr>
                <w:rFonts w:ascii="Arial Narrow" w:eastAsiaTheme="majorEastAsia" w:hAnsi="Arial Narrow" w:cstheme="majorBidi"/>
                <w:bCs/>
                <w:sz w:val="20"/>
              </w:rPr>
              <w:t xml:space="preserve"> was likely reasonable.</w:t>
            </w:r>
          </w:p>
        </w:tc>
      </w:tr>
      <w:tr w:rsidR="00985766" w:rsidRPr="00D93076" w14:paraId="05F764A4" w14:textId="77777777" w:rsidTr="008A1238">
        <w:trPr>
          <w:cantSplit/>
        </w:trPr>
        <w:tc>
          <w:tcPr>
            <w:tcW w:w="1067" w:type="pct"/>
            <w:vAlign w:val="center"/>
          </w:tcPr>
          <w:p w14:paraId="4E20D661"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Health states</w:t>
            </w:r>
          </w:p>
        </w:tc>
        <w:tc>
          <w:tcPr>
            <w:tcW w:w="3933" w:type="pct"/>
            <w:vAlign w:val="center"/>
          </w:tcPr>
          <w:p w14:paraId="5CCD2F63" w14:textId="5042DB90" w:rsidR="00985766" w:rsidRPr="00D93076" w:rsidRDefault="00985766" w:rsidP="0031310F">
            <w:pPr>
              <w:pStyle w:val="TableText"/>
            </w:pPr>
            <w:r w:rsidRPr="00D93076">
              <w:t xml:space="preserve">5 </w:t>
            </w:r>
            <w:r w:rsidR="00B74E38" w:rsidRPr="00EE227E">
              <w:rPr>
                <w:iCs/>
              </w:rPr>
              <w:t>core</w:t>
            </w:r>
            <w:r w:rsidRPr="00D93076">
              <w:t xml:space="preserve"> health states each for OCS users and OCS non-users:</w:t>
            </w:r>
          </w:p>
          <w:p w14:paraId="469FD53C" w14:textId="4A1A88F8" w:rsidR="00985766" w:rsidRPr="0031310F" w:rsidRDefault="00985766" w:rsidP="007534E3">
            <w:pPr>
              <w:pStyle w:val="TableText"/>
              <w:numPr>
                <w:ilvl w:val="0"/>
                <w:numId w:val="31"/>
              </w:numPr>
            </w:pPr>
            <w:r w:rsidRPr="0031310F">
              <w:t>Controlled asthma: ACQ-6 &lt;1.5 without exacerbation.</w:t>
            </w:r>
          </w:p>
          <w:p w14:paraId="7CC44AB1" w14:textId="7C517430" w:rsidR="00985766" w:rsidRPr="00D93076" w:rsidRDefault="00985766" w:rsidP="007534E3">
            <w:pPr>
              <w:pStyle w:val="TableText"/>
              <w:numPr>
                <w:ilvl w:val="0"/>
                <w:numId w:val="31"/>
              </w:numPr>
            </w:pPr>
            <w:r w:rsidRPr="00D93076">
              <w:t>Uncontrolled asthma: ACQ-6 ≥1.5 without exacerbation.</w:t>
            </w:r>
          </w:p>
          <w:p w14:paraId="117257B9" w14:textId="711CDF20" w:rsidR="00985766" w:rsidRPr="00D93076" w:rsidRDefault="00985766" w:rsidP="007534E3">
            <w:pPr>
              <w:pStyle w:val="TableText"/>
              <w:numPr>
                <w:ilvl w:val="0"/>
                <w:numId w:val="31"/>
              </w:numPr>
            </w:pPr>
            <w:r w:rsidRPr="00D93076">
              <w:t>Exacerbation (from the controlled health state).</w:t>
            </w:r>
          </w:p>
          <w:p w14:paraId="6A9C0B94" w14:textId="451AAB5E" w:rsidR="00985766" w:rsidRPr="00D93076" w:rsidRDefault="00985766" w:rsidP="007534E3">
            <w:pPr>
              <w:pStyle w:val="TableText"/>
              <w:numPr>
                <w:ilvl w:val="0"/>
                <w:numId w:val="31"/>
              </w:numPr>
            </w:pPr>
            <w:r w:rsidRPr="00D93076">
              <w:t>Exacerbation (from the uncontrolled health state).</w:t>
            </w:r>
          </w:p>
          <w:p w14:paraId="7F750F84" w14:textId="081E63CB" w:rsidR="00985766" w:rsidRPr="00D93076" w:rsidRDefault="00985766" w:rsidP="007534E3">
            <w:pPr>
              <w:pStyle w:val="TableText"/>
              <w:numPr>
                <w:ilvl w:val="0"/>
                <w:numId w:val="31"/>
              </w:numPr>
            </w:pPr>
            <w:r w:rsidRPr="00D93076">
              <w:t>Dead: Includes asthma-related mortality and all-cause mortality.</w:t>
            </w:r>
          </w:p>
          <w:p w14:paraId="48E14A97" w14:textId="692057F9" w:rsidR="00985766" w:rsidRPr="00D93076" w:rsidRDefault="00985766" w:rsidP="0031310F">
            <w:pPr>
              <w:pStyle w:val="TableText"/>
            </w:pPr>
            <w:r w:rsidRPr="00EE227E">
              <w:t xml:space="preserve">The </w:t>
            </w:r>
            <w:r w:rsidR="00B74E38" w:rsidRPr="00EE227E">
              <w:t>evaluation considered that the</w:t>
            </w:r>
            <w:r w:rsidRPr="00D93076">
              <w:t xml:space="preserve"> use of these health states was reasonable and consistent with published evidence. </w:t>
            </w:r>
          </w:p>
        </w:tc>
      </w:tr>
      <w:tr w:rsidR="00985766" w:rsidRPr="00D93076" w14:paraId="50BC50A5" w14:textId="77777777" w:rsidTr="008A1238">
        <w:trPr>
          <w:cantSplit/>
        </w:trPr>
        <w:tc>
          <w:tcPr>
            <w:tcW w:w="1067" w:type="pct"/>
            <w:vAlign w:val="center"/>
          </w:tcPr>
          <w:p w14:paraId="7EDC9CA0"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Cycle length</w:t>
            </w:r>
          </w:p>
        </w:tc>
        <w:tc>
          <w:tcPr>
            <w:tcW w:w="3933" w:type="pct"/>
            <w:vAlign w:val="center"/>
          </w:tcPr>
          <w:p w14:paraId="7071970A"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 xml:space="preserve">4 weeks. Aligned with the dosing regimen of </w:t>
            </w:r>
            <w:proofErr w:type="spellStart"/>
            <w:r w:rsidRPr="00D93076">
              <w:rPr>
                <w:rFonts w:ascii="Arial Narrow" w:eastAsiaTheme="majorEastAsia" w:hAnsi="Arial Narrow" w:cstheme="majorBidi"/>
                <w:bCs/>
                <w:sz w:val="20"/>
              </w:rPr>
              <w:t>tezepelumab</w:t>
            </w:r>
            <w:proofErr w:type="spellEnd"/>
            <w:r w:rsidRPr="00D93076">
              <w:rPr>
                <w:rFonts w:ascii="Arial Narrow" w:eastAsiaTheme="majorEastAsia" w:hAnsi="Arial Narrow" w:cstheme="majorBidi"/>
                <w:bCs/>
                <w:sz w:val="20"/>
              </w:rPr>
              <w:t>.</w:t>
            </w:r>
          </w:p>
        </w:tc>
      </w:tr>
      <w:tr w:rsidR="00985766" w:rsidRPr="00D93076" w14:paraId="12328138" w14:textId="77777777" w:rsidTr="008A1238">
        <w:trPr>
          <w:cantSplit/>
        </w:trPr>
        <w:tc>
          <w:tcPr>
            <w:tcW w:w="1067" w:type="pct"/>
            <w:vAlign w:val="center"/>
          </w:tcPr>
          <w:p w14:paraId="636EA713"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Population and source data</w:t>
            </w:r>
          </w:p>
        </w:tc>
        <w:tc>
          <w:tcPr>
            <w:tcW w:w="3933" w:type="pct"/>
            <w:vAlign w:val="center"/>
          </w:tcPr>
          <w:p w14:paraId="270C7BA4"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 xml:space="preserve">Derived from subgroups within the NAVIGATOR and SOURCE trials. </w:t>
            </w:r>
          </w:p>
          <w:p w14:paraId="24F00019"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All analyses were based on a subgroup of patients with non-eosinophilic ([EOS ≤ 150 cells/</w:t>
            </w:r>
            <w:proofErr w:type="spellStart"/>
            <w:r w:rsidRPr="00D93076">
              <w:rPr>
                <w:rFonts w:ascii="Arial Narrow" w:eastAsiaTheme="majorEastAsia" w:hAnsi="Arial Narrow" w:cstheme="majorBidi"/>
                <w:bCs/>
                <w:sz w:val="20"/>
              </w:rPr>
              <w:t>μL</w:t>
            </w:r>
            <w:proofErr w:type="spellEnd"/>
            <w:r w:rsidRPr="00D93076">
              <w:rPr>
                <w:rFonts w:ascii="Arial Narrow" w:eastAsiaTheme="majorEastAsia" w:hAnsi="Arial Narrow" w:cstheme="majorBidi"/>
                <w:bCs/>
                <w:sz w:val="20"/>
              </w:rPr>
              <w:t xml:space="preserve"> and OCS] or [EOS ≤ 300 cells/µL no OCS]) </w:t>
            </w:r>
            <w:r w:rsidRPr="00D93076">
              <w:rPr>
                <w:rFonts w:ascii="Arial Narrow" w:eastAsiaTheme="majorEastAsia" w:hAnsi="Arial Narrow" w:cstheme="majorBidi"/>
                <w:b/>
                <w:sz w:val="20"/>
              </w:rPr>
              <w:t>OR</w:t>
            </w:r>
            <w:r w:rsidRPr="00D93076">
              <w:rPr>
                <w:rFonts w:ascii="Arial Narrow" w:eastAsiaTheme="majorEastAsia" w:hAnsi="Arial Narrow" w:cstheme="majorBidi"/>
                <w:bCs/>
                <w:sz w:val="20"/>
              </w:rPr>
              <w:t xml:space="preserve"> non-allergic (IgE&lt;30) SUA using high-dose ICS. This did not align with the proposed PBS population non-eosinophilic ([EOS ≤ 150 cells/</w:t>
            </w:r>
            <w:proofErr w:type="spellStart"/>
            <w:r w:rsidRPr="00D93076">
              <w:rPr>
                <w:rFonts w:ascii="Arial Narrow" w:eastAsiaTheme="majorEastAsia" w:hAnsi="Arial Narrow" w:cstheme="majorBidi"/>
                <w:bCs/>
                <w:sz w:val="20"/>
              </w:rPr>
              <w:t>μL</w:t>
            </w:r>
            <w:proofErr w:type="spellEnd"/>
            <w:r w:rsidRPr="00D93076">
              <w:rPr>
                <w:rFonts w:ascii="Arial Narrow" w:eastAsiaTheme="majorEastAsia" w:hAnsi="Arial Narrow" w:cstheme="majorBidi"/>
                <w:bCs/>
                <w:sz w:val="20"/>
              </w:rPr>
              <w:t xml:space="preserve"> and OCS] or [EOS ≤ 300 cells/µL no OCS]) </w:t>
            </w:r>
            <w:r w:rsidRPr="00D93076">
              <w:rPr>
                <w:rFonts w:ascii="Arial Narrow" w:eastAsiaTheme="majorEastAsia" w:hAnsi="Arial Narrow" w:cstheme="majorBidi"/>
                <w:b/>
                <w:sz w:val="20"/>
              </w:rPr>
              <w:t xml:space="preserve">AND </w:t>
            </w:r>
            <w:r w:rsidRPr="00D93076">
              <w:rPr>
                <w:rFonts w:ascii="Arial Narrow" w:eastAsiaTheme="majorEastAsia" w:hAnsi="Arial Narrow" w:cstheme="majorBidi"/>
                <w:bCs/>
                <w:sz w:val="20"/>
              </w:rPr>
              <w:t xml:space="preserve">non-allergic (IgE&lt;30) SUA using high-dose ICS. </w:t>
            </w:r>
          </w:p>
          <w:p w14:paraId="2640776E"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There was a lack of transparency and missing trial data which introduced uncertainty in the model.</w:t>
            </w:r>
          </w:p>
        </w:tc>
      </w:tr>
      <w:tr w:rsidR="00985766" w:rsidRPr="00D93076" w14:paraId="29500450" w14:textId="77777777" w:rsidTr="008A1238">
        <w:trPr>
          <w:cantSplit/>
        </w:trPr>
        <w:tc>
          <w:tcPr>
            <w:tcW w:w="1067" w:type="pct"/>
            <w:vAlign w:val="center"/>
          </w:tcPr>
          <w:p w14:paraId="3693F50C"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Time on treatment</w:t>
            </w:r>
          </w:p>
        </w:tc>
        <w:tc>
          <w:tcPr>
            <w:tcW w:w="3933" w:type="pct"/>
            <w:vAlign w:val="center"/>
          </w:tcPr>
          <w:p w14:paraId="652C8D92"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The economic model considered two types of treatment discontinuation: ongoing discontinuation based on observed data from the trials (probability per month [with OCS = 1.299%; without OCS = 0.648%]), and discontinuation based on a stopping rule and response assessment at 32 weeks. This restricted continued treatment to patients with controlled disease (defined as ACQ-6 &lt; 1.5) and therefore discontinued patients with uncontrolled disease (ACQ-6 ≥ 1.5).</w:t>
            </w:r>
          </w:p>
          <w:p w14:paraId="79400D6D" w14:textId="403D53E1"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 xml:space="preserve">The </w:t>
            </w:r>
            <w:r w:rsidR="00DA44D5" w:rsidRPr="00EE227E">
              <w:rPr>
                <w:rFonts w:ascii="Arial Narrow" w:eastAsiaTheme="majorEastAsia" w:hAnsi="Arial Narrow" w:cstheme="majorBidi"/>
                <w:bCs/>
                <w:iCs/>
                <w:sz w:val="20"/>
              </w:rPr>
              <w:t>discontinuation</w:t>
            </w:r>
            <w:r w:rsidR="00DA44D5">
              <w:rPr>
                <w:rFonts w:ascii="Arial Narrow" w:eastAsiaTheme="majorEastAsia" w:hAnsi="Arial Narrow" w:cstheme="majorBidi"/>
                <w:bCs/>
                <w:sz w:val="20"/>
              </w:rPr>
              <w:t xml:space="preserve"> </w:t>
            </w:r>
            <w:r w:rsidRPr="00D93076">
              <w:rPr>
                <w:rFonts w:ascii="Arial Narrow" w:eastAsiaTheme="majorEastAsia" w:hAnsi="Arial Narrow" w:cstheme="majorBidi"/>
                <w:bCs/>
                <w:sz w:val="20"/>
              </w:rPr>
              <w:t xml:space="preserve">probabilities could not be verified </w:t>
            </w:r>
            <w:r w:rsidR="00B52804" w:rsidRPr="00EE227E">
              <w:rPr>
                <w:rFonts w:ascii="Arial Narrow" w:eastAsiaTheme="majorEastAsia" w:hAnsi="Arial Narrow" w:cstheme="majorBidi"/>
                <w:bCs/>
                <w:iCs/>
                <w:sz w:val="20"/>
              </w:rPr>
              <w:t>during the evaluation</w:t>
            </w:r>
            <w:r w:rsidR="00B52804">
              <w:rPr>
                <w:rFonts w:ascii="Arial Narrow" w:eastAsiaTheme="majorEastAsia" w:hAnsi="Arial Narrow" w:cstheme="majorBidi"/>
                <w:bCs/>
                <w:sz w:val="20"/>
              </w:rPr>
              <w:t xml:space="preserve"> </w:t>
            </w:r>
            <w:r w:rsidRPr="00D93076">
              <w:rPr>
                <w:rFonts w:ascii="Arial Narrow" w:eastAsiaTheme="majorEastAsia" w:hAnsi="Arial Narrow" w:cstheme="majorBidi"/>
                <w:bCs/>
                <w:sz w:val="20"/>
              </w:rPr>
              <w:t xml:space="preserve">and were not consistent with those reported in the </w:t>
            </w:r>
            <w:r w:rsidR="00661E5D" w:rsidRPr="00EE227E">
              <w:rPr>
                <w:rFonts w:ascii="Arial Narrow" w:eastAsiaTheme="majorEastAsia" w:hAnsi="Arial Narrow" w:cstheme="majorBidi"/>
                <w:bCs/>
                <w:iCs/>
                <w:sz w:val="20"/>
              </w:rPr>
              <w:t>full analysis set of the</w:t>
            </w:r>
            <w:r w:rsidRPr="00D93076">
              <w:rPr>
                <w:rFonts w:ascii="Arial Narrow" w:eastAsiaTheme="majorEastAsia" w:hAnsi="Arial Narrow" w:cstheme="majorBidi"/>
                <w:bCs/>
                <w:sz w:val="20"/>
              </w:rPr>
              <w:t xml:space="preserve"> NAVIGATOR and SOURCE trials (discontinuation rates of 6.8% </w:t>
            </w:r>
            <w:r w:rsidR="0097535F" w:rsidRPr="00EE227E">
              <w:rPr>
                <w:rFonts w:ascii="Arial Narrow" w:eastAsiaTheme="majorEastAsia" w:hAnsi="Arial Narrow" w:cstheme="majorBidi"/>
                <w:bCs/>
                <w:iCs/>
                <w:sz w:val="20"/>
              </w:rPr>
              <w:t xml:space="preserve">at week </w:t>
            </w:r>
            <w:r w:rsidR="0099583B" w:rsidRPr="00EE227E">
              <w:rPr>
                <w:rFonts w:ascii="Arial Narrow" w:eastAsiaTheme="majorEastAsia" w:hAnsi="Arial Narrow" w:cstheme="majorBidi"/>
                <w:bCs/>
                <w:iCs/>
                <w:sz w:val="20"/>
              </w:rPr>
              <w:t>52</w:t>
            </w:r>
            <w:r w:rsidRPr="00D93076">
              <w:rPr>
                <w:rFonts w:ascii="Arial Narrow" w:eastAsiaTheme="majorEastAsia" w:hAnsi="Arial Narrow" w:cstheme="majorBidi"/>
                <w:bCs/>
                <w:sz w:val="20"/>
              </w:rPr>
              <w:t xml:space="preserve"> and 10.8%</w:t>
            </w:r>
            <w:r w:rsidR="0099583B" w:rsidRPr="00EE227E">
              <w:rPr>
                <w:rFonts w:ascii="Arial Narrow" w:eastAsiaTheme="majorEastAsia" w:hAnsi="Arial Narrow" w:cstheme="majorBidi"/>
                <w:bCs/>
                <w:iCs/>
                <w:sz w:val="20"/>
              </w:rPr>
              <w:t xml:space="preserve"> at </w:t>
            </w:r>
            <w:r w:rsidR="001F7203" w:rsidRPr="00EE227E">
              <w:rPr>
                <w:rFonts w:ascii="Arial Narrow" w:eastAsiaTheme="majorEastAsia" w:hAnsi="Arial Narrow" w:cstheme="majorBidi"/>
                <w:bCs/>
                <w:iCs/>
                <w:sz w:val="20"/>
              </w:rPr>
              <w:t>week 48</w:t>
            </w:r>
            <w:r w:rsidRPr="00EE227E">
              <w:rPr>
                <w:rFonts w:ascii="Arial Narrow" w:eastAsiaTheme="majorEastAsia" w:hAnsi="Arial Narrow" w:cstheme="majorBidi"/>
                <w:bCs/>
                <w:iCs/>
                <w:sz w:val="20"/>
              </w:rPr>
              <w:t xml:space="preserve">, </w:t>
            </w:r>
            <w:r w:rsidRPr="00D93076">
              <w:rPr>
                <w:rFonts w:ascii="Arial Narrow" w:eastAsiaTheme="majorEastAsia" w:hAnsi="Arial Narrow" w:cstheme="majorBidi"/>
                <w:bCs/>
                <w:sz w:val="20"/>
              </w:rPr>
              <w:t xml:space="preserve">respectively). </w:t>
            </w:r>
          </w:p>
        </w:tc>
      </w:tr>
      <w:tr w:rsidR="00985766" w:rsidRPr="00D93076" w14:paraId="1FCF3B42" w14:textId="77777777" w:rsidTr="008A1238">
        <w:trPr>
          <w:cantSplit/>
        </w:trPr>
        <w:tc>
          <w:tcPr>
            <w:tcW w:w="1067" w:type="pct"/>
            <w:vAlign w:val="center"/>
          </w:tcPr>
          <w:p w14:paraId="7DC23252"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 xml:space="preserve">Definition of response rate </w:t>
            </w:r>
          </w:p>
        </w:tc>
        <w:tc>
          <w:tcPr>
            <w:tcW w:w="3933" w:type="pct"/>
            <w:vAlign w:val="center"/>
          </w:tcPr>
          <w:p w14:paraId="1E117C03" w14:textId="41FFC9E1"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Controlled asthma was defined as ACQ-6 score &lt;1.5</w:t>
            </w:r>
            <w:r w:rsidR="000B150D">
              <w:rPr>
                <w:rFonts w:ascii="Arial Narrow" w:eastAsiaTheme="majorEastAsia" w:hAnsi="Arial Narrow" w:cstheme="majorBidi"/>
                <w:bCs/>
                <w:sz w:val="20"/>
              </w:rPr>
              <w:t>.</w:t>
            </w:r>
            <w:r w:rsidRPr="00D93076">
              <w:rPr>
                <w:rFonts w:ascii="Arial Narrow" w:eastAsiaTheme="majorEastAsia" w:hAnsi="Arial Narrow" w:cstheme="majorBidi"/>
                <w:bCs/>
                <w:sz w:val="20"/>
              </w:rPr>
              <w:t xml:space="preserve"> Uncontrolled asthma was defined as ACQ-6≥1.5. </w:t>
            </w:r>
            <w:r w:rsidRPr="00EE227E">
              <w:rPr>
                <w:rFonts w:ascii="Arial Narrow" w:eastAsiaTheme="majorEastAsia" w:hAnsi="Arial Narrow" w:cstheme="majorBidi"/>
                <w:bCs/>
                <w:iCs/>
                <w:sz w:val="20"/>
              </w:rPr>
              <w:t>Th</w:t>
            </w:r>
            <w:r w:rsidR="00803F9F" w:rsidRPr="00EE227E">
              <w:rPr>
                <w:rFonts w:ascii="Arial Narrow" w:eastAsiaTheme="majorEastAsia" w:hAnsi="Arial Narrow" w:cstheme="majorBidi"/>
                <w:bCs/>
                <w:iCs/>
                <w:sz w:val="20"/>
              </w:rPr>
              <w:t>e evaluation considered that this</w:t>
            </w:r>
            <w:r w:rsidRPr="00D93076">
              <w:rPr>
                <w:rFonts w:ascii="Arial Narrow" w:eastAsiaTheme="majorEastAsia" w:hAnsi="Arial Narrow" w:cstheme="majorBidi"/>
                <w:bCs/>
                <w:sz w:val="20"/>
              </w:rPr>
              <w:t xml:space="preserve"> was not reasonable. It was not consistent with the current guidelines and published studies, which suggest that ACQ-6 &lt;0.75 indicated well-controlled asthma.</w:t>
            </w:r>
          </w:p>
        </w:tc>
      </w:tr>
      <w:tr w:rsidR="00985766" w:rsidRPr="00D93076" w14:paraId="37EB4D12" w14:textId="77777777" w:rsidTr="008A1238">
        <w:trPr>
          <w:cantSplit/>
        </w:trPr>
        <w:tc>
          <w:tcPr>
            <w:tcW w:w="1067" w:type="pct"/>
            <w:vAlign w:val="center"/>
          </w:tcPr>
          <w:p w14:paraId="6C212758"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Rate of exacerbations</w:t>
            </w:r>
          </w:p>
        </w:tc>
        <w:tc>
          <w:tcPr>
            <w:tcW w:w="3933" w:type="pct"/>
            <w:vAlign w:val="center"/>
          </w:tcPr>
          <w:p w14:paraId="4EEF490A" w14:textId="77777777" w:rsidR="00985766" w:rsidRPr="00D93076" w:rsidRDefault="00985766" w:rsidP="00A26F6E">
            <w:pPr>
              <w:pStyle w:val="TableText"/>
            </w:pPr>
            <w:r w:rsidRPr="00D93076">
              <w:t>Annual event rates of controlled and uncontrolled asthma used in the submission were:</w:t>
            </w:r>
          </w:p>
          <w:p w14:paraId="4CD1D807" w14:textId="66F83778" w:rsidR="00985766" w:rsidRPr="00D93076" w:rsidRDefault="00985766" w:rsidP="007534E3">
            <w:pPr>
              <w:pStyle w:val="TableText"/>
              <w:numPr>
                <w:ilvl w:val="0"/>
                <w:numId w:val="30"/>
              </w:numPr>
            </w:pPr>
            <w:r w:rsidRPr="00D93076">
              <w:t>Tezepelumab + OCS and SoC + OCS: Controlled= 1.15, Uncontrolled =1.88</w:t>
            </w:r>
          </w:p>
          <w:p w14:paraId="295964C1" w14:textId="6D4234F1" w:rsidR="00985766" w:rsidRPr="00D93076" w:rsidRDefault="00985766" w:rsidP="007534E3">
            <w:pPr>
              <w:pStyle w:val="TableText"/>
              <w:numPr>
                <w:ilvl w:val="0"/>
                <w:numId w:val="30"/>
              </w:numPr>
            </w:pPr>
            <w:r w:rsidRPr="00D93076">
              <w:t>Tezepelumab - OCS: Controlled= 0.49, Uncontrolled =1.12</w:t>
            </w:r>
          </w:p>
          <w:p w14:paraId="6254307E" w14:textId="5C6BD2E2" w:rsidR="00362227" w:rsidRDefault="00985766" w:rsidP="007534E3">
            <w:pPr>
              <w:pStyle w:val="TableText"/>
              <w:numPr>
                <w:ilvl w:val="0"/>
                <w:numId w:val="30"/>
              </w:numPr>
            </w:pPr>
            <w:r w:rsidRPr="00D93076">
              <w:t xml:space="preserve">SoC - OCS: Controlled = 0.98, Uncontrolled 2.20 per year  </w:t>
            </w:r>
          </w:p>
          <w:p w14:paraId="71C544BF" w14:textId="6EBCF6C7" w:rsidR="00985766" w:rsidRPr="00362227" w:rsidRDefault="00985766" w:rsidP="00A26F6E">
            <w:pPr>
              <w:pStyle w:val="TableText"/>
            </w:pPr>
            <w:r w:rsidRPr="00362227">
              <w:t xml:space="preserve">The submission assumed that compared to SoC, </w:t>
            </w:r>
            <w:proofErr w:type="spellStart"/>
            <w:r w:rsidRPr="00362227">
              <w:t>tezepelumab</w:t>
            </w:r>
            <w:proofErr w:type="spellEnd"/>
            <w:r w:rsidRPr="00362227">
              <w:t xml:space="preserve"> did not lower the risk of exacerbation in patients on OCS, and that </w:t>
            </w:r>
            <w:proofErr w:type="spellStart"/>
            <w:r w:rsidRPr="00362227">
              <w:t>tezepelumab</w:t>
            </w:r>
            <w:proofErr w:type="spellEnd"/>
            <w:r w:rsidRPr="00362227">
              <w:t xml:space="preserve"> decreased the risk by 50% among patients not on OCS.</w:t>
            </w:r>
            <w:r w:rsidR="00461680" w:rsidRPr="00362227">
              <w:t xml:space="preserve"> </w:t>
            </w:r>
          </w:p>
        </w:tc>
      </w:tr>
      <w:tr w:rsidR="00985766" w:rsidRPr="00D93076" w14:paraId="387EB171" w14:textId="77777777" w:rsidTr="008A1238">
        <w:trPr>
          <w:cantSplit/>
        </w:trPr>
        <w:tc>
          <w:tcPr>
            <w:tcW w:w="1067" w:type="pct"/>
            <w:vAlign w:val="center"/>
          </w:tcPr>
          <w:p w14:paraId="58F884C7"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Transition probabilities for death</w:t>
            </w:r>
          </w:p>
        </w:tc>
        <w:tc>
          <w:tcPr>
            <w:tcW w:w="3933" w:type="pct"/>
            <w:vAlign w:val="center"/>
          </w:tcPr>
          <w:p w14:paraId="510AACF2" w14:textId="77777777" w:rsidR="00985766" w:rsidRPr="00D93076" w:rsidRDefault="00985766" w:rsidP="00F73087">
            <w:pPr>
              <w:pStyle w:val="TableText"/>
            </w:pPr>
            <w:r w:rsidRPr="00D93076">
              <w:t xml:space="preserve">Asthma-related deaths: </w:t>
            </w:r>
          </w:p>
          <w:p w14:paraId="219993E9" w14:textId="3228933D" w:rsidR="00985766" w:rsidRPr="00D93076" w:rsidRDefault="00985766" w:rsidP="007534E3">
            <w:pPr>
              <w:pStyle w:val="TableText"/>
              <w:numPr>
                <w:ilvl w:val="0"/>
                <w:numId w:val="30"/>
              </w:numPr>
            </w:pPr>
            <w:r w:rsidRPr="00D93076">
              <w:t>Exacerbation with OCS burst = 1.13% (Mepolizumab PSD, March 2016 PBAC meeting</w:t>
            </w:r>
            <w:r w:rsidRPr="00D93076" w:rsidDel="00B455CF">
              <w:t>)</w:t>
            </w:r>
            <w:r w:rsidRPr="00D93076">
              <w:t xml:space="preserve"> </w:t>
            </w:r>
          </w:p>
          <w:p w14:paraId="1BCC1CE0" w14:textId="3F52C622" w:rsidR="00985766" w:rsidRPr="00D93076" w:rsidRDefault="00985766" w:rsidP="007534E3">
            <w:pPr>
              <w:pStyle w:val="TableText"/>
              <w:numPr>
                <w:ilvl w:val="0"/>
                <w:numId w:val="30"/>
              </w:numPr>
            </w:pPr>
            <w:r w:rsidRPr="00D93076">
              <w:t>Exacerbation with ED visit = 1.8% (</w:t>
            </w:r>
            <w:proofErr w:type="spellStart"/>
            <w:r w:rsidRPr="00D93076">
              <w:t>Bacharier</w:t>
            </w:r>
            <w:proofErr w:type="spellEnd"/>
            <w:r w:rsidRPr="00D93076">
              <w:t xml:space="preserve"> 2018)</w:t>
            </w:r>
          </w:p>
          <w:p w14:paraId="007C7EF1" w14:textId="23C8B269" w:rsidR="00985766" w:rsidRPr="00D93076" w:rsidRDefault="00985766" w:rsidP="007534E3">
            <w:pPr>
              <w:pStyle w:val="TableText"/>
              <w:numPr>
                <w:ilvl w:val="0"/>
                <w:numId w:val="30"/>
              </w:numPr>
            </w:pPr>
            <w:r w:rsidRPr="00D93076">
              <w:t>Exacerbation with hospitalisation = 2.5% (De Vries 2010)</w:t>
            </w:r>
            <w:r w:rsidRPr="00D93076">
              <w:rPr>
                <w:vertAlign w:val="superscript"/>
              </w:rPr>
              <w:t xml:space="preserve"> </w:t>
            </w:r>
          </w:p>
          <w:p w14:paraId="431E948E" w14:textId="5B8D1F2A" w:rsidR="00985766" w:rsidRPr="00D93076" w:rsidRDefault="00985766" w:rsidP="007534E3">
            <w:pPr>
              <w:pStyle w:val="TableText"/>
              <w:numPr>
                <w:ilvl w:val="0"/>
                <w:numId w:val="30"/>
              </w:numPr>
            </w:pPr>
            <w:r w:rsidRPr="00D93076">
              <w:t>Age based all-cause mortality was based on ABS life tables (2021-2023).</w:t>
            </w:r>
          </w:p>
          <w:p w14:paraId="0735DD7D" w14:textId="54C8C4A6" w:rsidR="00985766" w:rsidRPr="00D93076" w:rsidRDefault="00985766" w:rsidP="00F73087">
            <w:pPr>
              <w:pStyle w:val="TableText"/>
            </w:pPr>
            <w:r w:rsidRPr="00D93076">
              <w:t xml:space="preserve">A mortality benefit of </w:t>
            </w:r>
            <w:proofErr w:type="spellStart"/>
            <w:r w:rsidRPr="00D93076">
              <w:t>tezepelumab</w:t>
            </w:r>
            <w:proofErr w:type="spellEnd"/>
            <w:r w:rsidRPr="00D93076">
              <w:t xml:space="preserve"> versus SoC was modelled indirectly as fewer exacerbation events were assumed to occur for </w:t>
            </w:r>
            <w:proofErr w:type="spellStart"/>
            <w:r w:rsidRPr="00D93076">
              <w:t>tezepelumab</w:t>
            </w:r>
            <w:proofErr w:type="spellEnd"/>
            <w:r w:rsidRPr="00D93076">
              <w:t xml:space="preserve"> vs </w:t>
            </w:r>
            <w:proofErr w:type="spellStart"/>
            <w:r w:rsidRPr="00D93076">
              <w:t>SoC.</w:t>
            </w:r>
            <w:proofErr w:type="spellEnd"/>
            <w:r w:rsidRPr="00D93076">
              <w:t xml:space="preserve"> However, a mortality benefit was not demonstrated in the clinical trials. </w:t>
            </w:r>
            <w:r w:rsidRPr="00EE227E">
              <w:rPr>
                <w:iCs/>
              </w:rPr>
              <w:t>The</w:t>
            </w:r>
            <w:r w:rsidR="00185F05" w:rsidRPr="00EE227E">
              <w:rPr>
                <w:iCs/>
              </w:rPr>
              <w:t xml:space="preserve"> evaluation considered that</w:t>
            </w:r>
            <w:r w:rsidR="00185F05">
              <w:t xml:space="preserve"> </w:t>
            </w:r>
            <w:r w:rsidR="00185F05" w:rsidRPr="00EE227E">
              <w:rPr>
                <w:iCs/>
              </w:rPr>
              <w:t>the</w:t>
            </w:r>
            <w:r w:rsidRPr="00D93076">
              <w:t xml:space="preserve"> magnitude of difference between these mortality estimates also appeared infeasible. </w:t>
            </w:r>
            <w:r w:rsidRPr="00EE227E">
              <w:rPr>
                <w:iCs/>
              </w:rPr>
              <w:t>The</w:t>
            </w:r>
            <w:r w:rsidR="00C355DA" w:rsidRPr="00EE227E">
              <w:rPr>
                <w:iCs/>
              </w:rPr>
              <w:t xml:space="preserve"> evaluation also considered that the</w:t>
            </w:r>
            <w:r w:rsidRPr="00D93076">
              <w:t xml:space="preserve"> sources of the estimates for exacerbation with ED visit or with hospitalisation were also not reliable.</w:t>
            </w:r>
          </w:p>
        </w:tc>
      </w:tr>
      <w:tr w:rsidR="00985766" w:rsidRPr="00D93076" w14:paraId="08C639AD" w14:textId="77777777" w:rsidTr="008A1238">
        <w:trPr>
          <w:cantSplit/>
        </w:trPr>
        <w:tc>
          <w:tcPr>
            <w:tcW w:w="1067" w:type="pct"/>
            <w:vAlign w:val="center"/>
          </w:tcPr>
          <w:p w14:paraId="6F6A1C42"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Probability of adverse events</w:t>
            </w:r>
          </w:p>
        </w:tc>
        <w:tc>
          <w:tcPr>
            <w:tcW w:w="3933" w:type="pct"/>
            <w:vAlign w:val="center"/>
          </w:tcPr>
          <w:p w14:paraId="54CAF282" w14:textId="11FB28CC" w:rsidR="00985766" w:rsidRPr="00D93076" w:rsidRDefault="00985766" w:rsidP="00416227">
            <w:pPr>
              <w:pStyle w:val="TableText"/>
            </w:pPr>
            <w:r w:rsidRPr="00D93076">
              <w:t xml:space="preserve">The economic evaluation did not model a difference in AEs based on the clinical claim that </w:t>
            </w:r>
            <w:proofErr w:type="spellStart"/>
            <w:r w:rsidRPr="00D93076">
              <w:t>tezepelumab</w:t>
            </w:r>
            <w:proofErr w:type="spellEnd"/>
            <w:r w:rsidRPr="00D93076">
              <w:t xml:space="preserve"> was non-inferior to SoC in terms of safety. </w:t>
            </w:r>
          </w:p>
        </w:tc>
      </w:tr>
      <w:tr w:rsidR="00985766" w:rsidRPr="00D93076" w14:paraId="186044F8" w14:textId="77777777" w:rsidTr="008A1238">
        <w:trPr>
          <w:cantSplit/>
        </w:trPr>
        <w:tc>
          <w:tcPr>
            <w:tcW w:w="1067" w:type="pct"/>
            <w:vAlign w:val="center"/>
          </w:tcPr>
          <w:p w14:paraId="379F4A29"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Health state utility values</w:t>
            </w:r>
          </w:p>
        </w:tc>
        <w:tc>
          <w:tcPr>
            <w:tcW w:w="3933" w:type="pct"/>
            <w:vAlign w:val="center"/>
          </w:tcPr>
          <w:p w14:paraId="0E88E1E6" w14:textId="220E12AE" w:rsidR="00534337" w:rsidRPr="00D93076" w:rsidRDefault="00534337" w:rsidP="00534337">
            <w:pPr>
              <w:pStyle w:val="TableText"/>
            </w:pPr>
            <w:bookmarkStart w:id="75" w:name="_Hlk205543266"/>
            <w:r w:rsidRPr="00D93076">
              <w:t>Based on the NAVIGATOR and SOURCE trials</w:t>
            </w:r>
            <w:r w:rsidR="004C21FD">
              <w:t>:</w:t>
            </w:r>
            <w:r w:rsidRPr="00D93076">
              <w:t xml:space="preserve"> </w:t>
            </w:r>
          </w:p>
          <w:p w14:paraId="74ECD617" w14:textId="3BAA7869" w:rsidR="00985766" w:rsidRPr="00534337" w:rsidRDefault="00985766" w:rsidP="007534E3">
            <w:pPr>
              <w:pStyle w:val="TableText"/>
              <w:numPr>
                <w:ilvl w:val="0"/>
                <w:numId w:val="30"/>
              </w:numPr>
            </w:pPr>
            <w:r w:rsidRPr="00534337">
              <w:t>Controlled asthma =</w:t>
            </w:r>
            <w:r w:rsidR="00660795" w:rsidRPr="00534337">
              <w:t xml:space="preserve"> </w:t>
            </w:r>
            <w:r w:rsidRPr="00534337">
              <w:t xml:space="preserve">0.875 </w:t>
            </w:r>
          </w:p>
          <w:p w14:paraId="3CDE3055" w14:textId="7292E11F" w:rsidR="00985766" w:rsidRPr="00D93076" w:rsidRDefault="00985766" w:rsidP="007534E3">
            <w:pPr>
              <w:pStyle w:val="TableText"/>
              <w:numPr>
                <w:ilvl w:val="0"/>
                <w:numId w:val="30"/>
              </w:numPr>
            </w:pPr>
            <w:r w:rsidRPr="00D93076">
              <w:t>Uncontrolled asthma = 0.631</w:t>
            </w:r>
          </w:p>
          <w:bookmarkEnd w:id="75"/>
          <w:p w14:paraId="4C6BF5C9" w14:textId="77777777" w:rsidR="00985766" w:rsidRPr="00D93076" w:rsidRDefault="00985766" w:rsidP="00534337">
            <w:pPr>
              <w:pStyle w:val="TableText"/>
            </w:pPr>
            <w:proofErr w:type="spellStart"/>
            <w:r w:rsidRPr="00D93076">
              <w:t>Disutilities</w:t>
            </w:r>
            <w:proofErr w:type="spellEnd"/>
            <w:r w:rsidRPr="00D93076">
              <w:t>:</w:t>
            </w:r>
          </w:p>
          <w:p w14:paraId="64C0F656" w14:textId="0B655779" w:rsidR="00985766" w:rsidRPr="00D93076" w:rsidRDefault="00985766" w:rsidP="007534E3">
            <w:pPr>
              <w:pStyle w:val="TableText"/>
              <w:numPr>
                <w:ilvl w:val="0"/>
                <w:numId w:val="30"/>
              </w:numPr>
            </w:pPr>
            <w:r w:rsidRPr="00D93076">
              <w:t xml:space="preserve">Exacerbation requiring OCS burst = 0.100 (Lloyd 2006) </w:t>
            </w:r>
          </w:p>
          <w:p w14:paraId="59B724AC" w14:textId="4E0BA0A9" w:rsidR="00985766" w:rsidRPr="00D93076" w:rsidRDefault="00985766" w:rsidP="007534E3">
            <w:pPr>
              <w:pStyle w:val="TableText"/>
              <w:numPr>
                <w:ilvl w:val="0"/>
                <w:numId w:val="30"/>
              </w:numPr>
            </w:pPr>
            <w:r w:rsidRPr="00D93076">
              <w:t xml:space="preserve">Exacerbation requiring ED visit = 0.150 (assumption) </w:t>
            </w:r>
          </w:p>
          <w:p w14:paraId="6206B5BF" w14:textId="138D3026" w:rsidR="00985766" w:rsidRPr="00D93076" w:rsidRDefault="00985766" w:rsidP="007534E3">
            <w:pPr>
              <w:pStyle w:val="TableText"/>
              <w:numPr>
                <w:ilvl w:val="0"/>
                <w:numId w:val="30"/>
              </w:numPr>
            </w:pPr>
            <w:r w:rsidRPr="00D93076">
              <w:t xml:space="preserve">Exacerbation requiring hospitalisation = 0.200 (Lloyd 2006). </w:t>
            </w:r>
          </w:p>
          <w:p w14:paraId="3677435E" w14:textId="0F4841CB" w:rsidR="00985766" w:rsidRPr="00D93076" w:rsidRDefault="00985766" w:rsidP="00534337">
            <w:pPr>
              <w:pStyle w:val="TableText"/>
            </w:pPr>
            <w:r w:rsidRPr="00D93076">
              <w:t xml:space="preserve">The economic model also applied </w:t>
            </w:r>
            <w:proofErr w:type="spellStart"/>
            <w:r w:rsidRPr="00D93076">
              <w:t>disutilities</w:t>
            </w:r>
            <w:proofErr w:type="spellEnd"/>
            <w:r w:rsidRPr="00D93076">
              <w:t xml:space="preserve"> for AEs associated with OCS use; based on marginal </w:t>
            </w:r>
            <w:proofErr w:type="spellStart"/>
            <w:r w:rsidRPr="00D93076">
              <w:t>disutilities</w:t>
            </w:r>
            <w:proofErr w:type="spellEnd"/>
            <w:r w:rsidRPr="00D93076">
              <w:t xml:space="preserve"> corresponding to different chronic conditions (categorised by Complex Chronic Conditions codes) reported in a UK-based catalogue of EQ-5D index scores (Sullivan 2011). This was consistent with </w:t>
            </w:r>
            <w:proofErr w:type="spellStart"/>
            <w:r w:rsidRPr="00D93076">
              <w:t>disutilities</w:t>
            </w:r>
            <w:proofErr w:type="spellEnd"/>
            <w:r w:rsidRPr="00D93076">
              <w:t xml:space="preserve"> used in published </w:t>
            </w:r>
            <w:r w:rsidRPr="00D93076" w:rsidDel="0007470C">
              <w:t>studies</w:t>
            </w:r>
            <w:r w:rsidRPr="00D93076">
              <w:t xml:space="preserve"> and </w:t>
            </w:r>
            <w:r w:rsidR="00F646F3" w:rsidRPr="00EE227E">
              <w:rPr>
                <w:iCs/>
              </w:rPr>
              <w:t>the evaluation</w:t>
            </w:r>
            <w:r w:rsidR="00F646F3">
              <w:t xml:space="preserve"> </w:t>
            </w:r>
            <w:r w:rsidR="00F646F3" w:rsidRPr="00EE227E">
              <w:rPr>
                <w:iCs/>
              </w:rPr>
              <w:t>considered that this</w:t>
            </w:r>
            <w:r w:rsidR="00F646F3">
              <w:t xml:space="preserve"> </w:t>
            </w:r>
            <w:r w:rsidRPr="00D93076">
              <w:t>was appropriate.</w:t>
            </w:r>
          </w:p>
        </w:tc>
      </w:tr>
      <w:tr w:rsidR="00985766" w:rsidRPr="00D93076" w14:paraId="01FF4EAD" w14:textId="77777777" w:rsidTr="008A1238">
        <w:trPr>
          <w:cantSplit/>
        </w:trPr>
        <w:tc>
          <w:tcPr>
            <w:tcW w:w="1067" w:type="pct"/>
            <w:vAlign w:val="center"/>
          </w:tcPr>
          <w:p w14:paraId="40428D13"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Costs</w:t>
            </w:r>
          </w:p>
        </w:tc>
        <w:tc>
          <w:tcPr>
            <w:tcW w:w="3933" w:type="pct"/>
            <w:vAlign w:val="center"/>
          </w:tcPr>
          <w:p w14:paraId="542AE778" w14:textId="186F9F4B" w:rsidR="00985766" w:rsidRPr="00D93076" w:rsidRDefault="00985766" w:rsidP="00942129">
            <w:pPr>
              <w:pStyle w:val="TableText"/>
            </w:pPr>
            <w:r w:rsidRPr="00D93076">
              <w:t>Tezepelumab cost: Weighted DPMQ= $</w:t>
            </w:r>
            <w:r w:rsidR="00B14769" w:rsidRPr="00B14769">
              <w:rPr>
                <w:highlight w:val="black"/>
              </w:rPr>
              <w:t>&amp;&amp;&amp;&amp;</w:t>
            </w:r>
            <w:r w:rsidRPr="00D93076">
              <w:t>/dose; Effective DPMQ= $</w:t>
            </w:r>
            <w:r w:rsidR="00B14769" w:rsidRPr="00B14769">
              <w:rPr>
                <w:highlight w:val="black"/>
              </w:rPr>
              <w:t>&amp;&amp;&amp;&amp;</w:t>
            </w:r>
            <w:r w:rsidRPr="00D93076">
              <w:t>/dose</w:t>
            </w:r>
          </w:p>
          <w:p w14:paraId="0CFED112" w14:textId="77777777" w:rsidR="00985766" w:rsidRPr="00D93076" w:rsidRDefault="00985766" w:rsidP="00942129">
            <w:pPr>
              <w:pStyle w:val="TableText"/>
            </w:pPr>
            <w:r w:rsidRPr="00D93076">
              <w:t>Administration costs: $88.90 (one-off</w:t>
            </w:r>
            <w:r w:rsidRPr="00D93076">
              <w:rPr>
                <w:vertAlign w:val="superscript"/>
              </w:rPr>
              <w:t xml:space="preserve"> </w:t>
            </w:r>
            <w:r w:rsidRPr="00D93076">
              <w:t>application of MBS item 82215)</w:t>
            </w:r>
          </w:p>
          <w:p w14:paraId="26A7574A" w14:textId="77777777" w:rsidR="00985766" w:rsidRPr="00D93076" w:rsidRDefault="00985766" w:rsidP="00942129">
            <w:pPr>
              <w:pStyle w:val="TableText"/>
            </w:pPr>
            <w:r w:rsidRPr="00D93076">
              <w:t xml:space="preserve">SoC costs: $48.26/pack </w:t>
            </w:r>
            <w:r w:rsidRPr="00D93076">
              <w:rPr>
                <w:vertAlign w:val="superscript"/>
              </w:rPr>
              <w:t>a</w:t>
            </w:r>
          </w:p>
          <w:p w14:paraId="7CCC6AC0" w14:textId="77777777" w:rsidR="00985766" w:rsidRPr="00D93076" w:rsidRDefault="00985766" w:rsidP="00942129">
            <w:pPr>
              <w:pStyle w:val="TableText"/>
            </w:pPr>
            <w:r w:rsidRPr="00D93076">
              <w:t xml:space="preserve">OCS cost: $18.18/pack </w:t>
            </w:r>
            <w:r w:rsidRPr="00D93076">
              <w:rPr>
                <w:vertAlign w:val="superscript"/>
              </w:rPr>
              <w:t>b</w:t>
            </w:r>
          </w:p>
          <w:p w14:paraId="492842C8" w14:textId="77777777" w:rsidR="00985766" w:rsidRPr="00D93076" w:rsidRDefault="00985766" w:rsidP="00942129">
            <w:pPr>
              <w:pStyle w:val="TableText"/>
            </w:pPr>
            <w:r w:rsidRPr="00D93076">
              <w:t>Disease management costs:</w:t>
            </w:r>
          </w:p>
          <w:p w14:paraId="2896D663" w14:textId="316F973C" w:rsidR="00985766" w:rsidRPr="00942129" w:rsidRDefault="00985766" w:rsidP="007534E3">
            <w:pPr>
              <w:pStyle w:val="TableText"/>
              <w:numPr>
                <w:ilvl w:val="0"/>
                <w:numId w:val="30"/>
              </w:numPr>
            </w:pPr>
            <w:r w:rsidRPr="00942129">
              <w:t>GP Visit (Outpatient), GP visit (Home) $43.90 (MBS item 23)</w:t>
            </w:r>
          </w:p>
          <w:p w14:paraId="3DAB64BD" w14:textId="706C8307" w:rsidR="00985766" w:rsidRPr="00D93076" w:rsidRDefault="00985766" w:rsidP="007534E3">
            <w:pPr>
              <w:pStyle w:val="TableText"/>
              <w:numPr>
                <w:ilvl w:val="0"/>
                <w:numId w:val="30"/>
              </w:numPr>
            </w:pPr>
            <w:r w:rsidRPr="00D93076">
              <w:t>Respiratory specialist visit (outpatient) Initial=$178.70 (MBS item 110)</w:t>
            </w:r>
          </w:p>
          <w:p w14:paraId="73447927" w14:textId="387F2DB8" w:rsidR="00985766" w:rsidRPr="00D93076" w:rsidRDefault="00985766" w:rsidP="007534E3">
            <w:pPr>
              <w:pStyle w:val="TableText"/>
              <w:numPr>
                <w:ilvl w:val="0"/>
                <w:numId w:val="30"/>
              </w:numPr>
            </w:pPr>
            <w:r w:rsidRPr="00D93076">
              <w:t>Respiratory specialist visit (outpatient) Subsequent= $89.40</w:t>
            </w:r>
            <w:r w:rsidRPr="00D93076">
              <w:rPr>
                <w:vertAlign w:val="superscript"/>
              </w:rPr>
              <w:t xml:space="preserve"> </w:t>
            </w:r>
            <w:r w:rsidRPr="00D93076">
              <w:t xml:space="preserve">(MBS item 116) </w:t>
            </w:r>
          </w:p>
          <w:p w14:paraId="24E8CCD9" w14:textId="602771AD" w:rsidR="00985766" w:rsidRPr="00D93076" w:rsidRDefault="00985766" w:rsidP="007534E3">
            <w:pPr>
              <w:pStyle w:val="TableText"/>
              <w:numPr>
                <w:ilvl w:val="0"/>
                <w:numId w:val="30"/>
              </w:numPr>
            </w:pPr>
            <w:r w:rsidRPr="00D93076">
              <w:t>Spirometry=$48.05 (MBS item 11505)</w:t>
            </w:r>
          </w:p>
          <w:p w14:paraId="12076818" w14:textId="727B8A78" w:rsidR="00985766" w:rsidRPr="00D93076" w:rsidRDefault="00985766" w:rsidP="007534E3">
            <w:pPr>
              <w:pStyle w:val="TableText"/>
              <w:numPr>
                <w:ilvl w:val="0"/>
                <w:numId w:val="30"/>
              </w:numPr>
            </w:pPr>
            <w:r w:rsidRPr="00D93076">
              <w:t>Desensitisation of asthma= $92.95</w:t>
            </w:r>
            <w:r w:rsidRPr="00D93076">
              <w:rPr>
                <w:vertAlign w:val="superscript"/>
              </w:rPr>
              <w:t xml:space="preserve"> c</w:t>
            </w:r>
          </w:p>
          <w:p w14:paraId="41310A3B" w14:textId="54D2A2C4" w:rsidR="00985766" w:rsidRPr="00D93076" w:rsidRDefault="00985766" w:rsidP="007534E3">
            <w:pPr>
              <w:pStyle w:val="TableText"/>
              <w:numPr>
                <w:ilvl w:val="0"/>
                <w:numId w:val="30"/>
              </w:numPr>
            </w:pPr>
            <w:r w:rsidRPr="00D93076">
              <w:t>ED visit= $883.94</w:t>
            </w:r>
            <w:r w:rsidRPr="00D93076">
              <w:rPr>
                <w:vertAlign w:val="superscript"/>
              </w:rPr>
              <w:t xml:space="preserve"> d</w:t>
            </w:r>
          </w:p>
          <w:p w14:paraId="7464AC04" w14:textId="77777777" w:rsidR="00942129" w:rsidRPr="00942129" w:rsidRDefault="00985766" w:rsidP="007534E3">
            <w:pPr>
              <w:pStyle w:val="TableText"/>
              <w:numPr>
                <w:ilvl w:val="0"/>
                <w:numId w:val="30"/>
              </w:numPr>
            </w:pPr>
            <w:r w:rsidRPr="00D93076">
              <w:t>Hospital admission= $5,322</w:t>
            </w:r>
            <w:r w:rsidRPr="00D93076">
              <w:rPr>
                <w:vertAlign w:val="superscript"/>
              </w:rPr>
              <w:t xml:space="preserve"> </w:t>
            </w:r>
          </w:p>
          <w:p w14:paraId="1162450A" w14:textId="2491472F" w:rsidR="00985766" w:rsidRPr="00D93076" w:rsidRDefault="00985766" w:rsidP="00942129">
            <w:pPr>
              <w:pStyle w:val="TableText"/>
            </w:pPr>
            <w:r w:rsidRPr="00D93076">
              <w:t>For GP Visit (Home). MBS item 24 would have been more appropriate. The cost of an ED admission for Australian Emergency Care Classification (AECC) E0430B ‘Asthma Complexity level B’ was $1,033. The ICER was not sensitive to the disease management costs.</w:t>
            </w:r>
          </w:p>
        </w:tc>
      </w:tr>
      <w:tr w:rsidR="00985766" w:rsidRPr="00D93076" w14:paraId="36957302" w14:textId="77777777" w:rsidTr="008A1238">
        <w:trPr>
          <w:cantSplit/>
        </w:trPr>
        <w:tc>
          <w:tcPr>
            <w:tcW w:w="1067" w:type="pct"/>
            <w:vAlign w:val="center"/>
          </w:tcPr>
          <w:p w14:paraId="51AB44E2"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Software package</w:t>
            </w:r>
          </w:p>
        </w:tc>
        <w:tc>
          <w:tcPr>
            <w:tcW w:w="3933" w:type="pct"/>
            <w:vAlign w:val="center"/>
          </w:tcPr>
          <w:p w14:paraId="327E692B" w14:textId="77777777" w:rsidR="00985766" w:rsidRPr="00D93076" w:rsidRDefault="00985766">
            <w:pPr>
              <w:widowControl w:val="0"/>
              <w:jc w:val="left"/>
              <w:rPr>
                <w:rFonts w:ascii="Arial Narrow" w:eastAsiaTheme="majorEastAsia" w:hAnsi="Arial Narrow" w:cstheme="majorBidi"/>
                <w:bCs/>
                <w:sz w:val="20"/>
              </w:rPr>
            </w:pPr>
            <w:r w:rsidRPr="00D93076">
              <w:rPr>
                <w:rFonts w:ascii="Arial Narrow" w:eastAsiaTheme="majorEastAsia" w:hAnsi="Arial Narrow" w:cstheme="majorBidi"/>
                <w:bCs/>
                <w:sz w:val="20"/>
              </w:rPr>
              <w:t>Microsoft Office 365 Excel.</w:t>
            </w:r>
          </w:p>
        </w:tc>
      </w:tr>
    </w:tbl>
    <w:p w14:paraId="1E69EC25" w14:textId="77777777" w:rsidR="00985766" w:rsidRDefault="00985766" w:rsidP="00985766">
      <w:pPr>
        <w:keepLines/>
        <w:widowControl w:val="0"/>
        <w:spacing w:after="120"/>
        <w:contextualSpacing/>
        <w:jc w:val="left"/>
        <w:rPr>
          <w:rFonts w:ascii="Arial Narrow" w:hAnsi="Arial Narrow"/>
          <w:snapToGrid w:val="0"/>
          <w:sz w:val="18"/>
          <w:szCs w:val="22"/>
        </w:rPr>
      </w:pPr>
      <w:r w:rsidRPr="004F56D0">
        <w:rPr>
          <w:rFonts w:ascii="Arial Narrow" w:hAnsi="Arial Narrow"/>
          <w:snapToGrid w:val="0"/>
          <w:sz w:val="18"/>
          <w:szCs w:val="22"/>
        </w:rPr>
        <w:t>Source: Compiled during the evaluation from Table 2-127, p198; Table 3-5, pp256-257; pp274-276, p278, Table 3-14, p283, p285 of the submission.</w:t>
      </w:r>
      <w:r w:rsidRPr="004F56D0">
        <w:rPr>
          <w:rFonts w:ascii="Arial Narrow" w:hAnsi="Arial Narrow"/>
          <w:snapToGrid w:val="0"/>
          <w:sz w:val="18"/>
          <w:szCs w:val="22"/>
        </w:rPr>
        <w:br/>
        <w:t>ACQ-6 = asthma control questionnaire 6-question version, CDA, Canadian Drug Agency; ; DPMQ= dispensed price for maximum quantity; ED= emergency department; ICER = incremental cost-effectiveness ratio, NICE = National Institute of Health Care and Excellence, OCS = oral corticosteroid, QALY = quality-adjusted life-year, SoC = standard of care.</w:t>
      </w:r>
      <w:r>
        <w:rPr>
          <w:rFonts w:ascii="Arial Narrow" w:hAnsi="Arial Narrow"/>
          <w:snapToGrid w:val="0"/>
          <w:sz w:val="18"/>
          <w:szCs w:val="22"/>
        </w:rPr>
        <w:t xml:space="preserve"> </w:t>
      </w:r>
    </w:p>
    <w:p w14:paraId="609507CE" w14:textId="2DDB0847" w:rsidR="00985766" w:rsidRPr="00EE227E" w:rsidRDefault="00985766" w:rsidP="00985766">
      <w:pPr>
        <w:keepLines/>
        <w:widowControl w:val="0"/>
        <w:spacing w:after="120"/>
        <w:contextualSpacing/>
        <w:jc w:val="left"/>
        <w:rPr>
          <w:rFonts w:ascii="Arial Narrow" w:hAnsi="Arial Narrow"/>
          <w:iCs/>
          <w:snapToGrid w:val="0"/>
          <w:sz w:val="18"/>
          <w:szCs w:val="22"/>
        </w:rPr>
      </w:pPr>
      <w:proofErr w:type="spellStart"/>
      <w:r>
        <w:rPr>
          <w:rFonts w:ascii="Arial Narrow" w:hAnsi="Arial Narrow"/>
          <w:snapToGrid w:val="0"/>
          <w:sz w:val="18"/>
          <w:szCs w:val="22"/>
          <w:vertAlign w:val="superscript"/>
        </w:rPr>
        <w:t>a</w:t>
      </w:r>
      <w:proofErr w:type="spellEnd"/>
      <w:r w:rsidRPr="004F56D0">
        <w:rPr>
          <w:rFonts w:ascii="Arial Narrow" w:hAnsi="Arial Narrow"/>
          <w:snapToGrid w:val="0"/>
          <w:sz w:val="18"/>
          <w:szCs w:val="22"/>
          <w:vertAlign w:val="superscript"/>
        </w:rPr>
        <w:t xml:space="preserve"> </w:t>
      </w:r>
      <w:proofErr w:type="gramStart"/>
      <w:r w:rsidRPr="00EE227E">
        <w:rPr>
          <w:rFonts w:ascii="Arial Narrow" w:hAnsi="Arial Narrow"/>
          <w:iCs/>
          <w:snapToGrid w:val="0"/>
          <w:sz w:val="18"/>
          <w:szCs w:val="22"/>
        </w:rPr>
        <w:t>The</w:t>
      </w:r>
      <w:proofErr w:type="gramEnd"/>
      <w:r w:rsidRPr="00EE227E">
        <w:rPr>
          <w:rFonts w:ascii="Arial Narrow" w:hAnsi="Arial Narrow"/>
          <w:iCs/>
          <w:snapToGrid w:val="0"/>
          <w:sz w:val="18"/>
          <w:szCs w:val="22"/>
        </w:rPr>
        <w:t xml:space="preserve"> cost of fluticasone propionate was $48.26 per pack (as of 1 August 2025)</w:t>
      </w:r>
      <w:r w:rsidRPr="004F56D0">
        <w:rPr>
          <w:rFonts w:ascii="Arial Narrow" w:hAnsi="Arial Narrow"/>
          <w:snapToGrid w:val="0"/>
          <w:sz w:val="18"/>
          <w:szCs w:val="22"/>
        </w:rPr>
        <w:t>.</w:t>
      </w:r>
      <w:r w:rsidRPr="004F56D0">
        <w:rPr>
          <w:rFonts w:ascii="Arial Narrow" w:hAnsi="Arial Narrow"/>
          <w:snapToGrid w:val="0"/>
          <w:sz w:val="18"/>
          <w:szCs w:val="22"/>
        </w:rPr>
        <w:br/>
      </w:r>
      <w:r>
        <w:rPr>
          <w:rFonts w:ascii="Arial Narrow" w:hAnsi="Arial Narrow"/>
          <w:snapToGrid w:val="0"/>
          <w:sz w:val="18"/>
          <w:szCs w:val="22"/>
          <w:vertAlign w:val="superscript"/>
        </w:rPr>
        <w:t>b</w:t>
      </w:r>
      <w:r w:rsidRPr="004F56D0">
        <w:rPr>
          <w:rFonts w:ascii="Arial Narrow" w:hAnsi="Arial Narrow"/>
          <w:snapToGrid w:val="0"/>
          <w:sz w:val="18"/>
          <w:szCs w:val="22"/>
          <w:vertAlign w:val="superscript"/>
        </w:rPr>
        <w:t xml:space="preserve"> </w:t>
      </w:r>
      <w:r w:rsidRPr="004F56D0">
        <w:rPr>
          <w:rFonts w:ascii="Arial Narrow" w:hAnsi="Arial Narrow"/>
          <w:snapToGrid w:val="0"/>
          <w:sz w:val="18"/>
          <w:szCs w:val="22"/>
        </w:rPr>
        <w:t>The</w:t>
      </w:r>
      <w:r w:rsidRPr="004F56D0">
        <w:rPr>
          <w:rFonts w:ascii="Arial Narrow" w:hAnsi="Arial Narrow"/>
          <w:snapToGrid w:val="0"/>
          <w:sz w:val="18"/>
          <w:szCs w:val="22"/>
          <w:vertAlign w:val="superscript"/>
        </w:rPr>
        <w:t xml:space="preserve"> </w:t>
      </w:r>
      <w:r w:rsidRPr="004F56D0">
        <w:rPr>
          <w:rFonts w:ascii="Arial Narrow" w:hAnsi="Arial Narrow"/>
          <w:snapToGrid w:val="0"/>
          <w:sz w:val="18"/>
          <w:szCs w:val="22"/>
        </w:rPr>
        <w:t xml:space="preserve">submission calculated the cost of 1 milligram based on Jan 2025 PBS DPMQ of $17.85 per pack (30 tablets, 25 mg </w:t>
      </w:r>
      <w:r w:rsidR="00AC1D3C" w:rsidRPr="004F56D0">
        <w:rPr>
          <w:rFonts w:ascii="Arial Narrow" w:hAnsi="Arial Narrow"/>
          <w:snapToGrid w:val="0"/>
          <w:sz w:val="18"/>
          <w:szCs w:val="22"/>
        </w:rPr>
        <w:t>each) =</w:t>
      </w:r>
      <w:r w:rsidRPr="004F56D0">
        <w:rPr>
          <w:rFonts w:ascii="Arial Narrow" w:hAnsi="Arial Narrow"/>
          <w:snapToGrid w:val="0"/>
          <w:sz w:val="18"/>
          <w:szCs w:val="22"/>
        </w:rPr>
        <w:t xml:space="preserve"> 17.85/750. </w:t>
      </w:r>
      <w:r w:rsidRPr="00EE227E">
        <w:rPr>
          <w:rFonts w:ascii="Arial Narrow" w:hAnsi="Arial Narrow"/>
          <w:iCs/>
          <w:snapToGrid w:val="0"/>
          <w:sz w:val="18"/>
          <w:szCs w:val="22"/>
        </w:rPr>
        <w:t>The cost of prednisolone was $18.18 per pack (as of 1 August 2025).</w:t>
      </w:r>
      <w:r w:rsidRPr="00EE227E">
        <w:rPr>
          <w:rFonts w:ascii="Arial Narrow" w:hAnsi="Arial Narrow"/>
          <w:iCs/>
          <w:snapToGrid w:val="0"/>
          <w:sz w:val="18"/>
          <w:szCs w:val="22"/>
        </w:rPr>
        <w:br/>
      </w:r>
      <w:proofErr w:type="gramStart"/>
      <w:r w:rsidRPr="00EE227E">
        <w:rPr>
          <w:rFonts w:ascii="Arial Narrow" w:hAnsi="Arial Narrow"/>
          <w:iCs/>
          <w:snapToGrid w:val="0"/>
          <w:sz w:val="18"/>
          <w:szCs w:val="22"/>
          <w:vertAlign w:val="superscript"/>
        </w:rPr>
        <w:t xml:space="preserve">c  </w:t>
      </w:r>
      <w:r w:rsidRPr="004F56D0">
        <w:rPr>
          <w:rFonts w:ascii="Arial Narrow" w:hAnsi="Arial Narrow"/>
          <w:snapToGrid w:val="0"/>
          <w:sz w:val="18"/>
          <w:szCs w:val="22"/>
        </w:rPr>
        <w:t>Desensitisation</w:t>
      </w:r>
      <w:proofErr w:type="gramEnd"/>
      <w:r w:rsidRPr="004F56D0">
        <w:rPr>
          <w:rFonts w:ascii="Arial Narrow" w:hAnsi="Arial Narrow"/>
          <w:snapToGrid w:val="0"/>
          <w:sz w:val="18"/>
          <w:szCs w:val="22"/>
        </w:rPr>
        <w:t xml:space="preserve"> using </w:t>
      </w:r>
      <w:proofErr w:type="spellStart"/>
      <w:r w:rsidRPr="004F56D0">
        <w:rPr>
          <w:rFonts w:ascii="Arial Narrow" w:hAnsi="Arial Narrow"/>
          <w:snapToGrid w:val="0"/>
          <w:sz w:val="18"/>
          <w:szCs w:val="22"/>
        </w:rPr>
        <w:t>Actair</w:t>
      </w:r>
      <w:proofErr w:type="spellEnd"/>
      <w:r w:rsidRPr="004F56D0">
        <w:rPr>
          <w:rFonts w:ascii="Arial Narrow" w:hAnsi="Arial Narrow"/>
          <w:snapToGrid w:val="0"/>
          <w:sz w:val="18"/>
          <w:szCs w:val="22"/>
        </w:rPr>
        <w:t>: sold privately. Cost derived from https://www.healthylife.com.au/products/actair-continuation-300ir-subl.</w:t>
      </w:r>
      <w:r w:rsidRPr="004F56D0">
        <w:rPr>
          <w:rFonts w:ascii="Arial Narrow" w:hAnsi="Arial Narrow"/>
          <w:snapToGrid w:val="0"/>
          <w:sz w:val="18"/>
          <w:szCs w:val="22"/>
        </w:rPr>
        <w:br/>
      </w:r>
      <w:r w:rsidRPr="00EE227E">
        <w:rPr>
          <w:rFonts w:ascii="Arial Narrow" w:hAnsi="Arial Narrow"/>
          <w:iCs/>
          <w:snapToGrid w:val="0"/>
          <w:sz w:val="18"/>
          <w:szCs w:val="22"/>
          <w:vertAlign w:val="superscript"/>
        </w:rPr>
        <w:t>d</w:t>
      </w:r>
      <w:r w:rsidRPr="00EE227E">
        <w:rPr>
          <w:rFonts w:ascii="Arial Narrow" w:hAnsi="Arial Narrow"/>
          <w:iCs/>
          <w:snapToGrid w:val="0"/>
          <w:sz w:val="18"/>
          <w:szCs w:val="22"/>
        </w:rPr>
        <w:t xml:space="preserve"> </w:t>
      </w:r>
      <w:r w:rsidRPr="004F56D0">
        <w:rPr>
          <w:rFonts w:ascii="Arial Narrow" w:hAnsi="Arial Narrow"/>
          <w:snapToGrid w:val="0"/>
          <w:sz w:val="18"/>
          <w:szCs w:val="22"/>
        </w:rPr>
        <w:t>Source</w:t>
      </w:r>
      <w:r w:rsidRPr="00EE227E">
        <w:rPr>
          <w:rFonts w:ascii="Arial Narrow" w:hAnsi="Arial Narrow"/>
          <w:iCs/>
          <w:snapToGrid w:val="0"/>
          <w:sz w:val="18"/>
          <w:szCs w:val="22"/>
        </w:rPr>
        <w:t xml:space="preserve"> </w:t>
      </w:r>
      <w:r>
        <w:rPr>
          <w:rFonts w:ascii="Arial Narrow" w:hAnsi="Arial Narrow"/>
          <w:snapToGrid w:val="0"/>
          <w:sz w:val="18"/>
          <w:szCs w:val="22"/>
        </w:rPr>
        <w:t>n</w:t>
      </w:r>
      <w:r w:rsidRPr="004F56D0">
        <w:rPr>
          <w:rFonts w:ascii="Arial Narrow" w:hAnsi="Arial Narrow"/>
          <w:snapToGrid w:val="0"/>
          <w:sz w:val="18"/>
          <w:szCs w:val="22"/>
        </w:rPr>
        <w:t>ot reported.</w:t>
      </w:r>
      <w:r w:rsidRPr="004F56D0">
        <w:rPr>
          <w:rFonts w:ascii="Arial Narrow" w:hAnsi="Arial Narrow"/>
          <w:snapToGrid w:val="0"/>
          <w:sz w:val="18"/>
          <w:szCs w:val="22"/>
        </w:rPr>
        <w:br/>
      </w:r>
      <w:r>
        <w:rPr>
          <w:rFonts w:ascii="Arial Narrow" w:hAnsi="Arial Narrow"/>
          <w:snapToGrid w:val="0"/>
          <w:sz w:val="18"/>
          <w:szCs w:val="18"/>
          <w:vertAlign w:val="superscript"/>
        </w:rPr>
        <w:t>e</w:t>
      </w:r>
      <w:r w:rsidRPr="00EE227E">
        <w:rPr>
          <w:rFonts w:ascii="Arial Narrow" w:hAnsi="Arial Narrow"/>
          <w:iCs/>
          <w:snapToGrid w:val="0"/>
          <w:sz w:val="18"/>
          <w:szCs w:val="22"/>
        </w:rPr>
        <w:t xml:space="preserve"> Updated AR-DRG cost for E69A ‘Bronchitis and Asthma, Major Complexity’ costs based on rates as of 1 August 2025.</w:t>
      </w:r>
    </w:p>
    <w:p w14:paraId="505944CC" w14:textId="77777777" w:rsidR="00985766" w:rsidRPr="004F56D0" w:rsidRDefault="00985766" w:rsidP="00985766">
      <w:pPr>
        <w:keepLines/>
        <w:widowControl w:val="0"/>
        <w:spacing w:after="120"/>
        <w:contextualSpacing/>
        <w:jc w:val="left"/>
        <w:rPr>
          <w:rFonts w:ascii="Arial Narrow" w:hAnsi="Arial Narrow"/>
          <w:snapToGrid w:val="0"/>
          <w:sz w:val="18"/>
          <w:szCs w:val="22"/>
        </w:rPr>
      </w:pPr>
    </w:p>
    <w:p w14:paraId="0BB13395" w14:textId="14B13224" w:rsidR="00985766" w:rsidRPr="002D49FF" w:rsidRDefault="00985766" w:rsidP="008A1238">
      <w:pPr>
        <w:numPr>
          <w:ilvl w:val="1"/>
          <w:numId w:val="1"/>
        </w:numPr>
        <w:spacing w:before="60" w:after="60"/>
        <w:ind w:left="709"/>
        <w:rPr>
          <w:rFonts w:asciiTheme="minorHAnsi" w:eastAsiaTheme="minorHAnsi" w:hAnsiTheme="minorHAnsi" w:cstheme="minorBidi"/>
          <w:szCs w:val="22"/>
        </w:rPr>
      </w:pPr>
      <w:r w:rsidRPr="004F56D0">
        <w:rPr>
          <w:rFonts w:asciiTheme="minorHAnsi" w:eastAsiaTheme="minorHAnsi" w:hAnsiTheme="minorHAnsi" w:cstheme="minorBidi"/>
          <w:szCs w:val="22"/>
        </w:rPr>
        <w:t xml:space="preserve">The submission presented a Markov model with 5 </w:t>
      </w:r>
      <w:r w:rsidR="00B74E38" w:rsidRPr="00EE227E">
        <w:rPr>
          <w:rFonts w:asciiTheme="minorHAnsi" w:eastAsiaTheme="minorHAnsi" w:hAnsiTheme="minorHAnsi" w:cstheme="minorBidi"/>
          <w:iCs/>
          <w:szCs w:val="22"/>
        </w:rPr>
        <w:t>core</w:t>
      </w:r>
      <w:r w:rsidRPr="004F56D0">
        <w:rPr>
          <w:rFonts w:asciiTheme="minorHAnsi" w:eastAsiaTheme="minorHAnsi" w:hAnsiTheme="minorHAnsi" w:cstheme="minorBidi"/>
          <w:szCs w:val="22"/>
        </w:rPr>
        <w:t xml:space="preserve"> health states: uncontrolled asthma; controlled asthma; </w:t>
      </w:r>
      <w:r>
        <w:rPr>
          <w:rFonts w:asciiTheme="minorHAnsi" w:eastAsiaTheme="minorHAnsi" w:hAnsiTheme="minorHAnsi" w:cstheme="minorBidi"/>
          <w:szCs w:val="22"/>
        </w:rPr>
        <w:t xml:space="preserve">previously </w:t>
      </w:r>
      <w:r w:rsidRPr="004F56D0">
        <w:rPr>
          <w:rFonts w:asciiTheme="minorHAnsi" w:eastAsiaTheme="minorHAnsi" w:hAnsiTheme="minorHAnsi" w:cstheme="minorBidi"/>
          <w:szCs w:val="22"/>
        </w:rPr>
        <w:t xml:space="preserve">uncontrolled asthma </w:t>
      </w:r>
      <w:r>
        <w:rPr>
          <w:rFonts w:asciiTheme="minorHAnsi" w:eastAsiaTheme="minorHAnsi" w:hAnsiTheme="minorHAnsi" w:cstheme="minorBidi"/>
          <w:szCs w:val="22"/>
        </w:rPr>
        <w:t xml:space="preserve">with </w:t>
      </w:r>
      <w:r w:rsidRPr="004F56D0">
        <w:rPr>
          <w:rFonts w:asciiTheme="minorHAnsi" w:eastAsiaTheme="minorHAnsi" w:hAnsiTheme="minorHAnsi" w:cstheme="minorBidi"/>
          <w:szCs w:val="22"/>
        </w:rPr>
        <w:t>exacerbation</w:t>
      </w:r>
      <w:r>
        <w:rPr>
          <w:rFonts w:asciiTheme="minorHAnsi" w:eastAsiaTheme="minorHAnsi" w:hAnsiTheme="minorHAnsi" w:cstheme="minorBidi"/>
          <w:szCs w:val="22"/>
        </w:rPr>
        <w:t xml:space="preserve"> (uncontrolled exacerbation)</w:t>
      </w:r>
      <w:r w:rsidRPr="004F56D0">
        <w:rPr>
          <w:rFonts w:asciiTheme="minorHAnsi" w:eastAsiaTheme="minorHAnsi" w:hAnsiTheme="minorHAnsi" w:cstheme="minorBidi"/>
          <w:szCs w:val="22"/>
        </w:rPr>
        <w:t>;</w:t>
      </w:r>
      <w:r>
        <w:rPr>
          <w:rFonts w:asciiTheme="minorHAnsi" w:eastAsiaTheme="minorHAnsi" w:hAnsiTheme="minorHAnsi" w:cstheme="minorBidi"/>
          <w:szCs w:val="22"/>
        </w:rPr>
        <w:t xml:space="preserve"> previously </w:t>
      </w:r>
      <w:r w:rsidRPr="004F56D0">
        <w:rPr>
          <w:rFonts w:asciiTheme="minorHAnsi" w:eastAsiaTheme="minorHAnsi" w:hAnsiTheme="minorHAnsi" w:cstheme="minorBidi"/>
          <w:szCs w:val="22"/>
        </w:rPr>
        <w:t xml:space="preserve">controlled asthma </w:t>
      </w:r>
      <w:r>
        <w:rPr>
          <w:rFonts w:asciiTheme="minorHAnsi" w:eastAsiaTheme="minorHAnsi" w:hAnsiTheme="minorHAnsi" w:cstheme="minorBidi"/>
          <w:szCs w:val="22"/>
        </w:rPr>
        <w:t xml:space="preserve">with </w:t>
      </w:r>
      <w:r w:rsidRPr="004F56D0">
        <w:rPr>
          <w:rFonts w:asciiTheme="minorHAnsi" w:eastAsiaTheme="minorHAnsi" w:hAnsiTheme="minorHAnsi" w:cstheme="minorBidi"/>
          <w:szCs w:val="22"/>
        </w:rPr>
        <w:t>exacerbation</w:t>
      </w:r>
      <w:r>
        <w:rPr>
          <w:rFonts w:asciiTheme="minorHAnsi" w:eastAsiaTheme="minorHAnsi" w:hAnsiTheme="minorHAnsi" w:cstheme="minorBidi"/>
          <w:szCs w:val="22"/>
        </w:rPr>
        <w:t xml:space="preserve"> (controlled exacerbation)</w:t>
      </w:r>
      <w:r w:rsidRPr="004F56D0">
        <w:rPr>
          <w:rFonts w:asciiTheme="minorHAnsi" w:eastAsiaTheme="minorHAnsi" w:hAnsiTheme="minorHAnsi" w:cstheme="minorBidi"/>
          <w:szCs w:val="22"/>
        </w:rPr>
        <w:t>; and dead</w:t>
      </w:r>
      <w:r w:rsidR="002F4D32">
        <w:rPr>
          <w:rFonts w:asciiTheme="minorHAnsi" w:eastAsiaTheme="minorHAnsi" w:hAnsiTheme="minorHAnsi" w:cstheme="minorBidi"/>
          <w:szCs w:val="22"/>
        </w:rPr>
        <w:t xml:space="preserve"> (</w:t>
      </w:r>
      <w:r w:rsidR="002F4D32">
        <w:rPr>
          <w:rFonts w:asciiTheme="minorHAnsi" w:eastAsiaTheme="minorHAnsi" w:hAnsiTheme="minorHAnsi" w:cstheme="minorBidi"/>
          <w:szCs w:val="22"/>
        </w:rPr>
        <w:fldChar w:fldCharType="begin"/>
      </w:r>
      <w:r w:rsidR="002F4D32">
        <w:rPr>
          <w:rFonts w:asciiTheme="minorHAnsi" w:eastAsiaTheme="minorHAnsi" w:hAnsiTheme="minorHAnsi" w:cstheme="minorBidi"/>
          <w:szCs w:val="22"/>
        </w:rPr>
        <w:instrText xml:space="preserve"> REF _Ref211594861 \h </w:instrText>
      </w:r>
      <w:r w:rsidR="002F4D32">
        <w:rPr>
          <w:rFonts w:asciiTheme="minorHAnsi" w:eastAsiaTheme="minorHAnsi" w:hAnsiTheme="minorHAnsi" w:cstheme="minorBidi"/>
          <w:szCs w:val="22"/>
        </w:rPr>
      </w:r>
      <w:r w:rsidR="002F4D32">
        <w:rPr>
          <w:rFonts w:asciiTheme="minorHAnsi" w:eastAsiaTheme="minorHAnsi" w:hAnsiTheme="minorHAnsi" w:cstheme="minorBidi"/>
          <w:szCs w:val="22"/>
        </w:rPr>
        <w:fldChar w:fldCharType="separate"/>
      </w:r>
      <w:r w:rsidR="0078760A">
        <w:t xml:space="preserve">Figure </w:t>
      </w:r>
      <w:r w:rsidR="0078760A">
        <w:rPr>
          <w:noProof/>
        </w:rPr>
        <w:t>2</w:t>
      </w:r>
      <w:r w:rsidR="002F4D32">
        <w:rPr>
          <w:rFonts w:asciiTheme="minorHAnsi" w:eastAsiaTheme="minorHAnsi" w:hAnsiTheme="minorHAnsi" w:cstheme="minorBidi"/>
          <w:szCs w:val="22"/>
        </w:rPr>
        <w:fldChar w:fldCharType="end"/>
      </w:r>
      <w:r w:rsidR="002F4D32">
        <w:rPr>
          <w:rFonts w:asciiTheme="minorHAnsi" w:eastAsiaTheme="minorHAnsi" w:hAnsiTheme="minorHAnsi" w:cstheme="minorBidi"/>
          <w:szCs w:val="22"/>
        </w:rPr>
        <w:t>)</w:t>
      </w:r>
      <w:r w:rsidRPr="004F56D0">
        <w:rPr>
          <w:rFonts w:asciiTheme="minorHAnsi" w:eastAsiaTheme="minorHAnsi" w:hAnsiTheme="minorHAnsi" w:cstheme="minorBidi"/>
          <w:szCs w:val="22"/>
        </w:rPr>
        <w:t>.</w:t>
      </w:r>
      <w:r>
        <w:rPr>
          <w:rFonts w:asciiTheme="minorHAnsi" w:eastAsiaTheme="minorHAnsi" w:hAnsiTheme="minorHAnsi" w:cstheme="minorBidi"/>
          <w:szCs w:val="22"/>
        </w:rPr>
        <w:t xml:space="preserve"> Health states were further stratified by OCS use. The asthma control health states were defined based on ACQ-6 scores (controlled asthma: ACQ-6 score &lt;1.5 without exacerbation; uncontrolled asthma: ACQ-6 score </w:t>
      </w:r>
      <w:r>
        <w:rPr>
          <w:rFonts w:asciiTheme="minorHAnsi" w:eastAsiaTheme="minorHAnsi" w:hAnsiTheme="minorHAnsi" w:cstheme="minorHAnsi"/>
          <w:szCs w:val="22"/>
        </w:rPr>
        <w:t>≥</w:t>
      </w:r>
      <w:r>
        <w:rPr>
          <w:rFonts w:asciiTheme="minorHAnsi" w:eastAsiaTheme="minorHAnsi" w:hAnsiTheme="minorHAnsi" w:cstheme="minorBidi"/>
          <w:szCs w:val="22"/>
        </w:rPr>
        <w:t xml:space="preserve"> 1.5 without exacerbation). </w:t>
      </w:r>
      <w:r w:rsidRPr="006C75D6">
        <w:rPr>
          <w:rFonts w:asciiTheme="minorHAnsi" w:eastAsiaTheme="minorHAnsi" w:hAnsiTheme="minorHAnsi" w:cstheme="minorBidi"/>
          <w:szCs w:val="22"/>
        </w:rPr>
        <w:t>The exacerbation health states were defined as a worsening of asthma symptoms that causes 1 of 3 events: a burst of OCS for at least 3 consecutive days, an emergency department visit, or hospitali</w:t>
      </w:r>
      <w:r>
        <w:rPr>
          <w:rFonts w:asciiTheme="minorHAnsi" w:eastAsiaTheme="minorHAnsi" w:hAnsiTheme="minorHAnsi" w:cstheme="minorBidi"/>
          <w:szCs w:val="22"/>
        </w:rPr>
        <w:t>s</w:t>
      </w:r>
      <w:r w:rsidRPr="006C75D6">
        <w:rPr>
          <w:rFonts w:asciiTheme="minorHAnsi" w:eastAsiaTheme="minorHAnsi" w:hAnsiTheme="minorHAnsi" w:cstheme="minorBidi"/>
          <w:szCs w:val="22"/>
        </w:rPr>
        <w:t>ation.</w:t>
      </w:r>
      <w:r>
        <w:rPr>
          <w:rFonts w:cs="Roboto"/>
          <w:color w:val="000000"/>
          <w:sz w:val="18"/>
          <w:szCs w:val="18"/>
        </w:rPr>
        <w:t xml:space="preserve"> </w:t>
      </w:r>
    </w:p>
    <w:p w14:paraId="28149D11" w14:textId="07F8A12B" w:rsidR="00985766" w:rsidRPr="002F03BE" w:rsidRDefault="00985766" w:rsidP="008A1238">
      <w:pPr>
        <w:numPr>
          <w:ilvl w:val="1"/>
          <w:numId w:val="1"/>
        </w:numPr>
        <w:spacing w:before="60" w:after="60"/>
        <w:ind w:left="709"/>
        <w:rPr>
          <w:rFonts w:asciiTheme="minorHAnsi" w:eastAsiaTheme="minorHAnsi" w:hAnsiTheme="minorHAnsi" w:cstheme="minorBidi"/>
          <w:szCs w:val="22"/>
        </w:rPr>
      </w:pPr>
      <w:r w:rsidRPr="004F56D0">
        <w:rPr>
          <w:rFonts w:asciiTheme="minorHAnsi" w:eastAsiaTheme="minorHAnsi" w:hAnsiTheme="minorHAnsi" w:cstheme="minorBidi"/>
          <w:szCs w:val="22"/>
        </w:rPr>
        <w:t xml:space="preserve">Individuals entered the model with uncontrolled asthma and could transition to other health states from the first model cycle. </w:t>
      </w:r>
      <w:r w:rsidRPr="000834EE">
        <w:rPr>
          <w:rFonts w:asciiTheme="minorHAnsi" w:eastAsiaTheme="minorHAnsi" w:hAnsiTheme="minorHAnsi" w:cstheme="minorBidi"/>
          <w:szCs w:val="22"/>
        </w:rPr>
        <w:t xml:space="preserve">The starting proportion of OCS used to distribute patients among OCS and no OCS health state variants was defined by baseline characteristics and did not differ by treatment arm. </w:t>
      </w:r>
      <w:r w:rsidRPr="002F03BE">
        <w:rPr>
          <w:rFonts w:asciiTheme="minorHAnsi" w:eastAsiaTheme="minorHAnsi" w:hAnsiTheme="minorHAnsi" w:cstheme="minorBidi"/>
          <w:szCs w:val="22"/>
        </w:rPr>
        <w:t xml:space="preserve">The evaluation considered that the model structure was reasonable and consistent with the published literature. </w:t>
      </w:r>
    </w:p>
    <w:p w14:paraId="39DA6905" w14:textId="440A3BBA" w:rsidR="00985766" w:rsidRDefault="00985766" w:rsidP="00182262">
      <w:pPr>
        <w:pStyle w:val="TableFigureHeading"/>
        <w:jc w:val="both"/>
        <w:rPr>
          <w:rFonts w:asciiTheme="minorHAnsi" w:eastAsiaTheme="minorHAnsi" w:hAnsiTheme="minorHAnsi" w:cstheme="minorBidi"/>
          <w:szCs w:val="22"/>
        </w:rPr>
      </w:pPr>
      <w:bookmarkStart w:id="76" w:name="_Ref211594861"/>
      <w:r>
        <w:t xml:space="preserve">Figure </w:t>
      </w:r>
      <w:r w:rsidR="001146FA">
        <w:fldChar w:fldCharType="begin"/>
      </w:r>
      <w:r w:rsidR="001146FA">
        <w:instrText xml:space="preserve"> SEQ Figure \* ARABIC </w:instrText>
      </w:r>
      <w:r w:rsidR="001146FA">
        <w:fldChar w:fldCharType="separate"/>
      </w:r>
      <w:r w:rsidR="0078760A">
        <w:rPr>
          <w:noProof/>
        </w:rPr>
        <w:t>2</w:t>
      </w:r>
      <w:r w:rsidR="001146FA">
        <w:rPr>
          <w:noProof/>
        </w:rPr>
        <w:fldChar w:fldCharType="end"/>
      </w:r>
      <w:bookmarkEnd w:id="76"/>
      <w:r>
        <w:t>: Model structure for the 5-state Markov model</w:t>
      </w:r>
    </w:p>
    <w:p w14:paraId="0AFBC879" w14:textId="77777777" w:rsidR="00985766" w:rsidRDefault="00985766" w:rsidP="00182262">
      <w:pPr>
        <w:spacing w:before="60" w:after="60"/>
        <w:rPr>
          <w:rFonts w:asciiTheme="minorHAnsi" w:eastAsiaTheme="minorHAnsi" w:hAnsiTheme="minorHAnsi" w:cstheme="minorBidi"/>
          <w:szCs w:val="22"/>
        </w:rPr>
      </w:pPr>
      <w:r>
        <w:rPr>
          <w:noProof/>
        </w:rPr>
        <w:drawing>
          <wp:inline distT="0" distB="0" distL="0" distR="0" wp14:anchorId="16BE515C" wp14:editId="146D479A">
            <wp:extent cx="3829050" cy="2800350"/>
            <wp:effectExtent l="0" t="0" r="0" b="0"/>
            <wp:docPr id="753523845" name="Picture 1" descr="Model structure for the 5-state Markov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23845" name="Picture 1" descr="Model structure for the 5-state Markov model"/>
                    <pic:cNvPicPr/>
                  </pic:nvPicPr>
                  <pic:blipFill>
                    <a:blip r:embed="rId13"/>
                    <a:stretch>
                      <a:fillRect/>
                    </a:stretch>
                  </pic:blipFill>
                  <pic:spPr>
                    <a:xfrm>
                      <a:off x="0" y="0"/>
                      <a:ext cx="3829050" cy="2800350"/>
                    </a:xfrm>
                    <a:prstGeom prst="rect">
                      <a:avLst/>
                    </a:prstGeom>
                  </pic:spPr>
                </pic:pic>
              </a:graphicData>
            </a:graphic>
          </wp:inline>
        </w:drawing>
      </w:r>
    </w:p>
    <w:p w14:paraId="784693C2" w14:textId="77777777" w:rsidR="00985766" w:rsidRPr="005D7914" w:rsidRDefault="00985766" w:rsidP="00182262">
      <w:pPr>
        <w:pStyle w:val="TableFigureFooter"/>
        <w:jc w:val="both"/>
      </w:pPr>
      <w:r w:rsidRPr="005D7914">
        <w:t>Source: Figure 3-1, p 269</w:t>
      </w:r>
    </w:p>
    <w:p w14:paraId="469F7675" w14:textId="77777777" w:rsidR="00985766" w:rsidRPr="005D7914" w:rsidRDefault="00985766" w:rsidP="00182262">
      <w:pPr>
        <w:pStyle w:val="TableFigureFooter"/>
        <w:jc w:val="both"/>
      </w:pPr>
      <w:r w:rsidRPr="005D7914">
        <w:t>A&amp;E = Accident and emergency department; OCS= Oral corticosteroids; SoC= standard of care</w:t>
      </w:r>
    </w:p>
    <w:p w14:paraId="6E903F71" w14:textId="1FAE3013" w:rsidR="00985766" w:rsidRPr="00EE227E" w:rsidRDefault="00985766" w:rsidP="00F65BD4">
      <w:pPr>
        <w:numPr>
          <w:ilvl w:val="1"/>
          <w:numId w:val="1"/>
        </w:numPr>
        <w:spacing w:before="60" w:after="60"/>
        <w:ind w:left="709"/>
        <w:rPr>
          <w:rFonts w:asciiTheme="minorHAnsi" w:eastAsiaTheme="minorHAnsi" w:hAnsiTheme="minorHAnsi" w:cstheme="minorBidi"/>
          <w:iCs/>
          <w:szCs w:val="22"/>
        </w:rPr>
      </w:pPr>
      <w:r>
        <w:rPr>
          <w:rFonts w:asciiTheme="minorHAnsi" w:eastAsiaTheme="minorHAnsi" w:hAnsiTheme="minorHAnsi" w:cstheme="minorBidi"/>
          <w:szCs w:val="22"/>
        </w:rPr>
        <w:t>I</w:t>
      </w:r>
      <w:r w:rsidRPr="004F56D0">
        <w:rPr>
          <w:rFonts w:asciiTheme="minorHAnsi" w:eastAsiaTheme="minorHAnsi" w:hAnsiTheme="minorHAnsi" w:cstheme="minorBidi"/>
          <w:szCs w:val="22"/>
        </w:rPr>
        <w:t xml:space="preserve">ndividuals could transition from ‘with OCS’ states to ‘without OCS’ states through OCS discontinuation. Individuals receiving OCS were further stratified into dosing categories, where the risk of </w:t>
      </w:r>
      <w:r>
        <w:rPr>
          <w:rFonts w:asciiTheme="minorHAnsi" w:eastAsiaTheme="minorHAnsi" w:hAnsiTheme="minorHAnsi" w:cstheme="minorBidi"/>
          <w:szCs w:val="22"/>
        </w:rPr>
        <w:t>adverse events</w:t>
      </w:r>
      <w:r w:rsidRPr="004F56D0">
        <w:rPr>
          <w:rFonts w:asciiTheme="minorHAnsi" w:eastAsiaTheme="minorHAnsi" w:hAnsiTheme="minorHAnsi" w:cstheme="minorBidi"/>
          <w:szCs w:val="22"/>
        </w:rPr>
        <w:t xml:space="preserve"> was a function of the dose of OCS received. Individuals on </w:t>
      </w:r>
      <w:proofErr w:type="spellStart"/>
      <w:r w:rsidRPr="004F56D0">
        <w:rPr>
          <w:rFonts w:asciiTheme="minorHAnsi" w:eastAsiaTheme="minorHAnsi" w:hAnsiTheme="minorHAnsi" w:cstheme="minorBidi"/>
          <w:szCs w:val="22"/>
        </w:rPr>
        <w:t>tezepelumab</w:t>
      </w:r>
      <w:proofErr w:type="spellEnd"/>
      <w:r w:rsidRPr="004F56D0">
        <w:rPr>
          <w:rFonts w:asciiTheme="minorHAnsi" w:eastAsiaTheme="minorHAnsi" w:hAnsiTheme="minorHAnsi" w:cstheme="minorBidi"/>
          <w:szCs w:val="22"/>
        </w:rPr>
        <w:t xml:space="preserve"> transitioned to SoC </w:t>
      </w:r>
      <w:r>
        <w:rPr>
          <w:rFonts w:asciiTheme="minorHAnsi" w:eastAsiaTheme="minorHAnsi" w:hAnsiTheme="minorHAnsi" w:cstheme="minorBidi"/>
          <w:szCs w:val="22"/>
        </w:rPr>
        <w:t xml:space="preserve">(discontinued treatment) </w:t>
      </w:r>
      <w:r w:rsidRPr="004F56D0">
        <w:rPr>
          <w:rFonts w:asciiTheme="minorHAnsi" w:eastAsiaTheme="minorHAnsi" w:hAnsiTheme="minorHAnsi" w:cstheme="minorBidi"/>
          <w:szCs w:val="22"/>
        </w:rPr>
        <w:t xml:space="preserve">through natural attrition (probability per month [with OCS = 1.299%; without OCS = 0.648%]) or via a response assessment at 32 weeks. </w:t>
      </w:r>
      <w:r w:rsidRPr="002F03BE">
        <w:rPr>
          <w:rFonts w:asciiTheme="minorHAnsi" w:eastAsiaTheme="minorHAnsi" w:hAnsiTheme="minorHAnsi" w:cstheme="minorBidi"/>
          <w:szCs w:val="22"/>
        </w:rPr>
        <w:t xml:space="preserve">This response assessment or ‘stopping rule’ meant that individuals who responded to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treatment (i.e. those in ‘controlled state’, with ACQ-6 &lt; 1.5) at week 32 qualified for continued treatment, whereas those who did not respond discontinued treatment and were assumed to have the same efficacy profile and costs of </w:t>
      </w:r>
      <w:proofErr w:type="spellStart"/>
      <w:r w:rsidRPr="002F03BE">
        <w:rPr>
          <w:rFonts w:asciiTheme="minorHAnsi" w:eastAsiaTheme="minorHAnsi" w:hAnsiTheme="minorHAnsi" w:cstheme="minorBidi"/>
          <w:szCs w:val="22"/>
        </w:rPr>
        <w:t>SoC.</w:t>
      </w:r>
      <w:proofErr w:type="spellEnd"/>
      <w:r w:rsidRPr="002F03BE">
        <w:rPr>
          <w:rFonts w:asciiTheme="minorHAnsi" w:eastAsiaTheme="minorHAnsi" w:hAnsiTheme="minorHAnsi" w:cstheme="minorBidi"/>
          <w:szCs w:val="22"/>
        </w:rPr>
        <w:t xml:space="preserve"> Week 32 was selected based on the PBS restrictions for dupilumab, omalizumab, </w:t>
      </w:r>
      <w:proofErr w:type="spellStart"/>
      <w:r w:rsidRPr="002F03BE">
        <w:rPr>
          <w:rFonts w:asciiTheme="minorHAnsi" w:eastAsiaTheme="minorHAnsi" w:hAnsiTheme="minorHAnsi" w:cstheme="minorBidi"/>
          <w:szCs w:val="22"/>
        </w:rPr>
        <w:t>benralizumab</w:t>
      </w:r>
      <w:proofErr w:type="spellEnd"/>
      <w:r w:rsidRPr="002F03BE">
        <w:rPr>
          <w:rFonts w:asciiTheme="minorHAnsi" w:eastAsiaTheme="minorHAnsi" w:hAnsiTheme="minorHAnsi" w:cstheme="minorBidi"/>
          <w:szCs w:val="22"/>
        </w:rPr>
        <w:t xml:space="preserve"> and mepolizumab. It is also consistent with the proposed PBS restriction. The evaluation noted that it is possible that for some patients the effect of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at 32 weeks would not be sustained at week 52, in which case the response estimated may have been overestimated. Conversely, it is possible that response to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at 32 week was less than that at week 52, in which case response may have been underestimated. This introduced uncertainty in the economic model. Furthermore, for the consideration of mepolizumab for the treatment of severe eosinophilic asthma, the ESC </w:t>
      </w:r>
      <w:r w:rsidR="00F42979" w:rsidRPr="00EE227E">
        <w:rPr>
          <w:rFonts w:asciiTheme="minorHAnsi" w:eastAsiaTheme="minorHAnsi" w:hAnsiTheme="minorHAnsi" w:cstheme="minorBidi"/>
          <w:iCs/>
          <w:szCs w:val="22"/>
        </w:rPr>
        <w:t>recalled it had previously</w:t>
      </w:r>
      <w:r w:rsidR="00F42979" w:rsidRPr="002F03BE">
        <w:rPr>
          <w:rFonts w:asciiTheme="minorHAnsi" w:eastAsiaTheme="minorHAnsi" w:hAnsiTheme="minorHAnsi" w:cstheme="minorBidi"/>
          <w:szCs w:val="22"/>
        </w:rPr>
        <w:t xml:space="preserve"> </w:t>
      </w:r>
      <w:r w:rsidRPr="002F03BE">
        <w:rPr>
          <w:rFonts w:asciiTheme="minorHAnsi" w:eastAsiaTheme="minorHAnsi" w:hAnsiTheme="minorHAnsi" w:cstheme="minorBidi"/>
          <w:szCs w:val="22"/>
        </w:rPr>
        <w:t>noted that if this continuation criterion (of 32 weeks) was not effectively applied in practice, the ICER would be higher than estimated in the submission (assuming that patients not meeting this criterion have higher exacerbation rates than patients who do meet this criterion) (para. 6.33, mepolizumab PSD, March 2016 PBAC Meeting).</w:t>
      </w:r>
      <w:r w:rsidRPr="00EE227E">
        <w:rPr>
          <w:rFonts w:asciiTheme="minorHAnsi" w:eastAsiaTheme="minorHAnsi" w:hAnsiTheme="minorHAnsi" w:cstheme="minorBidi"/>
          <w:iCs/>
          <w:szCs w:val="22"/>
        </w:rPr>
        <w:t xml:space="preserve"> </w:t>
      </w:r>
      <w:r w:rsidR="00BE6CB5" w:rsidRPr="00EE227E">
        <w:rPr>
          <w:rFonts w:asciiTheme="minorHAnsi" w:eastAsiaTheme="minorHAnsi" w:hAnsiTheme="minorHAnsi" w:cstheme="minorBidi"/>
          <w:iCs/>
          <w:szCs w:val="22"/>
        </w:rPr>
        <w:t xml:space="preserve">The ESC noted that </w:t>
      </w:r>
      <w:r w:rsidR="005600DD" w:rsidRPr="00EE227E">
        <w:rPr>
          <w:rFonts w:asciiTheme="minorHAnsi" w:eastAsiaTheme="minorHAnsi" w:hAnsiTheme="minorHAnsi" w:cstheme="minorBidi"/>
          <w:iCs/>
          <w:szCs w:val="22"/>
        </w:rPr>
        <w:t>due to the model setup</w:t>
      </w:r>
      <w:r w:rsidR="00ED248D" w:rsidRPr="00EE227E">
        <w:rPr>
          <w:rFonts w:asciiTheme="minorHAnsi" w:eastAsiaTheme="minorHAnsi" w:hAnsiTheme="minorHAnsi" w:cstheme="minorBidi"/>
          <w:iCs/>
          <w:szCs w:val="22"/>
        </w:rPr>
        <w:t xml:space="preserve">, </w:t>
      </w:r>
      <w:r w:rsidR="003407A1" w:rsidRPr="00EE227E">
        <w:rPr>
          <w:rFonts w:asciiTheme="minorHAnsi" w:eastAsiaTheme="minorHAnsi" w:hAnsiTheme="minorHAnsi" w:cstheme="minorBidi"/>
          <w:iCs/>
          <w:szCs w:val="22"/>
        </w:rPr>
        <w:t>the impact of</w:t>
      </w:r>
      <w:r w:rsidR="00ED248D" w:rsidRPr="00EE227E">
        <w:rPr>
          <w:rFonts w:asciiTheme="minorHAnsi" w:eastAsiaTheme="minorHAnsi" w:hAnsiTheme="minorHAnsi" w:cstheme="minorBidi"/>
          <w:iCs/>
          <w:szCs w:val="22"/>
        </w:rPr>
        <w:t xml:space="preserve"> patients </w:t>
      </w:r>
      <w:r w:rsidR="00B400F5" w:rsidRPr="00EE227E">
        <w:rPr>
          <w:rFonts w:asciiTheme="minorHAnsi" w:eastAsiaTheme="minorHAnsi" w:hAnsiTheme="minorHAnsi" w:cstheme="minorBidi"/>
          <w:iCs/>
          <w:szCs w:val="22"/>
        </w:rPr>
        <w:t xml:space="preserve">with </w:t>
      </w:r>
      <w:r w:rsidR="00682179" w:rsidRPr="00EE227E">
        <w:rPr>
          <w:rFonts w:asciiTheme="minorHAnsi" w:eastAsiaTheme="minorHAnsi" w:hAnsiTheme="minorHAnsi" w:cstheme="minorBidi"/>
          <w:iCs/>
          <w:szCs w:val="22"/>
        </w:rPr>
        <w:t>a lower</w:t>
      </w:r>
      <w:r w:rsidR="00B400F5" w:rsidRPr="00EE227E">
        <w:rPr>
          <w:rFonts w:asciiTheme="minorHAnsi" w:eastAsiaTheme="minorHAnsi" w:hAnsiTheme="minorHAnsi" w:cstheme="minorBidi"/>
          <w:iCs/>
          <w:szCs w:val="22"/>
        </w:rPr>
        <w:t xml:space="preserve"> response </w:t>
      </w:r>
      <w:r w:rsidR="003407A1" w:rsidRPr="00EE227E">
        <w:rPr>
          <w:rFonts w:asciiTheme="minorHAnsi" w:eastAsiaTheme="minorHAnsi" w:hAnsiTheme="minorHAnsi" w:cstheme="minorBidi"/>
          <w:iCs/>
          <w:szCs w:val="22"/>
        </w:rPr>
        <w:t>remaining on treatment</w:t>
      </w:r>
      <w:r w:rsidR="00682179" w:rsidRPr="00EE227E">
        <w:rPr>
          <w:rFonts w:asciiTheme="minorHAnsi" w:eastAsiaTheme="minorHAnsi" w:hAnsiTheme="minorHAnsi" w:cstheme="minorBidi"/>
          <w:iCs/>
          <w:szCs w:val="22"/>
        </w:rPr>
        <w:t xml:space="preserve"> </w:t>
      </w:r>
      <w:r w:rsidR="00B400F5" w:rsidRPr="00EE227E">
        <w:rPr>
          <w:rFonts w:asciiTheme="minorHAnsi" w:eastAsiaTheme="minorHAnsi" w:hAnsiTheme="minorHAnsi" w:cstheme="minorBidi"/>
          <w:iCs/>
          <w:szCs w:val="22"/>
        </w:rPr>
        <w:t xml:space="preserve">post-32 weeks </w:t>
      </w:r>
      <w:r w:rsidR="005600DD" w:rsidRPr="00EE227E">
        <w:rPr>
          <w:rFonts w:asciiTheme="minorHAnsi" w:eastAsiaTheme="minorHAnsi" w:hAnsiTheme="minorHAnsi" w:cstheme="minorBidi"/>
          <w:iCs/>
          <w:szCs w:val="22"/>
        </w:rPr>
        <w:t>could not be directly tested in a sensitivity analysis</w:t>
      </w:r>
      <w:r w:rsidR="00ED248D" w:rsidRPr="00EE227E">
        <w:rPr>
          <w:rFonts w:asciiTheme="minorHAnsi" w:eastAsiaTheme="minorHAnsi" w:hAnsiTheme="minorHAnsi" w:cstheme="minorBidi"/>
          <w:iCs/>
          <w:szCs w:val="22"/>
        </w:rPr>
        <w:t>, and considered</w:t>
      </w:r>
      <w:r w:rsidR="00B400F5" w:rsidRPr="00EE227E">
        <w:rPr>
          <w:rFonts w:asciiTheme="minorHAnsi" w:eastAsiaTheme="minorHAnsi" w:hAnsiTheme="minorHAnsi" w:cstheme="minorBidi"/>
          <w:iCs/>
          <w:szCs w:val="22"/>
        </w:rPr>
        <w:t xml:space="preserve"> that</w:t>
      </w:r>
      <w:r w:rsidR="00ED248D" w:rsidRPr="00EE227E">
        <w:rPr>
          <w:rFonts w:asciiTheme="minorHAnsi" w:eastAsiaTheme="minorHAnsi" w:hAnsiTheme="minorHAnsi" w:cstheme="minorBidi"/>
          <w:iCs/>
          <w:szCs w:val="22"/>
        </w:rPr>
        <w:t xml:space="preserve"> this</w:t>
      </w:r>
      <w:r w:rsidR="00803074" w:rsidRPr="00EE227E">
        <w:rPr>
          <w:rFonts w:asciiTheme="minorHAnsi" w:eastAsiaTheme="minorHAnsi" w:hAnsiTheme="minorHAnsi" w:cstheme="minorBidi"/>
          <w:iCs/>
          <w:szCs w:val="22"/>
        </w:rPr>
        <w:t xml:space="preserve"> was</w:t>
      </w:r>
      <w:r w:rsidR="00ED248D" w:rsidRPr="00EE227E">
        <w:rPr>
          <w:rFonts w:asciiTheme="minorHAnsi" w:eastAsiaTheme="minorHAnsi" w:hAnsiTheme="minorHAnsi" w:cstheme="minorBidi"/>
          <w:iCs/>
          <w:szCs w:val="22"/>
        </w:rPr>
        <w:t xml:space="preserve"> not appropriate</w:t>
      </w:r>
      <w:r w:rsidR="00803074" w:rsidRPr="00EE227E">
        <w:rPr>
          <w:rFonts w:asciiTheme="minorHAnsi" w:eastAsiaTheme="minorHAnsi" w:hAnsiTheme="minorHAnsi" w:cstheme="minorBidi"/>
          <w:iCs/>
          <w:szCs w:val="22"/>
        </w:rPr>
        <w:t>,</w:t>
      </w:r>
      <w:r w:rsidR="00682179" w:rsidRPr="00EE227E">
        <w:rPr>
          <w:rFonts w:asciiTheme="minorHAnsi" w:eastAsiaTheme="minorHAnsi" w:hAnsiTheme="minorHAnsi" w:cstheme="minorBidi"/>
          <w:iCs/>
          <w:szCs w:val="22"/>
        </w:rPr>
        <w:t xml:space="preserve"> and led to uncertainty in the economic model.</w:t>
      </w:r>
      <w:r w:rsidR="009B75B2">
        <w:rPr>
          <w:rFonts w:asciiTheme="minorHAnsi" w:eastAsiaTheme="minorHAnsi" w:hAnsiTheme="minorHAnsi" w:cstheme="minorBidi"/>
          <w:iCs/>
          <w:szCs w:val="22"/>
        </w:rPr>
        <w:t xml:space="preserve"> The pre-PBAC Response (</w:t>
      </w:r>
      <w:r w:rsidR="00457891">
        <w:rPr>
          <w:rFonts w:asciiTheme="minorHAnsi" w:eastAsiaTheme="minorHAnsi" w:hAnsiTheme="minorHAnsi" w:cstheme="minorBidi"/>
          <w:iCs/>
          <w:szCs w:val="22"/>
        </w:rPr>
        <w:t xml:space="preserve">p1) </w:t>
      </w:r>
      <w:r w:rsidR="00A7122B">
        <w:rPr>
          <w:rFonts w:asciiTheme="minorHAnsi" w:eastAsiaTheme="minorHAnsi" w:hAnsiTheme="minorHAnsi" w:cstheme="minorBidi"/>
          <w:iCs/>
          <w:szCs w:val="22"/>
        </w:rPr>
        <w:t>stated</w:t>
      </w:r>
      <w:r w:rsidR="00457891">
        <w:rPr>
          <w:rFonts w:asciiTheme="minorHAnsi" w:eastAsiaTheme="minorHAnsi" w:hAnsiTheme="minorHAnsi" w:cstheme="minorBidi"/>
          <w:iCs/>
          <w:szCs w:val="22"/>
        </w:rPr>
        <w:t xml:space="preserve"> that the stopping rule </w:t>
      </w:r>
      <w:r w:rsidR="009D592C">
        <w:rPr>
          <w:rFonts w:asciiTheme="minorHAnsi" w:eastAsiaTheme="minorHAnsi" w:hAnsiTheme="minorHAnsi" w:cstheme="minorBidi"/>
          <w:iCs/>
          <w:szCs w:val="22"/>
        </w:rPr>
        <w:t xml:space="preserve">could be </w:t>
      </w:r>
      <w:r w:rsidR="00796ADB">
        <w:rPr>
          <w:rFonts w:asciiTheme="minorHAnsi" w:eastAsiaTheme="minorHAnsi" w:hAnsiTheme="minorHAnsi" w:cstheme="minorBidi"/>
          <w:iCs/>
          <w:szCs w:val="22"/>
        </w:rPr>
        <w:t>removed</w:t>
      </w:r>
      <w:r w:rsidR="00102B3E">
        <w:rPr>
          <w:rFonts w:asciiTheme="minorHAnsi" w:eastAsiaTheme="minorHAnsi" w:hAnsiTheme="minorHAnsi" w:cstheme="minorBidi"/>
          <w:iCs/>
          <w:szCs w:val="22"/>
        </w:rPr>
        <w:t xml:space="preserve"> in the Excel workbook</w:t>
      </w:r>
      <w:r w:rsidR="009D592C">
        <w:rPr>
          <w:rFonts w:asciiTheme="minorHAnsi" w:eastAsiaTheme="minorHAnsi" w:hAnsiTheme="minorHAnsi" w:cstheme="minorBidi"/>
          <w:iCs/>
          <w:szCs w:val="22"/>
        </w:rPr>
        <w:t xml:space="preserve"> </w:t>
      </w:r>
      <w:r w:rsidR="00796ADB">
        <w:rPr>
          <w:rFonts w:asciiTheme="minorHAnsi" w:eastAsiaTheme="minorHAnsi" w:hAnsiTheme="minorHAnsi" w:cstheme="minorBidi"/>
          <w:iCs/>
          <w:szCs w:val="22"/>
        </w:rPr>
        <w:t>by</w:t>
      </w:r>
      <w:r w:rsidR="009D592C">
        <w:rPr>
          <w:rFonts w:asciiTheme="minorHAnsi" w:eastAsiaTheme="minorHAnsi" w:hAnsiTheme="minorHAnsi" w:cstheme="minorBidi"/>
          <w:iCs/>
          <w:szCs w:val="22"/>
        </w:rPr>
        <w:t xml:space="preserve"> </w:t>
      </w:r>
      <w:r w:rsidR="004D7946">
        <w:rPr>
          <w:rFonts w:asciiTheme="minorHAnsi" w:eastAsiaTheme="minorHAnsi" w:hAnsiTheme="minorHAnsi" w:cstheme="minorBidi"/>
          <w:iCs/>
          <w:szCs w:val="22"/>
        </w:rPr>
        <w:t xml:space="preserve">overwriting a reference to a </w:t>
      </w:r>
      <w:r w:rsidR="004C714E">
        <w:rPr>
          <w:rFonts w:asciiTheme="minorHAnsi" w:eastAsiaTheme="minorHAnsi" w:hAnsiTheme="minorHAnsi" w:cstheme="minorBidi"/>
          <w:iCs/>
          <w:szCs w:val="22"/>
        </w:rPr>
        <w:t xml:space="preserve">named range </w:t>
      </w:r>
      <w:r w:rsidR="009364B8">
        <w:rPr>
          <w:rFonts w:asciiTheme="minorHAnsi" w:eastAsiaTheme="minorHAnsi" w:hAnsiTheme="minorHAnsi" w:cstheme="minorBidi"/>
          <w:iCs/>
          <w:szCs w:val="22"/>
        </w:rPr>
        <w:t xml:space="preserve">for discontinuation parameters </w:t>
      </w:r>
      <w:r w:rsidR="00E97756">
        <w:rPr>
          <w:rFonts w:asciiTheme="minorHAnsi" w:eastAsiaTheme="minorHAnsi" w:hAnsiTheme="minorHAnsi" w:cstheme="minorBidi"/>
          <w:iCs/>
          <w:szCs w:val="22"/>
        </w:rPr>
        <w:t xml:space="preserve">in the </w:t>
      </w:r>
      <w:r w:rsidR="00AE643D">
        <w:rPr>
          <w:rFonts w:asciiTheme="minorHAnsi" w:eastAsiaTheme="minorHAnsi" w:hAnsiTheme="minorHAnsi" w:cstheme="minorBidi"/>
          <w:iCs/>
          <w:szCs w:val="22"/>
        </w:rPr>
        <w:t xml:space="preserve">non-user facing </w:t>
      </w:r>
      <w:r w:rsidR="009364B8">
        <w:rPr>
          <w:rFonts w:asciiTheme="minorHAnsi" w:eastAsiaTheme="minorHAnsi" w:hAnsiTheme="minorHAnsi" w:cstheme="minorBidi"/>
          <w:iCs/>
          <w:szCs w:val="22"/>
        </w:rPr>
        <w:t xml:space="preserve">Markov </w:t>
      </w:r>
      <w:r w:rsidR="004C714E">
        <w:rPr>
          <w:rFonts w:asciiTheme="minorHAnsi" w:eastAsiaTheme="minorHAnsi" w:hAnsiTheme="minorHAnsi" w:cstheme="minorBidi"/>
          <w:iCs/>
          <w:szCs w:val="22"/>
        </w:rPr>
        <w:t>trace</w:t>
      </w:r>
      <w:r w:rsidR="009364B8">
        <w:rPr>
          <w:rFonts w:asciiTheme="minorHAnsi" w:eastAsiaTheme="minorHAnsi" w:hAnsiTheme="minorHAnsi" w:cstheme="minorBidi"/>
          <w:iCs/>
          <w:szCs w:val="22"/>
        </w:rPr>
        <w:t xml:space="preserve"> for </w:t>
      </w:r>
      <w:proofErr w:type="spellStart"/>
      <w:r w:rsidR="009364B8">
        <w:rPr>
          <w:rFonts w:asciiTheme="minorHAnsi" w:eastAsiaTheme="minorHAnsi" w:hAnsiTheme="minorHAnsi" w:cstheme="minorBidi"/>
          <w:iCs/>
          <w:szCs w:val="22"/>
        </w:rPr>
        <w:t>tezepelumab</w:t>
      </w:r>
      <w:proofErr w:type="spellEnd"/>
      <w:r w:rsidR="004C714E">
        <w:rPr>
          <w:rFonts w:asciiTheme="minorHAnsi" w:eastAsiaTheme="minorHAnsi" w:hAnsiTheme="minorHAnsi" w:cstheme="minorBidi"/>
          <w:iCs/>
          <w:szCs w:val="22"/>
        </w:rPr>
        <w:t xml:space="preserve">. </w:t>
      </w:r>
      <w:r w:rsidR="00754F72">
        <w:rPr>
          <w:rFonts w:asciiTheme="minorHAnsi" w:eastAsiaTheme="minorHAnsi" w:hAnsiTheme="minorHAnsi" w:cstheme="minorBidi"/>
          <w:iCs/>
          <w:szCs w:val="22"/>
        </w:rPr>
        <w:t xml:space="preserve">The PBAC </w:t>
      </w:r>
      <w:r w:rsidR="00427EC4">
        <w:rPr>
          <w:rFonts w:asciiTheme="minorHAnsi" w:eastAsiaTheme="minorHAnsi" w:hAnsiTheme="minorHAnsi" w:cstheme="minorBidi"/>
          <w:iCs/>
          <w:szCs w:val="22"/>
        </w:rPr>
        <w:t>considered</w:t>
      </w:r>
      <w:r w:rsidR="00754F72">
        <w:rPr>
          <w:rFonts w:asciiTheme="minorHAnsi" w:eastAsiaTheme="minorHAnsi" w:hAnsiTheme="minorHAnsi" w:cstheme="minorBidi"/>
          <w:iCs/>
          <w:szCs w:val="22"/>
        </w:rPr>
        <w:t xml:space="preserve"> that </w:t>
      </w:r>
      <w:r w:rsidR="00D23E75">
        <w:rPr>
          <w:rFonts w:asciiTheme="minorHAnsi" w:eastAsiaTheme="minorHAnsi" w:hAnsiTheme="minorHAnsi" w:cstheme="minorBidi"/>
          <w:iCs/>
          <w:szCs w:val="22"/>
        </w:rPr>
        <w:t xml:space="preserve">this method for changing a key input </w:t>
      </w:r>
      <w:r w:rsidR="00427EC4">
        <w:rPr>
          <w:rFonts w:asciiTheme="minorHAnsi" w:eastAsiaTheme="minorHAnsi" w:hAnsiTheme="minorHAnsi" w:cstheme="minorBidi"/>
          <w:iCs/>
          <w:szCs w:val="22"/>
        </w:rPr>
        <w:t>was</w:t>
      </w:r>
      <w:r w:rsidR="00D23E75">
        <w:rPr>
          <w:rFonts w:asciiTheme="minorHAnsi" w:eastAsiaTheme="minorHAnsi" w:hAnsiTheme="minorHAnsi" w:cstheme="minorBidi"/>
          <w:iCs/>
          <w:szCs w:val="22"/>
        </w:rPr>
        <w:t xml:space="preserve"> </w:t>
      </w:r>
      <w:r w:rsidR="00AF1BE4">
        <w:rPr>
          <w:rFonts w:asciiTheme="minorHAnsi" w:eastAsiaTheme="minorHAnsi" w:hAnsiTheme="minorHAnsi" w:cstheme="minorBidi"/>
          <w:iCs/>
          <w:szCs w:val="22"/>
        </w:rPr>
        <w:t xml:space="preserve">likely </w:t>
      </w:r>
      <w:r w:rsidR="005871A2">
        <w:rPr>
          <w:rFonts w:asciiTheme="minorHAnsi" w:eastAsiaTheme="minorHAnsi" w:hAnsiTheme="minorHAnsi" w:cstheme="minorBidi"/>
          <w:iCs/>
          <w:szCs w:val="22"/>
        </w:rPr>
        <w:t xml:space="preserve">inappropriate and </w:t>
      </w:r>
      <w:r w:rsidR="00D23E75">
        <w:rPr>
          <w:rFonts w:asciiTheme="minorHAnsi" w:eastAsiaTheme="minorHAnsi" w:hAnsiTheme="minorHAnsi" w:cstheme="minorBidi"/>
          <w:iCs/>
          <w:szCs w:val="22"/>
        </w:rPr>
        <w:t>overl</w:t>
      </w:r>
      <w:r w:rsidR="00E575DF">
        <w:rPr>
          <w:rFonts w:asciiTheme="minorHAnsi" w:eastAsiaTheme="minorHAnsi" w:hAnsiTheme="minorHAnsi" w:cstheme="minorBidi"/>
          <w:iCs/>
          <w:szCs w:val="22"/>
        </w:rPr>
        <w:t>y complex</w:t>
      </w:r>
      <w:r w:rsidR="00D23E75">
        <w:rPr>
          <w:rFonts w:asciiTheme="minorHAnsi" w:eastAsiaTheme="minorHAnsi" w:hAnsiTheme="minorHAnsi" w:cstheme="minorBidi"/>
          <w:iCs/>
          <w:szCs w:val="22"/>
        </w:rPr>
        <w:t>.</w:t>
      </w:r>
      <w:r w:rsidR="00C21628">
        <w:rPr>
          <w:rFonts w:asciiTheme="minorHAnsi" w:eastAsiaTheme="minorHAnsi" w:hAnsiTheme="minorHAnsi" w:cstheme="minorBidi"/>
          <w:iCs/>
          <w:szCs w:val="22"/>
        </w:rPr>
        <w:t xml:space="preserve"> </w:t>
      </w:r>
      <w:r w:rsidR="00427EC4">
        <w:rPr>
          <w:rFonts w:asciiTheme="minorHAnsi" w:eastAsiaTheme="minorHAnsi" w:hAnsiTheme="minorHAnsi" w:cstheme="minorBidi"/>
          <w:iCs/>
          <w:szCs w:val="22"/>
        </w:rPr>
        <w:t>The PBAC</w:t>
      </w:r>
      <w:r w:rsidR="00C21628">
        <w:rPr>
          <w:rFonts w:asciiTheme="minorHAnsi" w:eastAsiaTheme="minorHAnsi" w:hAnsiTheme="minorHAnsi" w:cstheme="minorBidi"/>
          <w:iCs/>
          <w:szCs w:val="22"/>
        </w:rPr>
        <w:t xml:space="preserve"> also</w:t>
      </w:r>
      <w:r w:rsidR="00427EC4">
        <w:rPr>
          <w:rFonts w:asciiTheme="minorHAnsi" w:eastAsiaTheme="minorHAnsi" w:hAnsiTheme="minorHAnsi" w:cstheme="minorBidi"/>
          <w:iCs/>
          <w:szCs w:val="22"/>
        </w:rPr>
        <w:t xml:space="preserve"> noted that this change</w:t>
      </w:r>
      <w:r w:rsidR="00C21628">
        <w:rPr>
          <w:rFonts w:asciiTheme="minorHAnsi" w:eastAsiaTheme="minorHAnsi" w:hAnsiTheme="minorHAnsi" w:cstheme="minorBidi"/>
          <w:iCs/>
          <w:szCs w:val="22"/>
        </w:rPr>
        <w:t xml:space="preserve"> result</w:t>
      </w:r>
      <w:r w:rsidR="00427EC4">
        <w:rPr>
          <w:rFonts w:asciiTheme="minorHAnsi" w:eastAsiaTheme="minorHAnsi" w:hAnsiTheme="minorHAnsi" w:cstheme="minorBidi"/>
          <w:iCs/>
          <w:szCs w:val="22"/>
        </w:rPr>
        <w:t>ed</w:t>
      </w:r>
      <w:r w:rsidR="00C21628">
        <w:rPr>
          <w:rFonts w:asciiTheme="minorHAnsi" w:eastAsiaTheme="minorHAnsi" w:hAnsiTheme="minorHAnsi" w:cstheme="minorBidi"/>
          <w:iCs/>
          <w:szCs w:val="22"/>
        </w:rPr>
        <w:t xml:space="preserve"> in</w:t>
      </w:r>
      <w:r w:rsidR="003D68DA">
        <w:rPr>
          <w:rFonts w:asciiTheme="minorHAnsi" w:eastAsiaTheme="minorHAnsi" w:hAnsiTheme="minorHAnsi" w:cstheme="minorBidi"/>
          <w:iCs/>
          <w:szCs w:val="22"/>
        </w:rPr>
        <w:t xml:space="preserve"> </w:t>
      </w:r>
      <w:r w:rsidR="00143F7A">
        <w:rPr>
          <w:rFonts w:asciiTheme="minorHAnsi" w:eastAsiaTheme="minorHAnsi" w:hAnsiTheme="minorHAnsi" w:cstheme="minorBidi"/>
          <w:iCs/>
          <w:szCs w:val="22"/>
        </w:rPr>
        <w:t xml:space="preserve">the </w:t>
      </w:r>
      <w:r w:rsidR="00C21628" w:rsidRPr="00C21628">
        <w:rPr>
          <w:rFonts w:asciiTheme="minorHAnsi" w:eastAsiaTheme="minorHAnsi" w:hAnsiTheme="minorHAnsi" w:cstheme="minorBidi"/>
          <w:iCs/>
          <w:szCs w:val="22"/>
        </w:rPr>
        <w:t xml:space="preserve">uncontrolled </w:t>
      </w:r>
      <w:r w:rsidR="00C21628">
        <w:rPr>
          <w:rFonts w:asciiTheme="minorHAnsi" w:eastAsiaTheme="minorHAnsi" w:hAnsiTheme="minorHAnsi" w:cstheme="minorBidi"/>
          <w:iCs/>
          <w:szCs w:val="22"/>
        </w:rPr>
        <w:t xml:space="preserve">discontinuation </w:t>
      </w:r>
      <w:r w:rsidR="00143F7A">
        <w:rPr>
          <w:rFonts w:asciiTheme="minorHAnsi" w:eastAsiaTheme="minorHAnsi" w:hAnsiTheme="minorHAnsi" w:cstheme="minorBidi"/>
          <w:iCs/>
          <w:szCs w:val="22"/>
        </w:rPr>
        <w:t xml:space="preserve">rate </w:t>
      </w:r>
      <w:r w:rsidR="00C21628">
        <w:rPr>
          <w:rFonts w:asciiTheme="minorHAnsi" w:eastAsiaTheme="minorHAnsi" w:hAnsiTheme="minorHAnsi" w:cstheme="minorBidi"/>
          <w:iCs/>
          <w:szCs w:val="22"/>
        </w:rPr>
        <w:t xml:space="preserve">to equal </w:t>
      </w:r>
      <w:r w:rsidR="00143F7A">
        <w:rPr>
          <w:rFonts w:asciiTheme="minorHAnsi" w:eastAsiaTheme="minorHAnsi" w:hAnsiTheme="minorHAnsi" w:cstheme="minorBidi"/>
          <w:iCs/>
          <w:szCs w:val="22"/>
        </w:rPr>
        <w:t xml:space="preserve">the </w:t>
      </w:r>
      <w:r w:rsidR="00C21628" w:rsidRPr="00C21628">
        <w:rPr>
          <w:rFonts w:asciiTheme="minorHAnsi" w:eastAsiaTheme="minorHAnsi" w:hAnsiTheme="minorHAnsi" w:cstheme="minorBidi"/>
          <w:iCs/>
          <w:szCs w:val="22"/>
        </w:rPr>
        <w:t>controlled discontinuation rate</w:t>
      </w:r>
      <w:r w:rsidR="005871A2">
        <w:rPr>
          <w:rFonts w:asciiTheme="minorHAnsi" w:eastAsiaTheme="minorHAnsi" w:hAnsiTheme="minorHAnsi" w:cstheme="minorBidi"/>
          <w:iCs/>
          <w:szCs w:val="22"/>
        </w:rPr>
        <w:t xml:space="preserve"> and </w:t>
      </w:r>
      <w:r w:rsidR="00967542">
        <w:rPr>
          <w:rFonts w:asciiTheme="minorHAnsi" w:eastAsiaTheme="minorHAnsi" w:hAnsiTheme="minorHAnsi" w:cstheme="minorBidi"/>
          <w:iCs/>
          <w:szCs w:val="22"/>
        </w:rPr>
        <w:t>does</w:t>
      </w:r>
      <w:r w:rsidR="00E24DAF">
        <w:rPr>
          <w:rFonts w:asciiTheme="minorHAnsi" w:eastAsiaTheme="minorHAnsi" w:hAnsiTheme="minorHAnsi" w:cstheme="minorBidi"/>
          <w:iCs/>
          <w:szCs w:val="22"/>
        </w:rPr>
        <w:t xml:space="preserve"> not</w:t>
      </w:r>
      <w:r w:rsidR="00C21628" w:rsidRPr="00C21628">
        <w:rPr>
          <w:rFonts w:asciiTheme="minorHAnsi" w:eastAsiaTheme="minorHAnsi" w:hAnsiTheme="minorHAnsi" w:cstheme="minorBidi"/>
          <w:iCs/>
          <w:szCs w:val="22"/>
        </w:rPr>
        <w:t xml:space="preserve"> change the</w:t>
      </w:r>
      <w:r w:rsidR="00EB3364">
        <w:rPr>
          <w:rFonts w:asciiTheme="minorHAnsi" w:eastAsiaTheme="minorHAnsi" w:hAnsiTheme="minorHAnsi" w:cstheme="minorBidi"/>
          <w:iCs/>
          <w:szCs w:val="22"/>
        </w:rPr>
        <w:t xml:space="preserve"> one-off</w:t>
      </w:r>
      <w:r w:rsidR="00C21628" w:rsidRPr="00C21628">
        <w:rPr>
          <w:rFonts w:asciiTheme="minorHAnsi" w:eastAsiaTheme="minorHAnsi" w:hAnsiTheme="minorHAnsi" w:cstheme="minorBidi"/>
          <w:iCs/>
          <w:szCs w:val="22"/>
        </w:rPr>
        <w:t xml:space="preserve"> OCS-related discontinuation at 32 weeks (54.3%) </w:t>
      </w:r>
      <w:r w:rsidR="00EB3364">
        <w:rPr>
          <w:rFonts w:asciiTheme="minorHAnsi" w:eastAsiaTheme="minorHAnsi" w:hAnsiTheme="minorHAnsi" w:cstheme="minorBidi"/>
          <w:iCs/>
          <w:szCs w:val="22"/>
        </w:rPr>
        <w:t xml:space="preserve">in the </w:t>
      </w:r>
      <w:proofErr w:type="spellStart"/>
      <w:r w:rsidR="00E24DAF">
        <w:rPr>
          <w:rFonts w:asciiTheme="minorHAnsi" w:eastAsiaTheme="minorHAnsi" w:hAnsiTheme="minorHAnsi" w:cstheme="minorBidi"/>
          <w:iCs/>
          <w:szCs w:val="22"/>
        </w:rPr>
        <w:t>tezepelumab</w:t>
      </w:r>
      <w:proofErr w:type="spellEnd"/>
      <w:r w:rsidR="00EB3364">
        <w:rPr>
          <w:rFonts w:asciiTheme="minorHAnsi" w:eastAsiaTheme="minorHAnsi" w:hAnsiTheme="minorHAnsi" w:cstheme="minorBidi"/>
          <w:iCs/>
          <w:szCs w:val="22"/>
        </w:rPr>
        <w:t xml:space="preserve"> arm.</w:t>
      </w:r>
      <w:r w:rsidR="005871A2">
        <w:rPr>
          <w:rFonts w:asciiTheme="minorHAnsi" w:eastAsiaTheme="minorHAnsi" w:hAnsiTheme="minorHAnsi" w:cstheme="minorBidi"/>
          <w:iCs/>
          <w:szCs w:val="22"/>
        </w:rPr>
        <w:t xml:space="preserve"> </w:t>
      </w:r>
    </w:p>
    <w:p w14:paraId="2EDEC332" w14:textId="3B61AAA6" w:rsidR="00985766" w:rsidRPr="008E2653" w:rsidRDefault="00985766" w:rsidP="00F65BD4">
      <w:pPr>
        <w:numPr>
          <w:ilvl w:val="1"/>
          <w:numId w:val="1"/>
        </w:numPr>
        <w:spacing w:before="120" w:after="60"/>
        <w:ind w:left="709"/>
        <w:rPr>
          <w:rFonts w:asciiTheme="minorHAnsi" w:eastAsiaTheme="minorHAnsi" w:hAnsiTheme="minorHAnsi" w:cstheme="minorBidi"/>
          <w:szCs w:val="22"/>
        </w:rPr>
      </w:pPr>
      <w:r w:rsidRPr="004F56D0">
        <w:rPr>
          <w:rFonts w:asciiTheme="minorHAnsi" w:eastAsiaTheme="minorHAnsi" w:hAnsiTheme="minorHAnsi" w:cstheme="minorBidi"/>
          <w:szCs w:val="22"/>
        </w:rPr>
        <w:t>The submission applied a lifetime time horizon o</w:t>
      </w:r>
      <w:r w:rsidR="00C47A7C">
        <w:rPr>
          <w:rFonts w:asciiTheme="minorHAnsi" w:eastAsiaTheme="minorHAnsi" w:hAnsiTheme="minorHAnsi" w:cstheme="minorBidi"/>
          <w:szCs w:val="22"/>
        </w:rPr>
        <w:t>f</w:t>
      </w:r>
      <w:r w:rsidRPr="004F56D0">
        <w:rPr>
          <w:rFonts w:asciiTheme="minorHAnsi" w:eastAsiaTheme="minorHAnsi" w:hAnsiTheme="minorHAnsi" w:cstheme="minorBidi"/>
          <w:szCs w:val="22"/>
        </w:rPr>
        <w:t xml:space="preserve"> 40 years to capture the costs and benefits of </w:t>
      </w:r>
      <w:proofErr w:type="spellStart"/>
      <w:r w:rsidRPr="004F56D0">
        <w:rPr>
          <w:rFonts w:asciiTheme="minorHAnsi" w:eastAsiaTheme="minorHAnsi" w:hAnsiTheme="minorHAnsi" w:cstheme="minorBidi"/>
          <w:szCs w:val="22"/>
        </w:rPr>
        <w:t>tezepelumab</w:t>
      </w:r>
      <w:proofErr w:type="spellEnd"/>
      <w:r>
        <w:rPr>
          <w:rFonts w:asciiTheme="minorHAnsi" w:eastAsiaTheme="minorHAnsi" w:hAnsiTheme="minorHAnsi" w:cstheme="minorBidi"/>
          <w:szCs w:val="22"/>
        </w:rPr>
        <w:t>. T</w:t>
      </w:r>
      <w:r w:rsidRPr="004F56D0">
        <w:rPr>
          <w:rFonts w:asciiTheme="minorHAnsi" w:eastAsiaTheme="minorHAnsi" w:hAnsiTheme="minorHAnsi" w:cstheme="minorBidi"/>
          <w:szCs w:val="22"/>
        </w:rPr>
        <w:t>he age of</w:t>
      </w:r>
      <w:r>
        <w:rPr>
          <w:rFonts w:asciiTheme="minorHAnsi" w:eastAsiaTheme="minorHAnsi" w:hAnsiTheme="minorHAnsi" w:cstheme="minorBidi"/>
          <w:szCs w:val="22"/>
        </w:rPr>
        <w:t xml:space="preserve"> initiating patients in the model was</w:t>
      </w:r>
      <w:r w:rsidRPr="004F56D0">
        <w:rPr>
          <w:rFonts w:asciiTheme="minorHAnsi" w:eastAsiaTheme="minorHAnsi" w:hAnsiTheme="minorHAnsi" w:cstheme="minorBidi"/>
          <w:szCs w:val="22"/>
        </w:rPr>
        <w:t xml:space="preserve"> 56 years</w:t>
      </w:r>
      <w:r>
        <w:rPr>
          <w:rFonts w:asciiTheme="minorHAnsi" w:eastAsiaTheme="minorHAnsi" w:hAnsiTheme="minorHAnsi" w:cstheme="minorBidi"/>
          <w:szCs w:val="22"/>
        </w:rPr>
        <w:t>, based on the mean age</w:t>
      </w:r>
      <w:r w:rsidRPr="004F56D0">
        <w:rPr>
          <w:rFonts w:asciiTheme="minorHAnsi" w:eastAsiaTheme="minorHAnsi" w:hAnsiTheme="minorHAnsi" w:cstheme="minorBidi"/>
          <w:szCs w:val="22"/>
        </w:rPr>
        <w:t xml:space="preserve"> in the NAVIGATOR and SOURCE </w:t>
      </w:r>
      <w:r w:rsidRPr="008E2653">
        <w:rPr>
          <w:rFonts w:asciiTheme="minorHAnsi" w:eastAsiaTheme="minorHAnsi" w:hAnsiTheme="minorHAnsi" w:cstheme="minorBidi"/>
          <w:szCs w:val="22"/>
        </w:rPr>
        <w:t xml:space="preserve">trials. </w:t>
      </w:r>
      <w:r w:rsidRPr="00EE227E">
        <w:rPr>
          <w:rFonts w:asciiTheme="minorHAnsi" w:eastAsiaTheme="minorHAnsi" w:hAnsiTheme="minorHAnsi" w:cstheme="minorBidi"/>
          <w:iCs/>
          <w:szCs w:val="22"/>
        </w:rPr>
        <w:t>The</w:t>
      </w:r>
      <w:r w:rsidR="000F4477" w:rsidRPr="00EE227E">
        <w:rPr>
          <w:rFonts w:asciiTheme="minorHAnsi" w:eastAsiaTheme="minorHAnsi" w:hAnsiTheme="minorHAnsi" w:cstheme="minorBidi"/>
          <w:iCs/>
          <w:szCs w:val="22"/>
        </w:rPr>
        <w:t xml:space="preserve"> ESC considered that the</w:t>
      </w:r>
      <w:r w:rsidRPr="008E2653">
        <w:rPr>
          <w:rFonts w:asciiTheme="minorHAnsi" w:eastAsiaTheme="minorHAnsi" w:hAnsiTheme="minorHAnsi" w:cstheme="minorBidi"/>
          <w:szCs w:val="22"/>
        </w:rPr>
        <w:t xml:space="preserve"> lifetime time horizon in the model (40 years) </w:t>
      </w:r>
      <w:r w:rsidR="000F4477" w:rsidRPr="00EE227E">
        <w:rPr>
          <w:rFonts w:asciiTheme="minorHAnsi" w:eastAsiaTheme="minorHAnsi" w:hAnsiTheme="minorHAnsi" w:cstheme="minorBidi"/>
          <w:iCs/>
          <w:szCs w:val="22"/>
        </w:rPr>
        <w:t>wa</w:t>
      </w:r>
      <w:r w:rsidRPr="00EE227E">
        <w:rPr>
          <w:rFonts w:asciiTheme="minorHAnsi" w:eastAsiaTheme="minorHAnsi" w:hAnsiTheme="minorHAnsi" w:cstheme="minorBidi"/>
          <w:iCs/>
          <w:szCs w:val="22"/>
        </w:rPr>
        <w:t>s</w:t>
      </w:r>
      <w:r w:rsidRPr="008E2653">
        <w:rPr>
          <w:rFonts w:asciiTheme="minorHAnsi" w:eastAsiaTheme="minorHAnsi" w:hAnsiTheme="minorHAnsi" w:cstheme="minorBidi"/>
          <w:szCs w:val="22"/>
        </w:rPr>
        <w:t xml:space="preserve"> long compared to the duration of follow-up in the NAVIGATOR trial (52 weeks) and the SOURCE trial (48 weeks). It is likely that using a </w:t>
      </w:r>
      <w:proofErr w:type="gramStart"/>
      <w:r w:rsidRPr="008E2653">
        <w:rPr>
          <w:rFonts w:asciiTheme="minorHAnsi" w:eastAsiaTheme="minorHAnsi" w:hAnsiTheme="minorHAnsi" w:cstheme="minorBidi"/>
          <w:szCs w:val="22"/>
        </w:rPr>
        <w:t>long time</w:t>
      </w:r>
      <w:proofErr w:type="gramEnd"/>
      <w:r w:rsidRPr="008E2653">
        <w:rPr>
          <w:rFonts w:asciiTheme="minorHAnsi" w:eastAsiaTheme="minorHAnsi" w:hAnsiTheme="minorHAnsi" w:cstheme="minorBidi"/>
          <w:szCs w:val="22"/>
        </w:rPr>
        <w:t xml:space="preserve"> horizon overestimated the effects of </w:t>
      </w:r>
      <w:proofErr w:type="spellStart"/>
      <w:r w:rsidRPr="008E2653">
        <w:rPr>
          <w:rFonts w:asciiTheme="minorHAnsi" w:eastAsiaTheme="minorHAnsi" w:hAnsiTheme="minorHAnsi" w:cstheme="minorBidi"/>
          <w:szCs w:val="22"/>
        </w:rPr>
        <w:t>tezepelumab</w:t>
      </w:r>
      <w:proofErr w:type="spellEnd"/>
      <w:r w:rsidRPr="008E2653">
        <w:rPr>
          <w:rFonts w:asciiTheme="minorHAnsi" w:eastAsiaTheme="minorHAnsi" w:hAnsiTheme="minorHAnsi" w:cstheme="minorBidi"/>
          <w:szCs w:val="22"/>
        </w:rPr>
        <w:t xml:space="preserve">. The model assumed that after the </w:t>
      </w:r>
      <w:proofErr w:type="gramStart"/>
      <w:r w:rsidRPr="008E2653">
        <w:rPr>
          <w:rFonts w:asciiTheme="minorHAnsi" w:eastAsiaTheme="minorHAnsi" w:hAnsiTheme="minorHAnsi" w:cstheme="minorBidi"/>
          <w:szCs w:val="22"/>
        </w:rPr>
        <w:t>32 week</w:t>
      </w:r>
      <w:proofErr w:type="gramEnd"/>
      <w:r w:rsidRPr="008E2653">
        <w:rPr>
          <w:rFonts w:asciiTheme="minorHAnsi" w:eastAsiaTheme="minorHAnsi" w:hAnsiTheme="minorHAnsi" w:cstheme="minorBidi"/>
          <w:szCs w:val="22"/>
        </w:rPr>
        <w:t xml:space="preserve"> response assessment, the treatment effect of </w:t>
      </w:r>
      <w:proofErr w:type="spellStart"/>
      <w:r w:rsidRPr="008E2653">
        <w:rPr>
          <w:rFonts w:asciiTheme="minorHAnsi" w:eastAsiaTheme="minorHAnsi" w:hAnsiTheme="minorHAnsi" w:cstheme="minorBidi"/>
          <w:szCs w:val="22"/>
        </w:rPr>
        <w:t>tezepelumab</w:t>
      </w:r>
      <w:proofErr w:type="spellEnd"/>
      <w:r w:rsidRPr="008E2653">
        <w:rPr>
          <w:rFonts w:asciiTheme="minorHAnsi" w:eastAsiaTheme="minorHAnsi" w:hAnsiTheme="minorHAnsi" w:cstheme="minorBidi"/>
          <w:szCs w:val="22"/>
        </w:rPr>
        <w:t xml:space="preserve"> would be maintained over </w:t>
      </w:r>
      <w:r w:rsidR="00A61EE9">
        <w:rPr>
          <w:rFonts w:asciiTheme="minorHAnsi" w:eastAsiaTheme="minorHAnsi" w:hAnsiTheme="minorHAnsi" w:cstheme="minorBidi"/>
          <w:szCs w:val="22"/>
        </w:rPr>
        <w:t>a</w:t>
      </w:r>
      <w:r w:rsidR="00A61EE9" w:rsidRPr="008E2653">
        <w:rPr>
          <w:rFonts w:asciiTheme="minorHAnsi" w:eastAsiaTheme="minorHAnsi" w:hAnsiTheme="minorHAnsi" w:cstheme="minorBidi"/>
          <w:szCs w:val="22"/>
        </w:rPr>
        <w:t xml:space="preserve"> </w:t>
      </w:r>
      <w:r w:rsidRPr="008E2653">
        <w:rPr>
          <w:rFonts w:asciiTheme="minorHAnsi" w:eastAsiaTheme="minorHAnsi" w:hAnsiTheme="minorHAnsi" w:cstheme="minorBidi"/>
          <w:szCs w:val="22"/>
        </w:rPr>
        <w:t xml:space="preserve">lifetime. No treatment waning was assumed. </w:t>
      </w:r>
      <w:r w:rsidRPr="00EE227E">
        <w:rPr>
          <w:rFonts w:asciiTheme="minorHAnsi" w:eastAsiaTheme="minorHAnsi" w:hAnsiTheme="minorHAnsi" w:cstheme="minorBidi"/>
          <w:iCs/>
          <w:szCs w:val="22"/>
        </w:rPr>
        <w:t>Th</w:t>
      </w:r>
      <w:r w:rsidR="00FB3B07" w:rsidRPr="00EE227E">
        <w:rPr>
          <w:rFonts w:asciiTheme="minorHAnsi" w:eastAsiaTheme="minorHAnsi" w:hAnsiTheme="minorHAnsi" w:cstheme="minorBidi"/>
          <w:iCs/>
          <w:szCs w:val="22"/>
        </w:rPr>
        <w:t xml:space="preserve">e </w:t>
      </w:r>
      <w:r w:rsidR="00241F1E" w:rsidRPr="00EE227E">
        <w:rPr>
          <w:rFonts w:asciiTheme="minorHAnsi" w:eastAsiaTheme="minorHAnsi" w:hAnsiTheme="minorHAnsi" w:cstheme="minorBidi"/>
          <w:iCs/>
          <w:szCs w:val="22"/>
        </w:rPr>
        <w:t>ESC agreed with the evaluation</w:t>
      </w:r>
      <w:r w:rsidR="00FB3B07" w:rsidRPr="00EE227E">
        <w:rPr>
          <w:rFonts w:asciiTheme="minorHAnsi" w:eastAsiaTheme="minorHAnsi" w:hAnsiTheme="minorHAnsi" w:cstheme="minorBidi"/>
          <w:iCs/>
          <w:szCs w:val="22"/>
        </w:rPr>
        <w:t xml:space="preserve"> that this</w:t>
      </w:r>
      <w:r w:rsidRPr="00EE227E">
        <w:rPr>
          <w:rFonts w:asciiTheme="minorHAnsi" w:eastAsiaTheme="minorHAnsi" w:hAnsiTheme="minorHAnsi" w:cstheme="minorBidi"/>
          <w:iCs/>
          <w:szCs w:val="22"/>
        </w:rPr>
        <w:t xml:space="preserve"> </w:t>
      </w:r>
      <w:r w:rsidR="00241F1E" w:rsidRPr="00EE227E">
        <w:rPr>
          <w:rFonts w:asciiTheme="minorHAnsi" w:eastAsiaTheme="minorHAnsi" w:hAnsiTheme="minorHAnsi" w:cstheme="minorBidi"/>
          <w:iCs/>
          <w:szCs w:val="22"/>
        </w:rPr>
        <w:t xml:space="preserve">was likely </w:t>
      </w:r>
      <w:r w:rsidRPr="00EE227E">
        <w:rPr>
          <w:rFonts w:asciiTheme="minorHAnsi" w:eastAsiaTheme="minorHAnsi" w:hAnsiTheme="minorHAnsi" w:cstheme="minorBidi"/>
          <w:iCs/>
          <w:szCs w:val="22"/>
        </w:rPr>
        <w:t>not</w:t>
      </w:r>
      <w:r w:rsidR="00512627" w:rsidRPr="00EE227E">
        <w:rPr>
          <w:rFonts w:asciiTheme="minorHAnsi" w:eastAsiaTheme="minorHAnsi" w:hAnsiTheme="minorHAnsi" w:cstheme="minorBidi"/>
          <w:iCs/>
          <w:szCs w:val="22"/>
        </w:rPr>
        <w:t xml:space="preserve"> </w:t>
      </w:r>
      <w:r w:rsidRPr="00EE227E">
        <w:rPr>
          <w:rFonts w:asciiTheme="minorHAnsi" w:eastAsiaTheme="minorHAnsi" w:hAnsiTheme="minorHAnsi" w:cstheme="minorBidi"/>
          <w:iCs/>
          <w:szCs w:val="22"/>
        </w:rPr>
        <w:t>reasonable.</w:t>
      </w:r>
      <w:r w:rsidRPr="008E2653">
        <w:rPr>
          <w:rFonts w:asciiTheme="minorHAnsi" w:eastAsiaTheme="minorHAnsi" w:hAnsiTheme="minorHAnsi" w:cstheme="minorBidi"/>
          <w:szCs w:val="22"/>
        </w:rPr>
        <w:t xml:space="preserve"> The PBAC previously considered that extrapolation to 50 years may not be reasonable and was highly uncertain for the consideration of omalizumab for the treatment of patients with allergic SUA (para. 12, omalizumab PSD, November 2010 PBAC Meeting). </w:t>
      </w:r>
      <w:r w:rsidR="00F2580D" w:rsidRPr="00EE227E">
        <w:rPr>
          <w:rFonts w:asciiTheme="minorHAnsi" w:eastAsiaTheme="minorHAnsi" w:hAnsiTheme="minorHAnsi" w:cstheme="minorBidi"/>
          <w:iCs/>
          <w:szCs w:val="22"/>
        </w:rPr>
        <w:t xml:space="preserve">The ESC considered that a </w:t>
      </w:r>
      <w:r w:rsidR="00954C19" w:rsidRPr="00EE227E">
        <w:rPr>
          <w:rFonts w:asciiTheme="minorHAnsi" w:eastAsiaTheme="minorHAnsi" w:hAnsiTheme="minorHAnsi" w:cstheme="minorBidi"/>
          <w:iCs/>
          <w:szCs w:val="22"/>
        </w:rPr>
        <w:t>20-year</w:t>
      </w:r>
      <w:r w:rsidR="00F2580D" w:rsidRPr="00EE227E">
        <w:rPr>
          <w:rFonts w:asciiTheme="minorHAnsi" w:eastAsiaTheme="minorHAnsi" w:hAnsiTheme="minorHAnsi" w:cstheme="minorBidi"/>
          <w:iCs/>
          <w:szCs w:val="22"/>
        </w:rPr>
        <w:t xml:space="preserve"> time horizon would be more reasonabl</w:t>
      </w:r>
      <w:r w:rsidR="00954C19" w:rsidRPr="00EE227E">
        <w:rPr>
          <w:rFonts w:asciiTheme="minorHAnsi" w:eastAsiaTheme="minorHAnsi" w:hAnsiTheme="minorHAnsi" w:cstheme="minorBidi"/>
          <w:iCs/>
          <w:szCs w:val="22"/>
        </w:rPr>
        <w:t>e and noted that this</w:t>
      </w:r>
      <w:r w:rsidR="005728FD" w:rsidRPr="00EE227E">
        <w:rPr>
          <w:rFonts w:asciiTheme="minorHAnsi" w:eastAsiaTheme="minorHAnsi" w:hAnsiTheme="minorHAnsi" w:cstheme="minorBidi"/>
          <w:iCs/>
          <w:szCs w:val="22"/>
        </w:rPr>
        <w:t xml:space="preserve"> change to the model</w:t>
      </w:r>
      <w:r w:rsidR="00954C19" w:rsidRPr="00EE227E">
        <w:rPr>
          <w:rFonts w:asciiTheme="minorHAnsi" w:eastAsiaTheme="minorHAnsi" w:hAnsiTheme="minorHAnsi" w:cstheme="minorBidi"/>
          <w:iCs/>
          <w:szCs w:val="22"/>
        </w:rPr>
        <w:t xml:space="preserve"> </w:t>
      </w:r>
      <w:r w:rsidRPr="008E2653">
        <w:rPr>
          <w:rFonts w:asciiTheme="minorHAnsi" w:eastAsiaTheme="minorHAnsi" w:hAnsiTheme="minorHAnsi" w:cstheme="minorBidi"/>
          <w:szCs w:val="22"/>
        </w:rPr>
        <w:t xml:space="preserve">increased the incremental cost-effectiveness ratio (ICER) from </w:t>
      </w:r>
      <w:r w:rsidR="00BE7F16" w:rsidRPr="00BE7F16">
        <w:rPr>
          <w:rFonts w:asciiTheme="minorHAnsi" w:eastAsiaTheme="minorHAnsi" w:hAnsiTheme="minorHAnsi" w:cstheme="minorBidi"/>
          <w:szCs w:val="22"/>
        </w:rPr>
        <w:t>$75,000 to &lt; $95,000</w:t>
      </w:r>
      <w:r w:rsidRPr="008E2653">
        <w:rPr>
          <w:rFonts w:asciiTheme="minorHAnsi" w:eastAsiaTheme="minorHAnsi" w:hAnsiTheme="minorHAnsi" w:cstheme="minorBidi"/>
          <w:szCs w:val="22"/>
        </w:rPr>
        <w:t xml:space="preserve"> </w:t>
      </w:r>
      <w:r w:rsidR="00402AC5">
        <w:rPr>
          <w:rFonts w:asciiTheme="minorHAnsi" w:eastAsiaTheme="minorHAnsi" w:hAnsiTheme="minorHAnsi" w:cstheme="minorBidi"/>
          <w:szCs w:val="22"/>
        </w:rPr>
        <w:t xml:space="preserve">to </w:t>
      </w:r>
      <w:r w:rsidR="00A51CB2" w:rsidRPr="00A51CB2">
        <w:rPr>
          <w:rFonts w:asciiTheme="minorHAnsi" w:eastAsiaTheme="minorHAnsi" w:hAnsiTheme="minorHAnsi" w:cstheme="minorBidi"/>
          <w:szCs w:val="22"/>
        </w:rPr>
        <w:t>$75,000 to &lt; $95,000</w:t>
      </w:r>
      <w:r w:rsidR="00A51CB2" w:rsidRPr="00A51CB2" w:rsidDel="00A51CB2">
        <w:rPr>
          <w:rFonts w:asciiTheme="minorHAnsi" w:eastAsiaTheme="minorHAnsi" w:hAnsiTheme="minorHAnsi" w:cstheme="minorBidi"/>
          <w:szCs w:val="22"/>
        </w:rPr>
        <w:t xml:space="preserve"> </w:t>
      </w:r>
      <w:r w:rsidRPr="008E2653">
        <w:rPr>
          <w:rFonts w:asciiTheme="minorHAnsi" w:eastAsiaTheme="minorHAnsi" w:hAnsiTheme="minorHAnsi" w:cstheme="minorBidi"/>
          <w:szCs w:val="22"/>
        </w:rPr>
        <w:t>(+</w:t>
      </w:r>
      <w:r w:rsidR="00B14769" w:rsidRPr="00B14769">
        <w:rPr>
          <w:rFonts w:asciiTheme="minorHAnsi" w:eastAsiaTheme="minorHAnsi" w:hAnsiTheme="minorHAnsi" w:cstheme="minorBidi"/>
          <w:szCs w:val="22"/>
          <w:highlight w:val="black"/>
        </w:rPr>
        <w:t>&amp;&amp;&amp;&amp;</w:t>
      </w:r>
      <w:r w:rsidRPr="008E2653">
        <w:rPr>
          <w:rFonts w:asciiTheme="minorHAnsi" w:eastAsiaTheme="minorHAnsi" w:hAnsiTheme="minorHAnsi" w:cstheme="minorBidi"/>
          <w:szCs w:val="22"/>
        </w:rPr>
        <w:t>%) per quality adjusted life year (QALY) gained.</w:t>
      </w:r>
    </w:p>
    <w:p w14:paraId="32F3136E" w14:textId="2EA64B40" w:rsidR="00985766" w:rsidRPr="00EF38D3" w:rsidRDefault="00985766" w:rsidP="00EF38D3">
      <w:pPr>
        <w:numPr>
          <w:ilvl w:val="1"/>
          <w:numId w:val="1"/>
        </w:numPr>
        <w:spacing w:before="120" w:after="60"/>
        <w:ind w:left="709"/>
        <w:rPr>
          <w:rFonts w:ascii="ArialNarrow" w:hAnsi="ArialNarrow" w:cs="ArialNarrow"/>
          <w:sz w:val="22"/>
          <w:szCs w:val="22"/>
        </w:rPr>
      </w:pPr>
      <w:r w:rsidRPr="002F03BE">
        <w:rPr>
          <w:rFonts w:asciiTheme="minorHAnsi" w:eastAsiaTheme="minorHAnsi" w:hAnsiTheme="minorHAnsi" w:cstheme="minorBidi"/>
          <w:szCs w:val="22"/>
        </w:rPr>
        <w:t>The submission stated that the economic model inputs were derived from pooled clinical trial data from the SOURCE and NAVIGATOR trials. It could not be verified if relevant subgroup data were used from the 2 trials</w:t>
      </w:r>
      <w:r w:rsidR="00D97A29">
        <w:rPr>
          <w:rFonts w:asciiTheme="minorHAnsi" w:eastAsiaTheme="minorHAnsi" w:hAnsiTheme="minorHAnsi" w:cstheme="minorBidi"/>
          <w:szCs w:val="22"/>
        </w:rPr>
        <w:t xml:space="preserve"> </w:t>
      </w:r>
      <w:r w:rsidR="00D97A29" w:rsidRPr="00EE227E">
        <w:rPr>
          <w:rFonts w:asciiTheme="minorHAnsi" w:eastAsiaTheme="minorHAnsi" w:hAnsiTheme="minorHAnsi" w:cstheme="minorBidi"/>
          <w:iCs/>
          <w:szCs w:val="22"/>
        </w:rPr>
        <w:t>during the evaluation</w:t>
      </w:r>
      <w:r w:rsidRPr="00EE227E">
        <w:rPr>
          <w:rFonts w:asciiTheme="minorHAnsi" w:eastAsiaTheme="minorHAnsi" w:hAnsiTheme="minorHAnsi" w:cstheme="minorBidi"/>
          <w:iCs/>
          <w:szCs w:val="22"/>
        </w:rPr>
        <w:t>.</w:t>
      </w:r>
      <w:r w:rsidRPr="002F03BE">
        <w:rPr>
          <w:rFonts w:asciiTheme="minorHAnsi" w:eastAsiaTheme="minorHAnsi" w:hAnsiTheme="minorHAnsi" w:cstheme="minorBidi"/>
          <w:szCs w:val="22"/>
        </w:rPr>
        <w:t xml:space="preserve"> </w:t>
      </w:r>
      <w:r w:rsidR="008F1AE4" w:rsidRPr="00EE227E">
        <w:rPr>
          <w:rFonts w:asciiTheme="minorHAnsi" w:eastAsiaTheme="minorHAnsi" w:hAnsiTheme="minorHAnsi" w:cstheme="minorBidi"/>
          <w:iCs/>
          <w:szCs w:val="22"/>
        </w:rPr>
        <w:t xml:space="preserve">The </w:t>
      </w:r>
      <w:r w:rsidR="0094358E" w:rsidRPr="00EE227E">
        <w:rPr>
          <w:rFonts w:asciiTheme="minorHAnsi" w:eastAsiaTheme="minorHAnsi" w:hAnsiTheme="minorHAnsi" w:cstheme="minorBidi"/>
          <w:iCs/>
          <w:szCs w:val="22"/>
        </w:rPr>
        <w:t>economic model was</w:t>
      </w:r>
      <w:r w:rsidR="008F1AE4" w:rsidRPr="00EE227E">
        <w:rPr>
          <w:rFonts w:asciiTheme="minorHAnsi" w:eastAsiaTheme="minorHAnsi" w:hAnsiTheme="minorHAnsi" w:cstheme="minorBidi"/>
          <w:iCs/>
          <w:szCs w:val="22"/>
        </w:rPr>
        <w:t xml:space="preserve"> developed using individual patient data that differed from the data presented in the clinical section of the submission and assumed an assessment at 32 weeks using an outcome definition of controlled asthma (ACQ threshold of 1.5) which was not consistent with that in the trials. It was also not consistent with the continuation criterion</w:t>
      </w:r>
      <w:r w:rsidR="00963F83" w:rsidRPr="00EE227E">
        <w:rPr>
          <w:rFonts w:asciiTheme="minorHAnsi" w:eastAsiaTheme="minorHAnsi" w:hAnsiTheme="minorHAnsi" w:cstheme="minorBidi"/>
          <w:iCs/>
          <w:szCs w:val="22"/>
        </w:rPr>
        <w:t xml:space="preserve"> in the proposed restriction</w:t>
      </w:r>
      <w:r w:rsidR="008F1AE4" w:rsidRPr="00EE227E">
        <w:rPr>
          <w:rFonts w:asciiTheme="minorHAnsi" w:eastAsiaTheme="minorHAnsi" w:hAnsiTheme="minorHAnsi" w:cstheme="minorBidi"/>
          <w:iCs/>
          <w:szCs w:val="22"/>
        </w:rPr>
        <w:t xml:space="preserve"> (an adequate response to treatment defined as a reduction in the ACQ-5 score of at least 0.5 points from baseline). </w:t>
      </w:r>
      <w:r w:rsidR="00FD0B62" w:rsidRPr="00EE227E">
        <w:rPr>
          <w:rFonts w:asciiTheme="minorHAnsi" w:eastAsiaTheme="minorHAnsi" w:hAnsiTheme="minorHAnsi" w:cstheme="minorBidi"/>
          <w:iCs/>
          <w:szCs w:val="22"/>
        </w:rPr>
        <w:t>The ESC agreed with the evaluation that this</w:t>
      </w:r>
      <w:r w:rsidR="008F1AE4" w:rsidRPr="00EE227E">
        <w:rPr>
          <w:rFonts w:asciiTheme="minorHAnsi" w:eastAsiaTheme="minorHAnsi" w:hAnsiTheme="minorHAnsi" w:cstheme="minorBidi"/>
          <w:iCs/>
          <w:szCs w:val="22"/>
        </w:rPr>
        <w:t xml:space="preserve"> lack of data transparency and difference in outcome definitions used in the model compared to in the trials</w:t>
      </w:r>
      <w:r w:rsidR="00963F83" w:rsidRPr="00EE227E">
        <w:rPr>
          <w:rFonts w:asciiTheme="minorHAnsi" w:eastAsiaTheme="minorHAnsi" w:hAnsiTheme="minorHAnsi" w:cstheme="minorBidi"/>
          <w:iCs/>
          <w:szCs w:val="22"/>
        </w:rPr>
        <w:t xml:space="preserve"> and proposed PBS population</w:t>
      </w:r>
      <w:r w:rsidR="008F1AE4" w:rsidRPr="00EE227E">
        <w:rPr>
          <w:rFonts w:asciiTheme="minorHAnsi" w:eastAsiaTheme="minorHAnsi" w:hAnsiTheme="minorHAnsi" w:cstheme="minorBidi"/>
          <w:iCs/>
          <w:szCs w:val="22"/>
        </w:rPr>
        <w:t xml:space="preserve"> introduced significant uncertainty in the model</w:t>
      </w:r>
      <w:r w:rsidR="008F1AE4" w:rsidRPr="00EF38D3">
        <w:rPr>
          <w:rFonts w:asciiTheme="minorHAnsi" w:eastAsiaTheme="minorHAnsi" w:hAnsiTheme="minorHAnsi" w:cstheme="minorBidi"/>
          <w:iCs/>
          <w:szCs w:val="22"/>
        </w:rPr>
        <w:t>.</w:t>
      </w:r>
      <w:r w:rsidR="00530F0B" w:rsidRPr="00EF38D3">
        <w:rPr>
          <w:rFonts w:asciiTheme="minorHAnsi" w:eastAsiaTheme="minorHAnsi" w:hAnsiTheme="minorHAnsi" w:cstheme="minorBidi"/>
          <w:iCs/>
          <w:szCs w:val="22"/>
        </w:rPr>
        <w:t xml:space="preserve"> The pre-PBAC Response (</w:t>
      </w:r>
      <w:r w:rsidR="00D151BD" w:rsidRPr="00EF38D3">
        <w:rPr>
          <w:rFonts w:asciiTheme="minorHAnsi" w:eastAsiaTheme="minorHAnsi" w:hAnsiTheme="minorHAnsi" w:cstheme="minorBidi"/>
          <w:iCs/>
          <w:szCs w:val="22"/>
        </w:rPr>
        <w:t xml:space="preserve">p1) </w:t>
      </w:r>
      <w:r w:rsidR="00435035">
        <w:rPr>
          <w:rFonts w:asciiTheme="minorHAnsi" w:eastAsiaTheme="minorHAnsi" w:hAnsiTheme="minorHAnsi" w:cstheme="minorBidi"/>
          <w:iCs/>
          <w:szCs w:val="22"/>
        </w:rPr>
        <w:t>argued</w:t>
      </w:r>
      <w:r w:rsidR="004D4032">
        <w:rPr>
          <w:rFonts w:asciiTheme="minorHAnsi" w:eastAsiaTheme="minorHAnsi" w:hAnsiTheme="minorHAnsi" w:cstheme="minorBidi"/>
          <w:iCs/>
          <w:szCs w:val="22"/>
        </w:rPr>
        <w:t xml:space="preserve"> that a</w:t>
      </w:r>
      <w:r w:rsidR="002C7002">
        <w:rPr>
          <w:rFonts w:asciiTheme="minorHAnsi" w:eastAsiaTheme="minorHAnsi" w:hAnsiTheme="minorHAnsi" w:cstheme="minorBidi"/>
          <w:iCs/>
          <w:szCs w:val="22"/>
        </w:rPr>
        <w:t>n</w:t>
      </w:r>
      <w:r w:rsidR="00D151BD" w:rsidRPr="00EF38D3">
        <w:rPr>
          <w:rFonts w:asciiTheme="minorHAnsi" w:eastAsiaTheme="minorHAnsi" w:hAnsiTheme="minorHAnsi" w:cstheme="minorBidi"/>
          <w:iCs/>
          <w:szCs w:val="22"/>
        </w:rPr>
        <w:t xml:space="preserve"> ACQ-6</w:t>
      </w:r>
      <w:r w:rsidR="00EF38D3" w:rsidRPr="00EF38D3">
        <w:rPr>
          <w:rFonts w:asciiTheme="minorHAnsi" w:eastAsiaTheme="minorHAnsi" w:hAnsiTheme="minorHAnsi" w:cstheme="minorBidi"/>
          <w:iCs/>
          <w:szCs w:val="22"/>
        </w:rPr>
        <w:t xml:space="preserve"> </w:t>
      </w:r>
      <w:r w:rsidR="00D151BD" w:rsidRPr="00EF38D3">
        <w:rPr>
          <w:rFonts w:asciiTheme="minorHAnsi" w:eastAsiaTheme="minorHAnsi" w:hAnsiTheme="minorHAnsi" w:cstheme="minorBidi"/>
          <w:iCs/>
          <w:szCs w:val="22"/>
        </w:rPr>
        <w:t xml:space="preserve">&lt;1.5 threshold </w:t>
      </w:r>
      <w:r w:rsidR="003F57A9">
        <w:rPr>
          <w:rFonts w:asciiTheme="minorHAnsi" w:eastAsiaTheme="minorHAnsi" w:hAnsiTheme="minorHAnsi" w:cstheme="minorBidi"/>
          <w:iCs/>
          <w:szCs w:val="22"/>
        </w:rPr>
        <w:t xml:space="preserve">was </w:t>
      </w:r>
      <w:r w:rsidR="00D151BD" w:rsidRPr="00EF38D3">
        <w:rPr>
          <w:rFonts w:asciiTheme="minorHAnsi" w:eastAsiaTheme="minorHAnsi" w:hAnsiTheme="minorHAnsi" w:cstheme="minorBidi"/>
          <w:iCs/>
          <w:szCs w:val="22"/>
        </w:rPr>
        <w:t>conservative and consistent with real-world data showing higher exacerbations and poorer</w:t>
      </w:r>
      <w:r w:rsidR="00EF38D3" w:rsidRPr="00EF38D3">
        <w:rPr>
          <w:rFonts w:asciiTheme="minorHAnsi" w:eastAsiaTheme="minorHAnsi" w:hAnsiTheme="minorHAnsi" w:cstheme="minorBidi"/>
          <w:iCs/>
          <w:szCs w:val="22"/>
        </w:rPr>
        <w:t xml:space="preserve"> </w:t>
      </w:r>
      <w:r w:rsidR="00D151BD" w:rsidRPr="00EF38D3">
        <w:rPr>
          <w:rFonts w:asciiTheme="minorHAnsi" w:eastAsiaTheme="minorHAnsi" w:hAnsiTheme="minorHAnsi" w:cstheme="minorBidi"/>
          <w:iCs/>
          <w:szCs w:val="22"/>
        </w:rPr>
        <w:t xml:space="preserve">quality of life </w:t>
      </w:r>
      <w:r w:rsidR="00A66AFF">
        <w:rPr>
          <w:rFonts w:asciiTheme="minorHAnsi" w:eastAsiaTheme="minorHAnsi" w:hAnsiTheme="minorHAnsi" w:cstheme="minorBidi"/>
          <w:iCs/>
          <w:szCs w:val="22"/>
        </w:rPr>
        <w:t xml:space="preserve">for patients above a score of </w:t>
      </w:r>
      <w:r w:rsidR="00D151BD" w:rsidRPr="00EF38D3">
        <w:rPr>
          <w:rFonts w:asciiTheme="minorHAnsi" w:eastAsiaTheme="minorHAnsi" w:hAnsiTheme="minorHAnsi" w:cstheme="minorBidi"/>
          <w:iCs/>
          <w:szCs w:val="22"/>
        </w:rPr>
        <w:t>1.</w:t>
      </w:r>
      <w:r w:rsidR="00A66AFF">
        <w:rPr>
          <w:rFonts w:asciiTheme="minorHAnsi" w:eastAsiaTheme="minorHAnsi" w:hAnsiTheme="minorHAnsi" w:cstheme="minorBidi"/>
          <w:iCs/>
          <w:szCs w:val="22"/>
        </w:rPr>
        <w:t>5</w:t>
      </w:r>
      <w:r w:rsidR="00D151BD" w:rsidRPr="00EF38D3">
        <w:rPr>
          <w:rFonts w:asciiTheme="minorHAnsi" w:eastAsiaTheme="minorHAnsi" w:hAnsiTheme="minorHAnsi" w:cstheme="minorBidi"/>
          <w:iCs/>
          <w:szCs w:val="22"/>
        </w:rPr>
        <w:t>.</w:t>
      </w:r>
      <w:r w:rsidR="00EF38D3" w:rsidRPr="00EF38D3">
        <w:rPr>
          <w:rFonts w:asciiTheme="minorHAnsi" w:eastAsiaTheme="minorHAnsi" w:hAnsiTheme="minorHAnsi" w:cstheme="minorBidi"/>
          <w:iCs/>
          <w:szCs w:val="22"/>
        </w:rPr>
        <w:t xml:space="preserve"> </w:t>
      </w:r>
    </w:p>
    <w:p w14:paraId="323D3AA1" w14:textId="12212B68" w:rsidR="00985766" w:rsidRPr="002F03BE" w:rsidRDefault="00985766" w:rsidP="00F65BD4">
      <w:pPr>
        <w:numPr>
          <w:ilvl w:val="1"/>
          <w:numId w:val="1"/>
        </w:numPr>
        <w:spacing w:before="60" w:after="60"/>
        <w:ind w:left="709"/>
        <w:rPr>
          <w:rFonts w:asciiTheme="minorHAnsi" w:eastAsiaTheme="minorHAnsi" w:hAnsiTheme="minorHAnsi" w:cstheme="minorBidi"/>
          <w:szCs w:val="22"/>
        </w:rPr>
      </w:pPr>
      <w:r w:rsidRPr="00EE227E">
        <w:rPr>
          <w:rFonts w:asciiTheme="minorHAnsi" w:eastAsiaTheme="minorHAnsi" w:hAnsiTheme="minorHAnsi" w:cstheme="minorBidi"/>
          <w:iCs/>
          <w:szCs w:val="22"/>
        </w:rPr>
        <w:t xml:space="preserve">The </w:t>
      </w:r>
      <w:r w:rsidR="0093651D" w:rsidRPr="00EE227E">
        <w:rPr>
          <w:rFonts w:asciiTheme="minorHAnsi" w:eastAsiaTheme="minorHAnsi" w:hAnsiTheme="minorHAnsi" w:cstheme="minorBidi"/>
          <w:iCs/>
          <w:szCs w:val="22"/>
        </w:rPr>
        <w:t>ESC noted that the</w:t>
      </w:r>
      <w:r w:rsidR="0093651D">
        <w:rPr>
          <w:rFonts w:asciiTheme="minorHAnsi" w:eastAsiaTheme="minorHAnsi" w:hAnsiTheme="minorHAnsi" w:cstheme="minorBidi"/>
          <w:szCs w:val="22"/>
        </w:rPr>
        <w:t xml:space="preserve"> </w:t>
      </w:r>
      <w:r w:rsidRPr="002F03BE">
        <w:rPr>
          <w:rFonts w:asciiTheme="minorHAnsi" w:eastAsiaTheme="minorHAnsi" w:hAnsiTheme="minorHAnsi" w:cstheme="minorBidi"/>
          <w:szCs w:val="22"/>
        </w:rPr>
        <w:t xml:space="preserve">model did not use data from the PATHWAY trial and did not justify excluding this data from the economic model. The PATHWAY trial included patients with SUA who may or may not have received maintenance OCS and were non-eosinophilic and non-allergic on high-dose ICS. </w:t>
      </w:r>
      <w:bookmarkStart w:id="77" w:name="_Hlk206419077"/>
      <w:r w:rsidRPr="00EE227E">
        <w:rPr>
          <w:rFonts w:asciiTheme="minorHAnsi" w:eastAsiaTheme="minorHAnsi" w:hAnsiTheme="minorHAnsi" w:cstheme="minorBidi"/>
          <w:iCs/>
          <w:szCs w:val="22"/>
        </w:rPr>
        <w:t xml:space="preserve">The </w:t>
      </w:r>
      <w:r w:rsidR="00D9539C" w:rsidRPr="00EE227E">
        <w:rPr>
          <w:rFonts w:asciiTheme="minorHAnsi" w:eastAsiaTheme="minorHAnsi" w:hAnsiTheme="minorHAnsi" w:cstheme="minorBidi"/>
          <w:iCs/>
          <w:szCs w:val="22"/>
        </w:rPr>
        <w:t>ESC</w:t>
      </w:r>
      <w:r w:rsidR="008E393D" w:rsidRPr="00EE227E">
        <w:rPr>
          <w:rFonts w:asciiTheme="minorHAnsi" w:eastAsiaTheme="minorHAnsi" w:hAnsiTheme="minorHAnsi" w:cstheme="minorBidi"/>
          <w:iCs/>
          <w:szCs w:val="22"/>
        </w:rPr>
        <w:t xml:space="preserve"> considered that the</w:t>
      </w:r>
      <w:r w:rsidRPr="002F03BE">
        <w:rPr>
          <w:rFonts w:asciiTheme="minorHAnsi" w:eastAsiaTheme="minorHAnsi" w:hAnsiTheme="minorHAnsi" w:cstheme="minorBidi"/>
          <w:szCs w:val="22"/>
        </w:rPr>
        <w:t xml:space="preserve"> exclusion of these data was not reasonable and introduced uncertainty in the economic model.</w:t>
      </w:r>
      <w:bookmarkEnd w:id="77"/>
    </w:p>
    <w:p w14:paraId="71FEF9E4" w14:textId="218B6123" w:rsidR="00985766" w:rsidRPr="008F1AE4" w:rsidRDefault="00985766" w:rsidP="00F65BD4">
      <w:pPr>
        <w:numPr>
          <w:ilvl w:val="1"/>
          <w:numId w:val="1"/>
        </w:numPr>
        <w:spacing w:before="60" w:after="60"/>
        <w:ind w:left="709"/>
        <w:rPr>
          <w:rFonts w:asciiTheme="minorHAnsi" w:eastAsiaTheme="minorHAnsi" w:hAnsiTheme="minorHAnsi" w:cstheme="minorBidi"/>
          <w:szCs w:val="22"/>
        </w:rPr>
      </w:pPr>
      <w:r w:rsidRPr="002F03BE">
        <w:rPr>
          <w:rFonts w:asciiTheme="minorHAnsi" w:eastAsiaTheme="minorHAnsi" w:hAnsiTheme="minorHAnsi" w:cstheme="minorBidi"/>
          <w:szCs w:val="22"/>
        </w:rPr>
        <w:t xml:space="preserve">The proposed population is patients with non-eosinophilic </w:t>
      </w:r>
      <w:r w:rsidRPr="002F03BE">
        <w:rPr>
          <w:rFonts w:asciiTheme="minorHAnsi" w:eastAsiaTheme="minorHAnsi" w:hAnsiTheme="minorHAnsi" w:cstheme="minorBidi"/>
          <w:b/>
          <w:bCs/>
          <w:szCs w:val="22"/>
        </w:rPr>
        <w:t>AND</w:t>
      </w:r>
      <w:r w:rsidRPr="002F03BE">
        <w:rPr>
          <w:rFonts w:asciiTheme="minorHAnsi" w:eastAsiaTheme="minorHAnsi" w:hAnsiTheme="minorHAnsi" w:cstheme="minorBidi"/>
          <w:szCs w:val="22"/>
        </w:rPr>
        <w:t xml:space="preserve"> non-allergic SUA using high-dose ICS.  However, the economic model used trial data for subgroup of patients with non-eosinophilic </w:t>
      </w:r>
      <w:r w:rsidRPr="002F03BE">
        <w:rPr>
          <w:rFonts w:asciiTheme="minorHAnsi" w:eastAsiaTheme="minorHAnsi" w:hAnsiTheme="minorHAnsi" w:cstheme="minorBidi"/>
          <w:b/>
          <w:bCs/>
          <w:szCs w:val="22"/>
        </w:rPr>
        <w:t>OR</w:t>
      </w:r>
      <w:r w:rsidRPr="002F03BE">
        <w:rPr>
          <w:rFonts w:asciiTheme="minorHAnsi" w:eastAsiaTheme="minorHAnsi" w:hAnsiTheme="minorHAnsi" w:cstheme="minorBidi"/>
          <w:szCs w:val="22"/>
        </w:rPr>
        <w:t xml:space="preserve"> non-allergic SUA using high-dose ICS (</w:t>
      </w:r>
      <w:r w:rsidRPr="000D50A3">
        <w:rPr>
          <w:rFonts w:asciiTheme="minorHAnsi" w:eastAsiaTheme="minorHAnsi" w:hAnsiTheme="minorHAnsi" w:cstheme="minorBidi"/>
          <w:szCs w:val="22"/>
        </w:rPr>
        <w:t xml:space="preserve">see </w:t>
      </w:r>
      <w:r w:rsidRPr="000D50A3">
        <w:rPr>
          <w:rFonts w:asciiTheme="minorHAnsi" w:eastAsiaTheme="minorHAnsi" w:hAnsiTheme="minorHAnsi" w:cstheme="minorBidi"/>
          <w:szCs w:val="22"/>
        </w:rPr>
        <w:fldChar w:fldCharType="begin"/>
      </w:r>
      <w:r w:rsidRPr="000D50A3">
        <w:rPr>
          <w:rFonts w:asciiTheme="minorHAnsi" w:eastAsiaTheme="minorHAnsi" w:hAnsiTheme="minorHAnsi" w:cstheme="minorBidi"/>
          <w:szCs w:val="22"/>
        </w:rPr>
        <w:instrText xml:space="preserve"> REF _Ref205558303 \h  \* MERGEFORMAT </w:instrText>
      </w:r>
      <w:r w:rsidRPr="000D50A3">
        <w:rPr>
          <w:rFonts w:asciiTheme="minorHAnsi" w:eastAsiaTheme="minorHAnsi" w:hAnsiTheme="minorHAnsi" w:cstheme="minorBidi"/>
          <w:szCs w:val="22"/>
        </w:rPr>
      </w:r>
      <w:r w:rsidRPr="000D50A3">
        <w:rPr>
          <w:rFonts w:asciiTheme="minorHAnsi" w:eastAsiaTheme="minorHAnsi" w:hAnsiTheme="minorHAnsi" w:cstheme="minorBidi"/>
          <w:szCs w:val="22"/>
        </w:rPr>
        <w:fldChar w:fldCharType="separate"/>
      </w:r>
      <w:r w:rsidR="0078760A" w:rsidRPr="0078760A">
        <w:rPr>
          <w:rFonts w:asciiTheme="minorHAnsi" w:eastAsiaTheme="minorHAnsi" w:hAnsiTheme="minorHAnsi" w:cstheme="minorBidi"/>
          <w:szCs w:val="22"/>
        </w:rPr>
        <w:t>Table 13</w:t>
      </w:r>
      <w:r w:rsidRPr="000D50A3">
        <w:rPr>
          <w:rFonts w:asciiTheme="minorHAnsi" w:eastAsiaTheme="minorHAnsi" w:hAnsiTheme="minorHAnsi" w:cstheme="minorBidi"/>
          <w:szCs w:val="22"/>
        </w:rPr>
        <w:fldChar w:fldCharType="end"/>
      </w:r>
      <w:r w:rsidRPr="002F03BE">
        <w:rPr>
          <w:rFonts w:asciiTheme="minorHAnsi" w:eastAsiaTheme="minorHAnsi" w:hAnsiTheme="minorHAnsi" w:cstheme="minorBidi"/>
          <w:szCs w:val="22"/>
        </w:rPr>
        <w:t xml:space="preserve">). The submission stated that this difference was necessary because there was insufficient information available for the non-eosinophilic and non-allergic SUA subgroup. This was not appropriate as the trial data used in the model did not align with the proposed PBS population. Therefore, the model likely included allergic or eosinophilic populations, which introduced significant uncertainty in the ICER. Including these populations likely favoured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because the NAVIGATOR and the PATHWAY trials demonstrated a statistically significant reduction in AAER in their full analysis sets (</w:t>
      </w:r>
      <w:r w:rsidRPr="009849EB">
        <w:rPr>
          <w:rFonts w:asciiTheme="minorHAnsi" w:eastAsiaTheme="minorHAnsi" w:hAnsiTheme="minorHAnsi" w:cstheme="minorBidi"/>
          <w:szCs w:val="22"/>
        </w:rPr>
        <w:t xml:space="preserve">see </w:t>
      </w:r>
      <w:r w:rsidRPr="009849EB">
        <w:rPr>
          <w:rFonts w:asciiTheme="minorHAnsi" w:eastAsiaTheme="minorHAnsi" w:hAnsiTheme="minorHAnsi" w:cstheme="minorBidi"/>
          <w:szCs w:val="22"/>
        </w:rPr>
        <w:fldChar w:fldCharType="begin"/>
      </w:r>
      <w:r w:rsidRPr="009849EB">
        <w:rPr>
          <w:rFonts w:asciiTheme="minorHAnsi" w:eastAsiaTheme="minorHAnsi" w:hAnsiTheme="minorHAnsi" w:cstheme="minorBidi"/>
          <w:szCs w:val="22"/>
        </w:rPr>
        <w:instrText xml:space="preserve"> REF _Ref208275338 \h  \* MERGEFORMAT </w:instrText>
      </w:r>
      <w:r w:rsidRPr="009849EB">
        <w:rPr>
          <w:rFonts w:asciiTheme="minorHAnsi" w:eastAsiaTheme="minorHAnsi" w:hAnsiTheme="minorHAnsi" w:cstheme="minorBidi"/>
          <w:szCs w:val="22"/>
        </w:rPr>
      </w:r>
      <w:r w:rsidRPr="009849EB">
        <w:rPr>
          <w:rFonts w:asciiTheme="minorHAnsi" w:eastAsiaTheme="minorHAnsi" w:hAnsiTheme="minorHAnsi" w:cstheme="minorBidi"/>
          <w:szCs w:val="22"/>
        </w:rPr>
        <w:fldChar w:fldCharType="separate"/>
      </w:r>
      <w:r w:rsidR="0078760A">
        <w:t>Table 5</w:t>
      </w:r>
      <w:r w:rsidRPr="009849EB">
        <w:rPr>
          <w:rFonts w:asciiTheme="minorHAnsi" w:eastAsiaTheme="minorHAnsi" w:hAnsiTheme="minorHAnsi" w:cstheme="minorBidi"/>
          <w:szCs w:val="22"/>
        </w:rPr>
        <w:fldChar w:fldCharType="end"/>
      </w:r>
      <w:r w:rsidRPr="002F03BE">
        <w:rPr>
          <w:rFonts w:asciiTheme="minorHAnsi" w:eastAsiaTheme="minorHAnsi" w:hAnsiTheme="minorHAnsi" w:cstheme="minorBidi"/>
          <w:szCs w:val="22"/>
        </w:rPr>
        <w:t xml:space="preserve">) but only </w:t>
      </w:r>
      <w:r w:rsidR="00AA10D8">
        <w:rPr>
          <w:rFonts w:asciiTheme="minorHAnsi" w:eastAsiaTheme="minorHAnsi" w:hAnsiTheme="minorHAnsi" w:cstheme="minorBidi"/>
          <w:szCs w:val="22"/>
        </w:rPr>
        <w:t xml:space="preserve">a </w:t>
      </w:r>
      <w:r w:rsidRPr="002F03BE">
        <w:rPr>
          <w:rFonts w:asciiTheme="minorHAnsi" w:eastAsiaTheme="minorHAnsi" w:hAnsiTheme="minorHAnsi" w:cstheme="minorBidi"/>
          <w:szCs w:val="22"/>
        </w:rPr>
        <w:t xml:space="preserve">borderline significant </w:t>
      </w:r>
      <w:r w:rsidRPr="00062EB0">
        <w:rPr>
          <w:rFonts w:asciiTheme="minorHAnsi" w:eastAsiaTheme="minorHAnsi" w:hAnsiTheme="minorHAnsi" w:cstheme="minorBidi"/>
          <w:szCs w:val="22"/>
        </w:rPr>
        <w:t>reduction for the non-eosinophilic and non-allergic subgroup</w:t>
      </w:r>
      <w:r w:rsidR="00C56391" w:rsidRPr="00EE227E">
        <w:rPr>
          <w:rFonts w:asciiTheme="minorHAnsi" w:eastAsiaTheme="minorHAnsi" w:hAnsiTheme="minorHAnsi" w:cstheme="minorBidi"/>
          <w:szCs w:val="22"/>
        </w:rPr>
        <w:t xml:space="preserve">, with the other </w:t>
      </w:r>
      <w:r w:rsidR="00673D74" w:rsidRPr="00EE227E">
        <w:rPr>
          <w:rFonts w:asciiTheme="minorHAnsi" w:eastAsiaTheme="minorHAnsi" w:hAnsiTheme="minorHAnsi" w:cstheme="minorBidi"/>
          <w:iCs/>
          <w:szCs w:val="22"/>
        </w:rPr>
        <w:t>fail</w:t>
      </w:r>
      <w:r w:rsidR="00A03530" w:rsidRPr="00EE227E">
        <w:rPr>
          <w:rFonts w:asciiTheme="minorHAnsi" w:eastAsiaTheme="minorHAnsi" w:hAnsiTheme="minorHAnsi" w:cstheme="minorBidi"/>
          <w:iCs/>
          <w:szCs w:val="22"/>
        </w:rPr>
        <w:t>ing</w:t>
      </w:r>
      <w:r w:rsidR="00673D74" w:rsidRPr="00EE227E">
        <w:rPr>
          <w:rFonts w:asciiTheme="minorHAnsi" w:eastAsiaTheme="minorHAnsi" w:hAnsiTheme="minorHAnsi" w:cstheme="minorBidi"/>
          <w:iCs/>
          <w:szCs w:val="22"/>
        </w:rPr>
        <w:t xml:space="preserve"> to reach statistical </w:t>
      </w:r>
      <w:r w:rsidR="00A03530" w:rsidRPr="00EE227E">
        <w:rPr>
          <w:rFonts w:asciiTheme="minorHAnsi" w:eastAsiaTheme="minorHAnsi" w:hAnsiTheme="minorHAnsi" w:cstheme="minorBidi"/>
          <w:iCs/>
          <w:szCs w:val="22"/>
        </w:rPr>
        <w:t>significance</w:t>
      </w:r>
      <w:r w:rsidRPr="00EE227E">
        <w:rPr>
          <w:rFonts w:asciiTheme="minorHAnsi" w:eastAsiaTheme="minorHAnsi" w:hAnsiTheme="minorHAnsi" w:cstheme="minorBidi"/>
          <w:szCs w:val="22"/>
        </w:rPr>
        <w:t xml:space="preserve"> (</w:t>
      </w:r>
      <w:r w:rsidR="00C425BE" w:rsidRPr="00EE227E">
        <w:rPr>
          <w:rFonts w:asciiTheme="minorHAnsi" w:eastAsiaTheme="minorHAnsi" w:hAnsiTheme="minorHAnsi" w:cstheme="minorBidi"/>
          <w:szCs w:val="22"/>
        </w:rPr>
        <w:t>NAVIGATOR</w:t>
      </w:r>
      <w:r w:rsidR="000E7E26" w:rsidRPr="00EE227E">
        <w:rPr>
          <w:rFonts w:asciiTheme="minorHAnsi" w:eastAsiaTheme="minorHAnsi" w:hAnsiTheme="minorHAnsi" w:cstheme="minorBidi"/>
          <w:szCs w:val="22"/>
        </w:rPr>
        <w:t>, PATHWAY trials, respectively</w:t>
      </w:r>
      <w:r w:rsidR="005B29BC" w:rsidRPr="00EE227E">
        <w:rPr>
          <w:rFonts w:asciiTheme="minorHAnsi" w:eastAsiaTheme="minorHAnsi" w:hAnsiTheme="minorHAnsi" w:cstheme="minorBidi"/>
          <w:iCs/>
          <w:szCs w:val="22"/>
        </w:rPr>
        <w:t xml:space="preserve">; </w:t>
      </w:r>
      <w:r w:rsidRPr="009849EB">
        <w:rPr>
          <w:rFonts w:asciiTheme="minorHAnsi" w:eastAsiaTheme="minorHAnsi" w:hAnsiTheme="minorHAnsi" w:cstheme="minorBidi"/>
          <w:szCs w:val="22"/>
        </w:rPr>
        <w:t xml:space="preserve">see </w:t>
      </w:r>
      <w:r w:rsidRPr="009849EB">
        <w:rPr>
          <w:rFonts w:asciiTheme="minorHAnsi" w:eastAsiaTheme="minorHAnsi" w:hAnsiTheme="minorHAnsi" w:cstheme="minorBidi"/>
          <w:szCs w:val="22"/>
        </w:rPr>
        <w:fldChar w:fldCharType="begin"/>
      </w:r>
      <w:r w:rsidRPr="009849EB">
        <w:rPr>
          <w:rFonts w:asciiTheme="minorHAnsi" w:eastAsiaTheme="minorHAnsi" w:hAnsiTheme="minorHAnsi" w:cstheme="minorBidi"/>
          <w:szCs w:val="22"/>
        </w:rPr>
        <w:instrText xml:space="preserve"> REF _Ref207729588 \h  \* MERGEFORMAT </w:instrText>
      </w:r>
      <w:r w:rsidRPr="009849EB">
        <w:rPr>
          <w:rFonts w:asciiTheme="minorHAnsi" w:eastAsiaTheme="minorHAnsi" w:hAnsiTheme="minorHAnsi" w:cstheme="minorBidi"/>
          <w:szCs w:val="22"/>
        </w:rPr>
      </w:r>
      <w:r w:rsidRPr="009849EB">
        <w:rPr>
          <w:rFonts w:asciiTheme="minorHAnsi" w:eastAsiaTheme="minorHAnsi" w:hAnsiTheme="minorHAnsi" w:cstheme="minorBidi"/>
          <w:szCs w:val="22"/>
        </w:rPr>
        <w:fldChar w:fldCharType="separate"/>
      </w:r>
      <w:r w:rsidR="0078760A" w:rsidRPr="0078760A">
        <w:rPr>
          <w:rFonts w:asciiTheme="minorHAnsi" w:eastAsiaTheme="minorHAnsi" w:hAnsiTheme="minorHAnsi" w:cstheme="minorBidi"/>
          <w:szCs w:val="22"/>
        </w:rPr>
        <w:t>Table 7</w:t>
      </w:r>
      <w:r w:rsidRPr="009849EB">
        <w:rPr>
          <w:rFonts w:asciiTheme="minorHAnsi" w:eastAsiaTheme="minorHAnsi" w:hAnsiTheme="minorHAnsi" w:cstheme="minorBidi"/>
          <w:szCs w:val="22"/>
        </w:rPr>
        <w:fldChar w:fldCharType="end"/>
      </w:r>
      <w:r w:rsidRPr="002F03BE">
        <w:rPr>
          <w:rFonts w:asciiTheme="minorHAnsi" w:eastAsiaTheme="minorHAnsi" w:hAnsiTheme="minorHAnsi" w:cstheme="minorBidi"/>
          <w:szCs w:val="22"/>
        </w:rPr>
        <w:t>). Furthermore, AAER data for the non-eosinophilic and non-allergic population of the SOURCE trial were not provided in the submission.</w:t>
      </w:r>
      <w:r w:rsidR="003842EF">
        <w:rPr>
          <w:rFonts w:asciiTheme="minorHAnsi" w:eastAsiaTheme="minorHAnsi" w:hAnsiTheme="minorHAnsi" w:cstheme="minorBidi"/>
          <w:szCs w:val="22"/>
        </w:rPr>
        <w:t xml:space="preserve"> </w:t>
      </w:r>
      <w:r w:rsidR="003842EF" w:rsidRPr="00EE227E">
        <w:rPr>
          <w:rFonts w:asciiTheme="minorHAnsi" w:eastAsiaTheme="minorHAnsi" w:hAnsiTheme="minorHAnsi" w:cstheme="minorBidi"/>
          <w:iCs/>
          <w:szCs w:val="22"/>
        </w:rPr>
        <w:t xml:space="preserve">The PSCR </w:t>
      </w:r>
      <w:r w:rsidR="001F7A5D" w:rsidRPr="00EE227E">
        <w:rPr>
          <w:rFonts w:asciiTheme="minorHAnsi" w:eastAsiaTheme="minorHAnsi" w:hAnsiTheme="minorHAnsi" w:cstheme="minorBidi"/>
          <w:iCs/>
          <w:szCs w:val="22"/>
        </w:rPr>
        <w:t>acknowledged</w:t>
      </w:r>
      <w:r w:rsidR="007E5D40" w:rsidRPr="00EE227E">
        <w:rPr>
          <w:rFonts w:asciiTheme="minorHAnsi" w:eastAsiaTheme="minorHAnsi" w:hAnsiTheme="minorHAnsi" w:cstheme="minorBidi"/>
          <w:iCs/>
          <w:szCs w:val="22"/>
        </w:rPr>
        <w:t xml:space="preserve"> </w:t>
      </w:r>
      <w:r w:rsidR="001F7A5D" w:rsidRPr="00EE227E">
        <w:rPr>
          <w:rFonts w:asciiTheme="minorHAnsi" w:eastAsiaTheme="minorHAnsi" w:hAnsiTheme="minorHAnsi" w:cstheme="minorBidi"/>
          <w:iCs/>
          <w:szCs w:val="22"/>
        </w:rPr>
        <w:t xml:space="preserve">there was a </w:t>
      </w:r>
      <w:r w:rsidR="00D37DEF" w:rsidRPr="00EE227E">
        <w:rPr>
          <w:rFonts w:asciiTheme="minorHAnsi" w:eastAsiaTheme="minorHAnsi" w:hAnsiTheme="minorHAnsi" w:cstheme="minorBidi"/>
          <w:iCs/>
          <w:szCs w:val="22"/>
        </w:rPr>
        <w:t>discrepancy</w:t>
      </w:r>
      <w:r w:rsidR="001F7A5D" w:rsidRPr="00EE227E">
        <w:rPr>
          <w:rFonts w:asciiTheme="minorHAnsi" w:eastAsiaTheme="minorHAnsi" w:hAnsiTheme="minorHAnsi" w:cstheme="minorBidi"/>
          <w:iCs/>
          <w:szCs w:val="22"/>
        </w:rPr>
        <w:t xml:space="preserve"> between the modelled and proposed PBS population</w:t>
      </w:r>
      <w:r w:rsidR="008A6FB1" w:rsidRPr="00EE227E">
        <w:rPr>
          <w:rFonts w:asciiTheme="minorHAnsi" w:eastAsiaTheme="minorHAnsi" w:hAnsiTheme="minorHAnsi" w:cstheme="minorBidi"/>
          <w:iCs/>
          <w:szCs w:val="22"/>
        </w:rPr>
        <w:t>, however maintained that</w:t>
      </w:r>
      <w:r w:rsidR="001F7A5D" w:rsidRPr="00EE227E">
        <w:rPr>
          <w:rFonts w:asciiTheme="minorHAnsi" w:eastAsiaTheme="minorHAnsi" w:hAnsiTheme="minorHAnsi" w:cstheme="minorBidi"/>
          <w:iCs/>
          <w:szCs w:val="22"/>
        </w:rPr>
        <w:t xml:space="preserve"> this was </w:t>
      </w:r>
      <w:r w:rsidR="00B44168" w:rsidRPr="00EE227E">
        <w:rPr>
          <w:rFonts w:asciiTheme="minorHAnsi" w:eastAsiaTheme="minorHAnsi" w:hAnsiTheme="minorHAnsi" w:cstheme="minorBidi"/>
          <w:iCs/>
          <w:szCs w:val="22"/>
        </w:rPr>
        <w:t>unavoidable due to</w:t>
      </w:r>
      <w:r w:rsidR="001F7A5D" w:rsidRPr="00EE227E">
        <w:rPr>
          <w:rFonts w:asciiTheme="minorHAnsi" w:eastAsiaTheme="minorHAnsi" w:hAnsiTheme="minorHAnsi" w:cstheme="minorBidi"/>
          <w:iCs/>
          <w:szCs w:val="22"/>
        </w:rPr>
        <w:t xml:space="preserve"> data scarcity</w:t>
      </w:r>
      <w:r w:rsidR="00F0528D" w:rsidRPr="00EE227E">
        <w:rPr>
          <w:rFonts w:asciiTheme="minorHAnsi" w:eastAsiaTheme="minorHAnsi" w:hAnsiTheme="minorHAnsi" w:cstheme="minorBidi"/>
          <w:iCs/>
          <w:szCs w:val="22"/>
        </w:rPr>
        <w:t xml:space="preserve">. The </w:t>
      </w:r>
      <w:r w:rsidR="00E21DF9" w:rsidRPr="00EE227E">
        <w:rPr>
          <w:rFonts w:asciiTheme="minorHAnsi" w:eastAsiaTheme="minorHAnsi" w:hAnsiTheme="minorHAnsi" w:cstheme="minorBidi"/>
          <w:iCs/>
          <w:szCs w:val="22"/>
        </w:rPr>
        <w:t xml:space="preserve">ESC noted that the </w:t>
      </w:r>
      <w:r w:rsidR="00680518" w:rsidRPr="00EE227E">
        <w:rPr>
          <w:rFonts w:asciiTheme="minorHAnsi" w:eastAsiaTheme="minorHAnsi" w:hAnsiTheme="minorHAnsi" w:cstheme="minorBidi"/>
          <w:iCs/>
          <w:szCs w:val="22"/>
        </w:rPr>
        <w:t>PSCR</w:t>
      </w:r>
      <w:r w:rsidR="00F0528D" w:rsidRPr="00EE227E">
        <w:rPr>
          <w:rFonts w:asciiTheme="minorHAnsi" w:eastAsiaTheme="minorHAnsi" w:hAnsiTheme="minorHAnsi" w:cstheme="minorBidi"/>
          <w:iCs/>
          <w:szCs w:val="22"/>
        </w:rPr>
        <w:t xml:space="preserve"> stated that the data included in the model were</w:t>
      </w:r>
      <w:r w:rsidR="001F7A5D" w:rsidRPr="00EE227E">
        <w:rPr>
          <w:rFonts w:asciiTheme="minorHAnsi" w:eastAsiaTheme="minorHAnsi" w:hAnsiTheme="minorHAnsi" w:cstheme="minorBidi"/>
          <w:iCs/>
          <w:szCs w:val="22"/>
        </w:rPr>
        <w:t xml:space="preserve"> consistent with </w:t>
      </w:r>
      <w:r w:rsidR="00391A75" w:rsidRPr="00EE227E">
        <w:rPr>
          <w:rFonts w:asciiTheme="minorHAnsi" w:eastAsiaTheme="minorHAnsi" w:hAnsiTheme="minorHAnsi" w:cstheme="minorBidi"/>
          <w:iCs/>
          <w:szCs w:val="22"/>
        </w:rPr>
        <w:t xml:space="preserve">the </w:t>
      </w:r>
      <w:r w:rsidR="001F7A5D" w:rsidRPr="00EE227E">
        <w:rPr>
          <w:rFonts w:asciiTheme="minorHAnsi" w:eastAsiaTheme="minorHAnsi" w:hAnsiTheme="minorHAnsi" w:cstheme="minorBidi"/>
          <w:iCs/>
          <w:szCs w:val="22"/>
        </w:rPr>
        <w:t>published data</w:t>
      </w:r>
      <w:r w:rsidR="009D35DA" w:rsidRPr="00EE227E">
        <w:rPr>
          <w:rFonts w:asciiTheme="minorHAnsi" w:eastAsiaTheme="minorHAnsi" w:hAnsiTheme="minorHAnsi" w:cstheme="minorBidi"/>
          <w:iCs/>
          <w:szCs w:val="22"/>
        </w:rPr>
        <w:t xml:space="preserve"> </w:t>
      </w:r>
      <w:r w:rsidR="00044927" w:rsidRPr="00EE227E">
        <w:rPr>
          <w:rFonts w:asciiTheme="minorHAnsi" w:eastAsiaTheme="minorHAnsi" w:hAnsiTheme="minorHAnsi" w:cstheme="minorBidi"/>
          <w:iCs/>
          <w:szCs w:val="22"/>
        </w:rPr>
        <w:t xml:space="preserve">and the observed effect of </w:t>
      </w:r>
      <w:proofErr w:type="spellStart"/>
      <w:r w:rsidR="00044927" w:rsidRPr="00EE227E">
        <w:rPr>
          <w:rFonts w:asciiTheme="minorHAnsi" w:eastAsiaTheme="minorHAnsi" w:hAnsiTheme="minorHAnsi" w:cstheme="minorBidi"/>
          <w:iCs/>
          <w:szCs w:val="22"/>
        </w:rPr>
        <w:t>tezepelumab</w:t>
      </w:r>
      <w:proofErr w:type="spellEnd"/>
      <w:r w:rsidR="00044927" w:rsidRPr="00EE227E">
        <w:rPr>
          <w:rFonts w:asciiTheme="minorHAnsi" w:eastAsiaTheme="minorHAnsi" w:hAnsiTheme="minorHAnsi" w:cstheme="minorBidi"/>
          <w:iCs/>
          <w:szCs w:val="22"/>
        </w:rPr>
        <w:t xml:space="preserve"> </w:t>
      </w:r>
      <w:r w:rsidR="00E14F7B" w:rsidRPr="00EE227E">
        <w:rPr>
          <w:rFonts w:asciiTheme="minorHAnsi" w:eastAsiaTheme="minorHAnsi" w:hAnsiTheme="minorHAnsi" w:cstheme="minorBidi"/>
          <w:iCs/>
          <w:szCs w:val="22"/>
        </w:rPr>
        <w:t>to</w:t>
      </w:r>
      <w:r w:rsidR="00044927" w:rsidRPr="00EE227E">
        <w:rPr>
          <w:rFonts w:asciiTheme="minorHAnsi" w:eastAsiaTheme="minorHAnsi" w:hAnsiTheme="minorHAnsi" w:cstheme="minorBidi"/>
          <w:iCs/>
          <w:szCs w:val="22"/>
        </w:rPr>
        <w:t xml:space="preserve"> reduc</w:t>
      </w:r>
      <w:r w:rsidR="00E14F7B" w:rsidRPr="00EE227E">
        <w:rPr>
          <w:rFonts w:asciiTheme="minorHAnsi" w:eastAsiaTheme="minorHAnsi" w:hAnsiTheme="minorHAnsi" w:cstheme="minorBidi"/>
          <w:iCs/>
          <w:szCs w:val="22"/>
        </w:rPr>
        <w:t>e</w:t>
      </w:r>
      <w:r w:rsidR="00044927" w:rsidRPr="00EE227E">
        <w:rPr>
          <w:rFonts w:asciiTheme="minorHAnsi" w:eastAsiaTheme="minorHAnsi" w:hAnsiTheme="minorHAnsi" w:cstheme="minorBidi"/>
          <w:iCs/>
          <w:szCs w:val="22"/>
        </w:rPr>
        <w:t xml:space="preserve"> exacerbations across biomarker-defined subgroups, including different combinations of IgE and EOS levels</w:t>
      </w:r>
      <w:r w:rsidR="009D35DA" w:rsidRPr="00EE227E">
        <w:rPr>
          <w:rFonts w:asciiTheme="minorHAnsi" w:eastAsiaTheme="minorHAnsi" w:hAnsiTheme="minorHAnsi" w:cstheme="minorBidi"/>
          <w:iCs/>
          <w:szCs w:val="22"/>
        </w:rPr>
        <w:t xml:space="preserve"> (Corren et al. </w:t>
      </w:r>
      <w:r w:rsidR="008F5A2D" w:rsidRPr="00EE227E">
        <w:rPr>
          <w:rFonts w:asciiTheme="minorHAnsi" w:eastAsiaTheme="minorHAnsi" w:hAnsiTheme="minorHAnsi" w:cstheme="minorBidi"/>
          <w:iCs/>
          <w:szCs w:val="22"/>
        </w:rPr>
        <w:t>2023</w:t>
      </w:r>
      <w:r w:rsidR="00847D91" w:rsidRPr="00EE227E">
        <w:rPr>
          <w:rFonts w:asciiTheme="minorHAnsi" w:eastAsiaTheme="minorHAnsi" w:hAnsiTheme="minorHAnsi" w:cstheme="minorBidi"/>
          <w:iCs/>
          <w:szCs w:val="22"/>
        </w:rPr>
        <w:t xml:space="preserve">, discussed in paragraph </w:t>
      </w:r>
      <w:r w:rsidR="00A06EEB" w:rsidRPr="00EE227E">
        <w:rPr>
          <w:rFonts w:asciiTheme="minorHAnsi" w:eastAsiaTheme="minorHAnsi" w:hAnsiTheme="minorHAnsi" w:cstheme="minorBidi"/>
          <w:iCs/>
          <w:szCs w:val="22"/>
        </w:rPr>
        <w:fldChar w:fldCharType="begin"/>
      </w:r>
      <w:r w:rsidR="00A06EEB" w:rsidRPr="00EE227E">
        <w:rPr>
          <w:rFonts w:asciiTheme="minorHAnsi" w:eastAsiaTheme="minorHAnsi" w:hAnsiTheme="minorHAnsi" w:cstheme="minorBidi"/>
          <w:iCs/>
          <w:szCs w:val="22"/>
        </w:rPr>
        <w:instrText xml:space="preserve"> REF _Ref211571880 \r \h </w:instrText>
      </w:r>
      <w:r w:rsidR="00A06EEB" w:rsidRPr="00EE227E">
        <w:rPr>
          <w:rFonts w:asciiTheme="minorHAnsi" w:eastAsiaTheme="minorHAnsi" w:hAnsiTheme="minorHAnsi" w:cstheme="minorBidi"/>
          <w:iCs/>
          <w:szCs w:val="22"/>
        </w:rPr>
      </w:r>
      <w:r w:rsidR="00A06EEB" w:rsidRPr="00EE227E">
        <w:rPr>
          <w:rFonts w:asciiTheme="minorHAnsi" w:eastAsiaTheme="minorHAnsi" w:hAnsiTheme="minorHAnsi" w:cstheme="minorBidi"/>
          <w:iCs/>
          <w:szCs w:val="22"/>
        </w:rPr>
        <w:fldChar w:fldCharType="separate"/>
      </w:r>
      <w:r w:rsidR="0078760A">
        <w:rPr>
          <w:rFonts w:asciiTheme="minorHAnsi" w:eastAsiaTheme="minorHAnsi" w:hAnsiTheme="minorHAnsi" w:cstheme="minorBidi"/>
          <w:iCs/>
          <w:szCs w:val="22"/>
        </w:rPr>
        <w:t>6.22</w:t>
      </w:r>
      <w:r w:rsidR="00A06EEB" w:rsidRPr="00EE227E">
        <w:rPr>
          <w:rFonts w:asciiTheme="minorHAnsi" w:eastAsiaTheme="minorHAnsi" w:hAnsiTheme="minorHAnsi" w:cstheme="minorBidi"/>
          <w:iCs/>
          <w:szCs w:val="22"/>
        </w:rPr>
        <w:fldChar w:fldCharType="end"/>
      </w:r>
      <w:r w:rsidR="008F5A2D" w:rsidRPr="00EE227E">
        <w:rPr>
          <w:rFonts w:asciiTheme="minorHAnsi" w:eastAsiaTheme="minorHAnsi" w:hAnsiTheme="minorHAnsi" w:cstheme="minorBidi"/>
          <w:iCs/>
          <w:szCs w:val="22"/>
        </w:rPr>
        <w:t>)</w:t>
      </w:r>
      <w:r w:rsidR="00E21DF9" w:rsidRPr="00EE227E">
        <w:rPr>
          <w:rFonts w:asciiTheme="minorHAnsi" w:eastAsiaTheme="minorHAnsi" w:hAnsiTheme="minorHAnsi" w:cstheme="minorBidi"/>
          <w:iCs/>
          <w:szCs w:val="22"/>
        </w:rPr>
        <w:t xml:space="preserve">, however considered </w:t>
      </w:r>
      <w:r w:rsidR="00B36637" w:rsidRPr="00EE227E">
        <w:rPr>
          <w:rFonts w:asciiTheme="minorHAnsi" w:eastAsiaTheme="minorHAnsi" w:hAnsiTheme="minorHAnsi" w:cstheme="minorBidi"/>
          <w:iCs/>
          <w:szCs w:val="22"/>
        </w:rPr>
        <w:t>that</w:t>
      </w:r>
      <w:r w:rsidR="007C4CF5" w:rsidRPr="00EE227E">
        <w:rPr>
          <w:rFonts w:asciiTheme="minorHAnsi" w:eastAsiaTheme="minorHAnsi" w:hAnsiTheme="minorHAnsi" w:cstheme="minorBidi"/>
          <w:iCs/>
          <w:szCs w:val="22"/>
        </w:rPr>
        <w:t xml:space="preserve"> this remained a primary uncertainty in the model and likely favoured </w:t>
      </w:r>
      <w:proofErr w:type="spellStart"/>
      <w:r w:rsidR="007C4CF5" w:rsidRPr="00EE227E">
        <w:rPr>
          <w:rFonts w:asciiTheme="minorHAnsi" w:eastAsiaTheme="minorHAnsi" w:hAnsiTheme="minorHAnsi" w:cstheme="minorBidi"/>
          <w:iCs/>
          <w:szCs w:val="22"/>
        </w:rPr>
        <w:t>tezepelumab</w:t>
      </w:r>
      <w:proofErr w:type="spellEnd"/>
      <w:r w:rsidR="008A6FB1" w:rsidRPr="00EE227E">
        <w:rPr>
          <w:rFonts w:asciiTheme="minorHAnsi" w:eastAsiaTheme="minorHAnsi" w:hAnsiTheme="minorHAnsi" w:cstheme="minorBidi"/>
          <w:iCs/>
          <w:szCs w:val="22"/>
        </w:rPr>
        <w:t xml:space="preserve">. </w:t>
      </w:r>
    </w:p>
    <w:p w14:paraId="5DC5A400" w14:textId="1A0BE9F8" w:rsidR="00985766" w:rsidRPr="002F03BE" w:rsidRDefault="00985766" w:rsidP="00F65BD4">
      <w:pPr>
        <w:numPr>
          <w:ilvl w:val="1"/>
          <w:numId w:val="1"/>
        </w:numPr>
        <w:spacing w:before="60" w:after="60"/>
        <w:ind w:left="709"/>
        <w:rPr>
          <w:rFonts w:asciiTheme="minorHAnsi" w:eastAsiaTheme="minorHAnsi" w:hAnsiTheme="minorHAnsi" w:cstheme="minorBidi"/>
          <w:szCs w:val="22"/>
        </w:rPr>
      </w:pPr>
      <w:r w:rsidRPr="004F56D0">
        <w:rPr>
          <w:rFonts w:asciiTheme="minorHAnsi" w:eastAsiaTheme="minorHAnsi" w:hAnsiTheme="minorHAnsi" w:cstheme="minorBidi"/>
          <w:szCs w:val="22"/>
        </w:rPr>
        <w:t>There was a distinct d</w:t>
      </w:r>
      <w:r>
        <w:rPr>
          <w:rFonts w:asciiTheme="minorHAnsi" w:eastAsiaTheme="minorHAnsi" w:hAnsiTheme="minorHAnsi" w:cstheme="minorBidi"/>
          <w:szCs w:val="22"/>
        </w:rPr>
        <w:t>rop</w:t>
      </w:r>
      <w:r w:rsidRPr="004F56D0">
        <w:rPr>
          <w:rFonts w:asciiTheme="minorHAnsi" w:eastAsiaTheme="minorHAnsi" w:hAnsiTheme="minorHAnsi" w:cstheme="minorBidi"/>
          <w:szCs w:val="22"/>
        </w:rPr>
        <w:t xml:space="preserve"> in patients on treatment </w:t>
      </w:r>
      <w:r>
        <w:rPr>
          <w:rFonts w:asciiTheme="minorHAnsi" w:eastAsiaTheme="minorHAnsi" w:hAnsiTheme="minorHAnsi" w:cstheme="minorBidi"/>
          <w:szCs w:val="22"/>
        </w:rPr>
        <w:t xml:space="preserve">in the model </w:t>
      </w:r>
      <w:r w:rsidRPr="004F56D0">
        <w:rPr>
          <w:rFonts w:asciiTheme="minorHAnsi" w:eastAsiaTheme="minorHAnsi" w:hAnsiTheme="minorHAnsi" w:cstheme="minorBidi"/>
          <w:szCs w:val="22"/>
        </w:rPr>
        <w:t xml:space="preserve">due to the stopping rule at </w:t>
      </w:r>
      <w:r w:rsidRPr="008E2653">
        <w:rPr>
          <w:rFonts w:asciiTheme="minorHAnsi" w:eastAsiaTheme="minorHAnsi" w:hAnsiTheme="minorHAnsi" w:cstheme="minorBidi"/>
          <w:szCs w:val="22"/>
        </w:rPr>
        <w:t xml:space="preserve">week 32. The model showed that at 32 weeks, 94.4% of the cohort was on </w:t>
      </w:r>
      <w:proofErr w:type="spellStart"/>
      <w:r w:rsidRPr="008E2653">
        <w:rPr>
          <w:rFonts w:asciiTheme="minorHAnsi" w:eastAsiaTheme="minorHAnsi" w:hAnsiTheme="minorHAnsi" w:cstheme="minorBidi"/>
          <w:szCs w:val="22"/>
        </w:rPr>
        <w:t>tezepelumab</w:t>
      </w:r>
      <w:proofErr w:type="spellEnd"/>
      <w:r w:rsidRPr="008E2653">
        <w:rPr>
          <w:rFonts w:asciiTheme="minorHAnsi" w:eastAsiaTheme="minorHAnsi" w:hAnsiTheme="minorHAnsi" w:cstheme="minorBidi"/>
          <w:szCs w:val="22"/>
        </w:rPr>
        <w:t xml:space="preserve">, and at 36 weeks, 45.1% were on </w:t>
      </w:r>
      <w:proofErr w:type="spellStart"/>
      <w:r w:rsidRPr="008E2653">
        <w:rPr>
          <w:rFonts w:asciiTheme="minorHAnsi" w:eastAsiaTheme="minorHAnsi" w:hAnsiTheme="minorHAnsi" w:cstheme="minorBidi"/>
          <w:szCs w:val="22"/>
        </w:rPr>
        <w:t>tezepelumab</w:t>
      </w:r>
      <w:proofErr w:type="spellEnd"/>
      <w:r w:rsidRPr="008E2653">
        <w:rPr>
          <w:rFonts w:asciiTheme="minorHAnsi" w:eastAsiaTheme="minorHAnsi" w:hAnsiTheme="minorHAnsi" w:cstheme="minorBidi"/>
          <w:szCs w:val="22"/>
        </w:rPr>
        <w:t xml:space="preserve">. This indicated that 49.3% of patients on </w:t>
      </w:r>
      <w:proofErr w:type="spellStart"/>
      <w:r w:rsidRPr="008E2653">
        <w:rPr>
          <w:rFonts w:asciiTheme="minorHAnsi" w:eastAsiaTheme="minorHAnsi" w:hAnsiTheme="minorHAnsi" w:cstheme="minorBidi"/>
          <w:szCs w:val="22"/>
        </w:rPr>
        <w:t>tezepelumab</w:t>
      </w:r>
      <w:proofErr w:type="spellEnd"/>
      <w:r w:rsidRPr="008E2653">
        <w:rPr>
          <w:rFonts w:asciiTheme="minorHAnsi" w:eastAsiaTheme="minorHAnsi" w:hAnsiTheme="minorHAnsi" w:cstheme="minorBidi"/>
          <w:szCs w:val="22"/>
        </w:rPr>
        <w:t xml:space="preserve"> discontinued after</w:t>
      </w:r>
      <w:r w:rsidR="00DE0E4D">
        <w:rPr>
          <w:rFonts w:asciiTheme="minorHAnsi" w:eastAsiaTheme="minorHAnsi" w:hAnsiTheme="minorHAnsi" w:cstheme="minorBidi"/>
          <w:szCs w:val="22"/>
        </w:rPr>
        <w:t xml:space="preserve"> the</w:t>
      </w:r>
      <w:r w:rsidRPr="008E2653">
        <w:rPr>
          <w:rFonts w:asciiTheme="minorHAnsi" w:eastAsiaTheme="minorHAnsi" w:hAnsiTheme="minorHAnsi" w:cstheme="minorBidi"/>
          <w:szCs w:val="22"/>
        </w:rPr>
        <w:t xml:space="preserve"> week 32 assessment, either because they did not respond or they switched to </w:t>
      </w:r>
      <w:proofErr w:type="spellStart"/>
      <w:r w:rsidRPr="008E2653">
        <w:rPr>
          <w:rFonts w:asciiTheme="minorHAnsi" w:eastAsiaTheme="minorHAnsi" w:hAnsiTheme="minorHAnsi" w:cstheme="minorBidi"/>
          <w:szCs w:val="22"/>
        </w:rPr>
        <w:t>SoC.</w:t>
      </w:r>
      <w:proofErr w:type="spellEnd"/>
      <w:r w:rsidRPr="008E2653">
        <w:rPr>
          <w:rFonts w:asciiTheme="minorHAnsi" w:eastAsiaTheme="minorHAnsi" w:hAnsiTheme="minorHAnsi" w:cstheme="minorBidi"/>
          <w:szCs w:val="22"/>
        </w:rPr>
        <w:t xml:space="preserve"> This assumed discontinuation was not consistent with the trial data</w:t>
      </w:r>
      <w:r w:rsidR="008E377D">
        <w:rPr>
          <w:rFonts w:asciiTheme="minorHAnsi" w:eastAsiaTheme="minorHAnsi" w:hAnsiTheme="minorHAnsi" w:cstheme="minorBidi"/>
          <w:szCs w:val="22"/>
        </w:rPr>
        <w:t xml:space="preserve">; </w:t>
      </w:r>
      <w:r w:rsidR="008E377D" w:rsidRPr="00EE227E">
        <w:rPr>
          <w:rFonts w:asciiTheme="minorHAnsi" w:eastAsiaTheme="minorHAnsi" w:hAnsiTheme="minorHAnsi" w:cstheme="minorBidi"/>
          <w:iCs/>
          <w:szCs w:val="22"/>
        </w:rPr>
        <w:t>it was however</w:t>
      </w:r>
      <w:r w:rsidR="008E377D">
        <w:rPr>
          <w:rFonts w:asciiTheme="minorHAnsi" w:eastAsiaTheme="minorHAnsi" w:hAnsiTheme="minorHAnsi" w:cstheme="minorBidi"/>
          <w:szCs w:val="22"/>
        </w:rPr>
        <w:t xml:space="preserve"> </w:t>
      </w:r>
      <w:r w:rsidR="00922F5D" w:rsidRPr="00EE227E">
        <w:rPr>
          <w:rFonts w:asciiTheme="minorHAnsi" w:eastAsiaTheme="minorHAnsi" w:hAnsiTheme="minorHAnsi" w:cstheme="minorBidi"/>
          <w:iCs/>
          <w:szCs w:val="22"/>
        </w:rPr>
        <w:t>consistent with the proposed PBS population</w:t>
      </w:r>
      <w:r w:rsidRPr="00EE227E">
        <w:rPr>
          <w:rFonts w:asciiTheme="minorHAnsi" w:eastAsiaTheme="minorHAnsi" w:hAnsiTheme="minorHAnsi" w:cstheme="minorBidi"/>
          <w:iCs/>
          <w:szCs w:val="22"/>
        </w:rPr>
        <w:t>.</w:t>
      </w:r>
      <w:r w:rsidRPr="008E2653">
        <w:rPr>
          <w:rFonts w:asciiTheme="minorHAnsi" w:eastAsiaTheme="minorHAnsi" w:hAnsiTheme="minorHAnsi" w:cstheme="minorBidi"/>
          <w:szCs w:val="22"/>
        </w:rPr>
        <w:t xml:space="preserve"> For the full analysis set, the NAVIGATOR and SOURCE trials reported a lower discontinuation rate in the </w:t>
      </w:r>
      <w:proofErr w:type="spellStart"/>
      <w:r w:rsidRPr="008E2653">
        <w:rPr>
          <w:rFonts w:asciiTheme="minorHAnsi" w:eastAsiaTheme="minorHAnsi" w:hAnsiTheme="minorHAnsi" w:cstheme="minorBidi"/>
          <w:szCs w:val="22"/>
        </w:rPr>
        <w:t>tezepelumab</w:t>
      </w:r>
      <w:proofErr w:type="spellEnd"/>
      <w:r w:rsidRPr="008E2653">
        <w:rPr>
          <w:rFonts w:asciiTheme="minorHAnsi" w:eastAsiaTheme="minorHAnsi" w:hAnsiTheme="minorHAnsi" w:cstheme="minorBidi"/>
          <w:szCs w:val="22"/>
        </w:rPr>
        <w:t xml:space="preserve"> arm than that used in the economic model — 6.8% at week 52 (NAVIGATOR) and 10.8% at week 48 (SOURCE). For the full analysis set, the long-term extension study of the NAVIGATOR and SOURCE trials— the DESTINATION trial also reported a lower discontinuation rate in the </w:t>
      </w:r>
      <w:proofErr w:type="spellStart"/>
      <w:r w:rsidRPr="008E2653">
        <w:rPr>
          <w:rFonts w:asciiTheme="minorHAnsi" w:eastAsiaTheme="minorHAnsi" w:hAnsiTheme="minorHAnsi" w:cstheme="minorBidi"/>
          <w:szCs w:val="22"/>
        </w:rPr>
        <w:t>tezepelumab</w:t>
      </w:r>
      <w:proofErr w:type="spellEnd"/>
      <w:r w:rsidRPr="008E2653">
        <w:rPr>
          <w:rFonts w:asciiTheme="minorHAnsi" w:eastAsiaTheme="minorHAnsi" w:hAnsiTheme="minorHAnsi" w:cstheme="minorBidi"/>
          <w:szCs w:val="22"/>
        </w:rPr>
        <w:t xml:space="preserve"> arm than that used in the economic model— 21.4% in the </w:t>
      </w:r>
      <w:proofErr w:type="spellStart"/>
      <w:r w:rsidRPr="008E2653">
        <w:rPr>
          <w:rFonts w:asciiTheme="minorHAnsi" w:eastAsiaTheme="minorHAnsi" w:hAnsiTheme="minorHAnsi" w:cstheme="minorBidi"/>
          <w:szCs w:val="22"/>
        </w:rPr>
        <w:t>tezepelumab</w:t>
      </w:r>
      <w:proofErr w:type="spellEnd"/>
      <w:r w:rsidRPr="008E2653">
        <w:rPr>
          <w:rFonts w:asciiTheme="minorHAnsi" w:eastAsiaTheme="minorHAnsi" w:hAnsiTheme="minorHAnsi" w:cstheme="minorBidi"/>
          <w:szCs w:val="22"/>
        </w:rPr>
        <w:t xml:space="preserve"> arm of the NAVIGATOR trial and 19</w:t>
      </w:r>
      <w:r w:rsidRPr="002F03BE">
        <w:rPr>
          <w:rFonts w:asciiTheme="minorHAnsi" w:eastAsiaTheme="minorHAnsi" w:hAnsiTheme="minorHAnsi" w:cstheme="minorBidi"/>
          <w:szCs w:val="22"/>
        </w:rPr>
        <w:t xml:space="preserve">.1% in the SOURCE trial. The raw data for transition probabilities, pre- or post-32-week assessment, could not be verified for the subgroups of interest during the evaluation. These data were not reported in the trial CSRs or the trial publications for either the NAVIGATOR or SOURCE trials. Also, the trials’ definition of controlled disease was not consistent with that of the submission (as described in the subsequent paragraphs). Therefore, the trial’s effect estimates of </w:t>
      </w:r>
      <w:proofErr w:type="gramStart"/>
      <w:r w:rsidRPr="002F03BE">
        <w:rPr>
          <w:rFonts w:asciiTheme="minorHAnsi" w:eastAsiaTheme="minorHAnsi" w:hAnsiTheme="minorHAnsi" w:cstheme="minorBidi"/>
          <w:szCs w:val="22"/>
        </w:rPr>
        <w:t>AAER</w:t>
      </w:r>
      <w:proofErr w:type="gramEnd"/>
      <w:r w:rsidRPr="002F03BE">
        <w:rPr>
          <w:rFonts w:asciiTheme="minorHAnsi" w:eastAsiaTheme="minorHAnsi" w:hAnsiTheme="minorHAnsi" w:cstheme="minorBidi"/>
          <w:szCs w:val="22"/>
        </w:rPr>
        <w:t xml:space="preserve"> and proportion of patients considered controlled or uncontrolled were likely different from the model’s inputs. T</w:t>
      </w:r>
      <w:r w:rsidR="00E17BF9">
        <w:rPr>
          <w:rFonts w:asciiTheme="minorHAnsi" w:eastAsiaTheme="minorHAnsi" w:hAnsiTheme="minorHAnsi" w:cstheme="minorBidi"/>
          <w:szCs w:val="22"/>
        </w:rPr>
        <w:t>he evaluation considered t</w:t>
      </w:r>
      <w:r w:rsidRPr="002F03BE">
        <w:rPr>
          <w:rFonts w:asciiTheme="minorHAnsi" w:eastAsiaTheme="minorHAnsi" w:hAnsiTheme="minorHAnsi" w:cstheme="minorBidi"/>
          <w:szCs w:val="22"/>
        </w:rPr>
        <w:t>his introduced uncertainty in the model</w:t>
      </w:r>
      <w:r w:rsidR="00D515A8" w:rsidRPr="00EE227E">
        <w:rPr>
          <w:rFonts w:asciiTheme="minorHAnsi" w:eastAsiaTheme="minorHAnsi" w:hAnsiTheme="minorHAnsi" w:cstheme="minorBidi"/>
          <w:iCs/>
          <w:szCs w:val="22"/>
        </w:rPr>
        <w:t>.</w:t>
      </w:r>
    </w:p>
    <w:p w14:paraId="02317DBA" w14:textId="312C01BC" w:rsidR="00985766" w:rsidRPr="002F03BE" w:rsidRDefault="00985766" w:rsidP="00F65BD4">
      <w:pPr>
        <w:numPr>
          <w:ilvl w:val="1"/>
          <w:numId w:val="1"/>
        </w:numPr>
        <w:spacing w:before="60" w:after="60"/>
        <w:ind w:left="709"/>
        <w:rPr>
          <w:rFonts w:asciiTheme="minorHAnsi" w:eastAsiaTheme="minorHAnsi" w:hAnsiTheme="minorHAnsi" w:cstheme="minorBidi"/>
          <w:szCs w:val="22"/>
        </w:rPr>
      </w:pPr>
      <w:r w:rsidRPr="002F03BE">
        <w:rPr>
          <w:rFonts w:asciiTheme="minorHAnsi" w:eastAsiaTheme="minorHAnsi" w:hAnsiTheme="minorHAnsi" w:cstheme="minorBidi"/>
          <w:szCs w:val="22"/>
        </w:rPr>
        <w:t xml:space="preserve">The ACQ-6 threshold of 1.5 used in the submission and economic model was not consistent with the definitions used in the trials or published data, or previous PBAC considerations of biologics in SUA and introduced uncertainty in the model. The SOURCE trial described lower ACQ-6 to indicate better disease control: scores higher than 1.5 indicate inadequately controlled asthma and scores lower than 0.75 indicate well-controlled asthma (Wechsler 2022). In the PBAC’s consideration of omalizumab for SUA, failure to achieve adequate control was defined as an ACQ-5 score of at least 2.0, as assessed in the previous month (para. 4, p1, omalizumab PSD, November 2010 PBAC Meeting), and an adequate response to omalizumab treatment was a reduction in the ACQ-5 score of at least 0.5 from baseline (para. 4, p2, omalizumab PSD, November 2010 PBAC Meeting). </w:t>
      </w:r>
      <w:r w:rsidR="00274761" w:rsidRPr="00EE227E">
        <w:rPr>
          <w:rFonts w:asciiTheme="minorHAnsi" w:eastAsiaTheme="minorHAnsi" w:hAnsiTheme="minorHAnsi" w:cstheme="minorBidi"/>
          <w:szCs w:val="22"/>
        </w:rPr>
        <w:t xml:space="preserve">A reduction of at least 0.5 </w:t>
      </w:r>
      <w:r w:rsidR="00927748" w:rsidRPr="00EE227E">
        <w:rPr>
          <w:rFonts w:asciiTheme="minorHAnsi" w:eastAsiaTheme="minorHAnsi" w:hAnsiTheme="minorHAnsi" w:cstheme="minorBidi"/>
          <w:szCs w:val="22"/>
        </w:rPr>
        <w:t xml:space="preserve">points </w:t>
      </w:r>
      <w:r w:rsidR="00274761" w:rsidRPr="00EE227E">
        <w:rPr>
          <w:rFonts w:asciiTheme="minorHAnsi" w:eastAsiaTheme="minorHAnsi" w:hAnsiTheme="minorHAnsi" w:cstheme="minorBidi"/>
          <w:szCs w:val="22"/>
        </w:rPr>
        <w:t xml:space="preserve">from baseline is consistent with the proposed continuing restriction for </w:t>
      </w:r>
      <w:proofErr w:type="spellStart"/>
      <w:r w:rsidR="00274761" w:rsidRPr="00EE227E">
        <w:rPr>
          <w:rFonts w:asciiTheme="minorHAnsi" w:eastAsiaTheme="minorHAnsi" w:hAnsiTheme="minorHAnsi" w:cstheme="minorBidi"/>
          <w:szCs w:val="22"/>
        </w:rPr>
        <w:t>tezepelumab</w:t>
      </w:r>
      <w:proofErr w:type="spellEnd"/>
      <w:r w:rsidR="00274761">
        <w:rPr>
          <w:rFonts w:asciiTheme="minorHAnsi" w:eastAsiaTheme="minorHAnsi" w:hAnsiTheme="minorHAnsi" w:cstheme="minorBidi"/>
          <w:szCs w:val="22"/>
        </w:rPr>
        <w:t>.</w:t>
      </w:r>
      <w:r w:rsidRPr="002F03BE">
        <w:rPr>
          <w:rFonts w:asciiTheme="minorHAnsi" w:eastAsiaTheme="minorHAnsi" w:hAnsiTheme="minorHAnsi" w:cstheme="minorBidi"/>
          <w:szCs w:val="22"/>
        </w:rPr>
        <w:t xml:space="preserve"> Similar </w:t>
      </w:r>
      <w:bookmarkStart w:id="78" w:name="_Hlk206258876"/>
      <w:r w:rsidRPr="002F03BE">
        <w:rPr>
          <w:rFonts w:asciiTheme="minorHAnsi" w:eastAsiaTheme="minorHAnsi" w:hAnsiTheme="minorHAnsi" w:cstheme="minorBidi"/>
          <w:szCs w:val="22"/>
        </w:rPr>
        <w:t xml:space="preserve">restrictions to the omalizumab assessment </w:t>
      </w:r>
      <w:bookmarkEnd w:id="78"/>
      <w:r w:rsidRPr="002F03BE">
        <w:rPr>
          <w:rFonts w:asciiTheme="minorHAnsi" w:eastAsiaTheme="minorHAnsi" w:hAnsiTheme="minorHAnsi" w:cstheme="minorBidi"/>
          <w:szCs w:val="22"/>
        </w:rPr>
        <w:t xml:space="preserve">were listed for </w:t>
      </w:r>
      <w:proofErr w:type="spellStart"/>
      <w:r w:rsidRPr="002F03BE">
        <w:rPr>
          <w:rFonts w:asciiTheme="minorHAnsi" w:eastAsiaTheme="minorHAnsi" w:hAnsiTheme="minorHAnsi" w:cstheme="minorBidi"/>
          <w:szCs w:val="22"/>
        </w:rPr>
        <w:t>benralizumab</w:t>
      </w:r>
      <w:proofErr w:type="spellEnd"/>
      <w:r w:rsidRPr="002F03BE">
        <w:rPr>
          <w:rFonts w:asciiTheme="minorHAnsi" w:eastAsiaTheme="minorHAnsi" w:hAnsiTheme="minorHAnsi" w:cstheme="minorBidi"/>
          <w:szCs w:val="22"/>
        </w:rPr>
        <w:t xml:space="preserve"> (para. 8, </w:t>
      </w:r>
      <w:proofErr w:type="spellStart"/>
      <w:r w:rsidRPr="002F03BE">
        <w:rPr>
          <w:rFonts w:asciiTheme="minorHAnsi" w:eastAsiaTheme="minorHAnsi" w:hAnsiTheme="minorHAnsi" w:cstheme="minorBidi"/>
          <w:szCs w:val="22"/>
        </w:rPr>
        <w:t>benralizumab</w:t>
      </w:r>
      <w:proofErr w:type="spellEnd"/>
      <w:r w:rsidRPr="002F03BE">
        <w:rPr>
          <w:rFonts w:asciiTheme="minorHAnsi" w:eastAsiaTheme="minorHAnsi" w:hAnsiTheme="minorHAnsi" w:cstheme="minorBidi"/>
          <w:szCs w:val="22"/>
        </w:rPr>
        <w:t xml:space="preserve"> PSD, March 2018 PBAC Meeting), dupilumab (para. 8, dupilumab PSD, November 2020 PBAC Meeting) and mepolizumab (para. 6, mepolizumab PSD, March 2024 PBAC Meeting).</w:t>
      </w:r>
      <w:r w:rsidR="000C62E7">
        <w:rPr>
          <w:rFonts w:asciiTheme="minorHAnsi" w:eastAsiaTheme="minorHAnsi" w:hAnsiTheme="minorHAnsi" w:cstheme="minorBidi"/>
          <w:szCs w:val="22"/>
        </w:rPr>
        <w:t xml:space="preserve"> </w:t>
      </w:r>
      <w:r w:rsidR="000C62E7" w:rsidRPr="00EE227E">
        <w:rPr>
          <w:rFonts w:asciiTheme="minorHAnsi" w:eastAsiaTheme="minorHAnsi" w:hAnsiTheme="minorHAnsi" w:cstheme="minorBidi"/>
          <w:iCs/>
          <w:szCs w:val="22"/>
        </w:rPr>
        <w:t xml:space="preserve">The PSCR </w:t>
      </w:r>
      <w:r w:rsidR="00807948" w:rsidRPr="00EE227E">
        <w:rPr>
          <w:rFonts w:asciiTheme="minorHAnsi" w:eastAsiaTheme="minorHAnsi" w:hAnsiTheme="minorHAnsi" w:cstheme="minorBidi"/>
          <w:iCs/>
          <w:szCs w:val="22"/>
        </w:rPr>
        <w:t>argued that applying a threshold of 1.5</w:t>
      </w:r>
      <w:r w:rsidR="009E403E" w:rsidRPr="00EE227E">
        <w:rPr>
          <w:rFonts w:asciiTheme="minorHAnsi" w:eastAsiaTheme="minorHAnsi" w:hAnsiTheme="minorHAnsi" w:cstheme="minorBidi"/>
          <w:iCs/>
          <w:szCs w:val="22"/>
        </w:rPr>
        <w:t xml:space="preserve"> ACQ-5 points</w:t>
      </w:r>
      <w:r w:rsidR="00807948" w:rsidRPr="00EE227E">
        <w:rPr>
          <w:rFonts w:asciiTheme="minorHAnsi" w:eastAsiaTheme="minorHAnsi" w:hAnsiTheme="minorHAnsi" w:cstheme="minorBidi"/>
          <w:iCs/>
          <w:szCs w:val="22"/>
        </w:rPr>
        <w:t xml:space="preserve"> </w:t>
      </w:r>
      <w:r w:rsidR="00F268FC" w:rsidRPr="00EE227E">
        <w:rPr>
          <w:rFonts w:asciiTheme="minorHAnsi" w:eastAsiaTheme="minorHAnsi" w:hAnsiTheme="minorHAnsi" w:cstheme="minorBidi"/>
          <w:iCs/>
          <w:szCs w:val="22"/>
        </w:rPr>
        <w:t xml:space="preserve">provides a meaningful marker for assessing treatment effectiveness </w:t>
      </w:r>
      <w:r w:rsidR="007808DE" w:rsidRPr="00EE227E">
        <w:rPr>
          <w:rFonts w:asciiTheme="minorHAnsi" w:eastAsiaTheme="minorHAnsi" w:hAnsiTheme="minorHAnsi" w:cstheme="minorBidi"/>
          <w:iCs/>
          <w:szCs w:val="22"/>
        </w:rPr>
        <w:t xml:space="preserve">which </w:t>
      </w:r>
      <w:r w:rsidR="00F268FC" w:rsidRPr="00EE227E">
        <w:rPr>
          <w:rFonts w:asciiTheme="minorHAnsi" w:eastAsiaTheme="minorHAnsi" w:hAnsiTheme="minorHAnsi" w:cstheme="minorBidi"/>
          <w:iCs/>
          <w:szCs w:val="22"/>
        </w:rPr>
        <w:t xml:space="preserve">aligns with real-world outcomes and </w:t>
      </w:r>
      <w:r w:rsidR="00016BB7" w:rsidRPr="00EE227E">
        <w:rPr>
          <w:rFonts w:asciiTheme="minorHAnsi" w:eastAsiaTheme="minorHAnsi" w:hAnsiTheme="minorHAnsi" w:cstheme="minorBidi"/>
          <w:iCs/>
          <w:szCs w:val="22"/>
        </w:rPr>
        <w:t>was</w:t>
      </w:r>
      <w:r w:rsidR="00F268FC" w:rsidRPr="00EE227E">
        <w:rPr>
          <w:rFonts w:asciiTheme="minorHAnsi" w:eastAsiaTheme="minorHAnsi" w:hAnsiTheme="minorHAnsi" w:cstheme="minorBidi"/>
          <w:iCs/>
          <w:szCs w:val="22"/>
        </w:rPr>
        <w:t xml:space="preserve"> </w:t>
      </w:r>
      <w:r w:rsidR="0039206A" w:rsidRPr="00EE227E">
        <w:rPr>
          <w:rFonts w:asciiTheme="minorHAnsi" w:eastAsiaTheme="minorHAnsi" w:hAnsiTheme="minorHAnsi" w:cstheme="minorBidi"/>
          <w:iCs/>
          <w:szCs w:val="22"/>
        </w:rPr>
        <w:t>methodologically</w:t>
      </w:r>
      <w:r w:rsidR="00F268FC" w:rsidRPr="00EE227E">
        <w:rPr>
          <w:rFonts w:asciiTheme="minorHAnsi" w:eastAsiaTheme="minorHAnsi" w:hAnsiTheme="minorHAnsi" w:cstheme="minorBidi"/>
          <w:iCs/>
          <w:szCs w:val="22"/>
        </w:rPr>
        <w:t xml:space="preserve"> conservative. </w:t>
      </w:r>
      <w:r w:rsidR="006657D8" w:rsidRPr="00EE227E">
        <w:rPr>
          <w:rFonts w:asciiTheme="minorHAnsi" w:eastAsiaTheme="minorHAnsi" w:hAnsiTheme="minorHAnsi" w:cstheme="minorBidi"/>
          <w:iCs/>
          <w:szCs w:val="22"/>
        </w:rPr>
        <w:t xml:space="preserve">However, </w:t>
      </w:r>
      <w:r w:rsidR="003B28E3" w:rsidRPr="00EE227E">
        <w:rPr>
          <w:rFonts w:asciiTheme="minorHAnsi" w:eastAsiaTheme="minorHAnsi" w:hAnsiTheme="minorHAnsi" w:cstheme="minorBidi"/>
          <w:iCs/>
          <w:szCs w:val="22"/>
        </w:rPr>
        <w:t>the</w:t>
      </w:r>
      <w:r w:rsidR="006657D8" w:rsidRPr="00EE227E">
        <w:rPr>
          <w:rFonts w:asciiTheme="minorHAnsi" w:eastAsiaTheme="minorHAnsi" w:hAnsiTheme="minorHAnsi" w:cstheme="minorBidi"/>
          <w:iCs/>
          <w:szCs w:val="22"/>
        </w:rPr>
        <w:t xml:space="preserve"> </w:t>
      </w:r>
      <w:r w:rsidR="00097C4C" w:rsidRPr="00EE227E">
        <w:rPr>
          <w:rFonts w:asciiTheme="minorHAnsi" w:eastAsiaTheme="minorHAnsi" w:hAnsiTheme="minorHAnsi" w:cstheme="minorBidi"/>
          <w:iCs/>
          <w:szCs w:val="22"/>
        </w:rPr>
        <w:t xml:space="preserve">ESC </w:t>
      </w:r>
      <w:r w:rsidR="005129FE" w:rsidRPr="00EE227E">
        <w:rPr>
          <w:rFonts w:asciiTheme="minorHAnsi" w:eastAsiaTheme="minorHAnsi" w:hAnsiTheme="minorHAnsi" w:cstheme="minorBidi"/>
          <w:iCs/>
          <w:szCs w:val="22"/>
        </w:rPr>
        <w:t>noted</w:t>
      </w:r>
      <w:r w:rsidR="00097C4C" w:rsidRPr="00EE227E">
        <w:rPr>
          <w:rFonts w:asciiTheme="minorHAnsi" w:eastAsiaTheme="minorHAnsi" w:hAnsiTheme="minorHAnsi" w:cstheme="minorBidi"/>
          <w:iCs/>
          <w:szCs w:val="22"/>
        </w:rPr>
        <w:t xml:space="preserve"> </w:t>
      </w:r>
      <w:r w:rsidR="005162C3" w:rsidRPr="00EE227E">
        <w:rPr>
          <w:rFonts w:asciiTheme="minorHAnsi" w:eastAsiaTheme="minorHAnsi" w:hAnsiTheme="minorHAnsi" w:cstheme="minorBidi"/>
          <w:iCs/>
          <w:szCs w:val="22"/>
        </w:rPr>
        <w:t xml:space="preserve">that it was unclear </w:t>
      </w:r>
      <w:r w:rsidR="000A4FAE" w:rsidRPr="00EE227E">
        <w:rPr>
          <w:rFonts w:asciiTheme="minorHAnsi" w:eastAsiaTheme="minorHAnsi" w:hAnsiTheme="minorHAnsi" w:cstheme="minorBidi"/>
          <w:iCs/>
          <w:szCs w:val="22"/>
        </w:rPr>
        <w:t>whether</w:t>
      </w:r>
      <w:r w:rsidR="001728FD" w:rsidRPr="00EE227E">
        <w:rPr>
          <w:rFonts w:asciiTheme="minorHAnsi" w:eastAsiaTheme="minorHAnsi" w:hAnsiTheme="minorHAnsi" w:cstheme="minorBidi"/>
          <w:iCs/>
          <w:szCs w:val="22"/>
        </w:rPr>
        <w:t xml:space="preserve"> this stratification</w:t>
      </w:r>
      <w:r w:rsidR="00FE4119" w:rsidRPr="00EE227E">
        <w:rPr>
          <w:rFonts w:asciiTheme="minorHAnsi" w:eastAsiaTheme="minorHAnsi" w:hAnsiTheme="minorHAnsi" w:cstheme="minorBidi"/>
          <w:iCs/>
          <w:szCs w:val="22"/>
        </w:rPr>
        <w:t xml:space="preserve"> would be</w:t>
      </w:r>
      <w:r w:rsidR="005162C3" w:rsidRPr="00EE227E">
        <w:rPr>
          <w:rFonts w:asciiTheme="minorHAnsi" w:eastAsiaTheme="minorHAnsi" w:hAnsiTheme="minorHAnsi" w:cstheme="minorBidi"/>
          <w:iCs/>
          <w:szCs w:val="22"/>
        </w:rPr>
        <w:t xml:space="preserve"> representative</w:t>
      </w:r>
      <w:r w:rsidR="001728FD" w:rsidRPr="00EE227E">
        <w:rPr>
          <w:rFonts w:asciiTheme="minorHAnsi" w:eastAsiaTheme="minorHAnsi" w:hAnsiTheme="minorHAnsi" w:cstheme="minorBidi"/>
          <w:iCs/>
          <w:szCs w:val="22"/>
        </w:rPr>
        <w:t xml:space="preserve"> </w:t>
      </w:r>
      <w:r w:rsidR="005162C3" w:rsidRPr="00EE227E">
        <w:rPr>
          <w:rFonts w:asciiTheme="minorHAnsi" w:eastAsiaTheme="minorHAnsi" w:hAnsiTheme="minorHAnsi" w:cstheme="minorBidi"/>
          <w:iCs/>
          <w:szCs w:val="22"/>
        </w:rPr>
        <w:t>of</w:t>
      </w:r>
      <w:r w:rsidR="001728FD" w:rsidRPr="00EE227E">
        <w:rPr>
          <w:rFonts w:asciiTheme="minorHAnsi" w:eastAsiaTheme="minorHAnsi" w:hAnsiTheme="minorHAnsi" w:cstheme="minorBidi"/>
          <w:iCs/>
          <w:szCs w:val="22"/>
        </w:rPr>
        <w:t xml:space="preserve"> the </w:t>
      </w:r>
      <w:r w:rsidR="00232182" w:rsidRPr="00EE227E">
        <w:rPr>
          <w:rFonts w:asciiTheme="minorHAnsi" w:eastAsiaTheme="minorHAnsi" w:hAnsiTheme="minorHAnsi" w:cstheme="minorBidi"/>
          <w:iCs/>
          <w:szCs w:val="22"/>
        </w:rPr>
        <w:t xml:space="preserve">proposed </w:t>
      </w:r>
      <w:r w:rsidR="001728FD" w:rsidRPr="00EE227E">
        <w:rPr>
          <w:rFonts w:asciiTheme="minorHAnsi" w:eastAsiaTheme="minorHAnsi" w:hAnsiTheme="minorHAnsi" w:cstheme="minorBidi"/>
          <w:iCs/>
          <w:szCs w:val="22"/>
        </w:rPr>
        <w:t>PBS population</w:t>
      </w:r>
      <w:r w:rsidR="00176306" w:rsidRPr="00EE227E">
        <w:rPr>
          <w:rFonts w:asciiTheme="minorHAnsi" w:eastAsiaTheme="minorHAnsi" w:hAnsiTheme="minorHAnsi" w:cstheme="minorBidi"/>
          <w:iCs/>
          <w:szCs w:val="22"/>
        </w:rPr>
        <w:t xml:space="preserve"> </w:t>
      </w:r>
      <w:r w:rsidR="00232182" w:rsidRPr="00EE227E">
        <w:rPr>
          <w:rFonts w:asciiTheme="minorHAnsi" w:eastAsiaTheme="minorHAnsi" w:hAnsiTheme="minorHAnsi" w:cstheme="minorBidi"/>
          <w:iCs/>
          <w:szCs w:val="22"/>
        </w:rPr>
        <w:t>(</w:t>
      </w:r>
      <w:r w:rsidR="009E403E" w:rsidRPr="00EE227E">
        <w:rPr>
          <w:rFonts w:asciiTheme="minorHAnsi" w:eastAsiaTheme="minorHAnsi" w:hAnsiTheme="minorHAnsi" w:cstheme="minorBidi"/>
          <w:iCs/>
          <w:szCs w:val="22"/>
        </w:rPr>
        <w:t xml:space="preserve">individuals </w:t>
      </w:r>
      <w:r w:rsidR="003130A4" w:rsidRPr="00EE227E">
        <w:rPr>
          <w:rFonts w:asciiTheme="minorHAnsi" w:eastAsiaTheme="minorHAnsi" w:hAnsiTheme="minorHAnsi" w:cstheme="minorBidi"/>
          <w:iCs/>
          <w:szCs w:val="22"/>
        </w:rPr>
        <w:t>who</w:t>
      </w:r>
      <w:r w:rsidR="00176306" w:rsidRPr="00EE227E">
        <w:rPr>
          <w:rFonts w:asciiTheme="minorHAnsi" w:eastAsiaTheme="minorHAnsi" w:hAnsiTheme="minorHAnsi" w:cstheme="minorBidi"/>
          <w:iCs/>
          <w:szCs w:val="22"/>
        </w:rPr>
        <w:t xml:space="preserve"> obtain a reduction </w:t>
      </w:r>
      <w:r w:rsidR="002403A6" w:rsidRPr="00EE227E">
        <w:rPr>
          <w:rFonts w:asciiTheme="minorHAnsi" w:eastAsiaTheme="minorHAnsi" w:hAnsiTheme="minorHAnsi" w:cstheme="minorBidi"/>
          <w:iCs/>
          <w:szCs w:val="22"/>
        </w:rPr>
        <w:t xml:space="preserve">of </w:t>
      </w:r>
      <w:r w:rsidR="0094584F" w:rsidRPr="00EE227E">
        <w:rPr>
          <w:rFonts w:asciiTheme="minorHAnsi" w:eastAsiaTheme="minorHAnsi" w:hAnsiTheme="minorHAnsi" w:cstheme="minorBidi"/>
          <w:iCs/>
          <w:szCs w:val="22"/>
        </w:rPr>
        <w:t>at least</w:t>
      </w:r>
      <w:r w:rsidR="002403A6" w:rsidRPr="00EE227E">
        <w:rPr>
          <w:rFonts w:asciiTheme="minorHAnsi" w:eastAsiaTheme="minorHAnsi" w:hAnsiTheme="minorHAnsi" w:cstheme="minorBidi"/>
          <w:iCs/>
          <w:szCs w:val="22"/>
        </w:rPr>
        <w:t xml:space="preserve"> 0.5 </w:t>
      </w:r>
      <w:r w:rsidR="00B0160B" w:rsidRPr="00EE227E">
        <w:rPr>
          <w:rFonts w:asciiTheme="minorHAnsi" w:eastAsiaTheme="minorHAnsi" w:hAnsiTheme="minorHAnsi" w:cstheme="minorBidi"/>
          <w:iCs/>
          <w:szCs w:val="22"/>
        </w:rPr>
        <w:t xml:space="preserve">ACQ-5 points </w:t>
      </w:r>
      <w:r w:rsidR="002403A6" w:rsidRPr="00EE227E">
        <w:rPr>
          <w:rFonts w:asciiTheme="minorHAnsi" w:eastAsiaTheme="minorHAnsi" w:hAnsiTheme="minorHAnsi" w:cstheme="minorBidi"/>
          <w:iCs/>
          <w:szCs w:val="22"/>
        </w:rPr>
        <w:t>from baseline</w:t>
      </w:r>
      <w:r w:rsidR="00ED61FC" w:rsidRPr="00EE227E">
        <w:rPr>
          <w:rFonts w:asciiTheme="minorHAnsi" w:eastAsiaTheme="minorHAnsi" w:hAnsiTheme="minorHAnsi" w:cstheme="minorBidi"/>
          <w:iCs/>
          <w:szCs w:val="22"/>
        </w:rPr>
        <w:t>)</w:t>
      </w:r>
      <w:r w:rsidR="002403A6" w:rsidRPr="00EE227E">
        <w:rPr>
          <w:rFonts w:asciiTheme="minorHAnsi" w:eastAsiaTheme="minorHAnsi" w:hAnsiTheme="minorHAnsi" w:cstheme="minorBidi"/>
          <w:iCs/>
          <w:szCs w:val="22"/>
        </w:rPr>
        <w:t>.</w:t>
      </w:r>
    </w:p>
    <w:p w14:paraId="669F2B49" w14:textId="7CF476DC" w:rsidR="005C2022" w:rsidRPr="006754DC" w:rsidRDefault="00985766" w:rsidP="00F65BD4">
      <w:pPr>
        <w:numPr>
          <w:ilvl w:val="1"/>
          <w:numId w:val="1"/>
        </w:numPr>
        <w:spacing w:before="60" w:after="60"/>
        <w:ind w:left="709"/>
        <w:rPr>
          <w:rFonts w:asciiTheme="minorHAnsi" w:eastAsiaTheme="minorHAnsi" w:hAnsiTheme="minorHAnsi" w:cstheme="minorBidi"/>
          <w:szCs w:val="22"/>
        </w:rPr>
      </w:pPr>
      <w:r w:rsidRPr="002F03BE">
        <w:rPr>
          <w:rFonts w:asciiTheme="minorHAnsi" w:eastAsiaTheme="minorHAnsi" w:hAnsiTheme="minorHAnsi" w:cstheme="minorBidi"/>
          <w:szCs w:val="22"/>
        </w:rPr>
        <w:t xml:space="preserve">The economic model assumed that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did not lower the risk of exacerbation in individuals on OCS (i.e. the rates of exacerbations for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 OCS and SoC + OCS both equalled 1.15/1.88 for each controlled/uncontrolled patient per year). However, the model assumed that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reduced exacerbation risk by 50% compared with SoC in individuals not on OCS</w:t>
      </w:r>
      <w:bookmarkStart w:id="79" w:name="_Hlk206259475"/>
      <w:r w:rsidRPr="002F03BE">
        <w:rPr>
          <w:rFonts w:asciiTheme="minorHAnsi" w:eastAsiaTheme="minorHAnsi" w:hAnsiTheme="minorHAnsi" w:cstheme="minorBidi"/>
          <w:szCs w:val="22"/>
        </w:rPr>
        <w:t xml:space="preserve"> (i.e. the rates of exacerbations for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-OCS and SoC-OCS were 0.49/1.12 and 0.98/2.20 for each controlled/uncontrolled patient per year). </w:t>
      </w:r>
      <w:bookmarkStart w:id="80" w:name="_Hlk206259442"/>
      <w:r w:rsidR="00AE59A5" w:rsidRPr="00EE227E">
        <w:rPr>
          <w:rFonts w:eastAsiaTheme="minorHAnsi" w:cstheme="minorBidi"/>
          <w:iCs/>
          <w:szCs w:val="22"/>
        </w:rPr>
        <w:t xml:space="preserve">However, the supporting evidence for a benefit in AAER for </w:t>
      </w:r>
      <w:proofErr w:type="spellStart"/>
      <w:r w:rsidR="00AE59A5" w:rsidRPr="00EE227E">
        <w:rPr>
          <w:rFonts w:eastAsiaTheme="minorHAnsi" w:cstheme="minorBidi"/>
          <w:iCs/>
          <w:szCs w:val="22"/>
        </w:rPr>
        <w:t>tezepelumab</w:t>
      </w:r>
      <w:proofErr w:type="spellEnd"/>
      <w:r w:rsidR="00AE59A5" w:rsidRPr="00EE227E">
        <w:rPr>
          <w:rFonts w:eastAsiaTheme="minorHAnsi" w:cstheme="minorBidi"/>
          <w:iCs/>
          <w:szCs w:val="22"/>
        </w:rPr>
        <w:t xml:space="preserve"> patients relative to SoC</w:t>
      </w:r>
      <w:r w:rsidR="00C1073B" w:rsidRPr="00EE227E">
        <w:rPr>
          <w:rFonts w:eastAsiaTheme="minorHAnsi" w:cstheme="minorBidi"/>
          <w:iCs/>
          <w:szCs w:val="22"/>
        </w:rPr>
        <w:t xml:space="preserve"> was uncertain</w:t>
      </w:r>
      <w:r w:rsidR="00AE59A5" w:rsidRPr="00EE227E">
        <w:rPr>
          <w:rFonts w:eastAsiaTheme="minorHAnsi" w:cstheme="minorBidi"/>
          <w:iCs/>
          <w:szCs w:val="22"/>
        </w:rPr>
        <w:t xml:space="preserve"> in this population </w:t>
      </w:r>
      <w:r w:rsidR="00D41E07" w:rsidRPr="00EE227E">
        <w:rPr>
          <w:rFonts w:asciiTheme="minorHAnsi" w:eastAsiaTheme="minorHAnsi" w:hAnsiTheme="minorHAnsi" w:cstheme="minorBidi"/>
          <w:iCs/>
          <w:szCs w:val="22"/>
        </w:rPr>
        <w:t xml:space="preserve">(see paragraph </w:t>
      </w:r>
      <w:r w:rsidR="00D41E07" w:rsidRPr="00EE227E">
        <w:rPr>
          <w:rFonts w:asciiTheme="minorHAnsi" w:eastAsiaTheme="minorHAnsi" w:hAnsiTheme="minorHAnsi" w:cstheme="minorBidi"/>
          <w:iCs/>
          <w:szCs w:val="22"/>
        </w:rPr>
        <w:fldChar w:fldCharType="begin"/>
      </w:r>
      <w:r w:rsidR="00D41E07" w:rsidRPr="00EE227E">
        <w:rPr>
          <w:rFonts w:asciiTheme="minorHAnsi" w:eastAsiaTheme="minorHAnsi" w:hAnsiTheme="minorHAnsi" w:cstheme="minorBidi"/>
          <w:iCs/>
          <w:szCs w:val="22"/>
        </w:rPr>
        <w:instrText xml:space="preserve"> REF _Ref211611291 \r \h </w:instrText>
      </w:r>
      <w:r w:rsidR="00D41E07" w:rsidRPr="00EE227E">
        <w:rPr>
          <w:rFonts w:asciiTheme="minorHAnsi" w:eastAsiaTheme="minorHAnsi" w:hAnsiTheme="minorHAnsi" w:cstheme="minorBidi"/>
          <w:iCs/>
          <w:szCs w:val="22"/>
        </w:rPr>
      </w:r>
      <w:r w:rsidR="00D41E07" w:rsidRPr="00EE227E">
        <w:rPr>
          <w:rFonts w:asciiTheme="minorHAnsi" w:eastAsiaTheme="minorHAnsi" w:hAnsiTheme="minorHAnsi" w:cstheme="minorBidi"/>
          <w:iCs/>
          <w:szCs w:val="22"/>
        </w:rPr>
        <w:fldChar w:fldCharType="separate"/>
      </w:r>
      <w:r w:rsidR="0078760A">
        <w:rPr>
          <w:rFonts w:asciiTheme="minorHAnsi" w:eastAsiaTheme="minorHAnsi" w:hAnsiTheme="minorHAnsi" w:cstheme="minorBidi"/>
          <w:iCs/>
          <w:szCs w:val="22"/>
        </w:rPr>
        <w:t>6.36</w:t>
      </w:r>
      <w:r w:rsidR="00D41E07" w:rsidRPr="00EE227E">
        <w:rPr>
          <w:rFonts w:asciiTheme="minorHAnsi" w:eastAsiaTheme="minorHAnsi" w:hAnsiTheme="minorHAnsi" w:cstheme="minorBidi"/>
          <w:iCs/>
          <w:szCs w:val="22"/>
        </w:rPr>
        <w:fldChar w:fldCharType="end"/>
      </w:r>
      <w:r w:rsidR="00D41E07" w:rsidRPr="00EE227E">
        <w:rPr>
          <w:rFonts w:asciiTheme="minorHAnsi" w:eastAsiaTheme="minorHAnsi" w:hAnsiTheme="minorHAnsi" w:cstheme="minorBidi"/>
          <w:iCs/>
          <w:szCs w:val="22"/>
        </w:rPr>
        <w:t xml:space="preserve">). </w:t>
      </w:r>
      <w:bookmarkEnd w:id="79"/>
      <w:r w:rsidRPr="002F03BE">
        <w:rPr>
          <w:rFonts w:asciiTheme="minorHAnsi" w:eastAsiaTheme="minorHAnsi" w:hAnsiTheme="minorHAnsi" w:cstheme="minorBidi"/>
          <w:szCs w:val="22"/>
        </w:rPr>
        <w:t xml:space="preserve">Assuming the exacerbation rate to be equal for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and SoC in the non-OCS dependent group increased the ICER by </w:t>
      </w:r>
      <w:r w:rsidR="00B14769" w:rsidRPr="00B14769">
        <w:rPr>
          <w:rFonts w:asciiTheme="minorHAnsi" w:eastAsiaTheme="minorHAnsi" w:hAnsiTheme="minorHAnsi" w:cstheme="minorBidi"/>
          <w:szCs w:val="22"/>
          <w:highlight w:val="black"/>
        </w:rPr>
        <w:t>&amp;&amp;&amp;&amp;</w:t>
      </w:r>
      <w:r w:rsidRPr="002F03BE">
        <w:rPr>
          <w:rFonts w:asciiTheme="minorHAnsi" w:eastAsiaTheme="minorHAnsi" w:hAnsiTheme="minorHAnsi" w:cstheme="minorBidi"/>
          <w:szCs w:val="22"/>
        </w:rPr>
        <w:t xml:space="preserve">% to </w:t>
      </w:r>
      <w:bookmarkStart w:id="81" w:name="_Hlk219216057"/>
      <w:r w:rsidR="00741AF8" w:rsidRPr="00741AF8">
        <w:rPr>
          <w:rFonts w:asciiTheme="minorHAnsi" w:eastAsiaTheme="minorHAnsi" w:hAnsiTheme="minorHAnsi" w:cstheme="minorBidi"/>
          <w:szCs w:val="22"/>
        </w:rPr>
        <w:t>$135,000 to &lt; $155,000</w:t>
      </w:r>
      <w:bookmarkEnd w:id="81"/>
      <w:r w:rsidRPr="002F03BE">
        <w:rPr>
          <w:rFonts w:asciiTheme="minorHAnsi" w:eastAsiaTheme="minorHAnsi" w:hAnsiTheme="minorHAnsi" w:cstheme="minorBidi"/>
          <w:szCs w:val="22"/>
        </w:rPr>
        <w:t xml:space="preserve"> per QALY gained.</w:t>
      </w:r>
      <w:bookmarkEnd w:id="80"/>
      <w:r w:rsidR="00F80548">
        <w:rPr>
          <w:rFonts w:asciiTheme="minorHAnsi" w:eastAsiaTheme="minorHAnsi" w:hAnsiTheme="minorHAnsi" w:cstheme="minorBidi"/>
          <w:szCs w:val="22"/>
        </w:rPr>
        <w:t xml:space="preserve"> </w:t>
      </w:r>
      <w:r w:rsidR="00F80548" w:rsidRPr="00EE227E">
        <w:rPr>
          <w:rFonts w:asciiTheme="minorHAnsi" w:eastAsiaTheme="minorHAnsi" w:hAnsiTheme="minorHAnsi" w:cstheme="minorBidi"/>
          <w:iCs/>
          <w:szCs w:val="22"/>
        </w:rPr>
        <w:t xml:space="preserve">The PSCR </w:t>
      </w:r>
      <w:r w:rsidR="007016E8" w:rsidRPr="00EE227E">
        <w:rPr>
          <w:rFonts w:asciiTheme="minorHAnsi" w:eastAsiaTheme="minorHAnsi" w:hAnsiTheme="minorHAnsi" w:cstheme="minorBidi"/>
          <w:iCs/>
          <w:szCs w:val="22"/>
        </w:rPr>
        <w:t>argued</w:t>
      </w:r>
      <w:r w:rsidR="00C94DC8" w:rsidRPr="00EE227E">
        <w:rPr>
          <w:rFonts w:asciiTheme="minorHAnsi" w:eastAsiaTheme="minorHAnsi" w:hAnsiTheme="minorHAnsi" w:cstheme="minorBidi"/>
          <w:iCs/>
          <w:szCs w:val="22"/>
        </w:rPr>
        <w:t xml:space="preserve"> </w:t>
      </w:r>
      <w:r w:rsidR="00E52FAB" w:rsidRPr="00EE227E">
        <w:rPr>
          <w:rFonts w:asciiTheme="minorHAnsi" w:eastAsiaTheme="minorHAnsi" w:hAnsiTheme="minorHAnsi" w:cstheme="minorBidi"/>
          <w:iCs/>
          <w:szCs w:val="22"/>
        </w:rPr>
        <w:t xml:space="preserve">that modelling no difference in risk between </w:t>
      </w:r>
      <w:proofErr w:type="spellStart"/>
      <w:r w:rsidR="00E52FAB" w:rsidRPr="00EE227E">
        <w:rPr>
          <w:rFonts w:asciiTheme="minorHAnsi" w:eastAsiaTheme="minorHAnsi" w:hAnsiTheme="minorHAnsi" w:cstheme="minorBidi"/>
          <w:iCs/>
          <w:szCs w:val="22"/>
        </w:rPr>
        <w:t>tezepelumab</w:t>
      </w:r>
      <w:proofErr w:type="spellEnd"/>
      <w:r w:rsidR="00E52FAB" w:rsidRPr="002F03BE">
        <w:rPr>
          <w:rFonts w:asciiTheme="minorHAnsi" w:eastAsiaTheme="minorHAnsi" w:hAnsiTheme="minorHAnsi" w:cstheme="minorBidi"/>
          <w:szCs w:val="22"/>
        </w:rPr>
        <w:t xml:space="preserve"> </w:t>
      </w:r>
      <w:r w:rsidR="00E52FAB" w:rsidRPr="00EE227E">
        <w:rPr>
          <w:rFonts w:asciiTheme="minorHAnsi" w:eastAsiaTheme="minorHAnsi" w:hAnsiTheme="minorHAnsi" w:cstheme="minorBidi"/>
          <w:iCs/>
          <w:szCs w:val="22"/>
        </w:rPr>
        <w:t xml:space="preserve">and SoC in the non-OCS group </w:t>
      </w:r>
      <w:r w:rsidR="00C97D8E" w:rsidRPr="00EE227E">
        <w:rPr>
          <w:rFonts w:asciiTheme="minorHAnsi" w:eastAsiaTheme="minorHAnsi" w:hAnsiTheme="minorHAnsi" w:cstheme="minorBidi"/>
          <w:iCs/>
          <w:szCs w:val="22"/>
        </w:rPr>
        <w:t>would</w:t>
      </w:r>
      <w:r w:rsidR="00E52FAB" w:rsidRPr="00EE227E">
        <w:rPr>
          <w:rFonts w:asciiTheme="minorHAnsi" w:eastAsiaTheme="minorHAnsi" w:hAnsiTheme="minorHAnsi" w:cstheme="minorBidi"/>
          <w:iCs/>
          <w:szCs w:val="22"/>
        </w:rPr>
        <w:t xml:space="preserve"> </w:t>
      </w:r>
      <w:r w:rsidR="001B1152" w:rsidRPr="00EE227E">
        <w:rPr>
          <w:rFonts w:asciiTheme="minorHAnsi" w:eastAsiaTheme="minorHAnsi" w:hAnsiTheme="minorHAnsi" w:cstheme="minorBidi"/>
          <w:iCs/>
          <w:szCs w:val="22"/>
        </w:rPr>
        <w:t>be inconsistent with the</w:t>
      </w:r>
      <w:r w:rsidR="00C97D8E" w:rsidRPr="00EE227E">
        <w:rPr>
          <w:rFonts w:asciiTheme="minorHAnsi" w:eastAsiaTheme="minorHAnsi" w:hAnsiTheme="minorHAnsi" w:cstheme="minorBidi"/>
          <w:iCs/>
          <w:szCs w:val="22"/>
        </w:rPr>
        <w:t xml:space="preserve"> </w:t>
      </w:r>
      <w:r w:rsidR="00E52FAB" w:rsidRPr="00EE227E">
        <w:rPr>
          <w:rFonts w:asciiTheme="minorHAnsi" w:eastAsiaTheme="minorHAnsi" w:hAnsiTheme="minorHAnsi" w:cstheme="minorBidi"/>
          <w:iCs/>
          <w:szCs w:val="22"/>
        </w:rPr>
        <w:t xml:space="preserve">clinical evidence. The Response noted </w:t>
      </w:r>
      <w:r w:rsidR="00C94DC8" w:rsidRPr="00EE227E">
        <w:rPr>
          <w:rFonts w:asciiTheme="minorHAnsi" w:eastAsiaTheme="minorHAnsi" w:hAnsiTheme="minorHAnsi" w:cstheme="minorBidi"/>
          <w:iCs/>
          <w:szCs w:val="22"/>
        </w:rPr>
        <w:t xml:space="preserve">that </w:t>
      </w:r>
      <w:r w:rsidR="007016E8" w:rsidRPr="00EE227E">
        <w:rPr>
          <w:rFonts w:asciiTheme="minorHAnsi" w:eastAsiaTheme="minorHAnsi" w:hAnsiTheme="minorHAnsi" w:cstheme="minorBidi"/>
          <w:iCs/>
          <w:szCs w:val="22"/>
        </w:rPr>
        <w:t xml:space="preserve">the </w:t>
      </w:r>
      <w:r w:rsidR="00EB7F2E" w:rsidRPr="00EE227E">
        <w:rPr>
          <w:rFonts w:asciiTheme="minorHAnsi" w:eastAsiaTheme="minorHAnsi" w:hAnsiTheme="minorHAnsi" w:cstheme="minorBidi"/>
          <w:iCs/>
          <w:szCs w:val="22"/>
        </w:rPr>
        <w:t xml:space="preserve">50% reduction in exacerbation risk </w:t>
      </w:r>
      <w:r w:rsidR="007016E8" w:rsidRPr="00EE227E">
        <w:rPr>
          <w:rFonts w:asciiTheme="minorHAnsi" w:eastAsiaTheme="minorHAnsi" w:hAnsiTheme="minorHAnsi" w:cstheme="minorBidi"/>
          <w:iCs/>
          <w:szCs w:val="22"/>
        </w:rPr>
        <w:t xml:space="preserve">assumed </w:t>
      </w:r>
      <w:r w:rsidR="00EB7F2E" w:rsidRPr="00EE227E">
        <w:rPr>
          <w:rFonts w:asciiTheme="minorHAnsi" w:eastAsiaTheme="minorHAnsi" w:hAnsiTheme="minorHAnsi" w:cstheme="minorBidi"/>
          <w:iCs/>
          <w:szCs w:val="22"/>
        </w:rPr>
        <w:t xml:space="preserve">for </w:t>
      </w:r>
      <w:proofErr w:type="spellStart"/>
      <w:r w:rsidR="007016E8" w:rsidRPr="00EE227E">
        <w:rPr>
          <w:rFonts w:asciiTheme="minorHAnsi" w:eastAsiaTheme="minorHAnsi" w:hAnsiTheme="minorHAnsi" w:cstheme="minorBidi"/>
          <w:iCs/>
          <w:szCs w:val="22"/>
        </w:rPr>
        <w:t>tezepelumab</w:t>
      </w:r>
      <w:proofErr w:type="spellEnd"/>
      <w:r w:rsidR="009A2BB9" w:rsidRPr="00EE227E">
        <w:rPr>
          <w:rFonts w:asciiTheme="minorHAnsi" w:eastAsiaTheme="minorHAnsi" w:hAnsiTheme="minorHAnsi" w:cstheme="minorBidi"/>
          <w:iCs/>
          <w:szCs w:val="22"/>
        </w:rPr>
        <w:t xml:space="preserve"> </w:t>
      </w:r>
      <w:r w:rsidR="00EB7F2E" w:rsidRPr="00EE227E">
        <w:rPr>
          <w:rFonts w:asciiTheme="minorHAnsi" w:eastAsiaTheme="minorHAnsi" w:hAnsiTheme="minorHAnsi" w:cstheme="minorBidi"/>
          <w:iCs/>
          <w:szCs w:val="22"/>
        </w:rPr>
        <w:t xml:space="preserve">treated patients </w:t>
      </w:r>
      <w:r w:rsidR="007016E8" w:rsidRPr="00EE227E">
        <w:rPr>
          <w:rFonts w:asciiTheme="minorHAnsi" w:eastAsiaTheme="minorHAnsi" w:hAnsiTheme="minorHAnsi" w:cstheme="minorBidi"/>
          <w:iCs/>
          <w:szCs w:val="22"/>
        </w:rPr>
        <w:t>(</w:t>
      </w:r>
      <w:r w:rsidR="00EB7F2E" w:rsidRPr="00EE227E">
        <w:rPr>
          <w:rFonts w:asciiTheme="minorHAnsi" w:eastAsiaTheme="minorHAnsi" w:hAnsiTheme="minorHAnsi" w:cstheme="minorBidi"/>
          <w:iCs/>
          <w:szCs w:val="22"/>
        </w:rPr>
        <w:t>not receiving OCS</w:t>
      </w:r>
      <w:r w:rsidR="007016E8" w:rsidRPr="00EE227E">
        <w:rPr>
          <w:rFonts w:asciiTheme="minorHAnsi" w:eastAsiaTheme="minorHAnsi" w:hAnsiTheme="minorHAnsi" w:cstheme="minorBidi"/>
          <w:iCs/>
          <w:szCs w:val="22"/>
        </w:rPr>
        <w:t>)</w:t>
      </w:r>
      <w:r w:rsidR="00EB7F2E" w:rsidRPr="00EE227E">
        <w:rPr>
          <w:rFonts w:asciiTheme="minorHAnsi" w:eastAsiaTheme="minorHAnsi" w:hAnsiTheme="minorHAnsi" w:cstheme="minorBidi"/>
          <w:iCs/>
          <w:szCs w:val="22"/>
        </w:rPr>
        <w:t xml:space="preserve"> </w:t>
      </w:r>
      <w:r w:rsidR="002F1DD7" w:rsidRPr="00EE227E">
        <w:rPr>
          <w:rFonts w:asciiTheme="minorHAnsi" w:eastAsiaTheme="minorHAnsi" w:hAnsiTheme="minorHAnsi" w:cstheme="minorBidi"/>
          <w:iCs/>
          <w:szCs w:val="22"/>
        </w:rPr>
        <w:t xml:space="preserve">had been informed by </w:t>
      </w:r>
      <w:r w:rsidR="00EB7F2E" w:rsidRPr="00EE227E">
        <w:rPr>
          <w:rFonts w:asciiTheme="minorHAnsi" w:eastAsiaTheme="minorHAnsi" w:hAnsiTheme="minorHAnsi" w:cstheme="minorBidi"/>
          <w:iCs/>
          <w:szCs w:val="22"/>
        </w:rPr>
        <w:t xml:space="preserve">subgroup analyses of IPD from the NAVIGATOR trial, where patients with uncontrolled disease experienced a decrease in annual exacerbation rate from 2.2 to 1.1, and those with controlled disease from 1.0 to 0.5. </w:t>
      </w:r>
      <w:r w:rsidR="00316BDD" w:rsidRPr="00EE227E">
        <w:rPr>
          <w:rFonts w:asciiTheme="minorHAnsi" w:eastAsiaTheme="minorHAnsi" w:hAnsiTheme="minorHAnsi" w:cstheme="minorBidi"/>
          <w:iCs/>
          <w:szCs w:val="22"/>
        </w:rPr>
        <w:t xml:space="preserve">The Response </w:t>
      </w:r>
      <w:r w:rsidR="00CE0FF6" w:rsidRPr="00EE227E">
        <w:rPr>
          <w:rFonts w:asciiTheme="minorHAnsi" w:eastAsiaTheme="minorHAnsi" w:hAnsiTheme="minorHAnsi" w:cstheme="minorBidi"/>
          <w:iCs/>
          <w:szCs w:val="22"/>
        </w:rPr>
        <w:t xml:space="preserve">also </w:t>
      </w:r>
      <w:r w:rsidR="00316BDD" w:rsidRPr="00EE227E">
        <w:rPr>
          <w:rFonts w:asciiTheme="minorHAnsi" w:eastAsiaTheme="minorHAnsi" w:hAnsiTheme="minorHAnsi" w:cstheme="minorBidi"/>
          <w:iCs/>
          <w:szCs w:val="22"/>
        </w:rPr>
        <w:t xml:space="preserve">noted this reduction </w:t>
      </w:r>
      <w:r w:rsidR="00001B21" w:rsidRPr="00EE227E">
        <w:rPr>
          <w:rFonts w:asciiTheme="minorHAnsi" w:eastAsiaTheme="minorHAnsi" w:hAnsiTheme="minorHAnsi" w:cstheme="minorBidi"/>
          <w:iCs/>
          <w:szCs w:val="22"/>
        </w:rPr>
        <w:t>had</w:t>
      </w:r>
      <w:r w:rsidR="00316BDD" w:rsidRPr="00EE227E">
        <w:rPr>
          <w:rFonts w:asciiTheme="minorHAnsi" w:eastAsiaTheme="minorHAnsi" w:hAnsiTheme="minorHAnsi" w:cstheme="minorBidi"/>
          <w:iCs/>
          <w:szCs w:val="22"/>
        </w:rPr>
        <w:t xml:space="preserve"> </w:t>
      </w:r>
      <w:r w:rsidR="00001B21" w:rsidRPr="00EE227E">
        <w:rPr>
          <w:rFonts w:asciiTheme="minorHAnsi" w:eastAsiaTheme="minorHAnsi" w:hAnsiTheme="minorHAnsi" w:cstheme="minorBidi"/>
          <w:iCs/>
          <w:szCs w:val="22"/>
        </w:rPr>
        <w:t xml:space="preserve">been </w:t>
      </w:r>
      <w:r w:rsidR="00316BDD" w:rsidRPr="00EE227E">
        <w:rPr>
          <w:rFonts w:asciiTheme="minorHAnsi" w:eastAsiaTheme="minorHAnsi" w:hAnsiTheme="minorHAnsi" w:cstheme="minorBidi"/>
          <w:iCs/>
          <w:szCs w:val="22"/>
        </w:rPr>
        <w:t>supported by a m</w:t>
      </w:r>
      <w:r w:rsidR="00EB7F2E" w:rsidRPr="00EE227E">
        <w:rPr>
          <w:rFonts w:asciiTheme="minorHAnsi" w:eastAsiaTheme="minorHAnsi" w:hAnsiTheme="minorHAnsi" w:cstheme="minorBidi"/>
          <w:iCs/>
          <w:szCs w:val="22"/>
        </w:rPr>
        <w:t xml:space="preserve">eta-analysis of AAER data from the NAVIGATOR and PATHWAY </w:t>
      </w:r>
      <w:r w:rsidR="00001B21" w:rsidRPr="00EE227E">
        <w:rPr>
          <w:rFonts w:asciiTheme="minorHAnsi" w:eastAsiaTheme="minorHAnsi" w:hAnsiTheme="minorHAnsi" w:cstheme="minorBidi"/>
          <w:iCs/>
          <w:szCs w:val="22"/>
        </w:rPr>
        <w:t>trials (</w:t>
      </w:r>
      <w:r w:rsidR="00CE0FF6" w:rsidRPr="00EE227E">
        <w:rPr>
          <w:iCs/>
        </w:rPr>
        <w:t>OR 0.62, 95% CI 0.42–0.92; p = 0.02</w:t>
      </w:r>
      <w:r w:rsidR="00CE0FF6" w:rsidRPr="00EE227E">
        <w:rPr>
          <w:rFonts w:asciiTheme="minorHAnsi" w:eastAsiaTheme="minorHAnsi" w:hAnsiTheme="minorHAnsi" w:cstheme="minorBidi"/>
          <w:iCs/>
          <w:szCs w:val="22"/>
        </w:rPr>
        <w:t>;</w:t>
      </w:r>
      <w:r w:rsidR="00F753D2" w:rsidRPr="00EE227E">
        <w:rPr>
          <w:rFonts w:asciiTheme="minorHAnsi" w:eastAsiaTheme="minorHAnsi" w:hAnsiTheme="minorHAnsi" w:cstheme="minorBidi"/>
          <w:iCs/>
          <w:szCs w:val="22"/>
        </w:rPr>
        <w:t xml:space="preserve"> paragraph </w:t>
      </w:r>
      <w:r w:rsidR="00F753D2" w:rsidRPr="00EE227E">
        <w:rPr>
          <w:rFonts w:asciiTheme="minorHAnsi" w:eastAsiaTheme="minorHAnsi" w:hAnsiTheme="minorHAnsi" w:cstheme="minorBidi"/>
          <w:iCs/>
          <w:szCs w:val="22"/>
        </w:rPr>
        <w:fldChar w:fldCharType="begin"/>
      </w:r>
      <w:r w:rsidR="00F753D2" w:rsidRPr="00EE227E">
        <w:rPr>
          <w:rFonts w:asciiTheme="minorHAnsi" w:eastAsiaTheme="minorHAnsi" w:hAnsiTheme="minorHAnsi" w:cstheme="minorBidi"/>
          <w:iCs/>
          <w:szCs w:val="22"/>
        </w:rPr>
        <w:instrText xml:space="preserve"> REF _Ref211571880 \r \h </w:instrText>
      </w:r>
      <w:r w:rsidR="00F753D2" w:rsidRPr="00EE227E">
        <w:rPr>
          <w:rFonts w:asciiTheme="minorHAnsi" w:eastAsiaTheme="minorHAnsi" w:hAnsiTheme="minorHAnsi" w:cstheme="minorBidi"/>
          <w:iCs/>
          <w:szCs w:val="22"/>
        </w:rPr>
      </w:r>
      <w:r w:rsidR="00F753D2" w:rsidRPr="00EE227E">
        <w:rPr>
          <w:rFonts w:asciiTheme="minorHAnsi" w:eastAsiaTheme="minorHAnsi" w:hAnsiTheme="minorHAnsi" w:cstheme="minorBidi"/>
          <w:iCs/>
          <w:szCs w:val="22"/>
        </w:rPr>
        <w:fldChar w:fldCharType="separate"/>
      </w:r>
      <w:r w:rsidR="0078760A">
        <w:rPr>
          <w:rFonts w:asciiTheme="minorHAnsi" w:eastAsiaTheme="minorHAnsi" w:hAnsiTheme="minorHAnsi" w:cstheme="minorBidi"/>
          <w:iCs/>
          <w:szCs w:val="22"/>
        </w:rPr>
        <w:t>6.22</w:t>
      </w:r>
      <w:r w:rsidR="00F753D2" w:rsidRPr="00EE227E">
        <w:rPr>
          <w:rFonts w:asciiTheme="minorHAnsi" w:eastAsiaTheme="minorHAnsi" w:hAnsiTheme="minorHAnsi" w:cstheme="minorBidi"/>
          <w:iCs/>
          <w:szCs w:val="22"/>
        </w:rPr>
        <w:fldChar w:fldCharType="end"/>
      </w:r>
      <w:r w:rsidR="00F753D2" w:rsidRPr="00EE227E">
        <w:rPr>
          <w:rFonts w:asciiTheme="minorHAnsi" w:eastAsiaTheme="minorHAnsi" w:hAnsiTheme="minorHAnsi" w:cstheme="minorBidi"/>
          <w:iCs/>
          <w:szCs w:val="22"/>
        </w:rPr>
        <w:t>).</w:t>
      </w:r>
      <w:r w:rsidR="00ED6786" w:rsidRPr="00EE227E">
        <w:rPr>
          <w:rFonts w:asciiTheme="minorHAnsi" w:eastAsiaTheme="minorHAnsi" w:hAnsiTheme="minorHAnsi" w:cstheme="minorBidi"/>
          <w:iCs/>
          <w:szCs w:val="22"/>
        </w:rPr>
        <w:t xml:space="preserve"> The</w:t>
      </w:r>
      <w:r w:rsidR="00FB52BA" w:rsidRPr="00EE227E">
        <w:rPr>
          <w:rFonts w:asciiTheme="minorHAnsi" w:eastAsiaTheme="minorHAnsi" w:hAnsiTheme="minorHAnsi" w:cstheme="minorBidi"/>
          <w:iCs/>
          <w:szCs w:val="22"/>
        </w:rPr>
        <w:t xml:space="preserve"> ESC noted that the</w:t>
      </w:r>
      <w:r w:rsidR="00ED6786" w:rsidRPr="00EE227E">
        <w:rPr>
          <w:rFonts w:asciiTheme="minorHAnsi" w:eastAsiaTheme="minorHAnsi" w:hAnsiTheme="minorHAnsi" w:cstheme="minorBidi"/>
          <w:iCs/>
          <w:szCs w:val="22"/>
        </w:rPr>
        <w:t xml:space="preserve"> </w:t>
      </w:r>
      <w:r w:rsidR="000B1A08" w:rsidRPr="00EE227E">
        <w:rPr>
          <w:rFonts w:asciiTheme="minorHAnsi" w:eastAsiaTheme="minorHAnsi" w:hAnsiTheme="minorHAnsi" w:cstheme="minorBidi"/>
          <w:iCs/>
          <w:szCs w:val="22"/>
        </w:rPr>
        <w:t>PSCR</w:t>
      </w:r>
      <w:r w:rsidR="00ED6786" w:rsidRPr="00EE227E">
        <w:rPr>
          <w:rFonts w:asciiTheme="minorHAnsi" w:eastAsiaTheme="minorHAnsi" w:hAnsiTheme="minorHAnsi" w:cstheme="minorBidi"/>
          <w:iCs/>
          <w:szCs w:val="22"/>
        </w:rPr>
        <w:t xml:space="preserve"> </w:t>
      </w:r>
      <w:r w:rsidR="006173F2" w:rsidRPr="00EE227E">
        <w:rPr>
          <w:rFonts w:asciiTheme="minorHAnsi" w:eastAsiaTheme="minorHAnsi" w:hAnsiTheme="minorHAnsi" w:cstheme="minorBidi"/>
          <w:iCs/>
          <w:szCs w:val="22"/>
        </w:rPr>
        <w:t>included</w:t>
      </w:r>
      <w:r w:rsidR="00ED6786" w:rsidRPr="00EE227E">
        <w:rPr>
          <w:rFonts w:asciiTheme="minorHAnsi" w:eastAsiaTheme="minorHAnsi" w:hAnsiTheme="minorHAnsi" w:cstheme="minorBidi"/>
          <w:iCs/>
          <w:szCs w:val="22"/>
        </w:rPr>
        <w:t xml:space="preserve"> a</w:t>
      </w:r>
      <w:r w:rsidR="00EB7F2E" w:rsidRPr="00EE227E">
        <w:rPr>
          <w:rFonts w:asciiTheme="minorHAnsi" w:eastAsiaTheme="minorHAnsi" w:hAnsiTheme="minorHAnsi" w:cstheme="minorBidi"/>
          <w:iCs/>
          <w:szCs w:val="22"/>
        </w:rPr>
        <w:t xml:space="preserve"> sensitivity analysis</w:t>
      </w:r>
      <w:r w:rsidR="00F14216" w:rsidRPr="00EE227E">
        <w:rPr>
          <w:rFonts w:asciiTheme="minorHAnsi" w:eastAsiaTheme="minorHAnsi" w:hAnsiTheme="minorHAnsi" w:cstheme="minorBidi"/>
          <w:iCs/>
          <w:szCs w:val="22"/>
        </w:rPr>
        <w:t xml:space="preserve"> with</w:t>
      </w:r>
      <w:r w:rsidR="00EB7F2E" w:rsidRPr="00EE227E">
        <w:rPr>
          <w:rFonts w:asciiTheme="minorHAnsi" w:eastAsiaTheme="minorHAnsi" w:hAnsiTheme="minorHAnsi" w:cstheme="minorBidi"/>
          <w:iCs/>
          <w:szCs w:val="22"/>
        </w:rPr>
        <w:t xml:space="preserve"> a reduced effect on exacerbation rates</w:t>
      </w:r>
      <w:r w:rsidR="008572AB" w:rsidRPr="00EE227E">
        <w:rPr>
          <w:rFonts w:asciiTheme="minorHAnsi" w:eastAsiaTheme="minorHAnsi" w:hAnsiTheme="minorHAnsi" w:cstheme="minorBidi"/>
          <w:iCs/>
          <w:szCs w:val="22"/>
        </w:rPr>
        <w:t xml:space="preserve"> </w:t>
      </w:r>
      <w:r w:rsidR="00F14216" w:rsidRPr="00EE227E">
        <w:rPr>
          <w:rFonts w:asciiTheme="minorHAnsi" w:eastAsiaTheme="minorHAnsi" w:hAnsiTheme="minorHAnsi" w:cstheme="minorBidi"/>
          <w:iCs/>
          <w:szCs w:val="22"/>
        </w:rPr>
        <w:t>(</w:t>
      </w:r>
      <w:r w:rsidR="00EB7F2E" w:rsidRPr="00EE227E">
        <w:rPr>
          <w:rFonts w:asciiTheme="minorHAnsi" w:eastAsiaTheme="minorHAnsi" w:hAnsiTheme="minorHAnsi" w:cstheme="minorBidi"/>
          <w:iCs/>
          <w:szCs w:val="22"/>
        </w:rPr>
        <w:t xml:space="preserve">from a 50% to 37.5% </w:t>
      </w:r>
      <w:r w:rsidR="00F85EA2" w:rsidRPr="00EE227E">
        <w:rPr>
          <w:rFonts w:asciiTheme="minorHAnsi" w:eastAsiaTheme="minorHAnsi" w:hAnsiTheme="minorHAnsi" w:cstheme="minorBidi"/>
          <w:iCs/>
          <w:szCs w:val="22"/>
        </w:rPr>
        <w:t xml:space="preserve">reduction </w:t>
      </w:r>
      <w:r w:rsidR="00F14216" w:rsidRPr="00EE227E">
        <w:rPr>
          <w:rFonts w:asciiTheme="minorHAnsi" w:eastAsiaTheme="minorHAnsi" w:hAnsiTheme="minorHAnsi" w:cstheme="minorBidi"/>
          <w:iCs/>
          <w:szCs w:val="22"/>
        </w:rPr>
        <w:t>[</w:t>
      </w:r>
      <w:r w:rsidR="00EB7F2E" w:rsidRPr="00EE227E">
        <w:rPr>
          <w:rFonts w:asciiTheme="minorHAnsi" w:eastAsiaTheme="minorHAnsi" w:hAnsiTheme="minorHAnsi" w:cstheme="minorBidi"/>
          <w:iCs/>
          <w:szCs w:val="22"/>
        </w:rPr>
        <w:t>RR 0.625</w:t>
      </w:r>
      <w:r w:rsidR="00F14216" w:rsidRPr="00EE227E">
        <w:rPr>
          <w:rFonts w:asciiTheme="minorHAnsi" w:eastAsiaTheme="minorHAnsi" w:hAnsiTheme="minorHAnsi" w:cstheme="minorBidi"/>
          <w:iCs/>
          <w:szCs w:val="22"/>
        </w:rPr>
        <w:t>]</w:t>
      </w:r>
      <w:r w:rsidR="009E49DC" w:rsidRPr="00EE227E">
        <w:rPr>
          <w:rFonts w:asciiTheme="minorHAnsi" w:eastAsiaTheme="minorHAnsi" w:hAnsiTheme="minorHAnsi" w:cstheme="minorBidi"/>
          <w:iCs/>
          <w:szCs w:val="22"/>
        </w:rPr>
        <w:t>)</w:t>
      </w:r>
      <w:r w:rsidR="00F14216" w:rsidRPr="00EE227E">
        <w:rPr>
          <w:rFonts w:asciiTheme="minorHAnsi" w:eastAsiaTheme="minorHAnsi" w:hAnsiTheme="minorHAnsi" w:cstheme="minorBidi"/>
          <w:iCs/>
          <w:szCs w:val="22"/>
        </w:rPr>
        <w:t xml:space="preserve"> and noted that this increased </w:t>
      </w:r>
      <w:r w:rsidR="00F85EA2" w:rsidRPr="00EE227E">
        <w:rPr>
          <w:rFonts w:asciiTheme="minorHAnsi" w:eastAsiaTheme="minorHAnsi" w:hAnsiTheme="minorHAnsi" w:cstheme="minorBidi"/>
          <w:iCs/>
          <w:szCs w:val="22"/>
        </w:rPr>
        <w:t xml:space="preserve">the </w:t>
      </w:r>
      <w:r w:rsidR="00F14216" w:rsidRPr="00EE227E">
        <w:rPr>
          <w:rFonts w:asciiTheme="minorHAnsi" w:eastAsiaTheme="minorHAnsi" w:hAnsiTheme="minorHAnsi" w:cstheme="minorBidi"/>
          <w:iCs/>
          <w:szCs w:val="22"/>
        </w:rPr>
        <w:t xml:space="preserve">base case </w:t>
      </w:r>
      <w:r w:rsidR="003D3C02" w:rsidRPr="00EE227E">
        <w:rPr>
          <w:rFonts w:asciiTheme="minorHAnsi" w:eastAsiaTheme="minorHAnsi" w:hAnsiTheme="minorHAnsi" w:cstheme="minorBidi"/>
          <w:iCs/>
          <w:szCs w:val="22"/>
        </w:rPr>
        <w:t xml:space="preserve">ICER </w:t>
      </w:r>
      <w:r w:rsidR="00F14216" w:rsidRPr="00EE227E">
        <w:rPr>
          <w:rFonts w:asciiTheme="minorHAnsi" w:eastAsiaTheme="minorHAnsi" w:hAnsiTheme="minorHAnsi" w:cstheme="minorBidi"/>
          <w:iCs/>
          <w:szCs w:val="22"/>
        </w:rPr>
        <w:t>to</w:t>
      </w:r>
      <w:r w:rsidR="003D3C02" w:rsidRPr="00EE227E">
        <w:rPr>
          <w:rFonts w:asciiTheme="minorHAnsi" w:eastAsiaTheme="minorHAnsi" w:hAnsiTheme="minorHAnsi" w:cstheme="minorBidi"/>
          <w:iCs/>
          <w:szCs w:val="22"/>
        </w:rPr>
        <w:t xml:space="preserve"> </w:t>
      </w:r>
      <w:bookmarkStart w:id="82" w:name="_Hlk219208867"/>
      <w:r w:rsidR="00B6160D" w:rsidRPr="00B6160D">
        <w:rPr>
          <w:rFonts w:asciiTheme="minorHAnsi" w:eastAsiaTheme="minorHAnsi" w:hAnsiTheme="minorHAnsi" w:cstheme="minorBidi"/>
          <w:iCs/>
          <w:szCs w:val="22"/>
        </w:rPr>
        <w:t>$75,000 to &lt; $95,000</w:t>
      </w:r>
      <w:bookmarkEnd w:id="82"/>
      <w:r w:rsidR="003D3C02" w:rsidRPr="00EE227E">
        <w:rPr>
          <w:rFonts w:asciiTheme="minorHAnsi" w:eastAsiaTheme="minorHAnsi" w:hAnsiTheme="minorHAnsi" w:cstheme="minorBidi"/>
          <w:iCs/>
          <w:szCs w:val="22"/>
        </w:rPr>
        <w:t xml:space="preserve"> per QALY gained</w:t>
      </w:r>
      <w:r w:rsidR="00AD4588" w:rsidRPr="00EE227E">
        <w:rPr>
          <w:rFonts w:asciiTheme="minorHAnsi" w:eastAsiaTheme="minorHAnsi" w:hAnsiTheme="minorHAnsi" w:cstheme="minorBidi"/>
          <w:iCs/>
          <w:szCs w:val="22"/>
        </w:rPr>
        <w:t>.</w:t>
      </w:r>
      <w:r w:rsidR="00F85EA2" w:rsidRPr="00EE227E">
        <w:rPr>
          <w:rFonts w:asciiTheme="minorHAnsi" w:eastAsiaTheme="minorHAnsi" w:hAnsiTheme="minorHAnsi" w:cstheme="minorBidi"/>
          <w:iCs/>
          <w:szCs w:val="22"/>
        </w:rPr>
        <w:t xml:space="preserve"> The ESC </w:t>
      </w:r>
      <w:r w:rsidR="00F14216" w:rsidRPr="00EE227E">
        <w:rPr>
          <w:rFonts w:asciiTheme="minorHAnsi" w:eastAsiaTheme="minorHAnsi" w:hAnsiTheme="minorHAnsi" w:cstheme="minorBidi"/>
          <w:iCs/>
          <w:szCs w:val="22"/>
        </w:rPr>
        <w:t xml:space="preserve">agreed with the PSCR that this </w:t>
      </w:r>
      <w:r w:rsidR="003D3C02" w:rsidRPr="00EE227E">
        <w:rPr>
          <w:rFonts w:asciiTheme="minorHAnsi" w:eastAsiaTheme="minorHAnsi" w:hAnsiTheme="minorHAnsi" w:cstheme="minorBidi"/>
          <w:iCs/>
          <w:szCs w:val="22"/>
        </w:rPr>
        <w:t xml:space="preserve">would be </w:t>
      </w:r>
      <w:r w:rsidR="00F14216" w:rsidRPr="00EE227E">
        <w:rPr>
          <w:rFonts w:asciiTheme="minorHAnsi" w:eastAsiaTheme="minorHAnsi" w:hAnsiTheme="minorHAnsi" w:cstheme="minorBidi"/>
          <w:iCs/>
          <w:szCs w:val="22"/>
        </w:rPr>
        <w:t xml:space="preserve">more </w:t>
      </w:r>
      <w:r w:rsidR="003D3C02" w:rsidRPr="00EE227E">
        <w:rPr>
          <w:rFonts w:asciiTheme="minorHAnsi" w:eastAsiaTheme="minorHAnsi" w:hAnsiTheme="minorHAnsi" w:cstheme="minorBidi"/>
          <w:iCs/>
          <w:szCs w:val="22"/>
        </w:rPr>
        <w:t>consist</w:t>
      </w:r>
      <w:r w:rsidR="00F14216" w:rsidRPr="00EE227E">
        <w:rPr>
          <w:rFonts w:asciiTheme="minorHAnsi" w:eastAsiaTheme="minorHAnsi" w:hAnsiTheme="minorHAnsi" w:cstheme="minorBidi"/>
          <w:iCs/>
          <w:szCs w:val="22"/>
        </w:rPr>
        <w:t>ent</w:t>
      </w:r>
      <w:r w:rsidR="003D3C02" w:rsidRPr="00EE227E">
        <w:rPr>
          <w:rFonts w:asciiTheme="minorHAnsi" w:eastAsiaTheme="minorHAnsi" w:hAnsiTheme="minorHAnsi" w:cstheme="minorBidi"/>
          <w:iCs/>
          <w:szCs w:val="22"/>
        </w:rPr>
        <w:t xml:space="preserve"> with </w:t>
      </w:r>
      <w:r w:rsidR="0002131D" w:rsidRPr="00EE227E">
        <w:rPr>
          <w:rFonts w:asciiTheme="minorHAnsi" w:eastAsiaTheme="minorHAnsi" w:hAnsiTheme="minorHAnsi" w:cstheme="minorBidi"/>
          <w:iCs/>
          <w:szCs w:val="22"/>
        </w:rPr>
        <w:t xml:space="preserve">the </w:t>
      </w:r>
      <w:r w:rsidR="00EB57F7" w:rsidRPr="00EE227E">
        <w:rPr>
          <w:rFonts w:asciiTheme="minorHAnsi" w:eastAsiaTheme="minorHAnsi" w:hAnsiTheme="minorHAnsi" w:cstheme="minorBidi"/>
          <w:iCs/>
          <w:szCs w:val="22"/>
        </w:rPr>
        <w:t xml:space="preserve">supporting </w:t>
      </w:r>
      <w:r w:rsidR="00EB7F2E" w:rsidRPr="00EE227E">
        <w:rPr>
          <w:rFonts w:asciiTheme="minorHAnsi" w:eastAsiaTheme="minorHAnsi" w:hAnsiTheme="minorHAnsi" w:cstheme="minorBidi"/>
          <w:iCs/>
          <w:szCs w:val="22"/>
        </w:rPr>
        <w:t>pooled analysis (OR 0.62</w:t>
      </w:r>
      <w:r w:rsidR="00882AEA" w:rsidRPr="00EE227E">
        <w:rPr>
          <w:rFonts w:asciiTheme="minorHAnsi" w:eastAsiaTheme="minorHAnsi" w:hAnsiTheme="minorHAnsi" w:cstheme="minorBidi"/>
          <w:iCs/>
          <w:szCs w:val="22"/>
        </w:rPr>
        <w:t xml:space="preserve">) </w:t>
      </w:r>
      <w:r w:rsidR="0078224D" w:rsidRPr="00EE227E">
        <w:rPr>
          <w:rFonts w:asciiTheme="minorHAnsi" w:eastAsiaTheme="minorHAnsi" w:hAnsiTheme="minorHAnsi" w:cstheme="minorBidi"/>
          <w:iCs/>
          <w:szCs w:val="22"/>
        </w:rPr>
        <w:t>and</w:t>
      </w:r>
      <w:r w:rsidR="0078224D" w:rsidRPr="00EE227E">
        <w:rPr>
          <w:rFonts w:eastAsiaTheme="minorHAnsi" w:cstheme="minorBidi"/>
          <w:iCs/>
          <w:szCs w:val="22"/>
        </w:rPr>
        <w:t xml:space="preserve"> noted it was also consistent with</w:t>
      </w:r>
      <w:r w:rsidR="0078224D" w:rsidRPr="00EE227E">
        <w:rPr>
          <w:rFonts w:asciiTheme="minorHAnsi" w:eastAsiaTheme="minorHAnsi" w:hAnsiTheme="minorHAnsi" w:cstheme="minorBidi"/>
          <w:iCs/>
          <w:szCs w:val="22"/>
        </w:rPr>
        <w:t xml:space="preserve"> the NAVIGATOR trial evidence for this population (34% reduction). </w:t>
      </w:r>
      <w:r w:rsidR="00FE51A9" w:rsidRPr="00EE227E">
        <w:rPr>
          <w:rFonts w:asciiTheme="minorHAnsi" w:eastAsiaTheme="minorHAnsi" w:hAnsiTheme="minorHAnsi" w:cstheme="minorBidi"/>
          <w:iCs/>
          <w:szCs w:val="22"/>
        </w:rPr>
        <w:t xml:space="preserve">The ESC </w:t>
      </w:r>
      <w:r w:rsidR="005C2022" w:rsidRPr="00EE227E">
        <w:rPr>
          <w:rFonts w:asciiTheme="minorHAnsi" w:eastAsiaTheme="minorHAnsi" w:hAnsiTheme="minorHAnsi" w:cstheme="minorBidi"/>
          <w:iCs/>
          <w:szCs w:val="22"/>
        </w:rPr>
        <w:t>considered that</w:t>
      </w:r>
      <w:r w:rsidR="00461D57" w:rsidRPr="00EE227E">
        <w:rPr>
          <w:rFonts w:asciiTheme="minorHAnsi" w:eastAsiaTheme="minorHAnsi" w:hAnsiTheme="minorHAnsi" w:cstheme="minorBidi"/>
          <w:iCs/>
          <w:szCs w:val="22"/>
        </w:rPr>
        <w:t xml:space="preserve"> </w:t>
      </w:r>
      <w:r w:rsidR="005C2022" w:rsidRPr="00EE227E">
        <w:t xml:space="preserve">a smaller reduction in exacerbation risk </w:t>
      </w:r>
      <w:r w:rsidR="00882AEA" w:rsidRPr="00EE227E">
        <w:t>(</w:t>
      </w:r>
      <w:r w:rsidR="005C2022" w:rsidRPr="00EE227E">
        <w:t>from 50% to 38%</w:t>
      </w:r>
      <w:r w:rsidR="00882AEA" w:rsidRPr="00EE227E">
        <w:t>)</w:t>
      </w:r>
      <w:r w:rsidR="005C2022" w:rsidRPr="00EE227E">
        <w:t xml:space="preserve"> would be appropriate to include in a </w:t>
      </w:r>
      <w:r w:rsidR="00746BE8" w:rsidRPr="00EE227E">
        <w:t>respecified</w:t>
      </w:r>
      <w:r w:rsidR="005C2022" w:rsidRPr="00EE227E">
        <w:t xml:space="preserve"> base case. </w:t>
      </w:r>
    </w:p>
    <w:p w14:paraId="05743682" w14:textId="377176FD" w:rsidR="00985766" w:rsidRPr="002F03BE" w:rsidRDefault="00985766" w:rsidP="00F65BD4">
      <w:pPr>
        <w:numPr>
          <w:ilvl w:val="1"/>
          <w:numId w:val="1"/>
        </w:numPr>
        <w:spacing w:before="60" w:after="60"/>
        <w:ind w:left="709"/>
        <w:rPr>
          <w:rFonts w:asciiTheme="minorHAnsi" w:eastAsiaTheme="minorHAnsi" w:hAnsiTheme="minorHAnsi" w:cstheme="minorBidi"/>
          <w:szCs w:val="22"/>
        </w:rPr>
      </w:pPr>
      <w:bookmarkStart w:id="83" w:name="_Hlk206259814"/>
      <w:r w:rsidRPr="002F03BE">
        <w:rPr>
          <w:rFonts w:asciiTheme="minorHAnsi" w:eastAsiaTheme="minorHAnsi" w:hAnsiTheme="minorHAnsi" w:cstheme="minorBidi"/>
          <w:szCs w:val="22"/>
        </w:rPr>
        <w:t>The economic model included exacerbation-related mortality for OCS bursts (1.13% per month); emergency department (ED) visits (1.8% per month); and hospitalisation</w:t>
      </w:r>
      <w:bookmarkEnd w:id="83"/>
      <w:r w:rsidRPr="002F03BE">
        <w:rPr>
          <w:rFonts w:asciiTheme="minorHAnsi" w:eastAsiaTheme="minorHAnsi" w:hAnsiTheme="minorHAnsi" w:cstheme="minorBidi"/>
          <w:szCs w:val="22"/>
        </w:rPr>
        <w:t xml:space="preserve"> (2.5% per month), and general population mortality to estimate mortality risk in non-exacerbation health states. A mortality benefit was indirectly modelled for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versus SoC because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w:t>
      </w:r>
      <w:r w:rsidR="000C5DD2">
        <w:rPr>
          <w:rFonts w:asciiTheme="minorHAnsi" w:eastAsiaTheme="minorHAnsi" w:hAnsiTheme="minorHAnsi" w:cstheme="minorBidi"/>
          <w:szCs w:val="22"/>
        </w:rPr>
        <w:t>was assumed to reduce</w:t>
      </w:r>
      <w:r w:rsidR="000C5DD2" w:rsidRPr="002F03BE">
        <w:rPr>
          <w:rFonts w:asciiTheme="minorHAnsi" w:eastAsiaTheme="minorHAnsi" w:hAnsiTheme="minorHAnsi" w:cstheme="minorBidi"/>
          <w:szCs w:val="22"/>
        </w:rPr>
        <w:t xml:space="preserve"> </w:t>
      </w:r>
      <w:r w:rsidRPr="002F03BE">
        <w:rPr>
          <w:rFonts w:asciiTheme="minorHAnsi" w:eastAsiaTheme="minorHAnsi" w:hAnsiTheme="minorHAnsi" w:cstheme="minorBidi"/>
          <w:szCs w:val="22"/>
        </w:rPr>
        <w:t xml:space="preserve">the rate of severe exacerbations. </w:t>
      </w:r>
      <w:r w:rsidR="00F84CE2" w:rsidRPr="00EE227E">
        <w:rPr>
          <w:rFonts w:asciiTheme="minorHAnsi" w:eastAsiaTheme="minorHAnsi" w:hAnsiTheme="minorHAnsi" w:cstheme="minorBidi"/>
          <w:iCs/>
          <w:szCs w:val="22"/>
        </w:rPr>
        <w:t>The evaluation considered that a</w:t>
      </w:r>
      <w:r w:rsidRPr="00EE227E">
        <w:rPr>
          <w:rFonts w:asciiTheme="minorHAnsi" w:eastAsiaTheme="minorHAnsi" w:hAnsiTheme="minorHAnsi" w:cstheme="minorBidi"/>
          <w:iCs/>
          <w:szCs w:val="22"/>
        </w:rPr>
        <w:t>pplying</w:t>
      </w:r>
      <w:r w:rsidRPr="002F03BE">
        <w:rPr>
          <w:rFonts w:asciiTheme="minorHAnsi" w:eastAsiaTheme="minorHAnsi" w:hAnsiTheme="minorHAnsi" w:cstheme="minorBidi"/>
          <w:szCs w:val="22"/>
        </w:rPr>
        <w:t xml:space="preserve"> exacerbation-related mortality to the economic model was not appropriate given that asthma-related deaths are rare. Furthermore, a mortality benefit associated with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was not demonstrated in the trials. </w:t>
      </w:r>
    </w:p>
    <w:p w14:paraId="3D14630E" w14:textId="535B7729" w:rsidR="00FE2AA5" w:rsidRPr="00FE2AA5" w:rsidRDefault="00985766" w:rsidP="00FE2AA5">
      <w:pPr>
        <w:pStyle w:val="COMESnumberedpara"/>
      </w:pPr>
      <w:r w:rsidRPr="002F03BE">
        <w:t xml:space="preserve">The </w:t>
      </w:r>
      <w:r w:rsidR="00596918" w:rsidRPr="00EE227E">
        <w:rPr>
          <w:iCs/>
        </w:rPr>
        <w:t>evaluation considered that the</w:t>
      </w:r>
      <w:r w:rsidR="00596918">
        <w:t xml:space="preserve"> </w:t>
      </w:r>
      <w:r w:rsidRPr="002F03BE">
        <w:t xml:space="preserve">sources used to derive the probabilities of mortality after exacerbation requiring an ED visit or hospital admission were not reliable. The 1.8% mortality rate assumed for an exacerbation requiring an ED visit was sourced from an abstract by </w:t>
      </w:r>
      <w:proofErr w:type="spellStart"/>
      <w:r w:rsidRPr="002F03BE">
        <w:t>Bacharier</w:t>
      </w:r>
      <w:proofErr w:type="spellEnd"/>
      <w:r w:rsidRPr="002F03BE">
        <w:t xml:space="preserve"> (2018)</w:t>
      </w:r>
      <w:r w:rsidR="00480C52">
        <w:rPr>
          <w:rStyle w:val="FootnoteReference"/>
        </w:rPr>
        <w:footnoteReference w:id="6"/>
      </w:r>
      <w:r w:rsidRPr="002F03BE">
        <w:t xml:space="preserve">. However, it did not contain any information on mortality rates from asthma exacerbation for patients on </w:t>
      </w:r>
      <w:proofErr w:type="spellStart"/>
      <w:r w:rsidRPr="002F03BE">
        <w:t>tezepelumab</w:t>
      </w:r>
      <w:proofErr w:type="spellEnd"/>
      <w:r w:rsidRPr="002F03BE">
        <w:t>. The 2.5% mortality rate assumed for an exacerbation requiring hospitalisation was sourced from a study by De Vries (2010)</w:t>
      </w:r>
      <w:r w:rsidR="00A22C24">
        <w:rPr>
          <w:rStyle w:val="FootnoteReference"/>
        </w:rPr>
        <w:footnoteReference w:id="7"/>
      </w:r>
      <w:r w:rsidRPr="002F03BE">
        <w:t xml:space="preserve">. This study was based on a UK General Practice Research Database (GPRD), which did not include any patients receiving a biologic medicine. The study reported rates based on an analysis of a prescription database and did not consider confounding factors such as comorbidities or other factors that could result in death. Therefore, using this study as a source in the economic model introduced uncertainty. The economic model used for the mepolizumab submission </w:t>
      </w:r>
      <w:r w:rsidR="000C003D">
        <w:t>(</w:t>
      </w:r>
      <w:r w:rsidR="000C003D" w:rsidRPr="002F03BE">
        <w:t>severe eosinophilic asthma</w:t>
      </w:r>
      <w:r w:rsidR="000C003D">
        <w:t xml:space="preserve">) </w:t>
      </w:r>
      <w:r w:rsidR="00585705">
        <w:t>included</w:t>
      </w:r>
      <w:r w:rsidR="00585705" w:rsidRPr="002F03BE">
        <w:t xml:space="preserve"> </w:t>
      </w:r>
      <w:r w:rsidRPr="002F03BE">
        <w:t>similar mortality probabilities. In considering mepolizumab, the ESC considered that the magnitude of difference between these mortality estimates (i.e. risk of mortality is more than doubled if an exacerbation requires hospitalisation compared to exacerbation without hospitalisation) appeared infeasible, and a review of similar parameter estimates from published asthma cost-effectiveness models should have been presented to demonstrate feasibility (para. 6.37, mepolizumab PSD, March 2016 PBAC Meeting). In the current submission, mortality was a driver of the ICER</w:t>
      </w:r>
      <w:bookmarkStart w:id="84" w:name="_Hlk206260167"/>
      <w:r w:rsidRPr="002F03BE">
        <w:t xml:space="preserve">. Removing exacerbation-related mortality resulted in an ICER of </w:t>
      </w:r>
      <w:r w:rsidR="009A2FB8" w:rsidRPr="009A2FB8">
        <w:t>$155,000 to &lt; $255,000</w:t>
      </w:r>
      <w:r w:rsidRPr="002F03BE">
        <w:t xml:space="preserve"> per QALY gained, an increase of </w:t>
      </w:r>
      <w:r w:rsidR="00B14769" w:rsidRPr="00B14769">
        <w:rPr>
          <w:highlight w:val="black"/>
        </w:rPr>
        <w:t>&amp;&amp;&amp;&amp;</w:t>
      </w:r>
      <w:r w:rsidRPr="002F03BE">
        <w:t xml:space="preserve">% from the base case. </w:t>
      </w:r>
      <w:r w:rsidR="00231E76" w:rsidRPr="00EE227E">
        <w:rPr>
          <w:iCs/>
        </w:rPr>
        <w:t xml:space="preserve">The PSCR </w:t>
      </w:r>
      <w:r w:rsidR="005358B5" w:rsidRPr="00EE227E">
        <w:rPr>
          <w:iCs/>
        </w:rPr>
        <w:t xml:space="preserve">maintained that </w:t>
      </w:r>
      <w:r w:rsidR="00027BC2" w:rsidRPr="00EE227E">
        <w:rPr>
          <w:iCs/>
        </w:rPr>
        <w:t>the</w:t>
      </w:r>
      <w:r w:rsidR="005358B5" w:rsidRPr="00EE227E">
        <w:rPr>
          <w:iCs/>
        </w:rPr>
        <w:t xml:space="preserve"> inclusion </w:t>
      </w:r>
      <w:r w:rsidR="00C71E1A" w:rsidRPr="00EE227E">
        <w:rPr>
          <w:iCs/>
        </w:rPr>
        <w:t xml:space="preserve">of exacerbation-related mortality in the economic evaluation </w:t>
      </w:r>
      <w:r w:rsidR="005358B5" w:rsidRPr="00EE227E">
        <w:rPr>
          <w:iCs/>
        </w:rPr>
        <w:t>was appropriate</w:t>
      </w:r>
      <w:r w:rsidR="00C71E1A" w:rsidRPr="00EE227E">
        <w:rPr>
          <w:iCs/>
        </w:rPr>
        <w:t xml:space="preserve">. </w:t>
      </w:r>
      <w:r w:rsidR="00A219AC" w:rsidRPr="00EE227E">
        <w:rPr>
          <w:iCs/>
        </w:rPr>
        <w:t>The PSCR noted that p</w:t>
      </w:r>
      <w:r w:rsidR="00C71E1A" w:rsidRPr="00EE227E">
        <w:rPr>
          <w:iCs/>
        </w:rPr>
        <w:t>ublished studies report mortality rates among hospitali</w:t>
      </w:r>
      <w:r w:rsidR="00A219AC" w:rsidRPr="00EE227E">
        <w:rPr>
          <w:iCs/>
        </w:rPr>
        <w:t>s</w:t>
      </w:r>
      <w:r w:rsidR="00C71E1A" w:rsidRPr="00EE227E">
        <w:rPr>
          <w:iCs/>
        </w:rPr>
        <w:t xml:space="preserve">ed asthma patients </w:t>
      </w:r>
      <w:r w:rsidR="004E4D5F" w:rsidRPr="00EE227E">
        <w:rPr>
          <w:iCs/>
        </w:rPr>
        <w:t>that range</w:t>
      </w:r>
      <w:r w:rsidR="00A303FC" w:rsidRPr="00EE227E">
        <w:rPr>
          <w:iCs/>
        </w:rPr>
        <w:t xml:space="preserve"> </w:t>
      </w:r>
      <w:r w:rsidR="00977EC2" w:rsidRPr="00EE227E">
        <w:rPr>
          <w:iCs/>
        </w:rPr>
        <w:t>between</w:t>
      </w:r>
      <w:r w:rsidR="00C71E1A" w:rsidRPr="00EE227E">
        <w:rPr>
          <w:iCs/>
        </w:rPr>
        <w:t xml:space="preserve"> 0.43</w:t>
      </w:r>
      <w:r w:rsidR="00AD00D7" w:rsidRPr="00EE227E">
        <w:rPr>
          <w:rFonts w:cstheme="minorHAnsi"/>
          <w:iCs/>
        </w:rPr>
        <w:t>−</w:t>
      </w:r>
      <w:r w:rsidR="00AD00D7" w:rsidRPr="00EE227E">
        <w:rPr>
          <w:iCs/>
        </w:rPr>
        <w:t>0</w:t>
      </w:r>
      <w:r w:rsidR="00C71E1A" w:rsidRPr="00EE227E">
        <w:rPr>
          <w:iCs/>
        </w:rPr>
        <w:t>.9% (Watson et al., 2007</w:t>
      </w:r>
      <w:r w:rsidR="002C0E02" w:rsidRPr="00EE227E">
        <w:rPr>
          <w:rStyle w:val="FootnoteReference"/>
          <w:iCs/>
        </w:rPr>
        <w:footnoteReference w:id="8"/>
      </w:r>
      <w:r w:rsidR="00C71E1A" w:rsidRPr="00EE227E">
        <w:rPr>
          <w:iCs/>
        </w:rPr>
        <w:t>; Krishnan et al., 2006</w:t>
      </w:r>
      <w:r w:rsidR="002C0E02" w:rsidRPr="00EE227E">
        <w:rPr>
          <w:rStyle w:val="FootnoteReference"/>
          <w:iCs/>
        </w:rPr>
        <w:footnoteReference w:id="9"/>
      </w:r>
      <w:r w:rsidR="00C71E1A" w:rsidRPr="00EE227E">
        <w:rPr>
          <w:iCs/>
        </w:rPr>
        <w:t>; Roberts et al., 2013</w:t>
      </w:r>
      <w:r w:rsidR="00D13452" w:rsidRPr="00EE227E">
        <w:rPr>
          <w:rStyle w:val="FootnoteReference"/>
          <w:iCs/>
        </w:rPr>
        <w:footnoteReference w:id="10"/>
      </w:r>
      <w:r w:rsidR="00C71E1A" w:rsidRPr="00EE227E">
        <w:rPr>
          <w:iCs/>
        </w:rPr>
        <w:t>)</w:t>
      </w:r>
      <w:r w:rsidR="00CE4F06" w:rsidRPr="00EE227E">
        <w:rPr>
          <w:iCs/>
        </w:rPr>
        <w:t xml:space="preserve"> and</w:t>
      </w:r>
      <w:r w:rsidR="004E4D5F" w:rsidRPr="00EE227E">
        <w:rPr>
          <w:iCs/>
        </w:rPr>
        <w:t xml:space="preserve"> highlighted</w:t>
      </w:r>
      <w:r w:rsidR="00DD55AF" w:rsidRPr="00EE227E">
        <w:rPr>
          <w:iCs/>
        </w:rPr>
        <w:t xml:space="preserve"> </w:t>
      </w:r>
      <w:r w:rsidR="00291E4E" w:rsidRPr="00EE227E">
        <w:rPr>
          <w:iCs/>
        </w:rPr>
        <w:t>that this risk</w:t>
      </w:r>
      <w:r w:rsidR="00CE4F06" w:rsidRPr="00EE227E">
        <w:rPr>
          <w:iCs/>
        </w:rPr>
        <w:t xml:space="preserve"> increase</w:t>
      </w:r>
      <w:r w:rsidR="00291E4E" w:rsidRPr="00EE227E">
        <w:rPr>
          <w:iCs/>
        </w:rPr>
        <w:t>s</w:t>
      </w:r>
      <w:r w:rsidR="00CE4F06" w:rsidRPr="00EE227E">
        <w:rPr>
          <w:iCs/>
        </w:rPr>
        <w:t xml:space="preserve"> with age. The </w:t>
      </w:r>
      <w:r w:rsidR="008B5132" w:rsidRPr="00EE227E">
        <w:rPr>
          <w:iCs/>
        </w:rPr>
        <w:t>PSCR</w:t>
      </w:r>
      <w:r w:rsidR="00CE4F06" w:rsidRPr="00EE227E">
        <w:rPr>
          <w:iCs/>
        </w:rPr>
        <w:t xml:space="preserve"> noted that in </w:t>
      </w:r>
      <w:r w:rsidR="00C71E1A" w:rsidRPr="00EE227E">
        <w:rPr>
          <w:iCs/>
        </w:rPr>
        <w:t>the UK, patients over 45 experience a mortality rate of 2.4%</w:t>
      </w:r>
      <w:r w:rsidR="00CE4F06" w:rsidRPr="00EE227E">
        <w:rPr>
          <w:iCs/>
        </w:rPr>
        <w:t xml:space="preserve"> </w:t>
      </w:r>
      <w:r w:rsidR="00C71E1A" w:rsidRPr="00EE227E">
        <w:rPr>
          <w:iCs/>
        </w:rPr>
        <w:t xml:space="preserve">(Roberts et al., 2013; Watson et al., 2007). </w:t>
      </w:r>
      <w:r w:rsidR="00A155F2" w:rsidRPr="00EE227E">
        <w:rPr>
          <w:iCs/>
        </w:rPr>
        <w:t xml:space="preserve">The </w:t>
      </w:r>
      <w:r w:rsidR="008B5132" w:rsidRPr="00EE227E">
        <w:rPr>
          <w:iCs/>
        </w:rPr>
        <w:t>PSCR</w:t>
      </w:r>
      <w:r w:rsidR="004E4D5F" w:rsidRPr="00EE227E">
        <w:rPr>
          <w:iCs/>
        </w:rPr>
        <w:t xml:space="preserve"> also</w:t>
      </w:r>
      <w:r w:rsidR="00A155F2" w:rsidRPr="00EE227E">
        <w:rPr>
          <w:iCs/>
        </w:rPr>
        <w:t xml:space="preserve"> noted that</w:t>
      </w:r>
      <w:r w:rsidR="00234C2D" w:rsidRPr="00EE227E">
        <w:rPr>
          <w:iCs/>
        </w:rPr>
        <w:t xml:space="preserve"> a </w:t>
      </w:r>
      <w:r w:rsidR="00653868" w:rsidRPr="00EE227E">
        <w:rPr>
          <w:iCs/>
        </w:rPr>
        <w:t xml:space="preserve">French </w:t>
      </w:r>
      <w:r w:rsidR="00234C2D" w:rsidRPr="00EE227E">
        <w:rPr>
          <w:iCs/>
        </w:rPr>
        <w:t xml:space="preserve">retrospective observational study </w:t>
      </w:r>
      <w:r w:rsidR="00C57AD0" w:rsidRPr="00EE227E">
        <w:rPr>
          <w:iCs/>
        </w:rPr>
        <w:t>o</w:t>
      </w:r>
      <w:r w:rsidR="00653868" w:rsidRPr="00EE227E">
        <w:rPr>
          <w:iCs/>
        </w:rPr>
        <w:t xml:space="preserve">f </w:t>
      </w:r>
      <w:r w:rsidR="00C71E1A" w:rsidRPr="00EE227E">
        <w:rPr>
          <w:iCs/>
        </w:rPr>
        <w:t>467,716 individuals</w:t>
      </w:r>
      <w:r w:rsidR="00B333EC" w:rsidRPr="00EE227E">
        <w:rPr>
          <w:iCs/>
        </w:rPr>
        <w:t xml:space="preserve"> </w:t>
      </w:r>
      <w:r w:rsidR="004E4D5F" w:rsidRPr="00EE227E">
        <w:rPr>
          <w:iCs/>
        </w:rPr>
        <w:t xml:space="preserve">which </w:t>
      </w:r>
      <w:r w:rsidR="00B333EC" w:rsidRPr="00EE227E">
        <w:rPr>
          <w:iCs/>
        </w:rPr>
        <w:t>reported</w:t>
      </w:r>
      <w:r w:rsidR="00B123EE" w:rsidRPr="00EE227E">
        <w:rPr>
          <w:iCs/>
        </w:rPr>
        <w:t xml:space="preserve"> </w:t>
      </w:r>
      <w:r w:rsidR="00C71E1A" w:rsidRPr="00EE227E">
        <w:rPr>
          <w:iCs/>
        </w:rPr>
        <w:t xml:space="preserve">739 (4.5%) </w:t>
      </w:r>
      <w:r w:rsidR="00B333EC" w:rsidRPr="00EE227E">
        <w:rPr>
          <w:iCs/>
        </w:rPr>
        <w:t>patients</w:t>
      </w:r>
      <w:r w:rsidR="00C71E1A" w:rsidRPr="00EE227E">
        <w:rPr>
          <w:iCs/>
        </w:rPr>
        <w:t xml:space="preserve"> </w:t>
      </w:r>
      <w:r w:rsidR="00B123EE" w:rsidRPr="00EE227E">
        <w:rPr>
          <w:iCs/>
        </w:rPr>
        <w:t xml:space="preserve">with </w:t>
      </w:r>
      <w:r w:rsidR="00C71E1A" w:rsidRPr="00EE227E">
        <w:rPr>
          <w:iCs/>
        </w:rPr>
        <w:t>severe uncontrolled disease</w:t>
      </w:r>
      <w:r w:rsidR="00B333EC" w:rsidRPr="00EE227E">
        <w:rPr>
          <w:iCs/>
        </w:rPr>
        <w:t xml:space="preserve"> had </w:t>
      </w:r>
      <w:r w:rsidR="00C71E1A" w:rsidRPr="00EE227E">
        <w:rPr>
          <w:iCs/>
        </w:rPr>
        <w:t>a 2-year survival probability of 92.0% compared to 96.6% in the general population (relative risk of death: 2.35; 95% CI: 1.70 to 3.29; p&lt;0.0001). This group also exhibited higher rates of emergency department visits and hospitali</w:t>
      </w:r>
      <w:r w:rsidR="00C57AD0" w:rsidRPr="00EE227E">
        <w:rPr>
          <w:iCs/>
        </w:rPr>
        <w:t>s</w:t>
      </w:r>
      <w:r w:rsidR="00C71E1A" w:rsidRPr="00EE227E">
        <w:rPr>
          <w:iCs/>
        </w:rPr>
        <w:t>ations (64.7% vs. 34.9%; p&lt;0.0001)</w:t>
      </w:r>
      <w:r w:rsidR="003D29C9" w:rsidRPr="00EE227E">
        <w:rPr>
          <w:rStyle w:val="FootnoteReference"/>
          <w:iCs/>
        </w:rPr>
        <w:footnoteReference w:id="11"/>
      </w:r>
      <w:r w:rsidR="00C71E1A" w:rsidRPr="00EE227E">
        <w:rPr>
          <w:iCs/>
        </w:rPr>
        <w:t xml:space="preserve">. </w:t>
      </w:r>
    </w:p>
    <w:p w14:paraId="319CDC86" w14:textId="6B985E58" w:rsidR="00FE2AA5" w:rsidRPr="00FE2AA5" w:rsidRDefault="00413C70" w:rsidP="00FE2AA5">
      <w:pPr>
        <w:pStyle w:val="COMESnumberedpara"/>
      </w:pPr>
      <w:r w:rsidRPr="00EE227E">
        <w:rPr>
          <w:iCs/>
        </w:rPr>
        <w:t>The ESC noted the additional studies referenced in the PSCR as supportive evidence for the mortality assumptions in the economic model</w:t>
      </w:r>
      <w:r w:rsidR="00066063" w:rsidRPr="00EE227E">
        <w:rPr>
          <w:iCs/>
        </w:rPr>
        <w:t>.</w:t>
      </w:r>
      <w:r w:rsidR="00066063" w:rsidRPr="00066063">
        <w:t xml:space="preserve"> </w:t>
      </w:r>
      <w:r w:rsidR="00066063" w:rsidRPr="00EE227E">
        <w:rPr>
          <w:iCs/>
        </w:rPr>
        <w:t xml:space="preserve">Overall, the ESC considered that the submission </w:t>
      </w:r>
      <w:r w:rsidR="000D03B8" w:rsidRPr="00EE227E">
        <w:rPr>
          <w:iCs/>
        </w:rPr>
        <w:t xml:space="preserve">had </w:t>
      </w:r>
      <w:r w:rsidR="00066063" w:rsidRPr="00EE227E">
        <w:rPr>
          <w:iCs/>
        </w:rPr>
        <w:t xml:space="preserve">likely overestimated </w:t>
      </w:r>
      <w:r w:rsidR="001C07E3" w:rsidRPr="00EE227E">
        <w:rPr>
          <w:iCs/>
        </w:rPr>
        <w:t>the</w:t>
      </w:r>
      <w:r w:rsidR="00066063" w:rsidRPr="00EE227E">
        <w:rPr>
          <w:iCs/>
        </w:rPr>
        <w:t xml:space="preserve"> mortality benefit in the economic model</w:t>
      </w:r>
      <w:r w:rsidR="002B44FB" w:rsidRPr="00EE227E">
        <w:rPr>
          <w:iCs/>
        </w:rPr>
        <w:t xml:space="preserve"> </w:t>
      </w:r>
      <w:r w:rsidR="00066063" w:rsidRPr="00EE227E">
        <w:rPr>
          <w:iCs/>
        </w:rPr>
        <w:t>and considered that</w:t>
      </w:r>
      <w:r w:rsidR="00066063">
        <w:t xml:space="preserve"> </w:t>
      </w:r>
      <w:r w:rsidR="00500708" w:rsidRPr="00EE227E">
        <w:rPr>
          <w:iCs/>
        </w:rPr>
        <w:t>reduced exacerbation-related mortality rate</w:t>
      </w:r>
      <w:r w:rsidR="00665636" w:rsidRPr="00EE227E">
        <w:rPr>
          <w:iCs/>
        </w:rPr>
        <w:t>s</w:t>
      </w:r>
      <w:r w:rsidR="00500708" w:rsidRPr="00EE227E">
        <w:rPr>
          <w:iCs/>
        </w:rPr>
        <w:t xml:space="preserve"> consistent with the mepolizumab economic model </w:t>
      </w:r>
      <w:r w:rsidR="00B20C63" w:rsidRPr="00EE227E">
        <w:rPr>
          <w:iCs/>
        </w:rPr>
        <w:t>case</w:t>
      </w:r>
      <w:r w:rsidR="00500708" w:rsidRPr="00EE227E">
        <w:rPr>
          <w:iCs/>
        </w:rPr>
        <w:t xml:space="preserve"> (OCS burst: 0.43%; with ED or hospitalisation: 1.13%)</w:t>
      </w:r>
      <w:r w:rsidR="00B20C63" w:rsidRPr="00EE227E">
        <w:rPr>
          <w:iCs/>
        </w:rPr>
        <w:t xml:space="preserve"> would be appropriate to include in a revised base.</w:t>
      </w:r>
      <w:r w:rsidR="009D57C8">
        <w:rPr>
          <w:iCs/>
        </w:rPr>
        <w:t xml:space="preserve"> The </w:t>
      </w:r>
      <w:r w:rsidR="000A728B">
        <w:rPr>
          <w:iCs/>
        </w:rPr>
        <w:t>p</w:t>
      </w:r>
      <w:r w:rsidR="009D57C8">
        <w:rPr>
          <w:iCs/>
        </w:rPr>
        <w:t xml:space="preserve">re-PBAC </w:t>
      </w:r>
      <w:r w:rsidR="000A728B">
        <w:rPr>
          <w:iCs/>
        </w:rPr>
        <w:t xml:space="preserve">Response </w:t>
      </w:r>
      <w:r w:rsidR="00357183">
        <w:rPr>
          <w:iCs/>
        </w:rPr>
        <w:t xml:space="preserve"> </w:t>
      </w:r>
      <w:r w:rsidR="009D57C8">
        <w:rPr>
          <w:iCs/>
        </w:rPr>
        <w:t xml:space="preserve">noted that the ESC had previously considered </w:t>
      </w:r>
      <w:r w:rsidR="00174FC5">
        <w:rPr>
          <w:iCs/>
        </w:rPr>
        <w:t xml:space="preserve">‘that </w:t>
      </w:r>
      <w:r w:rsidR="007828CD" w:rsidRPr="007828CD">
        <w:rPr>
          <w:iCs/>
        </w:rPr>
        <w:t>the magnitude of difference between these mortality estimates (i.e. risk of mortality is more than doubled if an exacerbation requires hospitalisation compared to exacerbation without hospitalisation) appeared infeasible, and a review of similar parameter estimates from published asthma cost</w:t>
      </w:r>
      <w:r w:rsidR="004001A8">
        <w:rPr>
          <w:iCs/>
        </w:rPr>
        <w:t>-</w:t>
      </w:r>
      <w:r w:rsidR="007828CD" w:rsidRPr="007828CD">
        <w:rPr>
          <w:iCs/>
        </w:rPr>
        <w:t>effectiveness models should have been presented to demonstrate feasibility</w:t>
      </w:r>
      <w:r w:rsidR="00174FC5">
        <w:rPr>
          <w:iCs/>
        </w:rPr>
        <w:t>’ (paragraph 6.37, mepolizumab PSD, March 2016)</w:t>
      </w:r>
      <w:r w:rsidR="006D1AA8">
        <w:rPr>
          <w:iCs/>
        </w:rPr>
        <w:t>. The pre-PBAC Response therefore proposed a revised base case</w:t>
      </w:r>
      <w:r w:rsidR="001A4B8A">
        <w:rPr>
          <w:iCs/>
        </w:rPr>
        <w:t xml:space="preserve"> which </w:t>
      </w:r>
      <w:r w:rsidR="00455B8C" w:rsidRPr="006D1AA8">
        <w:rPr>
          <w:iCs/>
        </w:rPr>
        <w:t>appl</w:t>
      </w:r>
      <w:r w:rsidR="001A4B8A">
        <w:rPr>
          <w:iCs/>
        </w:rPr>
        <w:t>ied a probably of</w:t>
      </w:r>
      <w:r w:rsidR="00455B8C" w:rsidRPr="006D1AA8">
        <w:rPr>
          <w:iCs/>
        </w:rPr>
        <w:t xml:space="preserve"> 1.13% across all</w:t>
      </w:r>
      <w:r w:rsidR="001A4B8A">
        <w:rPr>
          <w:iCs/>
        </w:rPr>
        <w:t xml:space="preserve"> </w:t>
      </w:r>
      <w:r w:rsidR="00455B8C" w:rsidRPr="001A4B8A">
        <w:rPr>
          <w:iCs/>
        </w:rPr>
        <w:t>exacerbations</w:t>
      </w:r>
      <w:r w:rsidR="001A4B8A">
        <w:rPr>
          <w:iCs/>
        </w:rPr>
        <w:t xml:space="preserve"> (</w:t>
      </w:r>
      <w:r w:rsidR="001567E5">
        <w:rPr>
          <w:iCs/>
        </w:rPr>
        <w:t xml:space="preserve">paragraph </w:t>
      </w:r>
      <w:r w:rsidR="001567E5">
        <w:rPr>
          <w:iCs/>
          <w:highlight w:val="yellow"/>
        </w:rPr>
        <w:fldChar w:fldCharType="begin"/>
      </w:r>
      <w:r w:rsidR="001567E5">
        <w:rPr>
          <w:iCs/>
        </w:rPr>
        <w:instrText xml:space="preserve"> REF _Ref214540686 \r \h </w:instrText>
      </w:r>
      <w:r w:rsidR="001567E5">
        <w:rPr>
          <w:iCs/>
          <w:highlight w:val="yellow"/>
        </w:rPr>
      </w:r>
      <w:r w:rsidR="001567E5">
        <w:rPr>
          <w:iCs/>
          <w:highlight w:val="yellow"/>
        </w:rPr>
        <w:fldChar w:fldCharType="separate"/>
      </w:r>
      <w:r w:rsidR="0078760A">
        <w:rPr>
          <w:iCs/>
        </w:rPr>
        <w:t>6.67</w:t>
      </w:r>
      <w:r w:rsidR="001567E5">
        <w:rPr>
          <w:iCs/>
          <w:highlight w:val="yellow"/>
        </w:rPr>
        <w:fldChar w:fldCharType="end"/>
      </w:r>
      <w:r w:rsidR="001A4B8A">
        <w:rPr>
          <w:iCs/>
        </w:rPr>
        <w:t xml:space="preserve">). </w:t>
      </w:r>
      <w:r w:rsidR="00D17CAE">
        <w:rPr>
          <w:iCs/>
        </w:rPr>
        <w:t>However,</w:t>
      </w:r>
      <w:r w:rsidR="00277696">
        <w:rPr>
          <w:iCs/>
        </w:rPr>
        <w:t xml:space="preserve"> the PBAC </w:t>
      </w:r>
      <w:r w:rsidR="00D17CAE">
        <w:rPr>
          <w:iCs/>
        </w:rPr>
        <w:t>previously</w:t>
      </w:r>
      <w:r w:rsidR="00FE2AA5">
        <w:rPr>
          <w:iCs/>
        </w:rPr>
        <w:t xml:space="preserve"> </w:t>
      </w:r>
      <w:r w:rsidR="00FE2AA5" w:rsidRPr="00FE2AA5">
        <w:rPr>
          <w:iCs/>
        </w:rPr>
        <w:t>considered that the model could not be relied upon given the substantial variation in the outputs</w:t>
      </w:r>
      <w:r w:rsidR="00FE2AA5">
        <w:rPr>
          <w:iCs/>
        </w:rPr>
        <w:t xml:space="preserve"> (paragraph 6.37, mepolizumab PSD, March 2016).</w:t>
      </w:r>
    </w:p>
    <w:bookmarkEnd w:id="84"/>
    <w:p w14:paraId="1CE54EC0" w14:textId="06A1264B" w:rsidR="00985766" w:rsidRPr="002F03BE" w:rsidRDefault="00985766" w:rsidP="00F65BD4">
      <w:pPr>
        <w:numPr>
          <w:ilvl w:val="1"/>
          <w:numId w:val="1"/>
        </w:numPr>
        <w:spacing w:before="60" w:after="60"/>
        <w:ind w:left="709"/>
        <w:rPr>
          <w:rFonts w:asciiTheme="minorHAnsi" w:eastAsiaTheme="minorHAnsi" w:hAnsiTheme="minorHAnsi" w:cstheme="minorBidi"/>
          <w:szCs w:val="22"/>
        </w:rPr>
      </w:pPr>
      <w:r w:rsidRPr="002F03BE">
        <w:rPr>
          <w:rFonts w:asciiTheme="minorHAnsi" w:eastAsiaTheme="minorHAnsi" w:hAnsiTheme="minorHAnsi" w:cstheme="minorBidi"/>
          <w:szCs w:val="22"/>
        </w:rPr>
        <w:t xml:space="preserve">The economic model applied utility inputs of 0.875 for controlled asthma and 0.631 for uncontrolled asthma (difference in utility 0.244). The submission derived the inputs using Australian health state values using the mapping value set from the trial utilities: 0.877 for controlled asthma and 0.683 for uncontrolled asthma (difference in utility of 0.194). The ICER was </w:t>
      </w:r>
      <w:r w:rsidR="004C3428" w:rsidRPr="00EE227E">
        <w:rPr>
          <w:rFonts w:asciiTheme="minorHAnsi" w:eastAsiaTheme="minorHAnsi" w:hAnsiTheme="minorHAnsi" w:cstheme="minorBidi"/>
          <w:iCs/>
          <w:szCs w:val="22"/>
        </w:rPr>
        <w:t>moderately</w:t>
      </w:r>
      <w:r w:rsidR="004C3428">
        <w:rPr>
          <w:rFonts w:asciiTheme="minorHAnsi" w:eastAsiaTheme="minorHAnsi" w:hAnsiTheme="minorHAnsi" w:cstheme="minorBidi"/>
          <w:szCs w:val="22"/>
        </w:rPr>
        <w:t xml:space="preserve"> </w:t>
      </w:r>
      <w:r w:rsidRPr="002F03BE">
        <w:rPr>
          <w:rFonts w:asciiTheme="minorHAnsi" w:eastAsiaTheme="minorHAnsi" w:hAnsiTheme="minorHAnsi" w:cstheme="minorBidi"/>
          <w:szCs w:val="22"/>
        </w:rPr>
        <w:t xml:space="preserve">sensitive to the difference in utilities. Using the difference in utility of 0.194 increased the ICER by </w:t>
      </w:r>
      <w:r w:rsidR="00B14769" w:rsidRPr="00B14769">
        <w:rPr>
          <w:rFonts w:asciiTheme="minorHAnsi" w:eastAsiaTheme="minorHAnsi" w:hAnsiTheme="minorHAnsi" w:cstheme="minorBidi"/>
          <w:szCs w:val="22"/>
          <w:highlight w:val="black"/>
        </w:rPr>
        <w:t>&amp;&amp;&amp;&amp;</w:t>
      </w:r>
      <w:r w:rsidRPr="002F03BE">
        <w:rPr>
          <w:rFonts w:asciiTheme="minorHAnsi" w:eastAsiaTheme="minorHAnsi" w:hAnsiTheme="minorHAnsi" w:cstheme="minorBidi"/>
          <w:szCs w:val="22"/>
        </w:rPr>
        <w:t xml:space="preserve">% to </w:t>
      </w:r>
      <w:r w:rsidR="00082576" w:rsidRPr="00082576">
        <w:rPr>
          <w:rFonts w:asciiTheme="minorHAnsi" w:eastAsiaTheme="minorHAnsi" w:hAnsiTheme="minorHAnsi" w:cstheme="minorBidi"/>
          <w:szCs w:val="22"/>
        </w:rPr>
        <w:t>$75,000 to &lt; $95,000</w:t>
      </w:r>
      <w:r w:rsidRPr="002F03BE">
        <w:rPr>
          <w:rFonts w:asciiTheme="minorHAnsi" w:eastAsiaTheme="minorHAnsi" w:hAnsiTheme="minorHAnsi" w:cstheme="minorBidi"/>
          <w:szCs w:val="22"/>
        </w:rPr>
        <w:t xml:space="preserve">/QALY gained. </w:t>
      </w:r>
    </w:p>
    <w:p w14:paraId="240AEDA6" w14:textId="3B646C63" w:rsidR="00985766" w:rsidRPr="002F03BE" w:rsidRDefault="00985766" w:rsidP="00F65BD4">
      <w:pPr>
        <w:numPr>
          <w:ilvl w:val="1"/>
          <w:numId w:val="1"/>
        </w:numPr>
        <w:spacing w:before="60" w:after="120"/>
        <w:ind w:left="709"/>
        <w:rPr>
          <w:rFonts w:asciiTheme="minorHAnsi" w:eastAsiaTheme="minorHAnsi" w:hAnsiTheme="minorHAnsi" w:cstheme="minorBidi"/>
          <w:szCs w:val="22"/>
        </w:rPr>
      </w:pPr>
      <w:r w:rsidRPr="002F03BE">
        <w:rPr>
          <w:rFonts w:asciiTheme="minorHAnsi" w:eastAsiaTheme="minorHAnsi" w:hAnsiTheme="minorHAnsi" w:cstheme="minorBidi"/>
          <w:szCs w:val="22"/>
        </w:rPr>
        <w:fldChar w:fldCharType="begin"/>
      </w:r>
      <w:r w:rsidRPr="002F03BE">
        <w:rPr>
          <w:rFonts w:asciiTheme="minorHAnsi" w:eastAsiaTheme="minorHAnsi" w:hAnsiTheme="minorHAnsi" w:cstheme="minorBidi"/>
          <w:szCs w:val="22"/>
        </w:rPr>
        <w:instrText xml:space="preserve"> REF _Ref205927192 \h  \* MERGEFORMAT </w:instrText>
      </w:r>
      <w:r w:rsidRPr="002F03BE">
        <w:rPr>
          <w:rFonts w:asciiTheme="minorHAnsi" w:eastAsiaTheme="minorHAnsi" w:hAnsiTheme="minorHAnsi" w:cstheme="minorBidi"/>
          <w:szCs w:val="22"/>
        </w:rPr>
      </w:r>
      <w:r w:rsidRPr="002F03BE">
        <w:rPr>
          <w:rFonts w:asciiTheme="minorHAnsi" w:eastAsiaTheme="minorHAnsi" w:hAnsiTheme="minorHAnsi" w:cstheme="minorBidi"/>
          <w:szCs w:val="22"/>
        </w:rPr>
        <w:fldChar w:fldCharType="separate"/>
      </w:r>
      <w:r w:rsidR="0078760A" w:rsidRPr="0078760A">
        <w:rPr>
          <w:rFonts w:asciiTheme="minorHAnsi" w:eastAsiaTheme="minorHAnsi" w:hAnsiTheme="minorHAnsi" w:cstheme="minorBidi"/>
          <w:szCs w:val="22"/>
        </w:rPr>
        <w:t>Figure 3</w:t>
      </w:r>
      <w:r w:rsidRPr="002F03BE">
        <w:rPr>
          <w:rFonts w:asciiTheme="minorHAnsi" w:eastAsiaTheme="minorHAnsi" w:hAnsiTheme="minorHAnsi" w:cstheme="minorBidi"/>
          <w:szCs w:val="22"/>
        </w:rPr>
        <w:fldChar w:fldCharType="end"/>
      </w:r>
      <w:r w:rsidRPr="002F03BE">
        <w:rPr>
          <w:rFonts w:asciiTheme="minorHAnsi" w:eastAsiaTheme="minorHAnsi" w:hAnsiTheme="minorHAnsi" w:cstheme="minorBidi"/>
          <w:szCs w:val="22"/>
        </w:rPr>
        <w:t xml:space="preserve"> presents the Markov traces of the economic model. The submission noted that a difference in mortality was evident between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and SoC from the 10-year mark, reflective of the modelled difference in fatal incident exacerbations. However, similar mortality would be more consistent with complete treatment discontinuation of </w:t>
      </w:r>
      <w:proofErr w:type="spellStart"/>
      <w:r w:rsidRPr="002F03BE">
        <w:rPr>
          <w:rFonts w:asciiTheme="minorHAnsi" w:eastAsiaTheme="minorHAnsi" w:hAnsiTheme="minorHAnsi" w:cstheme="minorBidi"/>
          <w:szCs w:val="22"/>
        </w:rPr>
        <w:t>tezepelumab</w:t>
      </w:r>
      <w:proofErr w:type="spellEnd"/>
      <w:r w:rsidRPr="002F03BE">
        <w:rPr>
          <w:rFonts w:asciiTheme="minorHAnsi" w:eastAsiaTheme="minorHAnsi" w:hAnsiTheme="minorHAnsi" w:cstheme="minorBidi"/>
          <w:szCs w:val="22"/>
        </w:rPr>
        <w:t xml:space="preserve"> by this time, while surviving patients in both treatment arms were on SoC and dying at an equal rate.</w:t>
      </w:r>
    </w:p>
    <w:p w14:paraId="524BC13C" w14:textId="599EB608" w:rsidR="00985766" w:rsidRPr="004F56D0" w:rsidRDefault="00985766" w:rsidP="00985766">
      <w:pPr>
        <w:pStyle w:val="TableFigureHeading"/>
      </w:pPr>
      <w:bookmarkStart w:id="85" w:name="_Ref205927192"/>
      <w:r w:rsidRPr="004F56D0">
        <w:rPr>
          <w:noProof/>
        </w:rPr>
        <w:drawing>
          <wp:anchor distT="0" distB="0" distL="114300" distR="114300" simplePos="0" relativeHeight="251658240" behindDoc="0" locked="0" layoutInCell="1" allowOverlap="1" wp14:anchorId="328FDEC4" wp14:editId="171151E1">
            <wp:simplePos x="0" y="0"/>
            <wp:positionH relativeFrom="margin">
              <wp:align>left</wp:align>
            </wp:positionH>
            <wp:positionV relativeFrom="paragraph">
              <wp:posOffset>318135</wp:posOffset>
            </wp:positionV>
            <wp:extent cx="4754880" cy="3354705"/>
            <wp:effectExtent l="0" t="0" r="7620" b="0"/>
            <wp:wrapTopAndBottom/>
            <wp:docPr id="1502415363" name="Picture 1" descr="Model trace: Proportion of cohort with controlled disease proportion alive and proportion on tezepelumab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15363" name="Picture 1" descr="Model trace: Proportion of cohort with controlled disease proportion alive and proportion on tezepelumab treat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296" cy="3360253"/>
                    </a:xfrm>
                    <a:prstGeom prst="rect">
                      <a:avLst/>
                    </a:prstGeom>
                    <a:noFill/>
                  </pic:spPr>
                </pic:pic>
              </a:graphicData>
            </a:graphic>
            <wp14:sizeRelH relativeFrom="page">
              <wp14:pctWidth>0</wp14:pctWidth>
            </wp14:sizeRelH>
            <wp14:sizeRelV relativeFrom="page">
              <wp14:pctHeight>0</wp14:pctHeight>
            </wp14:sizeRelV>
          </wp:anchor>
        </w:drawing>
      </w:r>
      <w:r w:rsidRPr="004F56D0">
        <w:t xml:space="preserve">Figure </w:t>
      </w:r>
      <w:r w:rsidR="001146FA">
        <w:fldChar w:fldCharType="begin"/>
      </w:r>
      <w:r w:rsidR="001146FA">
        <w:instrText xml:space="preserve"> SEQ Figure \* ARABIC </w:instrText>
      </w:r>
      <w:r w:rsidR="001146FA">
        <w:fldChar w:fldCharType="separate"/>
      </w:r>
      <w:r w:rsidR="0078760A">
        <w:rPr>
          <w:noProof/>
        </w:rPr>
        <w:t>3</w:t>
      </w:r>
      <w:r w:rsidR="001146FA">
        <w:rPr>
          <w:noProof/>
        </w:rPr>
        <w:fldChar w:fldCharType="end"/>
      </w:r>
      <w:bookmarkEnd w:id="85"/>
      <w:r w:rsidRPr="004F56D0">
        <w:t xml:space="preserve"> Model trace: Proportion of cohort with controlled disease proportion alive and proportion on </w:t>
      </w:r>
      <w:proofErr w:type="spellStart"/>
      <w:r w:rsidRPr="004F56D0">
        <w:t>tezepelumab</w:t>
      </w:r>
      <w:proofErr w:type="spellEnd"/>
      <w:r w:rsidRPr="004F56D0">
        <w:t xml:space="preserve"> treatment</w:t>
      </w:r>
    </w:p>
    <w:p w14:paraId="3F410306" w14:textId="77777777" w:rsidR="00985766" w:rsidRPr="004F56D0" w:rsidRDefault="00985766" w:rsidP="00985766">
      <w:pPr>
        <w:pStyle w:val="TableFigureFooter"/>
      </w:pPr>
      <w:r w:rsidRPr="004F56D0">
        <w:t>Source: Figure 3-3, p302 of the submission.</w:t>
      </w:r>
    </w:p>
    <w:p w14:paraId="3C1DCA0F" w14:textId="77777777" w:rsidR="00985766" w:rsidRPr="004F56D0" w:rsidRDefault="00985766" w:rsidP="00985766">
      <w:pPr>
        <w:pStyle w:val="TableFigureFooter"/>
      </w:pPr>
      <w:r w:rsidRPr="004F56D0">
        <w:t xml:space="preserve">TEZE= </w:t>
      </w:r>
      <w:proofErr w:type="spellStart"/>
      <w:r w:rsidRPr="004F56D0">
        <w:t>tezepelumab</w:t>
      </w:r>
      <w:proofErr w:type="spellEnd"/>
      <w:r w:rsidRPr="004F56D0">
        <w:t>; SoC= standard of care</w:t>
      </w:r>
    </w:p>
    <w:p w14:paraId="5DDD62DC" w14:textId="6092C49F" w:rsidR="00985766" w:rsidRPr="004F56D0" w:rsidRDefault="00985766" w:rsidP="00985766">
      <w:pPr>
        <w:numPr>
          <w:ilvl w:val="1"/>
          <w:numId w:val="1"/>
        </w:numPr>
        <w:spacing w:before="240" w:after="60" w:line="259" w:lineRule="auto"/>
        <w:ind w:left="709"/>
        <w:jc w:val="left"/>
        <w:rPr>
          <w:rFonts w:asciiTheme="minorHAnsi" w:eastAsiaTheme="minorHAnsi" w:hAnsiTheme="minorHAnsi" w:cstheme="minorBidi"/>
          <w:szCs w:val="22"/>
        </w:rPr>
      </w:pPr>
      <w:r w:rsidRPr="007B30E3">
        <w:rPr>
          <w:rFonts w:asciiTheme="minorHAnsi" w:eastAsiaTheme="minorHAnsi" w:hAnsiTheme="minorHAnsi" w:cstheme="minorBidi"/>
          <w:szCs w:val="22"/>
        </w:rPr>
        <w:fldChar w:fldCharType="begin"/>
      </w:r>
      <w:r w:rsidRPr="007B30E3">
        <w:rPr>
          <w:rFonts w:asciiTheme="minorHAnsi" w:eastAsiaTheme="minorHAnsi" w:hAnsiTheme="minorHAnsi" w:cstheme="minorBidi"/>
          <w:szCs w:val="22"/>
        </w:rPr>
        <w:instrText xml:space="preserve"> REF _Ref208924378 \h </w:instrText>
      </w:r>
      <w:r>
        <w:rPr>
          <w:rFonts w:asciiTheme="minorHAnsi" w:eastAsiaTheme="minorHAnsi" w:hAnsiTheme="minorHAnsi" w:cstheme="minorBidi"/>
          <w:szCs w:val="22"/>
        </w:rPr>
        <w:instrText xml:space="preserve"> \* MERGEFORMAT </w:instrText>
      </w:r>
      <w:r w:rsidRPr="007B30E3">
        <w:rPr>
          <w:rFonts w:asciiTheme="minorHAnsi" w:eastAsiaTheme="minorHAnsi" w:hAnsiTheme="minorHAnsi" w:cstheme="minorBidi"/>
          <w:szCs w:val="22"/>
        </w:rPr>
      </w:r>
      <w:r w:rsidRPr="007B30E3">
        <w:rPr>
          <w:rFonts w:asciiTheme="minorHAnsi" w:eastAsiaTheme="minorHAnsi" w:hAnsiTheme="minorHAnsi" w:cstheme="minorBidi"/>
          <w:szCs w:val="22"/>
        </w:rPr>
        <w:fldChar w:fldCharType="separate"/>
      </w:r>
      <w:r w:rsidR="0078760A" w:rsidRPr="0078760A">
        <w:rPr>
          <w:rFonts w:asciiTheme="minorHAnsi" w:eastAsiaTheme="minorHAnsi" w:hAnsiTheme="minorHAnsi" w:cstheme="minorBidi"/>
          <w:szCs w:val="22"/>
        </w:rPr>
        <w:t>Table 14</w:t>
      </w:r>
      <w:r w:rsidRPr="007B30E3">
        <w:rPr>
          <w:rFonts w:asciiTheme="minorHAnsi" w:eastAsiaTheme="minorHAnsi" w:hAnsiTheme="minorHAnsi" w:cstheme="minorBidi"/>
          <w:szCs w:val="22"/>
        </w:rPr>
        <w:fldChar w:fldCharType="end"/>
      </w:r>
      <w:r w:rsidRPr="007B30E3">
        <w:rPr>
          <w:rFonts w:asciiTheme="minorHAnsi" w:eastAsiaTheme="minorHAnsi" w:hAnsiTheme="minorHAnsi" w:cstheme="minorBidi"/>
          <w:szCs w:val="22"/>
        </w:rPr>
        <w:t xml:space="preserve"> </w:t>
      </w:r>
      <w:r w:rsidRPr="004F56D0">
        <w:rPr>
          <w:rFonts w:asciiTheme="minorHAnsi" w:eastAsiaTheme="minorHAnsi" w:hAnsiTheme="minorHAnsi" w:cstheme="minorBidi"/>
          <w:szCs w:val="22"/>
        </w:rPr>
        <w:t>presents the key drivers of the model.</w:t>
      </w:r>
    </w:p>
    <w:p w14:paraId="112681B8" w14:textId="4A326349" w:rsidR="00985766" w:rsidRPr="00D434A8" w:rsidRDefault="00985766" w:rsidP="00985766">
      <w:pPr>
        <w:pStyle w:val="TableFigureHeading"/>
      </w:pPr>
      <w:bookmarkStart w:id="86" w:name="_Ref208924378"/>
      <w:bookmarkStart w:id="87" w:name="_Ref208924374"/>
      <w:r w:rsidRPr="004F56D0">
        <w:t xml:space="preserve">Table </w:t>
      </w:r>
      <w:r w:rsidR="001146FA">
        <w:fldChar w:fldCharType="begin"/>
      </w:r>
      <w:r w:rsidR="001146FA">
        <w:instrText xml:space="preserve"> SEQ Table \* ARABIC </w:instrText>
      </w:r>
      <w:r w:rsidR="001146FA">
        <w:fldChar w:fldCharType="separate"/>
      </w:r>
      <w:r w:rsidR="0078760A">
        <w:rPr>
          <w:noProof/>
        </w:rPr>
        <w:t>14</w:t>
      </w:r>
      <w:r w:rsidR="001146FA">
        <w:rPr>
          <w:noProof/>
        </w:rPr>
        <w:fldChar w:fldCharType="end"/>
      </w:r>
      <w:bookmarkEnd w:id="86"/>
      <w:r w:rsidRPr="004F56D0">
        <w:t>: Key drivers of the model</w:t>
      </w:r>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drivers of the model"/>
      </w:tblPr>
      <w:tblGrid>
        <w:gridCol w:w="1271"/>
        <w:gridCol w:w="4110"/>
        <w:gridCol w:w="3636"/>
      </w:tblGrid>
      <w:tr w:rsidR="00985766" w:rsidRPr="00D434A8" w14:paraId="13A5801F" w14:textId="77777777">
        <w:trPr>
          <w:tblHeader/>
        </w:trPr>
        <w:tc>
          <w:tcPr>
            <w:tcW w:w="705" w:type="pct"/>
            <w:vAlign w:val="center"/>
          </w:tcPr>
          <w:p w14:paraId="0D4B239F" w14:textId="77777777" w:rsidR="00985766" w:rsidRPr="00D434A8" w:rsidRDefault="00985766">
            <w:pPr>
              <w:keepNext/>
              <w:keepLines/>
              <w:widowControl w:val="0"/>
              <w:jc w:val="center"/>
              <w:rPr>
                <w:rFonts w:ascii="Arial Narrow" w:eastAsiaTheme="majorEastAsia" w:hAnsi="Arial Narrow" w:cs="Times New Roman"/>
                <w:b/>
                <w:sz w:val="20"/>
              </w:rPr>
            </w:pPr>
            <w:r w:rsidRPr="00D434A8">
              <w:rPr>
                <w:rFonts w:ascii="Arial Narrow" w:eastAsiaTheme="majorEastAsia" w:hAnsi="Arial Narrow" w:cs="Times New Roman"/>
                <w:b/>
                <w:sz w:val="20"/>
              </w:rPr>
              <w:t>Description</w:t>
            </w:r>
          </w:p>
        </w:tc>
        <w:tc>
          <w:tcPr>
            <w:tcW w:w="2279" w:type="pct"/>
            <w:vAlign w:val="center"/>
          </w:tcPr>
          <w:p w14:paraId="16A251F2" w14:textId="77777777" w:rsidR="00985766" w:rsidRPr="00D434A8" w:rsidRDefault="00985766">
            <w:pPr>
              <w:keepNext/>
              <w:keepLines/>
              <w:widowControl w:val="0"/>
              <w:jc w:val="center"/>
              <w:rPr>
                <w:rFonts w:ascii="Arial Narrow" w:eastAsiaTheme="majorEastAsia" w:hAnsi="Arial Narrow" w:cs="Times New Roman"/>
                <w:b/>
                <w:sz w:val="20"/>
              </w:rPr>
            </w:pPr>
            <w:r w:rsidRPr="00D434A8">
              <w:rPr>
                <w:rFonts w:ascii="Arial Narrow" w:eastAsiaTheme="majorEastAsia" w:hAnsi="Arial Narrow" w:cs="Times New Roman"/>
                <w:b/>
                <w:sz w:val="20"/>
              </w:rPr>
              <w:t>Method/Value</w:t>
            </w:r>
          </w:p>
        </w:tc>
        <w:tc>
          <w:tcPr>
            <w:tcW w:w="2016" w:type="pct"/>
            <w:vAlign w:val="center"/>
          </w:tcPr>
          <w:p w14:paraId="6C2E79D1" w14:textId="77777777" w:rsidR="00985766" w:rsidRPr="00D434A8" w:rsidRDefault="00985766">
            <w:pPr>
              <w:keepNext/>
              <w:keepLines/>
              <w:widowControl w:val="0"/>
              <w:jc w:val="center"/>
              <w:rPr>
                <w:rFonts w:ascii="Arial Narrow" w:eastAsiaTheme="majorEastAsia" w:hAnsi="Arial Narrow" w:cs="Times New Roman"/>
                <w:b/>
                <w:sz w:val="20"/>
              </w:rPr>
            </w:pPr>
            <w:r w:rsidRPr="00D434A8">
              <w:rPr>
                <w:rFonts w:ascii="Arial Narrow" w:eastAsiaTheme="majorEastAsia" w:hAnsi="Arial Narrow" w:cs="Times New Roman"/>
                <w:b/>
                <w:sz w:val="20"/>
              </w:rPr>
              <w:t>Impact</w:t>
            </w:r>
          </w:p>
          <w:p w14:paraId="4E043D03" w14:textId="08742C5B" w:rsidR="00985766" w:rsidRPr="00D434A8" w:rsidRDefault="00985766">
            <w:pPr>
              <w:keepNext/>
              <w:keepLines/>
              <w:widowControl w:val="0"/>
              <w:jc w:val="center"/>
              <w:rPr>
                <w:rFonts w:ascii="Arial Narrow" w:eastAsiaTheme="majorEastAsia" w:hAnsi="Arial Narrow" w:cs="Times New Roman"/>
                <w:b/>
                <w:sz w:val="20"/>
              </w:rPr>
            </w:pPr>
            <w:r w:rsidRPr="00D434A8">
              <w:rPr>
                <w:rFonts w:ascii="Arial Narrow" w:eastAsiaTheme="majorEastAsia" w:hAnsi="Arial Narrow"/>
                <w:b/>
                <w:sz w:val="20"/>
                <w:szCs w:val="20"/>
              </w:rPr>
              <w:t>Base case: $</w:t>
            </w:r>
            <w:r w:rsidR="00B14769" w:rsidRPr="00B14769">
              <w:rPr>
                <w:rFonts w:ascii="Arial Narrow" w:eastAsiaTheme="majorEastAsia" w:hAnsi="Arial Narrow"/>
                <w:b/>
                <w:sz w:val="20"/>
                <w:szCs w:val="20"/>
                <w:highlight w:val="black"/>
              </w:rPr>
              <w:t>&amp;&amp;&amp;&amp;</w:t>
            </w:r>
            <w:r w:rsidR="00080C7C">
              <w:rPr>
                <w:rFonts w:ascii="Arial Narrow" w:eastAsiaTheme="majorEastAsia" w:hAnsi="Arial Narrow"/>
                <w:bCs/>
                <w:sz w:val="20"/>
                <w:szCs w:val="20"/>
                <w:vertAlign w:val="superscript"/>
              </w:rPr>
              <w:t>1</w:t>
            </w:r>
            <w:r w:rsidRPr="00D434A8">
              <w:rPr>
                <w:rFonts w:ascii="Arial Narrow" w:eastAsiaTheme="majorEastAsia" w:hAnsi="Arial Narrow"/>
                <w:b/>
                <w:sz w:val="20"/>
                <w:szCs w:val="20"/>
              </w:rPr>
              <w:t>/QALY gained</w:t>
            </w:r>
            <w:r w:rsidRPr="00D434A8">
              <w:rPr>
                <w:rFonts w:ascii="Arial Narrow" w:eastAsiaTheme="majorEastAsia" w:hAnsi="Arial Narrow"/>
                <w:b/>
                <w:color w:val="3366FF"/>
                <w:sz w:val="20"/>
                <w:szCs w:val="20"/>
              </w:rPr>
              <w:t>.</w:t>
            </w:r>
          </w:p>
        </w:tc>
      </w:tr>
      <w:tr w:rsidR="00985766" w:rsidRPr="00D434A8" w14:paraId="1C3C759E" w14:textId="77777777">
        <w:tc>
          <w:tcPr>
            <w:tcW w:w="705" w:type="pct"/>
          </w:tcPr>
          <w:p w14:paraId="4F30EB8B"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Time horizon</w:t>
            </w:r>
          </w:p>
        </w:tc>
        <w:tc>
          <w:tcPr>
            <w:tcW w:w="2279" w:type="pct"/>
            <w:vAlign w:val="center"/>
          </w:tcPr>
          <w:p w14:paraId="22C91BE0"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The lifetime time horizon in the model (40 years) was long compared to the duration of follow-up in the NAVIGATOR trial (52 weeks) and the SOURCE trial (48 weeks). </w:t>
            </w:r>
          </w:p>
        </w:tc>
        <w:tc>
          <w:tcPr>
            <w:tcW w:w="2016" w:type="pct"/>
          </w:tcPr>
          <w:p w14:paraId="183F14D4"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Moderate, favours </w:t>
            </w:r>
            <w:proofErr w:type="spellStart"/>
            <w:r w:rsidRPr="00D434A8">
              <w:rPr>
                <w:rFonts w:ascii="Arial Narrow" w:eastAsiaTheme="majorEastAsia" w:hAnsi="Arial Narrow" w:cstheme="majorBidi"/>
                <w:bCs/>
                <w:sz w:val="20"/>
              </w:rPr>
              <w:t>tezepelumab</w:t>
            </w:r>
            <w:proofErr w:type="spellEnd"/>
            <w:r w:rsidRPr="00D434A8">
              <w:rPr>
                <w:rFonts w:ascii="Arial Narrow" w:eastAsiaTheme="majorEastAsia" w:hAnsi="Arial Narrow" w:cstheme="majorBidi"/>
                <w:bCs/>
                <w:sz w:val="20"/>
              </w:rPr>
              <w:t>.</w:t>
            </w:r>
          </w:p>
          <w:p w14:paraId="470EC230" w14:textId="197C542F"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bCs/>
                <w:sz w:val="20"/>
                <w:szCs w:val="20"/>
              </w:rPr>
              <w:t>Reducing the time horizon to 20 years</w:t>
            </w:r>
            <w:r w:rsidRPr="00D434A8">
              <w:rPr>
                <w:rFonts w:ascii="Arial Narrow" w:eastAsiaTheme="majorEastAsia" w:hAnsi="Arial Narrow" w:cstheme="majorBidi"/>
                <w:bCs/>
                <w:sz w:val="20"/>
              </w:rPr>
              <w:t xml:space="preserve"> increased the ICER to $</w:t>
            </w:r>
            <w:r w:rsidR="00B14769" w:rsidRPr="00B14769">
              <w:rPr>
                <w:rFonts w:ascii="Arial Narrow" w:eastAsiaTheme="majorEastAsia" w:hAnsi="Arial Narrow" w:cstheme="majorBidi"/>
                <w:bCs/>
                <w:sz w:val="20"/>
                <w:highlight w:val="black"/>
              </w:rPr>
              <w:t>&amp;&amp;&amp;&amp;</w:t>
            </w:r>
            <w:r w:rsidR="00080C7C">
              <w:rPr>
                <w:rFonts w:ascii="Arial Narrow" w:eastAsiaTheme="majorEastAsia" w:hAnsi="Arial Narrow" w:cstheme="majorBidi"/>
                <w:bCs/>
                <w:sz w:val="20"/>
                <w:vertAlign w:val="superscript"/>
              </w:rPr>
              <w:t>1</w:t>
            </w:r>
            <w:r w:rsidRPr="00D434A8">
              <w:rPr>
                <w:rFonts w:ascii="Arial Narrow" w:eastAsiaTheme="majorEastAsia" w:hAnsi="Arial Narrow" w:cstheme="majorBidi"/>
                <w:bCs/>
                <w:sz w:val="20"/>
              </w:rPr>
              <w:t xml:space="preserve">/QALY gained. </w:t>
            </w:r>
          </w:p>
        </w:tc>
      </w:tr>
      <w:tr w:rsidR="00985766" w:rsidRPr="00D434A8" w14:paraId="750BBC28" w14:textId="77777777">
        <w:tc>
          <w:tcPr>
            <w:tcW w:w="705" w:type="pct"/>
          </w:tcPr>
          <w:p w14:paraId="5679017E"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Stopping rule at 32 weeks </w:t>
            </w:r>
          </w:p>
        </w:tc>
        <w:tc>
          <w:tcPr>
            <w:tcW w:w="2279" w:type="pct"/>
            <w:vAlign w:val="center"/>
          </w:tcPr>
          <w:p w14:paraId="7B3B2978" w14:textId="68894F3A"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A 32-week stopping rule was introduced so individuals who achieved a response on </w:t>
            </w:r>
            <w:proofErr w:type="spellStart"/>
            <w:r w:rsidRPr="00D434A8">
              <w:rPr>
                <w:rFonts w:ascii="Arial Narrow" w:eastAsiaTheme="majorEastAsia" w:hAnsi="Arial Narrow" w:cstheme="majorBidi"/>
                <w:bCs/>
                <w:sz w:val="20"/>
              </w:rPr>
              <w:t>tezepelumab</w:t>
            </w:r>
            <w:proofErr w:type="spellEnd"/>
            <w:r w:rsidRPr="00D434A8">
              <w:rPr>
                <w:rFonts w:ascii="Arial Narrow" w:eastAsiaTheme="majorEastAsia" w:hAnsi="Arial Narrow" w:cstheme="majorBidi"/>
                <w:bCs/>
                <w:sz w:val="20"/>
              </w:rPr>
              <w:t xml:space="preserve"> continued treatment in the model, and others switched to </w:t>
            </w:r>
            <w:proofErr w:type="spellStart"/>
            <w:r w:rsidRPr="00D434A8">
              <w:rPr>
                <w:rFonts w:ascii="Arial Narrow" w:eastAsiaTheme="majorEastAsia" w:hAnsi="Arial Narrow" w:cstheme="majorBidi"/>
                <w:bCs/>
                <w:sz w:val="20"/>
              </w:rPr>
              <w:t>SoC.</w:t>
            </w:r>
            <w:proofErr w:type="spellEnd"/>
            <w:r w:rsidRPr="00D434A8">
              <w:rPr>
                <w:rFonts w:ascii="Arial Narrow" w:eastAsiaTheme="majorEastAsia" w:hAnsi="Arial Narrow" w:cstheme="majorBidi"/>
                <w:bCs/>
                <w:sz w:val="20"/>
              </w:rPr>
              <w:t xml:space="preserve"> </w:t>
            </w:r>
            <w:r w:rsidR="00D41474" w:rsidRPr="00EE227E">
              <w:rPr>
                <w:rFonts w:ascii="Arial Narrow" w:eastAsiaTheme="majorEastAsia" w:hAnsi="Arial Narrow" w:cstheme="majorBidi"/>
                <w:bCs/>
                <w:iCs/>
                <w:sz w:val="20"/>
              </w:rPr>
              <w:t>If this continuation criterion is not effectively applied in practice, the ICER would be higher than estimated in the submission.</w:t>
            </w:r>
          </w:p>
        </w:tc>
        <w:tc>
          <w:tcPr>
            <w:tcW w:w="2016" w:type="pct"/>
          </w:tcPr>
          <w:p w14:paraId="27B2D39C" w14:textId="0CA43375" w:rsidR="00985766" w:rsidRPr="00D434A8" w:rsidRDefault="00985766">
            <w:pPr>
              <w:keepNext/>
              <w:keepLines/>
              <w:widowControl w:val="0"/>
              <w:jc w:val="left"/>
              <w:rPr>
                <w:rFonts w:ascii="Arial Narrow" w:eastAsiaTheme="majorEastAsia" w:hAnsi="Arial Narrow" w:cstheme="majorBidi"/>
                <w:bCs/>
                <w:sz w:val="20"/>
              </w:rPr>
            </w:pPr>
            <w:r w:rsidRPr="00EE227E">
              <w:rPr>
                <w:rFonts w:ascii="Arial Narrow" w:eastAsiaTheme="majorEastAsia" w:hAnsi="Arial Narrow" w:cstheme="majorBidi"/>
                <w:bCs/>
                <w:iCs/>
                <w:sz w:val="20"/>
              </w:rPr>
              <w:t>High</w:t>
            </w:r>
            <w:r w:rsidRPr="00D434A8">
              <w:rPr>
                <w:rFonts w:ascii="Arial Narrow" w:eastAsiaTheme="majorEastAsia" w:hAnsi="Arial Narrow" w:cstheme="majorBidi"/>
                <w:bCs/>
                <w:sz w:val="20"/>
              </w:rPr>
              <w:t xml:space="preserve">, favours </w:t>
            </w:r>
            <w:proofErr w:type="spellStart"/>
            <w:r w:rsidRPr="00D434A8">
              <w:rPr>
                <w:rFonts w:ascii="Arial Narrow" w:eastAsiaTheme="majorEastAsia" w:hAnsi="Arial Narrow" w:cstheme="majorBidi"/>
                <w:bCs/>
                <w:sz w:val="20"/>
              </w:rPr>
              <w:t>tezepelumab</w:t>
            </w:r>
            <w:proofErr w:type="spellEnd"/>
            <w:r w:rsidRPr="00D434A8">
              <w:rPr>
                <w:rFonts w:ascii="Arial Narrow" w:eastAsiaTheme="majorEastAsia" w:hAnsi="Arial Narrow" w:cstheme="majorBidi"/>
                <w:bCs/>
                <w:sz w:val="20"/>
              </w:rPr>
              <w:t>.</w:t>
            </w:r>
            <w:r w:rsidR="00333AB7">
              <w:rPr>
                <w:rFonts w:ascii="Arial Narrow" w:eastAsiaTheme="majorEastAsia" w:hAnsi="Arial Narrow" w:cstheme="majorBidi"/>
                <w:bCs/>
                <w:sz w:val="20"/>
              </w:rPr>
              <w:t xml:space="preserve"> </w:t>
            </w:r>
            <w:r w:rsidR="00DD51DF" w:rsidRPr="00EE227E">
              <w:rPr>
                <w:rFonts w:ascii="Arial Narrow" w:eastAsiaTheme="majorEastAsia" w:hAnsi="Arial Narrow" w:cstheme="majorBidi"/>
                <w:bCs/>
                <w:iCs/>
                <w:sz w:val="20"/>
              </w:rPr>
              <w:t>However, t</w:t>
            </w:r>
            <w:r w:rsidR="00333AB7" w:rsidRPr="00EE227E">
              <w:rPr>
                <w:rFonts w:ascii="Arial Narrow" w:eastAsiaTheme="majorEastAsia" w:hAnsi="Arial Narrow" w:cstheme="majorBidi"/>
                <w:bCs/>
                <w:iCs/>
                <w:sz w:val="20"/>
              </w:rPr>
              <w:t>his could not be directly changed in the model.</w:t>
            </w:r>
          </w:p>
          <w:p w14:paraId="126CDA9F" w14:textId="59EFD833"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Removing this 32-week assessment by assuming the same control probability before and after 32 weeks increased the ICER to $</w:t>
            </w:r>
            <w:r w:rsidR="00B14769" w:rsidRPr="00B14769">
              <w:rPr>
                <w:rFonts w:ascii="Arial Narrow" w:eastAsiaTheme="majorEastAsia" w:hAnsi="Arial Narrow" w:cstheme="majorBidi"/>
                <w:bCs/>
                <w:sz w:val="20"/>
                <w:highlight w:val="black"/>
              </w:rPr>
              <w:t>&amp;&amp;&amp;&amp;</w:t>
            </w:r>
            <w:r w:rsidR="00080C7C">
              <w:rPr>
                <w:rFonts w:ascii="Arial Narrow" w:eastAsiaTheme="majorEastAsia" w:hAnsi="Arial Narrow" w:cstheme="majorBidi"/>
                <w:bCs/>
                <w:sz w:val="20"/>
                <w:vertAlign w:val="superscript"/>
              </w:rPr>
              <w:t>1</w:t>
            </w:r>
            <w:r w:rsidRPr="00D434A8">
              <w:rPr>
                <w:rFonts w:ascii="Arial Narrow" w:eastAsiaTheme="majorEastAsia" w:hAnsi="Arial Narrow" w:cstheme="majorBidi"/>
                <w:bCs/>
                <w:sz w:val="20"/>
              </w:rPr>
              <w:t>/QALY gained.</w:t>
            </w:r>
            <w:r w:rsidR="001A7AC1">
              <w:rPr>
                <w:rFonts w:ascii="Arial Narrow" w:eastAsiaTheme="majorEastAsia" w:hAnsi="Arial Narrow" w:cstheme="majorBidi"/>
                <w:bCs/>
                <w:sz w:val="20"/>
              </w:rPr>
              <w:t xml:space="preserve"> </w:t>
            </w:r>
          </w:p>
        </w:tc>
      </w:tr>
      <w:tr w:rsidR="00985766" w:rsidRPr="00D434A8" w14:paraId="55554DC7" w14:textId="77777777">
        <w:tc>
          <w:tcPr>
            <w:tcW w:w="705" w:type="pct"/>
          </w:tcPr>
          <w:p w14:paraId="5E3E45C9"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Response definition</w:t>
            </w:r>
          </w:p>
        </w:tc>
        <w:tc>
          <w:tcPr>
            <w:tcW w:w="2279" w:type="pct"/>
            <w:vAlign w:val="center"/>
          </w:tcPr>
          <w:p w14:paraId="16082895"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Controlled asthma: ACQ-6 score &lt;1.5, and uncontrolled asthma: ACQ-6 score ≥1.5. This was not consistent with the published definitions and definitions used in the trials.</w:t>
            </w:r>
          </w:p>
        </w:tc>
        <w:tc>
          <w:tcPr>
            <w:tcW w:w="2016" w:type="pct"/>
          </w:tcPr>
          <w:p w14:paraId="52099992"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Likely moderate, favours </w:t>
            </w:r>
            <w:proofErr w:type="spellStart"/>
            <w:r w:rsidRPr="00D434A8">
              <w:rPr>
                <w:rFonts w:ascii="Arial Narrow" w:eastAsiaTheme="majorEastAsia" w:hAnsi="Arial Narrow" w:cstheme="majorBidi"/>
                <w:bCs/>
                <w:sz w:val="20"/>
              </w:rPr>
              <w:t>tezepelumab</w:t>
            </w:r>
            <w:proofErr w:type="spellEnd"/>
            <w:r w:rsidRPr="00D434A8">
              <w:rPr>
                <w:rFonts w:ascii="Arial Narrow" w:eastAsiaTheme="majorEastAsia" w:hAnsi="Arial Narrow" w:cstheme="majorBidi"/>
                <w:bCs/>
                <w:sz w:val="20"/>
              </w:rPr>
              <w:t>. It could not be tested due to the model setup.</w:t>
            </w:r>
          </w:p>
        </w:tc>
      </w:tr>
      <w:tr w:rsidR="00985766" w:rsidRPr="00D434A8" w14:paraId="04BED2EE" w14:textId="77777777" w:rsidTr="00023B34">
        <w:tc>
          <w:tcPr>
            <w:tcW w:w="705" w:type="pct"/>
          </w:tcPr>
          <w:p w14:paraId="4495C008"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Exacerbation risk</w:t>
            </w:r>
          </w:p>
        </w:tc>
        <w:tc>
          <w:tcPr>
            <w:tcW w:w="2279" w:type="pct"/>
          </w:tcPr>
          <w:p w14:paraId="3FF4CC99" w14:textId="1ABEA18B" w:rsidR="00985766" w:rsidRPr="00D434A8" w:rsidRDefault="00985766" w:rsidP="00023B34">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Tezepelumab reduced exacerbation risk by 50% in individuals not on OCS. </w:t>
            </w:r>
            <w:r w:rsidR="003C7FB7" w:rsidRPr="00EE227E">
              <w:rPr>
                <w:rFonts w:asciiTheme="minorHAnsi" w:eastAsiaTheme="minorHAnsi" w:hAnsiTheme="minorHAnsi" w:cstheme="minorBidi"/>
                <w:iCs/>
                <w:szCs w:val="22"/>
              </w:rPr>
              <w:t xml:space="preserve"> </w:t>
            </w:r>
            <w:r w:rsidR="003C7FB7" w:rsidRPr="00EE227E">
              <w:rPr>
                <w:rFonts w:ascii="Arial Narrow" w:eastAsiaTheme="majorEastAsia" w:hAnsi="Arial Narrow" w:cstheme="majorBidi"/>
                <w:bCs/>
                <w:iCs/>
                <w:sz w:val="20"/>
              </w:rPr>
              <w:t xml:space="preserve">However, there were </w:t>
            </w:r>
            <w:r w:rsidR="00722B34" w:rsidRPr="00EE227E">
              <w:rPr>
                <w:rFonts w:ascii="Arial Narrow" w:eastAsiaTheme="majorEastAsia" w:hAnsi="Arial Narrow" w:cstheme="majorBidi"/>
                <w:bCs/>
                <w:iCs/>
                <w:sz w:val="20"/>
              </w:rPr>
              <w:t>uncertainties related to the</w:t>
            </w:r>
            <w:r w:rsidR="003C7FB7" w:rsidRPr="00EE227E">
              <w:rPr>
                <w:rFonts w:ascii="Arial Narrow" w:eastAsiaTheme="majorEastAsia" w:hAnsi="Arial Narrow" w:cstheme="majorBidi"/>
                <w:bCs/>
                <w:iCs/>
                <w:sz w:val="20"/>
              </w:rPr>
              <w:t xml:space="preserve"> observed benefit in AAER in this population.</w:t>
            </w:r>
          </w:p>
        </w:tc>
        <w:tc>
          <w:tcPr>
            <w:tcW w:w="2016" w:type="pct"/>
          </w:tcPr>
          <w:p w14:paraId="2D59CD52" w14:textId="77777777" w:rsidR="00985766" w:rsidRPr="00D434A8" w:rsidRDefault="00985766" w:rsidP="00023B34">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High, favours </w:t>
            </w:r>
            <w:proofErr w:type="spellStart"/>
            <w:r w:rsidRPr="00D434A8">
              <w:rPr>
                <w:rFonts w:ascii="Arial Narrow" w:eastAsiaTheme="majorEastAsia" w:hAnsi="Arial Narrow" w:cstheme="majorBidi"/>
                <w:bCs/>
                <w:sz w:val="20"/>
              </w:rPr>
              <w:t>tezepelumab</w:t>
            </w:r>
            <w:proofErr w:type="spellEnd"/>
            <w:r w:rsidRPr="00D434A8">
              <w:rPr>
                <w:rFonts w:ascii="Arial Narrow" w:eastAsiaTheme="majorEastAsia" w:hAnsi="Arial Narrow" w:cstheme="majorBidi"/>
                <w:bCs/>
                <w:sz w:val="20"/>
              </w:rPr>
              <w:t>.</w:t>
            </w:r>
          </w:p>
          <w:p w14:paraId="69267E0E" w14:textId="58A3D0CC" w:rsidR="00985766" w:rsidRPr="00D434A8" w:rsidRDefault="006B7FC9" w:rsidP="00023B34">
            <w:pPr>
              <w:keepNext/>
              <w:keepLines/>
              <w:widowControl w:val="0"/>
              <w:jc w:val="left"/>
              <w:rPr>
                <w:rFonts w:ascii="Arial Narrow" w:eastAsiaTheme="majorEastAsia" w:hAnsi="Arial Narrow" w:cstheme="majorBidi"/>
                <w:bCs/>
                <w:sz w:val="20"/>
              </w:rPr>
            </w:pPr>
            <w:r w:rsidRPr="00EE227E">
              <w:rPr>
                <w:rFonts w:ascii="Arial Narrow" w:eastAsiaTheme="majorEastAsia" w:hAnsi="Arial Narrow" w:cstheme="majorBidi"/>
                <w:bCs/>
                <w:iCs/>
                <w:sz w:val="20"/>
              </w:rPr>
              <w:t>Removing this benefit increased the</w:t>
            </w:r>
            <w:r w:rsidR="00985766" w:rsidRPr="00D434A8">
              <w:rPr>
                <w:rFonts w:ascii="Arial Narrow" w:eastAsiaTheme="majorEastAsia" w:hAnsi="Arial Narrow" w:cstheme="majorBidi"/>
                <w:bCs/>
                <w:sz w:val="20"/>
              </w:rPr>
              <w:t xml:space="preserve"> ICER to $</w:t>
            </w:r>
            <w:r w:rsidR="00B14769" w:rsidRPr="00B14769">
              <w:rPr>
                <w:rFonts w:ascii="Arial Narrow" w:eastAsiaTheme="majorEastAsia" w:hAnsi="Arial Narrow" w:cstheme="majorBidi"/>
                <w:bCs/>
                <w:sz w:val="20"/>
                <w:highlight w:val="black"/>
              </w:rPr>
              <w:t>&amp;&amp;&amp;&amp;</w:t>
            </w:r>
            <w:r w:rsidR="00C418A8">
              <w:rPr>
                <w:rFonts w:ascii="Arial Narrow" w:eastAsiaTheme="majorEastAsia" w:hAnsi="Arial Narrow" w:cstheme="majorBidi"/>
                <w:bCs/>
                <w:sz w:val="20"/>
                <w:vertAlign w:val="superscript"/>
              </w:rPr>
              <w:t>2</w:t>
            </w:r>
            <w:r w:rsidR="00985766" w:rsidRPr="00D434A8">
              <w:rPr>
                <w:rFonts w:ascii="Arial Narrow" w:eastAsiaTheme="majorEastAsia" w:hAnsi="Arial Narrow" w:cstheme="majorBidi"/>
                <w:bCs/>
                <w:sz w:val="20"/>
              </w:rPr>
              <w:t>/QALY gained.</w:t>
            </w:r>
            <w:r>
              <w:rPr>
                <w:rFonts w:ascii="Arial Narrow" w:eastAsiaTheme="majorEastAsia" w:hAnsi="Arial Narrow" w:cstheme="majorBidi"/>
                <w:bCs/>
                <w:sz w:val="20"/>
              </w:rPr>
              <w:t xml:space="preserve"> </w:t>
            </w:r>
          </w:p>
        </w:tc>
      </w:tr>
      <w:tr w:rsidR="00985766" w:rsidRPr="00D434A8" w14:paraId="5270C4E5" w14:textId="77777777">
        <w:tc>
          <w:tcPr>
            <w:tcW w:w="705" w:type="pct"/>
          </w:tcPr>
          <w:p w14:paraId="27AEA0E5"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Exacerbation-related mortality</w:t>
            </w:r>
          </w:p>
        </w:tc>
        <w:tc>
          <w:tcPr>
            <w:tcW w:w="2279" w:type="pct"/>
            <w:vAlign w:val="center"/>
          </w:tcPr>
          <w:p w14:paraId="715F4003" w14:textId="1E4813BC"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Risk of exacerbation-related mortality was 1.13% following OCS bursts; 1.8% following emergency department visits; and 2.5% following hospitalisation. </w:t>
            </w:r>
            <w:r w:rsidR="00E040A7" w:rsidRPr="00EE227E">
              <w:rPr>
                <w:rFonts w:ascii="Arial Narrow" w:eastAsiaTheme="majorEastAsia" w:hAnsi="Arial Narrow" w:cstheme="majorBidi"/>
                <w:bCs/>
                <w:iCs/>
                <w:sz w:val="20"/>
              </w:rPr>
              <w:t>The evaluation considered that s</w:t>
            </w:r>
            <w:r w:rsidRPr="00EE227E">
              <w:rPr>
                <w:rFonts w:ascii="Arial Narrow" w:eastAsiaTheme="majorEastAsia" w:hAnsi="Arial Narrow" w:cstheme="majorBidi"/>
                <w:bCs/>
                <w:iCs/>
                <w:sz w:val="20"/>
              </w:rPr>
              <w:t>ources</w:t>
            </w:r>
            <w:r w:rsidRPr="00D434A8">
              <w:rPr>
                <w:rFonts w:ascii="Arial Narrow" w:eastAsiaTheme="majorEastAsia" w:hAnsi="Arial Narrow" w:cstheme="majorBidi"/>
                <w:bCs/>
                <w:sz w:val="20"/>
              </w:rPr>
              <w:t xml:space="preserve"> used to derive exacerbation-related mortality requiring ED visit or hospitalisation </w:t>
            </w:r>
            <w:r w:rsidRPr="00EE227E">
              <w:rPr>
                <w:rFonts w:ascii="Arial Narrow" w:eastAsiaTheme="majorEastAsia" w:hAnsi="Arial Narrow" w:cstheme="majorBidi"/>
                <w:bCs/>
                <w:iCs/>
                <w:sz w:val="20"/>
              </w:rPr>
              <w:t xml:space="preserve">were </w:t>
            </w:r>
            <w:r w:rsidRPr="00E040A7">
              <w:rPr>
                <w:rFonts w:ascii="Arial Narrow" w:eastAsiaTheme="majorEastAsia" w:hAnsi="Arial Narrow" w:cstheme="majorBidi"/>
                <w:bCs/>
                <w:sz w:val="20"/>
              </w:rPr>
              <w:t>unreliable</w:t>
            </w:r>
            <w:r w:rsidRPr="00EE227E">
              <w:rPr>
                <w:rFonts w:ascii="Arial Narrow" w:eastAsiaTheme="majorEastAsia" w:hAnsi="Arial Narrow" w:cstheme="majorBidi"/>
                <w:bCs/>
                <w:iCs/>
                <w:sz w:val="20"/>
              </w:rPr>
              <w:t>.</w:t>
            </w:r>
          </w:p>
        </w:tc>
        <w:tc>
          <w:tcPr>
            <w:tcW w:w="2016" w:type="pct"/>
          </w:tcPr>
          <w:p w14:paraId="6E27B696"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High, favours </w:t>
            </w:r>
            <w:proofErr w:type="spellStart"/>
            <w:r w:rsidRPr="00D434A8">
              <w:rPr>
                <w:rFonts w:ascii="Arial Narrow" w:eastAsiaTheme="majorEastAsia" w:hAnsi="Arial Narrow" w:cstheme="majorBidi"/>
                <w:bCs/>
                <w:sz w:val="20"/>
              </w:rPr>
              <w:t>tezepelumab</w:t>
            </w:r>
            <w:proofErr w:type="spellEnd"/>
            <w:r w:rsidRPr="00D434A8">
              <w:rPr>
                <w:rFonts w:ascii="Arial Narrow" w:eastAsiaTheme="majorEastAsia" w:hAnsi="Arial Narrow" w:cstheme="majorBidi"/>
                <w:bCs/>
                <w:sz w:val="20"/>
              </w:rPr>
              <w:t>.</w:t>
            </w:r>
          </w:p>
          <w:p w14:paraId="0494904E" w14:textId="24B6EE93"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Using a mortality rate of 0% for all types of exacerbations increased the ICER to $</w:t>
            </w:r>
            <w:r w:rsidR="00B14769" w:rsidRPr="00B14769">
              <w:rPr>
                <w:rFonts w:ascii="Arial Narrow" w:eastAsiaTheme="majorEastAsia" w:hAnsi="Arial Narrow" w:cstheme="majorBidi"/>
                <w:bCs/>
                <w:sz w:val="20"/>
                <w:highlight w:val="black"/>
              </w:rPr>
              <w:t>&amp;&amp;&amp;&amp;</w:t>
            </w:r>
            <w:r w:rsidR="00917BF3">
              <w:rPr>
                <w:rFonts w:ascii="Arial Narrow" w:eastAsiaTheme="majorEastAsia" w:hAnsi="Arial Narrow" w:cstheme="majorBidi"/>
                <w:bCs/>
                <w:sz w:val="20"/>
                <w:vertAlign w:val="superscript"/>
              </w:rPr>
              <w:t>3</w:t>
            </w:r>
            <w:r w:rsidRPr="00D434A8">
              <w:rPr>
                <w:rFonts w:ascii="Arial Narrow" w:eastAsiaTheme="majorEastAsia" w:hAnsi="Arial Narrow" w:cstheme="majorBidi"/>
                <w:bCs/>
                <w:sz w:val="20"/>
              </w:rPr>
              <w:t>/QALY gained.</w:t>
            </w:r>
          </w:p>
        </w:tc>
      </w:tr>
      <w:tr w:rsidR="00985766" w:rsidRPr="00D434A8" w14:paraId="0FEF9BA5" w14:textId="77777777">
        <w:tc>
          <w:tcPr>
            <w:tcW w:w="705" w:type="pct"/>
          </w:tcPr>
          <w:p w14:paraId="4B3E66BF"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Patient population composition</w:t>
            </w:r>
          </w:p>
        </w:tc>
        <w:tc>
          <w:tcPr>
            <w:tcW w:w="2279" w:type="pct"/>
            <w:vAlign w:val="center"/>
          </w:tcPr>
          <w:p w14:paraId="33F89A42"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The model had a high discontinuation rate in the </w:t>
            </w:r>
            <w:proofErr w:type="spellStart"/>
            <w:r w:rsidRPr="00D434A8">
              <w:rPr>
                <w:rFonts w:ascii="Arial Narrow" w:eastAsiaTheme="majorEastAsia" w:hAnsi="Arial Narrow" w:cstheme="majorBidi"/>
                <w:bCs/>
                <w:sz w:val="20"/>
              </w:rPr>
              <w:t>tezepelumab</w:t>
            </w:r>
            <w:proofErr w:type="spellEnd"/>
            <w:r w:rsidRPr="00D434A8">
              <w:rPr>
                <w:rFonts w:ascii="Arial Narrow" w:eastAsiaTheme="majorEastAsia" w:hAnsi="Arial Narrow" w:cstheme="majorBidi"/>
                <w:bCs/>
                <w:sz w:val="20"/>
              </w:rPr>
              <w:t xml:space="preserve"> arm (60.7%) at 32 weeks and retained only controlled asthma in the treatment arm, while others switched to SoC for the remainder of the time horizon. Therefore, only responders contributed to the </w:t>
            </w:r>
            <w:proofErr w:type="spellStart"/>
            <w:r w:rsidRPr="00D434A8">
              <w:rPr>
                <w:rFonts w:ascii="Arial Narrow" w:eastAsiaTheme="majorEastAsia" w:hAnsi="Arial Narrow" w:cstheme="majorBidi"/>
                <w:bCs/>
                <w:sz w:val="20"/>
              </w:rPr>
              <w:t>tezepelumab</w:t>
            </w:r>
            <w:proofErr w:type="spellEnd"/>
            <w:r w:rsidRPr="00D434A8">
              <w:rPr>
                <w:rFonts w:ascii="Arial Narrow" w:eastAsiaTheme="majorEastAsia" w:hAnsi="Arial Narrow" w:cstheme="majorBidi"/>
                <w:bCs/>
                <w:sz w:val="20"/>
              </w:rPr>
              <w:t xml:space="preserve"> arm in the model.</w:t>
            </w:r>
          </w:p>
        </w:tc>
        <w:tc>
          <w:tcPr>
            <w:tcW w:w="2016" w:type="pct"/>
          </w:tcPr>
          <w:p w14:paraId="6342ACE4" w14:textId="77777777" w:rsidR="00985766" w:rsidRPr="00D434A8" w:rsidRDefault="00985766">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 xml:space="preserve">Likely high, favours </w:t>
            </w:r>
            <w:proofErr w:type="spellStart"/>
            <w:r w:rsidRPr="00D434A8">
              <w:rPr>
                <w:rFonts w:ascii="Arial Narrow" w:eastAsiaTheme="majorEastAsia" w:hAnsi="Arial Narrow" w:cstheme="majorBidi"/>
                <w:bCs/>
                <w:sz w:val="20"/>
              </w:rPr>
              <w:t>tezepelumab</w:t>
            </w:r>
            <w:proofErr w:type="spellEnd"/>
            <w:r w:rsidRPr="00D434A8">
              <w:rPr>
                <w:rFonts w:ascii="Arial Narrow" w:eastAsiaTheme="majorEastAsia" w:hAnsi="Arial Narrow" w:cstheme="majorBidi"/>
                <w:bCs/>
                <w:sz w:val="20"/>
              </w:rPr>
              <w:t>. It could not be tested in sensitivity analysis due to the model setup.</w:t>
            </w:r>
          </w:p>
        </w:tc>
      </w:tr>
    </w:tbl>
    <w:p w14:paraId="2C3E63FC" w14:textId="77777777" w:rsidR="00F51175" w:rsidRDefault="00985766" w:rsidP="00F51175">
      <w:pPr>
        <w:pStyle w:val="TableFigureFooter"/>
        <w:rPr>
          <w:i/>
          <w:szCs w:val="18"/>
        </w:rPr>
      </w:pPr>
      <w:r w:rsidRPr="004F56D0">
        <w:t>Source: Compiled during the evaluation from Table 2-127, p198; Table 3-5, pp256-257; pp274-276, p278, Table 3-14, p283, p285 of the submission.</w:t>
      </w:r>
      <w:r w:rsidRPr="004F56D0">
        <w:br/>
        <w:t xml:space="preserve">ACQ-6 = asthma control questionnaire 6 question version, EQ-5D-5L= </w:t>
      </w:r>
      <w:proofErr w:type="spellStart"/>
      <w:r w:rsidRPr="004F56D0">
        <w:t>EuroQol</w:t>
      </w:r>
      <w:proofErr w:type="spellEnd"/>
      <w:r w:rsidRPr="004F56D0">
        <w:t xml:space="preserve"> </w:t>
      </w:r>
      <w:proofErr w:type="gramStart"/>
      <w:r w:rsidRPr="004F56D0">
        <w:t>5 dimension</w:t>
      </w:r>
      <w:proofErr w:type="gramEnd"/>
      <w:r w:rsidRPr="004F56D0">
        <w:t xml:space="preserve"> 5 level; ICER = incremental cost-effectiveness ratio, QALY= Quality-Adjusted Life Years.</w:t>
      </w:r>
      <w:bookmarkStart w:id="88" w:name="_Hlk219216018"/>
    </w:p>
    <w:p w14:paraId="7491A6DF" w14:textId="2103DCE8" w:rsidR="00F51175" w:rsidRPr="00F51175" w:rsidRDefault="00F51175" w:rsidP="00F51175">
      <w:pPr>
        <w:pStyle w:val="TableFigureFooter"/>
        <w:rPr>
          <w:i/>
        </w:rPr>
      </w:pPr>
      <w:r w:rsidRPr="00F51175">
        <w:rPr>
          <w:i/>
        </w:rPr>
        <w:t xml:space="preserve">The redacted values correspond to the following ranges: </w:t>
      </w:r>
    </w:p>
    <w:p w14:paraId="12BBA97B" w14:textId="4008E3AF" w:rsidR="00F51175" w:rsidRPr="00F51175" w:rsidRDefault="00F51175" w:rsidP="00F51175">
      <w:pPr>
        <w:pStyle w:val="TableFigureFooter"/>
        <w:rPr>
          <w:i/>
        </w:rPr>
      </w:pPr>
      <w:r w:rsidRPr="00F51175">
        <w:rPr>
          <w:i/>
          <w:vertAlign w:val="superscript"/>
        </w:rPr>
        <w:t>1</w:t>
      </w:r>
      <w:r w:rsidRPr="00F51175">
        <w:rPr>
          <w:i/>
        </w:rPr>
        <w:t xml:space="preserve"> </w:t>
      </w:r>
      <w:bookmarkStart w:id="89" w:name="_Hlk219209428"/>
      <w:r w:rsidR="00080C7C" w:rsidRPr="00080C7C">
        <w:rPr>
          <w:i/>
        </w:rPr>
        <w:t>$75,000 to &lt; $95,000</w:t>
      </w:r>
      <w:bookmarkEnd w:id="89"/>
    </w:p>
    <w:p w14:paraId="44619FE3" w14:textId="38615198" w:rsidR="00F51175" w:rsidRPr="00F51175" w:rsidRDefault="00F51175" w:rsidP="00F51175">
      <w:pPr>
        <w:pStyle w:val="TableFigureFooter"/>
        <w:rPr>
          <w:i/>
        </w:rPr>
      </w:pPr>
      <w:r w:rsidRPr="00F51175">
        <w:rPr>
          <w:i/>
          <w:vertAlign w:val="superscript"/>
        </w:rPr>
        <w:t>2</w:t>
      </w:r>
      <w:r w:rsidRPr="00F51175">
        <w:rPr>
          <w:i/>
        </w:rPr>
        <w:t xml:space="preserve"> </w:t>
      </w:r>
      <w:r w:rsidR="00C418A8" w:rsidRPr="00C418A8">
        <w:rPr>
          <w:i/>
        </w:rPr>
        <w:t>$135,000 to &lt; $155,000</w:t>
      </w:r>
    </w:p>
    <w:p w14:paraId="1DE22786" w14:textId="021337D6" w:rsidR="00985766" w:rsidRDefault="00F51175" w:rsidP="00985766">
      <w:pPr>
        <w:pStyle w:val="TableFigureFooter"/>
      </w:pPr>
      <w:r w:rsidRPr="00F51175">
        <w:rPr>
          <w:i/>
          <w:vertAlign w:val="superscript"/>
        </w:rPr>
        <w:t>3</w:t>
      </w:r>
      <w:r w:rsidRPr="00F51175">
        <w:rPr>
          <w:i/>
        </w:rPr>
        <w:t xml:space="preserve"> </w:t>
      </w:r>
      <w:bookmarkStart w:id="90" w:name="_Hlk219209541"/>
      <w:r w:rsidR="00917BF3" w:rsidRPr="00917BF3">
        <w:rPr>
          <w:i/>
        </w:rPr>
        <w:t>$155,000 to &lt; $255,000</w:t>
      </w:r>
      <w:bookmarkEnd w:id="88"/>
      <w:bookmarkEnd w:id="90"/>
    </w:p>
    <w:p w14:paraId="5E76841E" w14:textId="71F1A42B" w:rsidR="00985766" w:rsidRPr="002F03BE" w:rsidRDefault="00985766" w:rsidP="00F65BD4">
      <w:pPr>
        <w:numPr>
          <w:ilvl w:val="1"/>
          <w:numId w:val="1"/>
        </w:numPr>
        <w:spacing w:before="60" w:after="120"/>
        <w:ind w:left="709"/>
        <w:rPr>
          <w:rFonts w:asciiTheme="minorHAnsi" w:eastAsiaTheme="minorHAnsi" w:hAnsiTheme="minorHAnsi" w:cstheme="minorBidi"/>
          <w:szCs w:val="22"/>
        </w:rPr>
      </w:pPr>
      <w:r w:rsidRPr="002F03BE">
        <w:rPr>
          <w:rFonts w:asciiTheme="minorHAnsi" w:eastAsiaTheme="minorHAnsi" w:hAnsiTheme="minorHAnsi" w:cstheme="minorBidi"/>
          <w:szCs w:val="22"/>
        </w:rPr>
        <w:t xml:space="preserve">The submission reported a base case ICER of </w:t>
      </w:r>
      <w:r w:rsidR="00F961C5" w:rsidRPr="00F961C5">
        <w:rPr>
          <w:rFonts w:asciiTheme="minorHAnsi" w:eastAsiaTheme="minorHAnsi" w:hAnsiTheme="minorHAnsi" w:cstheme="minorBidi"/>
          <w:szCs w:val="22"/>
        </w:rPr>
        <w:t>$75,000 to &lt; $95,000</w:t>
      </w:r>
      <w:r w:rsidRPr="002F03BE">
        <w:rPr>
          <w:rFonts w:asciiTheme="minorHAnsi" w:eastAsiaTheme="minorHAnsi" w:hAnsiTheme="minorHAnsi" w:cstheme="minorBidi"/>
          <w:szCs w:val="22"/>
        </w:rPr>
        <w:t>/QALY gained. The submission presented a stepped economic evaluation showing the transformation of exacerbation rates and ACQ response rates. However, the inputs for this stepped evaluation could not be verified or mapped to the trial reports</w:t>
      </w:r>
      <w:r w:rsidRPr="002F03BE" w:rsidDel="00D86CFD">
        <w:rPr>
          <w:rFonts w:asciiTheme="minorHAnsi" w:eastAsiaTheme="minorHAnsi" w:hAnsiTheme="minorHAnsi" w:cstheme="minorBidi"/>
          <w:szCs w:val="22"/>
        </w:rPr>
        <w:t xml:space="preserve"> </w:t>
      </w:r>
      <w:r w:rsidRPr="002F03BE">
        <w:rPr>
          <w:rFonts w:asciiTheme="minorHAnsi" w:eastAsiaTheme="minorHAnsi" w:hAnsiTheme="minorHAnsi" w:cstheme="minorBidi"/>
          <w:szCs w:val="22"/>
        </w:rPr>
        <w:t xml:space="preserve">because the model used individual patient data, with outcomes assessed at 32 weeks using a response definition of ACQ threshold of 1.5. The stepped economic evaluation developed during the evaluation is presented in </w:t>
      </w:r>
      <w:r w:rsidRPr="002F03BE">
        <w:rPr>
          <w:rFonts w:asciiTheme="minorHAnsi" w:eastAsiaTheme="minorHAnsi" w:hAnsiTheme="minorHAnsi" w:cstheme="minorBidi"/>
          <w:szCs w:val="22"/>
        </w:rPr>
        <w:fldChar w:fldCharType="begin"/>
      </w:r>
      <w:r w:rsidRPr="002F03BE">
        <w:rPr>
          <w:rFonts w:asciiTheme="minorHAnsi" w:eastAsiaTheme="minorHAnsi" w:hAnsiTheme="minorHAnsi" w:cstheme="minorBidi"/>
          <w:szCs w:val="22"/>
        </w:rPr>
        <w:instrText xml:space="preserve"> REF _Ref104805160 \h  \* MERGEFORMAT </w:instrText>
      </w:r>
      <w:r w:rsidRPr="002F03BE">
        <w:rPr>
          <w:rFonts w:asciiTheme="minorHAnsi" w:eastAsiaTheme="minorHAnsi" w:hAnsiTheme="minorHAnsi" w:cstheme="minorBidi"/>
          <w:szCs w:val="22"/>
        </w:rPr>
      </w:r>
      <w:r w:rsidRPr="002F03BE">
        <w:rPr>
          <w:rFonts w:asciiTheme="minorHAnsi" w:eastAsiaTheme="minorHAnsi" w:hAnsiTheme="minorHAnsi" w:cstheme="minorBidi"/>
          <w:szCs w:val="22"/>
        </w:rPr>
        <w:fldChar w:fldCharType="separate"/>
      </w:r>
      <w:r w:rsidR="0078760A" w:rsidRPr="0078760A">
        <w:rPr>
          <w:rFonts w:asciiTheme="minorHAnsi" w:eastAsiaTheme="minorHAnsi" w:hAnsiTheme="minorHAnsi" w:cstheme="minorBidi"/>
          <w:szCs w:val="22"/>
        </w:rPr>
        <w:t xml:space="preserve">Table </w:t>
      </w:r>
      <w:r w:rsidR="0078760A" w:rsidRPr="0078760A">
        <w:rPr>
          <w:rFonts w:asciiTheme="minorHAnsi" w:eastAsiaTheme="minorHAnsi" w:hAnsiTheme="minorHAnsi" w:cstheme="minorBidi"/>
          <w:noProof/>
          <w:szCs w:val="22"/>
        </w:rPr>
        <w:t>15</w:t>
      </w:r>
      <w:r w:rsidRPr="002F03BE">
        <w:rPr>
          <w:rFonts w:asciiTheme="minorHAnsi" w:eastAsiaTheme="minorHAnsi" w:hAnsiTheme="minorHAnsi" w:cstheme="minorBidi"/>
          <w:szCs w:val="22"/>
        </w:rPr>
        <w:fldChar w:fldCharType="end"/>
      </w:r>
      <w:r w:rsidRPr="002F03BE">
        <w:rPr>
          <w:rFonts w:asciiTheme="minorHAnsi" w:eastAsiaTheme="minorHAnsi" w:hAnsiTheme="minorHAnsi" w:cstheme="minorBidi"/>
          <w:szCs w:val="22"/>
        </w:rPr>
        <w:t>.</w:t>
      </w:r>
    </w:p>
    <w:p w14:paraId="03B76219" w14:textId="24C6D7F4" w:rsidR="00985766" w:rsidRPr="004F56D0" w:rsidRDefault="00985766" w:rsidP="00F65BD4">
      <w:pPr>
        <w:pStyle w:val="TableFigureHeading"/>
        <w:keepLines/>
      </w:pPr>
      <w:bookmarkStart w:id="91" w:name="_Ref104805160"/>
      <w:r w:rsidRPr="004F56D0">
        <w:t xml:space="preserve">Table </w:t>
      </w:r>
      <w:r w:rsidR="001146FA">
        <w:fldChar w:fldCharType="begin"/>
      </w:r>
      <w:r w:rsidR="001146FA">
        <w:instrText xml:space="preserve"> SEQ Table \* ARABIC </w:instrText>
      </w:r>
      <w:r w:rsidR="001146FA">
        <w:fldChar w:fldCharType="separate"/>
      </w:r>
      <w:r w:rsidR="0078760A">
        <w:rPr>
          <w:noProof/>
        </w:rPr>
        <w:t>15</w:t>
      </w:r>
      <w:r w:rsidR="001146FA">
        <w:rPr>
          <w:noProof/>
        </w:rPr>
        <w:fldChar w:fldCharType="end"/>
      </w:r>
      <w:bookmarkEnd w:id="91"/>
      <w:r w:rsidRPr="004F56D0">
        <w:t>: Results of the stepped economic evaluation developed during the evaluation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stepped economic evaluation developed during the evaluation"/>
      </w:tblPr>
      <w:tblGrid>
        <w:gridCol w:w="3687"/>
        <w:gridCol w:w="1695"/>
        <w:gridCol w:w="1843"/>
        <w:gridCol w:w="1790"/>
      </w:tblGrid>
      <w:tr w:rsidR="00985766" w:rsidRPr="004F56D0" w14:paraId="29B74851" w14:textId="77777777" w:rsidTr="00F65BD4">
        <w:trPr>
          <w:trHeight w:val="446"/>
          <w:tblHeader/>
        </w:trPr>
        <w:tc>
          <w:tcPr>
            <w:tcW w:w="2045" w:type="pct"/>
            <w:tcBorders>
              <w:top w:val="single" w:sz="4" w:space="0" w:color="auto"/>
              <w:left w:val="single" w:sz="4" w:space="0" w:color="auto"/>
              <w:bottom w:val="single" w:sz="4" w:space="0" w:color="auto"/>
              <w:right w:val="single" w:sz="4" w:space="0" w:color="auto"/>
            </w:tcBorders>
            <w:vAlign w:val="center"/>
          </w:tcPr>
          <w:p w14:paraId="2D3AFB7A" w14:textId="77777777" w:rsidR="00985766" w:rsidRPr="00D434A8" w:rsidRDefault="00985766" w:rsidP="00F65BD4">
            <w:pPr>
              <w:keepNext/>
              <w:keepLines/>
              <w:jc w:val="center"/>
              <w:rPr>
                <w:rFonts w:ascii="Arial Narrow" w:eastAsiaTheme="majorEastAsia" w:hAnsi="Arial Narrow" w:cstheme="majorBidi"/>
                <w:b/>
                <w:bCs/>
                <w:sz w:val="20"/>
              </w:rPr>
            </w:pPr>
            <w:bookmarkStart w:id="92" w:name="_Hlk205927895"/>
            <w:r w:rsidRPr="00D434A8">
              <w:rPr>
                <w:rFonts w:ascii="Arial Narrow" w:eastAsiaTheme="majorEastAsia" w:hAnsi="Arial Narrow" w:cstheme="majorBidi"/>
                <w:b/>
                <w:bCs/>
                <w:sz w:val="20"/>
              </w:rPr>
              <w:t>Step and component</w:t>
            </w:r>
          </w:p>
        </w:tc>
        <w:tc>
          <w:tcPr>
            <w:tcW w:w="940" w:type="pct"/>
            <w:tcBorders>
              <w:top w:val="single" w:sz="4" w:space="0" w:color="auto"/>
              <w:left w:val="single" w:sz="4" w:space="0" w:color="auto"/>
              <w:bottom w:val="single" w:sz="4" w:space="0" w:color="auto"/>
              <w:right w:val="single" w:sz="4" w:space="0" w:color="auto"/>
            </w:tcBorders>
            <w:vAlign w:val="center"/>
          </w:tcPr>
          <w:p w14:paraId="4ACE391B" w14:textId="77777777" w:rsidR="00985766" w:rsidRPr="00D434A8" w:rsidRDefault="00985766" w:rsidP="00F65BD4">
            <w:pPr>
              <w:keepNext/>
              <w:keepLines/>
              <w:jc w:val="center"/>
              <w:rPr>
                <w:rFonts w:ascii="Arial Narrow" w:eastAsiaTheme="majorEastAsia" w:hAnsi="Arial Narrow" w:cstheme="majorBidi"/>
                <w:b/>
                <w:bCs/>
                <w:sz w:val="20"/>
              </w:rPr>
            </w:pPr>
            <w:r w:rsidRPr="00D434A8">
              <w:rPr>
                <w:rFonts w:ascii="Arial Narrow" w:eastAsiaTheme="majorEastAsia" w:hAnsi="Arial Narrow" w:cstheme="majorBidi"/>
                <w:b/>
                <w:bCs/>
                <w:sz w:val="20"/>
              </w:rPr>
              <w:t>Tezepelumab</w:t>
            </w:r>
          </w:p>
        </w:tc>
        <w:tc>
          <w:tcPr>
            <w:tcW w:w="1022" w:type="pct"/>
            <w:tcBorders>
              <w:top w:val="single" w:sz="4" w:space="0" w:color="auto"/>
              <w:left w:val="single" w:sz="4" w:space="0" w:color="auto"/>
              <w:bottom w:val="single" w:sz="4" w:space="0" w:color="auto"/>
              <w:right w:val="single" w:sz="4" w:space="0" w:color="auto"/>
            </w:tcBorders>
            <w:vAlign w:val="center"/>
          </w:tcPr>
          <w:p w14:paraId="6471AD14" w14:textId="77777777" w:rsidR="00985766" w:rsidRPr="00D434A8" w:rsidRDefault="00985766" w:rsidP="00F65BD4">
            <w:pPr>
              <w:keepNext/>
              <w:keepLines/>
              <w:jc w:val="center"/>
              <w:rPr>
                <w:rFonts w:ascii="Arial Narrow" w:eastAsiaTheme="majorEastAsia" w:hAnsi="Arial Narrow" w:cstheme="majorBidi"/>
                <w:b/>
                <w:bCs/>
                <w:sz w:val="20"/>
              </w:rPr>
            </w:pPr>
            <w:r w:rsidRPr="00D434A8">
              <w:rPr>
                <w:rFonts w:ascii="Arial Narrow" w:eastAsiaTheme="majorEastAsia" w:hAnsi="Arial Narrow" w:cstheme="majorBidi"/>
                <w:b/>
                <w:bCs/>
                <w:sz w:val="20"/>
              </w:rPr>
              <w:t>Standard of care</w:t>
            </w:r>
          </w:p>
        </w:tc>
        <w:tc>
          <w:tcPr>
            <w:tcW w:w="993" w:type="pct"/>
            <w:tcBorders>
              <w:top w:val="single" w:sz="4" w:space="0" w:color="auto"/>
              <w:left w:val="single" w:sz="4" w:space="0" w:color="auto"/>
              <w:bottom w:val="single" w:sz="4" w:space="0" w:color="auto"/>
              <w:right w:val="single" w:sz="4" w:space="0" w:color="auto"/>
            </w:tcBorders>
            <w:vAlign w:val="center"/>
          </w:tcPr>
          <w:p w14:paraId="7809C429" w14:textId="77777777" w:rsidR="00985766" w:rsidRPr="00D434A8" w:rsidRDefault="00985766" w:rsidP="00F65BD4">
            <w:pPr>
              <w:keepNext/>
              <w:keepLines/>
              <w:jc w:val="center"/>
              <w:rPr>
                <w:rFonts w:ascii="Arial Narrow" w:eastAsiaTheme="majorEastAsia" w:hAnsi="Arial Narrow" w:cstheme="majorBidi"/>
                <w:b/>
                <w:bCs/>
                <w:sz w:val="20"/>
              </w:rPr>
            </w:pPr>
            <w:r w:rsidRPr="00D434A8">
              <w:rPr>
                <w:rFonts w:ascii="Arial Narrow" w:eastAsiaTheme="majorEastAsia" w:hAnsi="Arial Narrow" w:cstheme="majorBidi"/>
                <w:b/>
                <w:bCs/>
                <w:sz w:val="20"/>
              </w:rPr>
              <w:t>Increment</w:t>
            </w:r>
          </w:p>
        </w:tc>
      </w:tr>
      <w:tr w:rsidR="00985766" w:rsidRPr="004F56D0" w14:paraId="6C9E2EDD" w14:textId="77777777" w:rsidTr="00F65BD4">
        <w:trPr>
          <w:trHeight w:val="70"/>
        </w:trPr>
        <w:tc>
          <w:tcPr>
            <w:tcW w:w="5000" w:type="pct"/>
            <w:gridSpan w:val="4"/>
            <w:vAlign w:val="center"/>
          </w:tcPr>
          <w:p w14:paraId="775E02CB" w14:textId="77777777" w:rsidR="00985766" w:rsidRPr="00D434A8" w:rsidRDefault="00985766" w:rsidP="00F65BD4">
            <w:pPr>
              <w:keepNext/>
              <w:keepLines/>
              <w:widowControl w:val="0"/>
              <w:jc w:val="left"/>
              <w:rPr>
                <w:rFonts w:ascii="Arial Narrow" w:eastAsiaTheme="majorEastAsia" w:hAnsi="Arial Narrow" w:cstheme="majorBidi"/>
                <w:b/>
                <w:sz w:val="20"/>
              </w:rPr>
            </w:pPr>
            <w:r w:rsidRPr="00D434A8">
              <w:rPr>
                <w:rFonts w:ascii="Arial Narrow" w:eastAsiaTheme="majorEastAsia" w:hAnsi="Arial Narrow" w:cstheme="majorBidi"/>
                <w:b/>
                <w:sz w:val="20"/>
              </w:rPr>
              <w:t xml:space="preserve">Step 1: Trial-based costs and outcomes (Discount rate 0%, Time horizon 1 </w:t>
            </w:r>
            <w:proofErr w:type="gramStart"/>
            <w:r w:rsidRPr="00D434A8">
              <w:rPr>
                <w:rFonts w:ascii="Arial Narrow" w:eastAsiaTheme="majorEastAsia" w:hAnsi="Arial Narrow" w:cstheme="majorBidi"/>
                <w:b/>
                <w:sz w:val="20"/>
              </w:rPr>
              <w:t>year)</w:t>
            </w:r>
            <w:r w:rsidRPr="00D434A8">
              <w:rPr>
                <w:rFonts w:ascii="Arial Narrow" w:eastAsiaTheme="majorEastAsia" w:hAnsi="Arial Narrow" w:cstheme="majorBidi"/>
                <w:b/>
                <w:sz w:val="20"/>
                <w:vertAlign w:val="superscript"/>
              </w:rPr>
              <w:t>a</w:t>
            </w:r>
            <w:proofErr w:type="gramEnd"/>
          </w:p>
        </w:tc>
      </w:tr>
      <w:tr w:rsidR="00985766" w:rsidRPr="004F56D0" w14:paraId="45E4A3C7" w14:textId="77777777" w:rsidTr="00F65BD4">
        <w:trPr>
          <w:trHeight w:val="70"/>
        </w:trPr>
        <w:tc>
          <w:tcPr>
            <w:tcW w:w="2045" w:type="pct"/>
            <w:vAlign w:val="center"/>
          </w:tcPr>
          <w:p w14:paraId="0B78BDB6" w14:textId="77777777" w:rsidR="00985766" w:rsidRPr="00D434A8" w:rsidRDefault="00985766" w:rsidP="00F65BD4">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Costs</w:t>
            </w:r>
            <w:r w:rsidRPr="00D434A8">
              <w:rPr>
                <w:rFonts w:ascii="Arial Narrow" w:eastAsiaTheme="majorEastAsia" w:hAnsi="Arial Narrow" w:cstheme="majorBidi"/>
                <w:bCs/>
                <w:sz w:val="20"/>
                <w:vertAlign w:val="superscript"/>
              </w:rPr>
              <w:t xml:space="preserve"> b</w:t>
            </w:r>
          </w:p>
        </w:tc>
        <w:tc>
          <w:tcPr>
            <w:tcW w:w="940" w:type="pct"/>
          </w:tcPr>
          <w:p w14:paraId="3212B879" w14:textId="11B939AC"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1022" w:type="pct"/>
          </w:tcPr>
          <w:p w14:paraId="133BCD21" w14:textId="7777777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$581</w:t>
            </w:r>
          </w:p>
        </w:tc>
        <w:tc>
          <w:tcPr>
            <w:tcW w:w="993" w:type="pct"/>
          </w:tcPr>
          <w:p w14:paraId="7839364A" w14:textId="5FCF5796"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r>
      <w:tr w:rsidR="00985766" w:rsidRPr="004F56D0" w14:paraId="3A4E36C4" w14:textId="77777777" w:rsidTr="00F65BD4">
        <w:trPr>
          <w:trHeight w:val="70"/>
        </w:trPr>
        <w:tc>
          <w:tcPr>
            <w:tcW w:w="2045" w:type="pct"/>
            <w:vAlign w:val="center"/>
          </w:tcPr>
          <w:p w14:paraId="6F6BDC89" w14:textId="77777777" w:rsidR="00985766" w:rsidRPr="00D434A8" w:rsidRDefault="00985766" w:rsidP="00F65BD4">
            <w:pPr>
              <w:keepNext/>
              <w:keepLines/>
              <w:widowControl w:val="0"/>
              <w:jc w:val="left"/>
              <w:rPr>
                <w:rFonts w:ascii="Arial Narrow" w:eastAsiaTheme="majorEastAsia" w:hAnsi="Arial Narrow" w:cstheme="majorBidi"/>
                <w:bCs/>
                <w:sz w:val="20"/>
              </w:rPr>
            </w:pPr>
            <w:proofErr w:type="spellStart"/>
            <w:r w:rsidRPr="00D434A8">
              <w:rPr>
                <w:rFonts w:ascii="Arial Narrow" w:eastAsiaTheme="majorEastAsia" w:hAnsi="Arial Narrow" w:cstheme="majorBidi"/>
                <w:bCs/>
                <w:sz w:val="20"/>
              </w:rPr>
              <w:t>LY</w:t>
            </w:r>
            <w:r w:rsidRPr="00D434A8">
              <w:rPr>
                <w:rFonts w:ascii="Arial Narrow" w:eastAsiaTheme="majorEastAsia" w:hAnsi="Arial Narrow" w:cstheme="majorBidi"/>
                <w:bCs/>
                <w:sz w:val="20"/>
                <w:vertAlign w:val="superscript"/>
              </w:rPr>
              <w:t>c</w:t>
            </w:r>
            <w:proofErr w:type="spellEnd"/>
          </w:p>
        </w:tc>
        <w:tc>
          <w:tcPr>
            <w:tcW w:w="940" w:type="pct"/>
          </w:tcPr>
          <w:p w14:paraId="17F86C68" w14:textId="7777777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0.993</w:t>
            </w:r>
          </w:p>
        </w:tc>
        <w:tc>
          <w:tcPr>
            <w:tcW w:w="1022" w:type="pct"/>
          </w:tcPr>
          <w:p w14:paraId="30639658" w14:textId="7777777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0.989</w:t>
            </w:r>
          </w:p>
        </w:tc>
        <w:tc>
          <w:tcPr>
            <w:tcW w:w="993" w:type="pct"/>
          </w:tcPr>
          <w:p w14:paraId="778B6929" w14:textId="7777777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0.004</w:t>
            </w:r>
          </w:p>
        </w:tc>
      </w:tr>
      <w:tr w:rsidR="00985766" w:rsidRPr="004F56D0" w14:paraId="1BD053CF" w14:textId="77777777" w:rsidTr="00F65BD4">
        <w:trPr>
          <w:trHeight w:val="70"/>
        </w:trPr>
        <w:tc>
          <w:tcPr>
            <w:tcW w:w="2045" w:type="pct"/>
            <w:vAlign w:val="center"/>
          </w:tcPr>
          <w:p w14:paraId="6597D431" w14:textId="77777777" w:rsidR="00985766" w:rsidRPr="00D434A8" w:rsidRDefault="00985766" w:rsidP="00F65BD4">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Incremental cost/ LYG</w:t>
            </w:r>
          </w:p>
        </w:tc>
        <w:tc>
          <w:tcPr>
            <w:tcW w:w="940" w:type="pct"/>
          </w:tcPr>
          <w:p w14:paraId="0CB45796" w14:textId="77777777" w:rsidR="00985766" w:rsidRPr="00D434A8" w:rsidRDefault="00985766" w:rsidP="00F65BD4">
            <w:pPr>
              <w:keepNext/>
              <w:keepLines/>
              <w:widowControl w:val="0"/>
              <w:jc w:val="center"/>
              <w:rPr>
                <w:rFonts w:ascii="Arial Narrow" w:eastAsiaTheme="majorEastAsia" w:hAnsi="Arial Narrow" w:cstheme="majorBidi"/>
                <w:bCs/>
                <w:sz w:val="20"/>
              </w:rPr>
            </w:pPr>
          </w:p>
        </w:tc>
        <w:tc>
          <w:tcPr>
            <w:tcW w:w="1022" w:type="pct"/>
          </w:tcPr>
          <w:p w14:paraId="7D90CBA9" w14:textId="77777777" w:rsidR="00985766" w:rsidRPr="00D434A8" w:rsidRDefault="00985766" w:rsidP="00F65BD4">
            <w:pPr>
              <w:keepNext/>
              <w:keepLines/>
              <w:widowControl w:val="0"/>
              <w:jc w:val="center"/>
              <w:rPr>
                <w:rFonts w:ascii="Arial Narrow" w:eastAsiaTheme="majorEastAsia" w:hAnsi="Arial Narrow" w:cstheme="majorBidi"/>
                <w:bCs/>
                <w:sz w:val="20"/>
              </w:rPr>
            </w:pPr>
          </w:p>
        </w:tc>
        <w:tc>
          <w:tcPr>
            <w:tcW w:w="993" w:type="pct"/>
          </w:tcPr>
          <w:p w14:paraId="36E21F1C" w14:textId="701EEB7D" w:rsidR="00985766" w:rsidRPr="00107089" w:rsidRDefault="00985766" w:rsidP="00F65BD4">
            <w:pPr>
              <w:keepNext/>
              <w:keepLines/>
              <w:widowControl w:val="0"/>
              <w:jc w:val="center"/>
              <w:rPr>
                <w:rFonts w:ascii="Arial Narrow" w:eastAsiaTheme="majorEastAsia" w:hAnsi="Arial Narrow" w:cstheme="majorBidi"/>
                <w:bCs/>
                <w:sz w:val="20"/>
                <w:vertAlign w:val="superscript"/>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107089">
              <w:rPr>
                <w:rFonts w:ascii="Arial Narrow" w:eastAsiaTheme="majorEastAsia" w:hAnsi="Arial Narrow" w:cstheme="majorBidi"/>
                <w:bCs/>
                <w:sz w:val="20"/>
                <w:vertAlign w:val="superscript"/>
              </w:rPr>
              <w:t>1</w:t>
            </w:r>
          </w:p>
        </w:tc>
      </w:tr>
      <w:tr w:rsidR="00985766" w:rsidRPr="004F56D0" w14:paraId="0A8F463C" w14:textId="77777777" w:rsidTr="00F65BD4">
        <w:tc>
          <w:tcPr>
            <w:tcW w:w="5000" w:type="pct"/>
            <w:gridSpan w:val="4"/>
            <w:vAlign w:val="center"/>
          </w:tcPr>
          <w:p w14:paraId="222BEF7D" w14:textId="77777777" w:rsidR="00985766" w:rsidRPr="00D434A8" w:rsidRDefault="00985766" w:rsidP="00F65BD4">
            <w:pPr>
              <w:keepNext/>
              <w:keepLines/>
              <w:widowControl w:val="0"/>
              <w:jc w:val="left"/>
              <w:rPr>
                <w:rFonts w:ascii="Arial Narrow" w:eastAsiaTheme="majorEastAsia" w:hAnsi="Arial Narrow" w:cstheme="majorBidi"/>
                <w:b/>
                <w:sz w:val="20"/>
              </w:rPr>
            </w:pPr>
            <w:r w:rsidRPr="00D434A8">
              <w:rPr>
                <w:rFonts w:ascii="Arial Narrow" w:eastAsiaTheme="majorEastAsia" w:hAnsi="Arial Narrow" w:cstheme="majorBidi"/>
                <w:b/>
                <w:sz w:val="20"/>
              </w:rPr>
              <w:t xml:space="preserve">Step 2: Time horizon extended to lifetime (40 years) </w:t>
            </w:r>
            <w:proofErr w:type="spellStart"/>
            <w:r w:rsidRPr="00D434A8">
              <w:rPr>
                <w:rFonts w:ascii="Arial Narrow" w:eastAsiaTheme="majorEastAsia" w:hAnsi="Arial Narrow" w:cstheme="majorBidi"/>
                <w:b/>
                <w:sz w:val="20"/>
              </w:rPr>
              <w:t>horizon</w:t>
            </w:r>
            <w:r w:rsidRPr="00D434A8">
              <w:rPr>
                <w:rFonts w:ascii="Arial Narrow" w:eastAsiaTheme="majorEastAsia" w:hAnsi="Arial Narrow" w:cstheme="majorBidi"/>
                <w:b/>
                <w:sz w:val="20"/>
                <w:vertAlign w:val="superscript"/>
              </w:rPr>
              <w:t>d</w:t>
            </w:r>
            <w:proofErr w:type="spellEnd"/>
          </w:p>
        </w:tc>
      </w:tr>
      <w:tr w:rsidR="00985766" w:rsidRPr="004F56D0" w14:paraId="2AD99079" w14:textId="77777777" w:rsidTr="00F65BD4">
        <w:tc>
          <w:tcPr>
            <w:tcW w:w="2045" w:type="pct"/>
            <w:vAlign w:val="center"/>
          </w:tcPr>
          <w:p w14:paraId="35862BA3" w14:textId="77777777" w:rsidR="00985766" w:rsidRPr="00D434A8" w:rsidRDefault="00985766" w:rsidP="00F65BD4">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Costs</w:t>
            </w:r>
            <w:r w:rsidRPr="00D434A8">
              <w:rPr>
                <w:rFonts w:ascii="Arial Narrow" w:eastAsiaTheme="majorEastAsia" w:hAnsi="Arial Narrow" w:cstheme="majorBidi"/>
                <w:bCs/>
                <w:sz w:val="20"/>
                <w:vertAlign w:val="superscript"/>
              </w:rPr>
              <w:t xml:space="preserve"> b</w:t>
            </w:r>
          </w:p>
        </w:tc>
        <w:tc>
          <w:tcPr>
            <w:tcW w:w="940" w:type="pct"/>
          </w:tcPr>
          <w:p w14:paraId="7744DCC2" w14:textId="5CB1451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Pr="00D434A8">
              <w:rPr>
                <w:rFonts w:ascii="Arial Narrow" w:eastAsiaTheme="majorEastAsia" w:hAnsi="Arial Narrow" w:cstheme="majorBidi"/>
                <w:bCs/>
                <w:sz w:val="20"/>
                <w:vertAlign w:val="superscript"/>
              </w:rPr>
              <w:t xml:space="preserve"> </w:t>
            </w:r>
          </w:p>
        </w:tc>
        <w:tc>
          <w:tcPr>
            <w:tcW w:w="1022" w:type="pct"/>
          </w:tcPr>
          <w:p w14:paraId="27D608CC" w14:textId="7777777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$13,258</w:t>
            </w:r>
          </w:p>
        </w:tc>
        <w:tc>
          <w:tcPr>
            <w:tcW w:w="993" w:type="pct"/>
            <w:vAlign w:val="center"/>
          </w:tcPr>
          <w:p w14:paraId="591C3993" w14:textId="7FF77B59"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r>
      <w:tr w:rsidR="00985766" w:rsidRPr="004F56D0" w14:paraId="6883749B" w14:textId="77777777" w:rsidTr="00F65BD4">
        <w:tc>
          <w:tcPr>
            <w:tcW w:w="2045" w:type="pct"/>
            <w:vAlign w:val="center"/>
          </w:tcPr>
          <w:p w14:paraId="77884426" w14:textId="77777777" w:rsidR="00985766" w:rsidRPr="00D434A8" w:rsidRDefault="00985766" w:rsidP="00F65BD4">
            <w:pPr>
              <w:keepNext/>
              <w:keepLines/>
              <w:widowControl w:val="0"/>
              <w:jc w:val="left"/>
              <w:rPr>
                <w:rFonts w:ascii="Arial Narrow" w:eastAsiaTheme="majorEastAsia" w:hAnsi="Arial Narrow" w:cstheme="majorBidi"/>
                <w:bCs/>
                <w:sz w:val="20"/>
              </w:rPr>
            </w:pPr>
            <w:proofErr w:type="spellStart"/>
            <w:r w:rsidRPr="00D434A8">
              <w:rPr>
                <w:rFonts w:ascii="Arial Narrow" w:eastAsiaTheme="majorEastAsia" w:hAnsi="Arial Narrow" w:cstheme="majorBidi"/>
                <w:bCs/>
                <w:sz w:val="20"/>
              </w:rPr>
              <w:t>LY</w:t>
            </w:r>
            <w:r w:rsidRPr="00D434A8">
              <w:rPr>
                <w:rFonts w:ascii="Arial Narrow" w:eastAsiaTheme="majorEastAsia" w:hAnsi="Arial Narrow" w:cstheme="majorBidi"/>
                <w:bCs/>
                <w:sz w:val="20"/>
                <w:vertAlign w:val="superscript"/>
              </w:rPr>
              <w:t>c</w:t>
            </w:r>
            <w:proofErr w:type="spellEnd"/>
          </w:p>
        </w:tc>
        <w:tc>
          <w:tcPr>
            <w:tcW w:w="940" w:type="pct"/>
          </w:tcPr>
          <w:p w14:paraId="41AB6FF9" w14:textId="7777777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23.082</w:t>
            </w:r>
          </w:p>
        </w:tc>
        <w:tc>
          <w:tcPr>
            <w:tcW w:w="1022" w:type="pct"/>
          </w:tcPr>
          <w:p w14:paraId="68F37B32" w14:textId="7777777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22.728</w:t>
            </w:r>
          </w:p>
        </w:tc>
        <w:tc>
          <w:tcPr>
            <w:tcW w:w="993" w:type="pct"/>
          </w:tcPr>
          <w:p w14:paraId="5FCA21E7" w14:textId="7777777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0.354</w:t>
            </w:r>
          </w:p>
        </w:tc>
      </w:tr>
      <w:tr w:rsidR="00985766" w:rsidRPr="004F56D0" w14:paraId="614372FB" w14:textId="77777777" w:rsidTr="00F65BD4">
        <w:tc>
          <w:tcPr>
            <w:tcW w:w="4007" w:type="pct"/>
            <w:gridSpan w:val="3"/>
            <w:vAlign w:val="center"/>
          </w:tcPr>
          <w:p w14:paraId="161D4869" w14:textId="77777777" w:rsidR="00985766" w:rsidRPr="00D434A8" w:rsidRDefault="00985766" w:rsidP="00F65BD4">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Incremental cost/ LYG</w:t>
            </w:r>
          </w:p>
        </w:tc>
        <w:tc>
          <w:tcPr>
            <w:tcW w:w="993" w:type="pct"/>
            <w:vAlign w:val="center"/>
          </w:tcPr>
          <w:p w14:paraId="7C6F9F69" w14:textId="4DAF8BE2" w:rsidR="00985766" w:rsidRPr="00285D75" w:rsidRDefault="00985766" w:rsidP="00F65BD4">
            <w:pPr>
              <w:keepNext/>
              <w:keepLines/>
              <w:widowControl w:val="0"/>
              <w:jc w:val="center"/>
              <w:rPr>
                <w:rFonts w:ascii="Arial Narrow" w:eastAsiaTheme="majorEastAsia" w:hAnsi="Arial Narrow" w:cstheme="majorBidi"/>
                <w:bCs/>
                <w:sz w:val="20"/>
                <w:vertAlign w:val="superscript"/>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285D75">
              <w:rPr>
                <w:rFonts w:ascii="Arial Narrow" w:eastAsiaTheme="majorEastAsia" w:hAnsi="Arial Narrow" w:cstheme="majorBidi"/>
                <w:bCs/>
                <w:sz w:val="20"/>
                <w:vertAlign w:val="superscript"/>
              </w:rPr>
              <w:t>2</w:t>
            </w:r>
          </w:p>
        </w:tc>
      </w:tr>
      <w:tr w:rsidR="00985766" w:rsidRPr="004F56D0" w14:paraId="56B462D0" w14:textId="77777777" w:rsidTr="00F65BD4">
        <w:tc>
          <w:tcPr>
            <w:tcW w:w="4007" w:type="pct"/>
            <w:gridSpan w:val="3"/>
          </w:tcPr>
          <w:p w14:paraId="739F007D" w14:textId="77777777" w:rsidR="00985766" w:rsidRPr="00D434A8" w:rsidRDefault="00985766" w:rsidP="00F65BD4">
            <w:pPr>
              <w:keepNext/>
              <w:keepLines/>
              <w:widowControl w:val="0"/>
              <w:jc w:val="left"/>
              <w:rPr>
                <w:rFonts w:ascii="Arial Narrow" w:eastAsiaTheme="majorEastAsia" w:hAnsi="Arial Narrow" w:cstheme="majorBidi"/>
                <w:b/>
                <w:sz w:val="20"/>
              </w:rPr>
            </w:pPr>
            <w:r w:rsidRPr="00D434A8">
              <w:rPr>
                <w:rFonts w:ascii="Arial Narrow" w:eastAsiaTheme="majorEastAsia" w:hAnsi="Arial Narrow" w:cstheme="majorBidi"/>
                <w:b/>
                <w:sz w:val="20"/>
              </w:rPr>
              <w:t>Step 3: Discounting (5%) included</w:t>
            </w:r>
          </w:p>
        </w:tc>
        <w:tc>
          <w:tcPr>
            <w:tcW w:w="993" w:type="pct"/>
          </w:tcPr>
          <w:p w14:paraId="35E2BE89" w14:textId="77777777" w:rsidR="00985766" w:rsidRPr="00D434A8" w:rsidRDefault="00985766" w:rsidP="00F65BD4">
            <w:pPr>
              <w:keepNext/>
              <w:keepLines/>
              <w:widowControl w:val="0"/>
              <w:jc w:val="left"/>
              <w:rPr>
                <w:rFonts w:ascii="Arial Narrow" w:eastAsiaTheme="majorEastAsia" w:hAnsi="Arial Narrow" w:cstheme="majorBidi"/>
                <w:bCs/>
                <w:sz w:val="20"/>
              </w:rPr>
            </w:pPr>
          </w:p>
        </w:tc>
      </w:tr>
      <w:tr w:rsidR="00985766" w:rsidRPr="004F56D0" w14:paraId="0CEDB66B" w14:textId="77777777" w:rsidTr="00F65BD4">
        <w:tc>
          <w:tcPr>
            <w:tcW w:w="2045" w:type="pct"/>
          </w:tcPr>
          <w:p w14:paraId="613FA59E" w14:textId="77777777" w:rsidR="00985766" w:rsidRPr="00D434A8" w:rsidRDefault="00985766" w:rsidP="00F65BD4">
            <w:pPr>
              <w:keepNext/>
              <w:keepLines/>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Costs</w:t>
            </w:r>
          </w:p>
        </w:tc>
        <w:tc>
          <w:tcPr>
            <w:tcW w:w="940" w:type="pct"/>
          </w:tcPr>
          <w:p w14:paraId="61C1995B" w14:textId="371CF4DB"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1022" w:type="pct"/>
          </w:tcPr>
          <w:p w14:paraId="5B2514AB" w14:textId="7777777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$7,241</w:t>
            </w:r>
          </w:p>
        </w:tc>
        <w:tc>
          <w:tcPr>
            <w:tcW w:w="993" w:type="pct"/>
          </w:tcPr>
          <w:p w14:paraId="3896D171" w14:textId="70151A57" w:rsidR="00985766" w:rsidRPr="00D434A8" w:rsidRDefault="00985766" w:rsidP="00F65BD4">
            <w:pPr>
              <w:keepNext/>
              <w:keepLines/>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r>
      <w:tr w:rsidR="00985766" w:rsidRPr="004F56D0" w14:paraId="66C49D93" w14:textId="77777777" w:rsidTr="00F65BD4">
        <w:tc>
          <w:tcPr>
            <w:tcW w:w="2045" w:type="pct"/>
          </w:tcPr>
          <w:p w14:paraId="167BDC99" w14:textId="77777777" w:rsidR="00985766" w:rsidRPr="00D434A8" w:rsidRDefault="00985766">
            <w:pPr>
              <w:widowControl w:val="0"/>
              <w:jc w:val="left"/>
              <w:rPr>
                <w:rFonts w:ascii="Arial Narrow" w:eastAsiaTheme="majorEastAsia" w:hAnsi="Arial Narrow" w:cstheme="majorBidi"/>
                <w:bCs/>
                <w:sz w:val="20"/>
              </w:rPr>
            </w:pPr>
            <w:proofErr w:type="spellStart"/>
            <w:r w:rsidRPr="00D434A8">
              <w:rPr>
                <w:rFonts w:ascii="Arial Narrow" w:eastAsiaTheme="majorEastAsia" w:hAnsi="Arial Narrow" w:cstheme="majorBidi"/>
                <w:bCs/>
                <w:sz w:val="20"/>
              </w:rPr>
              <w:t>LY</w:t>
            </w:r>
            <w:r w:rsidRPr="00D434A8">
              <w:rPr>
                <w:rFonts w:ascii="Arial Narrow" w:eastAsiaTheme="majorEastAsia" w:hAnsi="Arial Narrow" w:cstheme="majorBidi"/>
                <w:bCs/>
                <w:sz w:val="20"/>
                <w:vertAlign w:val="superscript"/>
              </w:rPr>
              <w:t>c</w:t>
            </w:r>
            <w:proofErr w:type="spellEnd"/>
          </w:p>
        </w:tc>
        <w:tc>
          <w:tcPr>
            <w:tcW w:w="940" w:type="pct"/>
          </w:tcPr>
          <w:p w14:paraId="28CA9620"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12.590</w:t>
            </w:r>
          </w:p>
        </w:tc>
        <w:tc>
          <w:tcPr>
            <w:tcW w:w="1022" w:type="pct"/>
          </w:tcPr>
          <w:p w14:paraId="7EEE1A78"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12.410</w:t>
            </w:r>
          </w:p>
        </w:tc>
        <w:tc>
          <w:tcPr>
            <w:tcW w:w="993" w:type="pct"/>
          </w:tcPr>
          <w:p w14:paraId="0F7A6D6D"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0.180</w:t>
            </w:r>
          </w:p>
        </w:tc>
      </w:tr>
      <w:tr w:rsidR="00985766" w:rsidRPr="004F56D0" w14:paraId="2A6971CF" w14:textId="77777777" w:rsidTr="00F65BD4">
        <w:tc>
          <w:tcPr>
            <w:tcW w:w="4007" w:type="pct"/>
            <w:gridSpan w:val="3"/>
            <w:vAlign w:val="center"/>
          </w:tcPr>
          <w:p w14:paraId="1FDE0C56" w14:textId="77777777" w:rsidR="00985766" w:rsidRPr="00D434A8" w:rsidRDefault="00985766">
            <w:pPr>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Incremental cost/ LYG</w:t>
            </w:r>
          </w:p>
        </w:tc>
        <w:tc>
          <w:tcPr>
            <w:tcW w:w="993" w:type="pct"/>
            <w:vAlign w:val="center"/>
          </w:tcPr>
          <w:p w14:paraId="248C035B" w14:textId="4C054295" w:rsidR="00985766" w:rsidRPr="005105D1" w:rsidRDefault="00985766">
            <w:pPr>
              <w:widowControl w:val="0"/>
              <w:jc w:val="center"/>
              <w:rPr>
                <w:rFonts w:ascii="Arial Narrow" w:eastAsiaTheme="majorEastAsia" w:hAnsi="Arial Narrow" w:cstheme="majorBidi"/>
                <w:bCs/>
                <w:sz w:val="20"/>
                <w:vertAlign w:val="superscript"/>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5105D1">
              <w:rPr>
                <w:rFonts w:ascii="Arial Narrow" w:eastAsiaTheme="majorEastAsia" w:hAnsi="Arial Narrow" w:cstheme="majorBidi"/>
                <w:bCs/>
                <w:sz w:val="20"/>
                <w:vertAlign w:val="superscript"/>
              </w:rPr>
              <w:t>3</w:t>
            </w:r>
          </w:p>
        </w:tc>
      </w:tr>
      <w:tr w:rsidR="00985766" w:rsidRPr="004F56D0" w14:paraId="6C5E4635" w14:textId="77777777" w:rsidTr="00F65BD4">
        <w:tc>
          <w:tcPr>
            <w:tcW w:w="5000" w:type="pct"/>
            <w:gridSpan w:val="4"/>
            <w:vAlign w:val="center"/>
          </w:tcPr>
          <w:p w14:paraId="2A3FCB12" w14:textId="77777777" w:rsidR="00985766" w:rsidRPr="00D434A8" w:rsidRDefault="00985766">
            <w:pPr>
              <w:widowControl w:val="0"/>
              <w:jc w:val="left"/>
              <w:rPr>
                <w:rFonts w:ascii="Arial Narrow" w:eastAsiaTheme="majorEastAsia" w:hAnsi="Arial Narrow" w:cstheme="majorBidi"/>
                <w:b/>
                <w:sz w:val="20"/>
              </w:rPr>
            </w:pPr>
            <w:r w:rsidRPr="00D434A8">
              <w:rPr>
                <w:rFonts w:ascii="Arial Narrow" w:eastAsiaTheme="majorEastAsia" w:hAnsi="Arial Narrow" w:cstheme="majorBidi"/>
                <w:b/>
                <w:sz w:val="20"/>
              </w:rPr>
              <w:t>Step 4: Incorporation of medical resource costs</w:t>
            </w:r>
          </w:p>
        </w:tc>
      </w:tr>
      <w:tr w:rsidR="00985766" w:rsidRPr="004F56D0" w14:paraId="3AF68B3A" w14:textId="77777777" w:rsidTr="00F65BD4">
        <w:tc>
          <w:tcPr>
            <w:tcW w:w="2045" w:type="pct"/>
            <w:vAlign w:val="center"/>
          </w:tcPr>
          <w:p w14:paraId="77B842D5" w14:textId="77777777" w:rsidR="00985766" w:rsidRPr="00D434A8" w:rsidRDefault="00985766">
            <w:pPr>
              <w:widowControl w:val="0"/>
              <w:jc w:val="left"/>
              <w:rPr>
                <w:rFonts w:ascii="Arial Narrow" w:eastAsiaTheme="majorEastAsia" w:hAnsi="Arial Narrow" w:cstheme="majorBidi"/>
                <w:bCs/>
                <w:sz w:val="20"/>
              </w:rPr>
            </w:pPr>
            <w:proofErr w:type="spellStart"/>
            <w:r w:rsidRPr="00D434A8">
              <w:rPr>
                <w:rFonts w:ascii="Arial Narrow" w:eastAsiaTheme="majorEastAsia" w:hAnsi="Arial Narrow" w:cstheme="majorBidi"/>
                <w:bCs/>
                <w:sz w:val="20"/>
              </w:rPr>
              <w:t>Costs</w:t>
            </w:r>
            <w:r w:rsidRPr="00D434A8">
              <w:rPr>
                <w:rFonts w:ascii="Arial Narrow" w:eastAsiaTheme="majorEastAsia" w:hAnsi="Arial Narrow" w:cstheme="majorBidi"/>
                <w:bCs/>
                <w:sz w:val="20"/>
                <w:vertAlign w:val="superscript"/>
              </w:rPr>
              <w:t>e</w:t>
            </w:r>
            <w:proofErr w:type="spellEnd"/>
          </w:p>
        </w:tc>
        <w:tc>
          <w:tcPr>
            <w:tcW w:w="940" w:type="pct"/>
          </w:tcPr>
          <w:p w14:paraId="72E8CEA6" w14:textId="01AFCDAE"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1022" w:type="pct"/>
          </w:tcPr>
          <w:p w14:paraId="684CBE72"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$31,957</w:t>
            </w:r>
          </w:p>
        </w:tc>
        <w:tc>
          <w:tcPr>
            <w:tcW w:w="993" w:type="pct"/>
          </w:tcPr>
          <w:p w14:paraId="63331D43" w14:textId="4ADC9648"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r>
      <w:tr w:rsidR="00985766" w:rsidRPr="004F56D0" w14:paraId="371F9E13" w14:textId="77777777" w:rsidTr="00F65BD4">
        <w:tc>
          <w:tcPr>
            <w:tcW w:w="2045" w:type="pct"/>
            <w:vAlign w:val="center"/>
          </w:tcPr>
          <w:p w14:paraId="1F47FB87" w14:textId="77777777" w:rsidR="00985766" w:rsidRPr="00D434A8" w:rsidRDefault="00985766">
            <w:pPr>
              <w:widowControl w:val="0"/>
              <w:jc w:val="left"/>
              <w:rPr>
                <w:rFonts w:ascii="Arial Narrow" w:eastAsiaTheme="majorEastAsia" w:hAnsi="Arial Narrow" w:cstheme="majorBidi"/>
                <w:bCs/>
                <w:sz w:val="20"/>
              </w:rPr>
            </w:pPr>
            <w:proofErr w:type="spellStart"/>
            <w:r w:rsidRPr="00D434A8">
              <w:rPr>
                <w:rFonts w:ascii="Arial Narrow" w:eastAsiaTheme="majorEastAsia" w:hAnsi="Arial Narrow" w:cstheme="majorBidi"/>
                <w:bCs/>
                <w:sz w:val="20"/>
              </w:rPr>
              <w:t>LY</w:t>
            </w:r>
            <w:r w:rsidRPr="00D434A8">
              <w:rPr>
                <w:rFonts w:ascii="Arial Narrow" w:eastAsiaTheme="majorEastAsia" w:hAnsi="Arial Narrow" w:cstheme="majorBidi"/>
                <w:bCs/>
                <w:sz w:val="20"/>
                <w:vertAlign w:val="superscript"/>
              </w:rPr>
              <w:t>c</w:t>
            </w:r>
            <w:proofErr w:type="spellEnd"/>
          </w:p>
        </w:tc>
        <w:tc>
          <w:tcPr>
            <w:tcW w:w="940" w:type="pct"/>
          </w:tcPr>
          <w:p w14:paraId="27891A26"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12.590</w:t>
            </w:r>
          </w:p>
        </w:tc>
        <w:tc>
          <w:tcPr>
            <w:tcW w:w="1022" w:type="pct"/>
          </w:tcPr>
          <w:p w14:paraId="51BCEECF"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12.410</w:t>
            </w:r>
          </w:p>
        </w:tc>
        <w:tc>
          <w:tcPr>
            <w:tcW w:w="993" w:type="pct"/>
          </w:tcPr>
          <w:p w14:paraId="58224E38"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0.180</w:t>
            </w:r>
          </w:p>
        </w:tc>
      </w:tr>
      <w:tr w:rsidR="00985766" w:rsidRPr="004F56D0" w14:paraId="1FA63349" w14:textId="77777777" w:rsidTr="00F65BD4">
        <w:tc>
          <w:tcPr>
            <w:tcW w:w="4007" w:type="pct"/>
            <w:gridSpan w:val="3"/>
            <w:vAlign w:val="center"/>
          </w:tcPr>
          <w:p w14:paraId="53000FAD" w14:textId="77777777" w:rsidR="00985766" w:rsidRPr="00D434A8" w:rsidRDefault="00985766">
            <w:pPr>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Incremental cost/ LYG</w:t>
            </w:r>
          </w:p>
        </w:tc>
        <w:tc>
          <w:tcPr>
            <w:tcW w:w="993" w:type="pct"/>
            <w:vAlign w:val="center"/>
          </w:tcPr>
          <w:p w14:paraId="44663258" w14:textId="7EA93F4D" w:rsidR="00985766" w:rsidRPr="005105D1" w:rsidRDefault="00985766">
            <w:pPr>
              <w:widowControl w:val="0"/>
              <w:jc w:val="center"/>
              <w:rPr>
                <w:rFonts w:ascii="Arial Narrow" w:eastAsiaTheme="majorEastAsia" w:hAnsi="Arial Narrow" w:cstheme="majorBidi"/>
                <w:bCs/>
                <w:sz w:val="20"/>
                <w:vertAlign w:val="superscript"/>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5105D1">
              <w:rPr>
                <w:rFonts w:ascii="Arial Narrow" w:eastAsiaTheme="majorEastAsia" w:hAnsi="Arial Narrow" w:cstheme="majorBidi"/>
                <w:bCs/>
                <w:sz w:val="20"/>
                <w:vertAlign w:val="superscript"/>
              </w:rPr>
              <w:t>3</w:t>
            </w:r>
          </w:p>
        </w:tc>
      </w:tr>
      <w:tr w:rsidR="00985766" w:rsidRPr="004F56D0" w14:paraId="1D6CC53A" w14:textId="77777777" w:rsidTr="00F65BD4">
        <w:tc>
          <w:tcPr>
            <w:tcW w:w="4007" w:type="pct"/>
            <w:gridSpan w:val="3"/>
            <w:vAlign w:val="center"/>
          </w:tcPr>
          <w:p w14:paraId="460A3EC7" w14:textId="77777777" w:rsidR="00985766" w:rsidRPr="00D434A8" w:rsidRDefault="00985766">
            <w:pPr>
              <w:widowControl w:val="0"/>
              <w:jc w:val="left"/>
              <w:rPr>
                <w:rFonts w:ascii="Arial Narrow" w:eastAsiaTheme="majorEastAsia" w:hAnsi="Arial Narrow" w:cstheme="majorBidi"/>
                <w:b/>
                <w:sz w:val="20"/>
              </w:rPr>
            </w:pPr>
            <w:r w:rsidRPr="00D434A8">
              <w:rPr>
                <w:rFonts w:ascii="Arial Narrow" w:eastAsiaTheme="majorEastAsia" w:hAnsi="Arial Narrow" w:cstheme="majorBidi"/>
                <w:b/>
                <w:sz w:val="20"/>
              </w:rPr>
              <w:t>Step 5: Incorporation of utilities</w:t>
            </w:r>
          </w:p>
        </w:tc>
        <w:tc>
          <w:tcPr>
            <w:tcW w:w="993" w:type="pct"/>
            <w:vAlign w:val="center"/>
          </w:tcPr>
          <w:p w14:paraId="1217282B" w14:textId="77777777" w:rsidR="00985766" w:rsidRPr="00D434A8" w:rsidRDefault="00985766">
            <w:pPr>
              <w:widowControl w:val="0"/>
              <w:jc w:val="left"/>
              <w:rPr>
                <w:rFonts w:ascii="Arial Narrow" w:eastAsiaTheme="majorEastAsia" w:hAnsi="Arial Narrow" w:cstheme="majorBidi"/>
                <w:bCs/>
                <w:sz w:val="20"/>
              </w:rPr>
            </w:pPr>
          </w:p>
        </w:tc>
      </w:tr>
      <w:tr w:rsidR="00985766" w:rsidRPr="004F56D0" w14:paraId="68FB39EA" w14:textId="77777777" w:rsidTr="00F65BD4">
        <w:tc>
          <w:tcPr>
            <w:tcW w:w="2045" w:type="pct"/>
            <w:vAlign w:val="center"/>
          </w:tcPr>
          <w:p w14:paraId="70D7001C" w14:textId="77777777" w:rsidR="00985766" w:rsidRPr="00D434A8" w:rsidRDefault="00985766">
            <w:pPr>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Costs</w:t>
            </w:r>
          </w:p>
        </w:tc>
        <w:tc>
          <w:tcPr>
            <w:tcW w:w="940" w:type="pct"/>
          </w:tcPr>
          <w:p w14:paraId="032C1B4D" w14:textId="7C7524D2"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1022" w:type="pct"/>
          </w:tcPr>
          <w:p w14:paraId="4E200674"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$31,957</w:t>
            </w:r>
          </w:p>
        </w:tc>
        <w:tc>
          <w:tcPr>
            <w:tcW w:w="993" w:type="pct"/>
          </w:tcPr>
          <w:p w14:paraId="3DA473CC" w14:textId="24202A09"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r>
      <w:tr w:rsidR="00985766" w:rsidRPr="004F56D0" w14:paraId="28A4E245" w14:textId="77777777" w:rsidTr="00F65BD4">
        <w:tc>
          <w:tcPr>
            <w:tcW w:w="2045" w:type="pct"/>
            <w:vAlign w:val="center"/>
          </w:tcPr>
          <w:p w14:paraId="08E9B9ED" w14:textId="77777777" w:rsidR="00985766" w:rsidRPr="00D434A8" w:rsidRDefault="00985766">
            <w:pPr>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QALYs</w:t>
            </w:r>
          </w:p>
        </w:tc>
        <w:tc>
          <w:tcPr>
            <w:tcW w:w="940" w:type="pct"/>
          </w:tcPr>
          <w:p w14:paraId="098E6C81"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9.255</w:t>
            </w:r>
          </w:p>
        </w:tc>
        <w:tc>
          <w:tcPr>
            <w:tcW w:w="1022" w:type="pct"/>
          </w:tcPr>
          <w:p w14:paraId="37E53534"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9.025</w:t>
            </w:r>
          </w:p>
        </w:tc>
        <w:tc>
          <w:tcPr>
            <w:tcW w:w="993" w:type="pct"/>
          </w:tcPr>
          <w:p w14:paraId="6F36E966" w14:textId="77777777" w:rsidR="00985766" w:rsidRPr="00D434A8" w:rsidRDefault="00985766">
            <w:pPr>
              <w:widowControl w:val="0"/>
              <w:jc w:val="center"/>
              <w:rPr>
                <w:rFonts w:ascii="Arial Narrow" w:eastAsiaTheme="majorEastAsia" w:hAnsi="Arial Narrow" w:cstheme="majorBidi"/>
                <w:bCs/>
                <w:sz w:val="20"/>
              </w:rPr>
            </w:pPr>
            <w:r w:rsidRPr="00D434A8">
              <w:rPr>
                <w:rFonts w:ascii="Arial Narrow" w:eastAsiaTheme="majorEastAsia" w:hAnsi="Arial Narrow" w:cstheme="majorBidi"/>
                <w:bCs/>
                <w:sz w:val="20"/>
              </w:rPr>
              <w:t>0.230</w:t>
            </w:r>
          </w:p>
        </w:tc>
      </w:tr>
      <w:tr w:rsidR="00985766" w:rsidRPr="004F56D0" w14:paraId="5283BC56" w14:textId="77777777" w:rsidTr="00F65BD4">
        <w:trPr>
          <w:trHeight w:val="189"/>
        </w:trPr>
        <w:tc>
          <w:tcPr>
            <w:tcW w:w="4007" w:type="pct"/>
            <w:gridSpan w:val="3"/>
            <w:vAlign w:val="center"/>
          </w:tcPr>
          <w:p w14:paraId="5889406A" w14:textId="77777777" w:rsidR="00985766" w:rsidRPr="00D434A8" w:rsidRDefault="00985766">
            <w:pPr>
              <w:widowControl w:val="0"/>
              <w:jc w:val="left"/>
              <w:rPr>
                <w:rFonts w:ascii="Arial Narrow" w:eastAsiaTheme="majorEastAsia" w:hAnsi="Arial Narrow" w:cstheme="majorBidi"/>
                <w:bCs/>
                <w:sz w:val="20"/>
              </w:rPr>
            </w:pPr>
            <w:r w:rsidRPr="00D434A8">
              <w:rPr>
                <w:rFonts w:ascii="Arial Narrow" w:eastAsiaTheme="majorEastAsia" w:hAnsi="Arial Narrow" w:cstheme="majorBidi"/>
                <w:bCs/>
                <w:sz w:val="20"/>
              </w:rPr>
              <w:t>Incremental cost/ QALY gained</w:t>
            </w:r>
          </w:p>
        </w:tc>
        <w:tc>
          <w:tcPr>
            <w:tcW w:w="993" w:type="pct"/>
            <w:vAlign w:val="center"/>
          </w:tcPr>
          <w:p w14:paraId="24790A10" w14:textId="7B84B68F" w:rsidR="00985766" w:rsidRPr="00286360" w:rsidRDefault="00985766">
            <w:pPr>
              <w:widowControl w:val="0"/>
              <w:jc w:val="center"/>
              <w:rPr>
                <w:rFonts w:ascii="Arial Narrow" w:eastAsiaTheme="majorEastAsia" w:hAnsi="Arial Narrow" w:cstheme="majorBidi"/>
                <w:bCs/>
                <w:sz w:val="20"/>
                <w:vertAlign w:val="superscript"/>
              </w:rPr>
            </w:pPr>
            <w:r w:rsidRPr="00D434A8">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286360">
              <w:rPr>
                <w:rFonts w:ascii="Arial Narrow" w:eastAsiaTheme="majorEastAsia" w:hAnsi="Arial Narrow" w:cstheme="majorBidi"/>
                <w:bCs/>
                <w:sz w:val="20"/>
                <w:vertAlign w:val="superscript"/>
              </w:rPr>
              <w:t>4</w:t>
            </w:r>
          </w:p>
        </w:tc>
      </w:tr>
    </w:tbl>
    <w:bookmarkEnd w:id="92"/>
    <w:p w14:paraId="22DD15BF" w14:textId="77777777" w:rsidR="00985766" w:rsidRPr="00EE227E" w:rsidRDefault="00985766" w:rsidP="00985766">
      <w:pPr>
        <w:pStyle w:val="TableFigureFooter"/>
        <w:rPr>
          <w:iCs/>
        </w:rPr>
      </w:pPr>
      <w:r w:rsidRPr="00EE227E">
        <w:rPr>
          <w:iCs/>
        </w:rPr>
        <w:t xml:space="preserve">Source: Developed during the evaluation from ‘Attachment 3 2 CEA model </w:t>
      </w:r>
      <w:proofErr w:type="spellStart"/>
      <w:r w:rsidRPr="00EE227E">
        <w:rPr>
          <w:iCs/>
        </w:rPr>
        <w:t>Teze</w:t>
      </w:r>
      <w:proofErr w:type="spellEnd"/>
      <w:r w:rsidRPr="00EE227E">
        <w:rPr>
          <w:iCs/>
        </w:rPr>
        <w:t xml:space="preserve"> SUA July 2025.xlm’, Tab ‘Deterministic results’</w:t>
      </w:r>
    </w:p>
    <w:p w14:paraId="54C9B512" w14:textId="77777777" w:rsidR="00C67CC1" w:rsidRDefault="00985766" w:rsidP="00C67CC1">
      <w:pPr>
        <w:pStyle w:val="TableFigureFooter"/>
        <w:rPr>
          <w:i/>
          <w:szCs w:val="18"/>
        </w:rPr>
      </w:pPr>
      <w:r w:rsidRPr="004F56D0">
        <w:t>LY= Life Years; LYG = life years gained; QALY = Quality adjusted life-years</w:t>
      </w:r>
      <w:r w:rsidRPr="004F56D0">
        <w:br/>
      </w:r>
      <w:r w:rsidRPr="00D434A8">
        <w:rPr>
          <w:vertAlign w:val="superscript"/>
        </w:rPr>
        <w:t>a</w:t>
      </w:r>
      <w:r w:rsidR="00F61ADD">
        <w:rPr>
          <w:vertAlign w:val="superscript"/>
        </w:rPr>
        <w:t xml:space="preserve"> </w:t>
      </w:r>
      <w:r w:rsidRPr="00D434A8">
        <w:t xml:space="preserve">Calculated during the evaluation by setting the time horizon to 1 year to reflect the NAVIGATOR trial duration, although it was 4 weeks longer than the SOURCE trial. To replicate trial-based costs, the values of these cells were changed in ‘Attachment 3 2 CEA model </w:t>
      </w:r>
      <w:proofErr w:type="spellStart"/>
      <w:r w:rsidRPr="00D434A8">
        <w:t>Teze</w:t>
      </w:r>
      <w:proofErr w:type="spellEnd"/>
      <w:r w:rsidRPr="00D434A8">
        <w:t xml:space="preserve"> SUA July 2025.xlm’, Tab ‘Summary’: Cell D5 set to 1 for time horizon and Cell D10 set to 0 for discount rate. Trial-based costs were then calculated as described in footnote ‘b’.</w:t>
      </w:r>
      <w:r w:rsidRPr="00D434A8">
        <w:br/>
      </w:r>
      <w:r w:rsidRPr="00D434A8">
        <w:rPr>
          <w:vertAlign w:val="superscript"/>
        </w:rPr>
        <w:t xml:space="preserve">b </w:t>
      </w:r>
      <w:r w:rsidRPr="00D434A8">
        <w:t xml:space="preserve">Cost of </w:t>
      </w:r>
      <w:proofErr w:type="spellStart"/>
      <w:r w:rsidRPr="00D434A8">
        <w:t>tezepelumab</w:t>
      </w:r>
      <w:proofErr w:type="spellEnd"/>
      <w:r w:rsidRPr="00D434A8">
        <w:t xml:space="preserve"> was calculated as cost of </w:t>
      </w:r>
      <w:proofErr w:type="spellStart"/>
      <w:r w:rsidRPr="00D434A8">
        <w:t>tezepelumab</w:t>
      </w:r>
      <w:proofErr w:type="spellEnd"/>
      <w:r w:rsidRPr="00D434A8">
        <w:t xml:space="preserve"> + administration costs + cost of SoC + cost of OCS derived from ‘Attachment 3 2 CEA model </w:t>
      </w:r>
      <w:proofErr w:type="spellStart"/>
      <w:r w:rsidRPr="00D434A8">
        <w:t>Teze</w:t>
      </w:r>
      <w:proofErr w:type="spellEnd"/>
      <w:r w:rsidRPr="00D434A8">
        <w:t xml:space="preserve"> SUA July 2025.xlm’, Tab ‘Deterministic Results’ Cells J22, K22, L22 and M22 and the cost of SoC was calculated as cost of SoC + cost of OCS derived from ‘Attachment 3 2 CEA model </w:t>
      </w:r>
      <w:proofErr w:type="spellStart"/>
      <w:r w:rsidRPr="00D434A8">
        <w:t>Teze</w:t>
      </w:r>
      <w:proofErr w:type="spellEnd"/>
      <w:r w:rsidRPr="00D434A8">
        <w:t xml:space="preserve"> SUA July 2025.xlm’, Tab ‘Deterministic Results’ Cells J28, and M28.</w:t>
      </w:r>
      <w:r w:rsidRPr="00D434A8">
        <w:br/>
      </w:r>
      <w:r w:rsidRPr="00D434A8">
        <w:rPr>
          <w:vertAlign w:val="superscript"/>
        </w:rPr>
        <w:t xml:space="preserve">c </w:t>
      </w:r>
      <w:r w:rsidRPr="00D434A8">
        <w:t xml:space="preserve">Derived from ‘Attachment 3 2 CEA model </w:t>
      </w:r>
      <w:proofErr w:type="spellStart"/>
      <w:r w:rsidRPr="00D434A8">
        <w:t>Teze</w:t>
      </w:r>
      <w:proofErr w:type="spellEnd"/>
      <w:r w:rsidRPr="00D434A8">
        <w:t xml:space="preserve"> SUA July 2025.xlm’, Tab ‘Tezepelumab Trace’ Cell HX8, and Tab ‘SoC Trace’ Cell JC8.</w:t>
      </w:r>
      <w:r w:rsidRPr="00D434A8">
        <w:br/>
      </w:r>
      <w:r w:rsidRPr="00D434A8">
        <w:rPr>
          <w:vertAlign w:val="superscript"/>
        </w:rPr>
        <w:t xml:space="preserve">d </w:t>
      </w:r>
      <w:r w:rsidRPr="00D434A8">
        <w:t xml:space="preserve">Calculated by resetting the time horizon to 40 years used in the submission’s model, ‘Attachment 3 2 CEA model </w:t>
      </w:r>
      <w:proofErr w:type="spellStart"/>
      <w:r w:rsidRPr="00D434A8">
        <w:t>Teze</w:t>
      </w:r>
      <w:proofErr w:type="spellEnd"/>
      <w:r w:rsidRPr="00D434A8">
        <w:t xml:space="preserve"> SUA July 2025.xlm’, Tab ‘Summary’: Cell D5 set to blank to reset the time horizon.</w:t>
      </w:r>
      <w:r w:rsidRPr="00D434A8">
        <w:br/>
      </w:r>
      <w:r w:rsidRPr="00D434A8">
        <w:rPr>
          <w:vertAlign w:val="superscript"/>
        </w:rPr>
        <w:t xml:space="preserve">e </w:t>
      </w:r>
      <w:r w:rsidRPr="00D434A8">
        <w:t xml:space="preserve">Derived from ‘Attachment 3 2 CEA model </w:t>
      </w:r>
      <w:proofErr w:type="spellStart"/>
      <w:r w:rsidRPr="00D434A8">
        <w:t>Teze</w:t>
      </w:r>
      <w:proofErr w:type="spellEnd"/>
      <w:r w:rsidRPr="00D434A8">
        <w:t xml:space="preserve"> SUA July 2025.xlm’, Tab ‘Deterministic Results’: Cells E95 and F95.</w:t>
      </w:r>
    </w:p>
    <w:p w14:paraId="473A4B79" w14:textId="4D62725A" w:rsidR="00C67CC1" w:rsidRPr="00C67CC1" w:rsidRDefault="00C67CC1" w:rsidP="00C67CC1">
      <w:pPr>
        <w:pStyle w:val="TableFigureFooter"/>
        <w:rPr>
          <w:i/>
        </w:rPr>
      </w:pPr>
      <w:r w:rsidRPr="00C67CC1">
        <w:rPr>
          <w:i/>
        </w:rPr>
        <w:t xml:space="preserve">The redacted values correspond to the following ranges: </w:t>
      </w:r>
    </w:p>
    <w:p w14:paraId="226E49EF" w14:textId="40B2555A" w:rsidR="00C67CC1" w:rsidRPr="00C67CC1" w:rsidRDefault="00C67CC1" w:rsidP="00C67CC1">
      <w:pPr>
        <w:pStyle w:val="TableFigureFooter"/>
        <w:rPr>
          <w:i/>
        </w:rPr>
      </w:pPr>
      <w:r w:rsidRPr="00C67CC1">
        <w:rPr>
          <w:i/>
          <w:vertAlign w:val="superscript"/>
        </w:rPr>
        <w:t>1</w:t>
      </w:r>
      <w:r w:rsidRPr="00C67CC1">
        <w:rPr>
          <w:i/>
        </w:rPr>
        <w:t xml:space="preserve"> </w:t>
      </w:r>
      <w:bookmarkStart w:id="93" w:name="_Hlk219216475"/>
      <w:r w:rsidR="00107089" w:rsidRPr="00107089">
        <w:rPr>
          <w:i/>
        </w:rPr>
        <w:t>&gt; $1,055,000</w:t>
      </w:r>
      <w:bookmarkEnd w:id="93"/>
    </w:p>
    <w:p w14:paraId="7C171BA7" w14:textId="0405D0F2" w:rsidR="00C67CC1" w:rsidRPr="00C67CC1" w:rsidRDefault="00C67CC1" w:rsidP="00C67CC1">
      <w:pPr>
        <w:pStyle w:val="TableFigureFooter"/>
        <w:rPr>
          <w:i/>
        </w:rPr>
      </w:pPr>
      <w:r w:rsidRPr="00C67CC1">
        <w:rPr>
          <w:i/>
          <w:vertAlign w:val="superscript"/>
        </w:rPr>
        <w:t>2</w:t>
      </w:r>
      <w:r w:rsidRPr="00C67CC1">
        <w:rPr>
          <w:i/>
        </w:rPr>
        <w:t xml:space="preserve"> </w:t>
      </w:r>
      <w:bookmarkStart w:id="94" w:name="_Hlk219208910"/>
      <w:r w:rsidR="00285D75" w:rsidRPr="00285D75">
        <w:rPr>
          <w:i/>
        </w:rPr>
        <w:t>$55,000 to &lt; $75,000</w:t>
      </w:r>
      <w:bookmarkEnd w:id="94"/>
    </w:p>
    <w:p w14:paraId="1D8CE0F6" w14:textId="58434DDA" w:rsidR="00C67CC1" w:rsidRPr="00C67CC1" w:rsidRDefault="00C67CC1" w:rsidP="00C67CC1">
      <w:pPr>
        <w:pStyle w:val="TableFigureFooter"/>
        <w:rPr>
          <w:i/>
        </w:rPr>
      </w:pPr>
      <w:r w:rsidRPr="00C67CC1">
        <w:rPr>
          <w:i/>
          <w:vertAlign w:val="superscript"/>
        </w:rPr>
        <w:t>3</w:t>
      </w:r>
      <w:r w:rsidRPr="00C67CC1">
        <w:rPr>
          <w:i/>
        </w:rPr>
        <w:t xml:space="preserve"> </w:t>
      </w:r>
      <w:bookmarkStart w:id="95" w:name="_Hlk219209453"/>
      <w:r w:rsidR="005105D1" w:rsidRPr="005105D1">
        <w:rPr>
          <w:i/>
        </w:rPr>
        <w:t>$95,000 to &lt; $115,000</w:t>
      </w:r>
      <w:bookmarkEnd w:id="95"/>
    </w:p>
    <w:p w14:paraId="16980673" w14:textId="71003CBA" w:rsidR="00985766" w:rsidRPr="00D434A8" w:rsidRDefault="00C67CC1" w:rsidP="00985766">
      <w:pPr>
        <w:pStyle w:val="TableFigureFooter"/>
      </w:pPr>
      <w:r w:rsidRPr="00C67CC1">
        <w:rPr>
          <w:i/>
          <w:vertAlign w:val="superscript"/>
        </w:rPr>
        <w:t>4</w:t>
      </w:r>
      <w:r w:rsidRPr="00C67CC1">
        <w:rPr>
          <w:i/>
        </w:rPr>
        <w:t xml:space="preserve"> </w:t>
      </w:r>
      <w:r w:rsidR="00286360" w:rsidRPr="00286360">
        <w:rPr>
          <w:i/>
        </w:rPr>
        <w:t>$75,000 to &lt; $95,000</w:t>
      </w:r>
    </w:p>
    <w:p w14:paraId="613C16E2" w14:textId="19D43F4F" w:rsidR="00985766" w:rsidRPr="004F56D0" w:rsidRDefault="00985766" w:rsidP="00985766">
      <w:pPr>
        <w:numPr>
          <w:ilvl w:val="1"/>
          <w:numId w:val="1"/>
        </w:numPr>
        <w:spacing w:before="60" w:after="60" w:line="259" w:lineRule="auto"/>
        <w:ind w:left="709"/>
        <w:jc w:val="left"/>
        <w:rPr>
          <w:rFonts w:asciiTheme="minorHAnsi" w:eastAsiaTheme="minorHAnsi" w:hAnsiTheme="minorHAnsi" w:cstheme="minorBidi"/>
          <w:szCs w:val="22"/>
        </w:rPr>
      </w:pPr>
      <w:r w:rsidRPr="004F56D0">
        <w:rPr>
          <w:rFonts w:asciiTheme="minorHAnsi" w:eastAsiaTheme="minorHAnsi" w:hAnsiTheme="minorHAnsi" w:cstheme="minorBidi"/>
          <w:szCs w:val="22"/>
        </w:rPr>
        <w:t xml:space="preserve">The results of key univariate sensitivity analyses are summarised in </w:t>
      </w:r>
      <w:r w:rsidRPr="004F56D0">
        <w:rPr>
          <w:rFonts w:asciiTheme="minorHAnsi" w:eastAsiaTheme="minorHAnsi" w:hAnsiTheme="minorHAnsi" w:cstheme="minorBidi"/>
          <w:szCs w:val="22"/>
        </w:rPr>
        <w:fldChar w:fldCharType="begin"/>
      </w:r>
      <w:r w:rsidRPr="004F56D0">
        <w:rPr>
          <w:rFonts w:asciiTheme="minorHAnsi" w:eastAsiaTheme="minorHAnsi" w:hAnsiTheme="minorHAnsi" w:cstheme="minorBidi"/>
          <w:szCs w:val="22"/>
        </w:rPr>
        <w:instrText xml:space="preserve"> REF _Ref104804865 \h </w:instrText>
      </w:r>
      <w:r>
        <w:rPr>
          <w:rFonts w:asciiTheme="minorHAnsi" w:eastAsiaTheme="minorHAnsi" w:hAnsiTheme="minorHAnsi" w:cstheme="minorBidi"/>
          <w:szCs w:val="22"/>
        </w:rPr>
        <w:instrText xml:space="preserve"> \* MERGEFORMAT </w:instrText>
      </w:r>
      <w:r w:rsidRPr="004F56D0">
        <w:rPr>
          <w:rFonts w:asciiTheme="minorHAnsi" w:eastAsiaTheme="minorHAnsi" w:hAnsiTheme="minorHAnsi" w:cstheme="minorBidi"/>
          <w:szCs w:val="22"/>
        </w:rPr>
      </w:r>
      <w:r w:rsidRPr="004F56D0">
        <w:rPr>
          <w:rFonts w:asciiTheme="minorHAnsi" w:eastAsiaTheme="minorHAnsi" w:hAnsiTheme="minorHAnsi" w:cstheme="minorBidi"/>
          <w:szCs w:val="22"/>
        </w:rPr>
        <w:fldChar w:fldCharType="separate"/>
      </w:r>
      <w:r w:rsidR="0078760A" w:rsidRPr="0078760A">
        <w:rPr>
          <w:rFonts w:asciiTheme="minorHAnsi" w:eastAsiaTheme="minorHAnsi" w:hAnsiTheme="minorHAnsi" w:cstheme="minorBidi"/>
          <w:szCs w:val="22"/>
        </w:rPr>
        <w:t>Table 16</w:t>
      </w:r>
      <w:r w:rsidRPr="004F56D0">
        <w:rPr>
          <w:rFonts w:asciiTheme="minorHAnsi" w:eastAsiaTheme="minorHAnsi" w:hAnsiTheme="minorHAnsi" w:cstheme="minorBidi"/>
          <w:szCs w:val="22"/>
        </w:rPr>
        <w:fldChar w:fldCharType="end"/>
      </w:r>
      <w:r w:rsidRPr="004F56D0">
        <w:rPr>
          <w:rFonts w:asciiTheme="minorHAnsi" w:eastAsiaTheme="minorHAnsi" w:hAnsiTheme="minorHAnsi" w:cstheme="minorBidi"/>
          <w:szCs w:val="22"/>
        </w:rPr>
        <w:t xml:space="preserve">. </w:t>
      </w:r>
    </w:p>
    <w:p w14:paraId="5946C347" w14:textId="50A8CD7B" w:rsidR="00985766" w:rsidRPr="00A4392F" w:rsidRDefault="00985766" w:rsidP="00985766">
      <w:pPr>
        <w:pStyle w:val="TableFigureHeading"/>
      </w:pPr>
      <w:bookmarkStart w:id="96" w:name="_Ref104804865"/>
      <w:r w:rsidRPr="004F56D0">
        <w:rPr>
          <w:szCs w:val="18"/>
        </w:rPr>
        <w:t xml:space="preserve">Table </w:t>
      </w:r>
      <w:r w:rsidRPr="004F56D0">
        <w:rPr>
          <w:szCs w:val="18"/>
        </w:rPr>
        <w:fldChar w:fldCharType="begin"/>
      </w:r>
      <w:r w:rsidRPr="004F56D0">
        <w:rPr>
          <w:szCs w:val="18"/>
        </w:rPr>
        <w:instrText xml:space="preserve"> SEQ Table \* ARABIC </w:instrText>
      </w:r>
      <w:r w:rsidRPr="004F56D0">
        <w:rPr>
          <w:szCs w:val="18"/>
        </w:rPr>
        <w:fldChar w:fldCharType="separate"/>
      </w:r>
      <w:r w:rsidR="0078760A">
        <w:rPr>
          <w:noProof/>
          <w:szCs w:val="18"/>
        </w:rPr>
        <w:t>16</w:t>
      </w:r>
      <w:r w:rsidRPr="004F56D0">
        <w:rPr>
          <w:noProof/>
          <w:szCs w:val="18"/>
        </w:rPr>
        <w:fldChar w:fldCharType="end"/>
      </w:r>
      <w:bookmarkEnd w:id="96"/>
      <w:r w:rsidRPr="004F56D0">
        <w:rPr>
          <w:szCs w:val="18"/>
        </w:rPr>
        <w:t>:</w:t>
      </w:r>
      <w:r w:rsidRPr="004F56D0">
        <w:t xml:space="preserve"> Sensitivity analyses for the economic model for the non-eosino</w:t>
      </w:r>
      <w:r w:rsidRPr="00A4392F">
        <w:t>philic and non-allergic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ensitivity analyses for the economic model for the non-eosinophilic and non-allergic subgroup"/>
      </w:tblPr>
      <w:tblGrid>
        <w:gridCol w:w="3538"/>
        <w:gridCol w:w="1277"/>
        <w:gridCol w:w="1277"/>
        <w:gridCol w:w="1417"/>
        <w:gridCol w:w="1508"/>
      </w:tblGrid>
      <w:tr w:rsidR="00985766" w:rsidRPr="00A4392F" w14:paraId="7E313845" w14:textId="77777777">
        <w:trPr>
          <w:tblHeader/>
        </w:trPr>
        <w:tc>
          <w:tcPr>
            <w:tcW w:w="1962" w:type="pct"/>
            <w:vAlign w:val="center"/>
          </w:tcPr>
          <w:p w14:paraId="0ABE5935" w14:textId="77777777" w:rsidR="00985766" w:rsidRPr="00A4392F" w:rsidRDefault="00985766" w:rsidP="00746BE8">
            <w:pPr>
              <w:keepNext/>
              <w:keepLines/>
              <w:widowControl w:val="0"/>
              <w:rPr>
                <w:rFonts w:ascii="Arial Narrow" w:eastAsiaTheme="majorEastAsia" w:hAnsi="Arial Narrow" w:cstheme="majorBidi"/>
                <w:b/>
                <w:bCs/>
                <w:sz w:val="20"/>
              </w:rPr>
            </w:pPr>
            <w:r w:rsidRPr="00A4392F">
              <w:rPr>
                <w:rFonts w:ascii="Arial Narrow" w:eastAsiaTheme="majorEastAsia" w:hAnsi="Arial Narrow" w:cstheme="majorBidi"/>
                <w:b/>
                <w:bCs/>
                <w:sz w:val="20"/>
              </w:rPr>
              <w:t>Analyses</w:t>
            </w:r>
          </w:p>
        </w:tc>
        <w:tc>
          <w:tcPr>
            <w:tcW w:w="708" w:type="pct"/>
            <w:vAlign w:val="center"/>
          </w:tcPr>
          <w:p w14:paraId="4370F4A2" w14:textId="77777777" w:rsidR="00985766" w:rsidRPr="00A4392F" w:rsidRDefault="00985766">
            <w:pPr>
              <w:keepNext/>
              <w:keepLines/>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Incremental cost</w:t>
            </w:r>
          </w:p>
        </w:tc>
        <w:tc>
          <w:tcPr>
            <w:tcW w:w="708" w:type="pct"/>
            <w:vAlign w:val="center"/>
          </w:tcPr>
          <w:p w14:paraId="5F65D566" w14:textId="77777777" w:rsidR="00985766" w:rsidRPr="00A4392F" w:rsidRDefault="00985766">
            <w:pPr>
              <w:keepNext/>
              <w:keepLines/>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Incremental QALY</w:t>
            </w:r>
          </w:p>
        </w:tc>
        <w:tc>
          <w:tcPr>
            <w:tcW w:w="786" w:type="pct"/>
            <w:vAlign w:val="center"/>
          </w:tcPr>
          <w:p w14:paraId="60B88F22" w14:textId="77777777" w:rsidR="00985766" w:rsidRPr="00A4392F" w:rsidRDefault="00985766">
            <w:pPr>
              <w:keepNext/>
              <w:keepLines/>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ICER ($/QALY gained)</w:t>
            </w:r>
          </w:p>
        </w:tc>
        <w:tc>
          <w:tcPr>
            <w:tcW w:w="836" w:type="pct"/>
            <w:vAlign w:val="center"/>
          </w:tcPr>
          <w:p w14:paraId="2357E677" w14:textId="77777777" w:rsidR="00985766" w:rsidRPr="00A4392F" w:rsidRDefault="00985766">
            <w:pPr>
              <w:keepNext/>
              <w:keepLines/>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 change from base case ICER</w:t>
            </w:r>
          </w:p>
        </w:tc>
      </w:tr>
      <w:tr w:rsidR="00985766" w:rsidRPr="00A4392F" w14:paraId="5AAC43DB" w14:textId="77777777">
        <w:tc>
          <w:tcPr>
            <w:tcW w:w="1962" w:type="pct"/>
            <w:tcBorders>
              <w:bottom w:val="single" w:sz="4" w:space="0" w:color="auto"/>
            </w:tcBorders>
          </w:tcPr>
          <w:p w14:paraId="4148B57D" w14:textId="77777777" w:rsidR="00985766" w:rsidRPr="00A4392F" w:rsidRDefault="00985766">
            <w:pPr>
              <w:keepNext/>
              <w:keepLines/>
              <w:widowControl w:val="0"/>
              <w:jc w:val="left"/>
              <w:rPr>
                <w:rFonts w:ascii="Arial Narrow" w:eastAsiaTheme="majorEastAsia" w:hAnsi="Arial Narrow" w:cstheme="majorBidi"/>
                <w:b/>
                <w:bCs/>
                <w:sz w:val="20"/>
              </w:rPr>
            </w:pPr>
            <w:r w:rsidRPr="00A4392F">
              <w:rPr>
                <w:rFonts w:ascii="Arial Narrow" w:eastAsiaTheme="majorEastAsia" w:hAnsi="Arial Narrow" w:cstheme="majorBidi"/>
                <w:b/>
                <w:bCs/>
                <w:sz w:val="20"/>
              </w:rPr>
              <w:t>Base case</w:t>
            </w:r>
          </w:p>
        </w:tc>
        <w:tc>
          <w:tcPr>
            <w:tcW w:w="708" w:type="pct"/>
            <w:tcBorders>
              <w:bottom w:val="single" w:sz="4" w:space="0" w:color="auto"/>
            </w:tcBorders>
          </w:tcPr>
          <w:p w14:paraId="1D675128" w14:textId="49F5BCC2" w:rsidR="00985766" w:rsidRPr="00A4392F" w:rsidRDefault="00985766">
            <w:pPr>
              <w:keepNext/>
              <w:keepLines/>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w:t>
            </w:r>
            <w:r w:rsidR="00B14769" w:rsidRPr="00B14769">
              <w:rPr>
                <w:rFonts w:ascii="Arial Narrow" w:eastAsiaTheme="majorEastAsia" w:hAnsi="Arial Narrow" w:cstheme="majorBidi"/>
                <w:b/>
                <w:bCs/>
                <w:sz w:val="20"/>
                <w:highlight w:val="black"/>
              </w:rPr>
              <w:t>&amp;&amp;&amp;&amp;</w:t>
            </w:r>
          </w:p>
        </w:tc>
        <w:tc>
          <w:tcPr>
            <w:tcW w:w="708" w:type="pct"/>
            <w:tcBorders>
              <w:bottom w:val="single" w:sz="4" w:space="0" w:color="auto"/>
            </w:tcBorders>
          </w:tcPr>
          <w:p w14:paraId="1FA12FB8" w14:textId="77777777" w:rsidR="00985766" w:rsidRPr="00A4392F" w:rsidRDefault="00985766">
            <w:pPr>
              <w:keepNext/>
              <w:keepLines/>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0.230</w:t>
            </w:r>
          </w:p>
        </w:tc>
        <w:tc>
          <w:tcPr>
            <w:tcW w:w="786" w:type="pct"/>
            <w:tcBorders>
              <w:bottom w:val="single" w:sz="4" w:space="0" w:color="auto"/>
            </w:tcBorders>
          </w:tcPr>
          <w:p w14:paraId="05B06490" w14:textId="72100481" w:rsidR="00985766" w:rsidRPr="00402CE1" w:rsidRDefault="00985766">
            <w:pPr>
              <w:keepNext/>
              <w:keepLines/>
              <w:widowControl w:val="0"/>
              <w:jc w:val="center"/>
              <w:rPr>
                <w:rFonts w:ascii="Arial Narrow" w:eastAsiaTheme="majorEastAsia" w:hAnsi="Arial Narrow" w:cstheme="majorBidi"/>
                <w:sz w:val="20"/>
                <w:vertAlign w:val="superscript"/>
              </w:rPr>
            </w:pPr>
            <w:r w:rsidRPr="00A4392F">
              <w:rPr>
                <w:rFonts w:ascii="Arial Narrow" w:eastAsiaTheme="majorEastAsia" w:hAnsi="Arial Narrow" w:cstheme="majorBidi"/>
                <w:b/>
                <w:bCs/>
                <w:sz w:val="20"/>
              </w:rPr>
              <w:t>$</w:t>
            </w:r>
            <w:r w:rsidR="00B14769" w:rsidRPr="00B14769">
              <w:rPr>
                <w:rFonts w:ascii="Arial Narrow" w:eastAsiaTheme="majorEastAsia" w:hAnsi="Arial Narrow" w:cstheme="majorBidi"/>
                <w:b/>
                <w:bCs/>
                <w:sz w:val="20"/>
                <w:highlight w:val="black"/>
              </w:rPr>
              <w:t>&amp;&amp;&amp;&amp;</w:t>
            </w:r>
            <w:r w:rsidR="00402CE1">
              <w:rPr>
                <w:rFonts w:ascii="Arial Narrow" w:eastAsiaTheme="majorEastAsia" w:hAnsi="Arial Narrow" w:cstheme="majorBidi"/>
                <w:sz w:val="20"/>
                <w:vertAlign w:val="superscript"/>
              </w:rPr>
              <w:t>1</w:t>
            </w:r>
          </w:p>
        </w:tc>
        <w:tc>
          <w:tcPr>
            <w:tcW w:w="836" w:type="pct"/>
            <w:tcBorders>
              <w:bottom w:val="single" w:sz="4" w:space="0" w:color="auto"/>
            </w:tcBorders>
          </w:tcPr>
          <w:p w14:paraId="5B0E9D10" w14:textId="77777777" w:rsidR="00985766" w:rsidRPr="00A4392F" w:rsidRDefault="00985766">
            <w:pPr>
              <w:keepNext/>
              <w:keepLines/>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0%</w:t>
            </w:r>
          </w:p>
        </w:tc>
      </w:tr>
      <w:tr w:rsidR="00985766" w:rsidRPr="00A4392F" w14:paraId="1EBB69FF" w14:textId="77777777">
        <w:tc>
          <w:tcPr>
            <w:tcW w:w="5000" w:type="pct"/>
            <w:gridSpan w:val="5"/>
          </w:tcPr>
          <w:p w14:paraId="1DB4089E" w14:textId="77777777" w:rsidR="00985766" w:rsidRPr="00A4392F" w:rsidRDefault="00985766">
            <w:pPr>
              <w:keepNext/>
              <w:keepLines/>
              <w:widowControl w:val="0"/>
              <w:jc w:val="left"/>
              <w:rPr>
                <w:rFonts w:ascii="Arial Narrow" w:eastAsiaTheme="majorEastAsia" w:hAnsi="Arial Narrow" w:cstheme="majorBidi"/>
                <w:b/>
                <w:bCs/>
                <w:sz w:val="20"/>
              </w:rPr>
            </w:pPr>
            <w:r w:rsidRPr="00A4392F">
              <w:rPr>
                <w:rFonts w:ascii="Arial Narrow" w:eastAsiaTheme="majorEastAsia" w:hAnsi="Arial Narrow" w:cstheme="majorBidi"/>
                <w:b/>
                <w:bCs/>
                <w:sz w:val="20"/>
              </w:rPr>
              <w:t>Discount rate (Base case 5%)</w:t>
            </w:r>
          </w:p>
        </w:tc>
      </w:tr>
      <w:tr w:rsidR="00985766" w:rsidRPr="00A4392F" w14:paraId="35870165" w14:textId="77777777">
        <w:tc>
          <w:tcPr>
            <w:tcW w:w="1962" w:type="pct"/>
          </w:tcPr>
          <w:p w14:paraId="16DE11E3" w14:textId="77777777"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3.5%</w:t>
            </w:r>
          </w:p>
        </w:tc>
        <w:tc>
          <w:tcPr>
            <w:tcW w:w="708" w:type="pct"/>
          </w:tcPr>
          <w:p w14:paraId="6060F86C" w14:textId="1CB1C86E"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0327219A"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0.260</w:t>
            </w:r>
          </w:p>
        </w:tc>
        <w:tc>
          <w:tcPr>
            <w:tcW w:w="786" w:type="pct"/>
          </w:tcPr>
          <w:p w14:paraId="0F40C6AC" w14:textId="4BCCDFE4" w:rsidR="00985766" w:rsidRPr="006A26AC"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6A26AC">
              <w:rPr>
                <w:rFonts w:ascii="Arial Narrow" w:eastAsiaTheme="majorEastAsia" w:hAnsi="Arial Narrow" w:cstheme="majorBidi"/>
                <w:bCs/>
                <w:sz w:val="20"/>
                <w:vertAlign w:val="superscript"/>
              </w:rPr>
              <w:t>2</w:t>
            </w:r>
          </w:p>
        </w:tc>
        <w:tc>
          <w:tcPr>
            <w:tcW w:w="836" w:type="pct"/>
          </w:tcPr>
          <w:p w14:paraId="43127107" w14:textId="1C36F273"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Pr="00A4392F">
              <w:rPr>
                <w:rFonts w:ascii="Arial Narrow" w:eastAsiaTheme="majorEastAsia" w:hAnsi="Arial Narrow" w:cstheme="majorBidi"/>
                <w:bCs/>
                <w:sz w:val="20"/>
              </w:rPr>
              <w:t>%</w:t>
            </w:r>
          </w:p>
        </w:tc>
      </w:tr>
      <w:tr w:rsidR="00985766" w:rsidRPr="00A4392F" w14:paraId="7DD2C9B2" w14:textId="77777777">
        <w:tc>
          <w:tcPr>
            <w:tcW w:w="1962" w:type="pct"/>
          </w:tcPr>
          <w:p w14:paraId="174D5018" w14:textId="77777777"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0%</w:t>
            </w:r>
          </w:p>
        </w:tc>
        <w:tc>
          <w:tcPr>
            <w:tcW w:w="708" w:type="pct"/>
          </w:tcPr>
          <w:p w14:paraId="0C065860" w14:textId="2E830A2A"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6A79226E"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0.374</w:t>
            </w:r>
          </w:p>
        </w:tc>
        <w:tc>
          <w:tcPr>
            <w:tcW w:w="786" w:type="pct"/>
          </w:tcPr>
          <w:p w14:paraId="442AC1B5" w14:textId="7DB1A1D4" w:rsidR="00985766" w:rsidRPr="002247EB"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2247EB">
              <w:rPr>
                <w:rFonts w:ascii="Arial Narrow" w:eastAsiaTheme="majorEastAsia" w:hAnsi="Arial Narrow" w:cstheme="majorBidi"/>
                <w:bCs/>
                <w:sz w:val="20"/>
                <w:vertAlign w:val="superscript"/>
              </w:rPr>
              <w:t>3</w:t>
            </w:r>
          </w:p>
        </w:tc>
        <w:tc>
          <w:tcPr>
            <w:tcW w:w="836" w:type="pct"/>
          </w:tcPr>
          <w:p w14:paraId="37561E3D" w14:textId="121679AA"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Pr="00A4392F">
              <w:rPr>
                <w:rFonts w:ascii="Arial Narrow" w:eastAsiaTheme="majorEastAsia" w:hAnsi="Arial Narrow" w:cstheme="majorBidi"/>
                <w:bCs/>
                <w:sz w:val="20"/>
              </w:rPr>
              <w:t>%</w:t>
            </w:r>
          </w:p>
        </w:tc>
      </w:tr>
      <w:tr w:rsidR="00985766" w:rsidRPr="00A4392F" w14:paraId="3C326154" w14:textId="77777777">
        <w:tc>
          <w:tcPr>
            <w:tcW w:w="5000" w:type="pct"/>
            <w:gridSpan w:val="5"/>
          </w:tcPr>
          <w:p w14:paraId="1A90B311" w14:textId="77777777" w:rsidR="00985766" w:rsidRPr="00A4392F" w:rsidRDefault="00985766">
            <w:pPr>
              <w:keepNext/>
              <w:keepLines/>
              <w:widowControl w:val="0"/>
              <w:jc w:val="left"/>
              <w:rPr>
                <w:rFonts w:ascii="Arial Narrow" w:eastAsiaTheme="majorEastAsia" w:hAnsi="Arial Narrow" w:cstheme="majorBidi"/>
                <w:b/>
                <w:bCs/>
                <w:sz w:val="20"/>
              </w:rPr>
            </w:pPr>
            <w:r w:rsidRPr="00A4392F">
              <w:rPr>
                <w:rFonts w:ascii="Arial Narrow" w:eastAsiaTheme="majorEastAsia" w:hAnsi="Arial Narrow" w:cstheme="majorBidi"/>
                <w:b/>
                <w:bCs/>
                <w:sz w:val="20"/>
              </w:rPr>
              <w:t>Time horizon (Base case 40 years)</w:t>
            </w:r>
          </w:p>
        </w:tc>
      </w:tr>
      <w:tr w:rsidR="00985766" w:rsidRPr="00A4392F" w14:paraId="5B0E25BE" w14:textId="77777777">
        <w:tc>
          <w:tcPr>
            <w:tcW w:w="1962" w:type="pct"/>
          </w:tcPr>
          <w:p w14:paraId="73CC984C" w14:textId="77777777"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10 years</w:t>
            </w:r>
          </w:p>
        </w:tc>
        <w:tc>
          <w:tcPr>
            <w:tcW w:w="708" w:type="pct"/>
          </w:tcPr>
          <w:p w14:paraId="0AFB9213" w14:textId="354B8195"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701F9D1E"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0.162</w:t>
            </w:r>
          </w:p>
        </w:tc>
        <w:tc>
          <w:tcPr>
            <w:tcW w:w="786" w:type="pct"/>
          </w:tcPr>
          <w:p w14:paraId="07DB8D46" w14:textId="01EDFA26" w:rsidR="00985766" w:rsidRPr="003D343E" w:rsidRDefault="00985766">
            <w:pPr>
              <w:keepNext/>
              <w:keepLines/>
              <w:widowControl w:val="0"/>
              <w:jc w:val="center"/>
              <w:rPr>
                <w:rFonts w:ascii="Arial Narrow" w:eastAsiaTheme="majorEastAsia" w:hAnsi="Arial Narrow" w:cstheme="majorBidi"/>
                <w:bCs/>
                <w:sz w:val="20"/>
                <w:highlight w:val="darkGray"/>
                <w:vertAlign w:val="superscript"/>
              </w:rPr>
            </w:pPr>
            <w:r w:rsidRPr="00BA7FE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3D343E" w:rsidRPr="003D343E">
              <w:rPr>
                <w:rFonts w:ascii="Arial Narrow" w:eastAsiaTheme="majorEastAsia" w:hAnsi="Arial Narrow" w:cstheme="majorBidi"/>
                <w:bCs/>
                <w:sz w:val="20"/>
                <w:vertAlign w:val="superscript"/>
              </w:rPr>
              <w:t>4</w:t>
            </w:r>
          </w:p>
        </w:tc>
        <w:tc>
          <w:tcPr>
            <w:tcW w:w="836" w:type="pct"/>
          </w:tcPr>
          <w:p w14:paraId="0CC77632" w14:textId="6604A447"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220AFC92" w14:textId="77777777">
        <w:tc>
          <w:tcPr>
            <w:tcW w:w="1962" w:type="pct"/>
          </w:tcPr>
          <w:p w14:paraId="48CAD219" w14:textId="6E0B64ED"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20 years</w:t>
            </w:r>
            <w:r w:rsidR="00F21D8D" w:rsidRPr="00F21D8D">
              <w:rPr>
                <w:rFonts w:ascii="Arial Narrow" w:eastAsiaTheme="majorEastAsia" w:hAnsi="Arial Narrow" w:cstheme="majorBidi"/>
                <w:b/>
                <w:sz w:val="20"/>
              </w:rPr>
              <w:t xml:space="preserve"> </w:t>
            </w:r>
            <w:r w:rsidR="00F21D8D" w:rsidRPr="00EE227E">
              <w:rPr>
                <w:rFonts w:ascii="Arial Narrow" w:eastAsiaTheme="majorEastAsia" w:hAnsi="Arial Narrow" w:cstheme="majorBidi"/>
                <w:b/>
                <w:iCs/>
                <w:sz w:val="20"/>
              </w:rPr>
              <w:t>#1</w:t>
            </w:r>
          </w:p>
        </w:tc>
        <w:tc>
          <w:tcPr>
            <w:tcW w:w="708" w:type="pct"/>
          </w:tcPr>
          <w:p w14:paraId="27EAEE63" w14:textId="5652733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7AC8159E"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0.207</w:t>
            </w:r>
          </w:p>
        </w:tc>
        <w:tc>
          <w:tcPr>
            <w:tcW w:w="786" w:type="pct"/>
          </w:tcPr>
          <w:p w14:paraId="68F23D71" w14:textId="070B02A5" w:rsidR="00985766" w:rsidRPr="00402CE1"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402CE1">
              <w:rPr>
                <w:rFonts w:ascii="Arial Narrow" w:eastAsiaTheme="majorEastAsia" w:hAnsi="Arial Narrow" w:cstheme="majorBidi"/>
                <w:bCs/>
                <w:sz w:val="20"/>
                <w:vertAlign w:val="superscript"/>
              </w:rPr>
              <w:t>1</w:t>
            </w:r>
          </w:p>
        </w:tc>
        <w:tc>
          <w:tcPr>
            <w:tcW w:w="836" w:type="pct"/>
          </w:tcPr>
          <w:p w14:paraId="302BF962" w14:textId="2B91EA97"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13965750" w14:textId="77777777">
        <w:tc>
          <w:tcPr>
            <w:tcW w:w="1962" w:type="pct"/>
          </w:tcPr>
          <w:p w14:paraId="1A8829F5" w14:textId="77777777"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25 years</w:t>
            </w:r>
          </w:p>
        </w:tc>
        <w:tc>
          <w:tcPr>
            <w:tcW w:w="708" w:type="pct"/>
          </w:tcPr>
          <w:p w14:paraId="74BE6954" w14:textId="3BBF60C8"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47DBA6BD"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0.218</w:t>
            </w:r>
          </w:p>
        </w:tc>
        <w:tc>
          <w:tcPr>
            <w:tcW w:w="786" w:type="pct"/>
          </w:tcPr>
          <w:p w14:paraId="509877CD" w14:textId="2935D5B7" w:rsidR="00985766" w:rsidRPr="00402CE1"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402CE1">
              <w:rPr>
                <w:rFonts w:ascii="Arial Narrow" w:eastAsiaTheme="majorEastAsia" w:hAnsi="Arial Narrow" w:cstheme="majorBidi"/>
                <w:bCs/>
                <w:sz w:val="20"/>
                <w:vertAlign w:val="superscript"/>
              </w:rPr>
              <w:t>1</w:t>
            </w:r>
          </w:p>
        </w:tc>
        <w:tc>
          <w:tcPr>
            <w:tcW w:w="836" w:type="pct"/>
          </w:tcPr>
          <w:p w14:paraId="0438D6D5" w14:textId="737F162E"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677B87E9" w14:textId="77777777">
        <w:tc>
          <w:tcPr>
            <w:tcW w:w="5000" w:type="pct"/>
            <w:gridSpan w:val="5"/>
          </w:tcPr>
          <w:p w14:paraId="09A058CE" w14:textId="77777777" w:rsidR="00985766" w:rsidRPr="00A4392F" w:rsidRDefault="00985766">
            <w:pPr>
              <w:keepNext/>
              <w:keepLines/>
              <w:widowControl w:val="0"/>
              <w:jc w:val="left"/>
              <w:rPr>
                <w:rFonts w:ascii="Arial Narrow" w:eastAsiaTheme="majorEastAsia" w:hAnsi="Arial Narrow" w:cstheme="majorBidi"/>
                <w:b/>
                <w:bCs/>
                <w:sz w:val="20"/>
              </w:rPr>
            </w:pPr>
            <w:r w:rsidRPr="00A4392F">
              <w:rPr>
                <w:rFonts w:ascii="Arial Narrow" w:eastAsiaTheme="majorEastAsia" w:hAnsi="Arial Narrow" w:cstheme="majorBidi"/>
                <w:b/>
                <w:bCs/>
                <w:sz w:val="20"/>
              </w:rPr>
              <w:t>Response probability in the SoC arm between 32-52 weeks (Base case: 0.721)</w:t>
            </w:r>
          </w:p>
        </w:tc>
      </w:tr>
      <w:tr w:rsidR="00985766" w:rsidRPr="00A4392F" w14:paraId="603C8543" w14:textId="77777777">
        <w:tc>
          <w:tcPr>
            <w:tcW w:w="1962" w:type="pct"/>
          </w:tcPr>
          <w:p w14:paraId="0919F4E0" w14:textId="77777777"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sz w:val="20"/>
              </w:rPr>
              <w:t xml:space="preserve">Same as </w:t>
            </w:r>
            <w:proofErr w:type="spellStart"/>
            <w:r w:rsidRPr="00A4392F">
              <w:rPr>
                <w:rFonts w:ascii="Arial Narrow" w:eastAsiaTheme="majorEastAsia" w:hAnsi="Arial Narrow" w:cstheme="majorBidi"/>
                <w:sz w:val="20"/>
              </w:rPr>
              <w:t>tezepelumab</w:t>
            </w:r>
            <w:proofErr w:type="spellEnd"/>
            <w:r w:rsidRPr="00A4392F">
              <w:rPr>
                <w:rFonts w:ascii="Arial Narrow" w:eastAsiaTheme="majorEastAsia" w:hAnsi="Arial Narrow" w:cstheme="majorBidi"/>
                <w:sz w:val="20"/>
              </w:rPr>
              <w:t xml:space="preserve"> arm (0.886)</w:t>
            </w:r>
          </w:p>
        </w:tc>
        <w:tc>
          <w:tcPr>
            <w:tcW w:w="708" w:type="pct"/>
          </w:tcPr>
          <w:p w14:paraId="43D3F92F" w14:textId="4F22F561"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360B68AD"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0.134</w:t>
            </w:r>
          </w:p>
        </w:tc>
        <w:tc>
          <w:tcPr>
            <w:tcW w:w="786" w:type="pct"/>
          </w:tcPr>
          <w:p w14:paraId="6EBB7E33" w14:textId="43F38350" w:rsidR="00985766" w:rsidRPr="00EE5920"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EE5920">
              <w:rPr>
                <w:rFonts w:ascii="Arial Narrow" w:eastAsiaTheme="majorEastAsia" w:hAnsi="Arial Narrow" w:cstheme="majorBidi"/>
                <w:bCs/>
                <w:sz w:val="20"/>
                <w:vertAlign w:val="superscript"/>
              </w:rPr>
              <w:t>5</w:t>
            </w:r>
          </w:p>
        </w:tc>
        <w:tc>
          <w:tcPr>
            <w:tcW w:w="836" w:type="pct"/>
          </w:tcPr>
          <w:p w14:paraId="29E56410" w14:textId="023844B7"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56305AFD" w14:textId="77777777">
        <w:tc>
          <w:tcPr>
            <w:tcW w:w="5000" w:type="pct"/>
            <w:gridSpan w:val="5"/>
          </w:tcPr>
          <w:p w14:paraId="0CD1582C" w14:textId="77777777" w:rsidR="00985766" w:rsidRPr="00A4392F" w:rsidRDefault="00985766">
            <w:pPr>
              <w:keepNext/>
              <w:keepLines/>
              <w:widowControl w:val="0"/>
              <w:jc w:val="left"/>
              <w:rPr>
                <w:rFonts w:ascii="Arial Narrow" w:eastAsiaTheme="majorEastAsia" w:hAnsi="Arial Narrow" w:cstheme="majorBidi"/>
                <w:b/>
                <w:bCs/>
                <w:sz w:val="20"/>
              </w:rPr>
            </w:pPr>
            <w:r w:rsidRPr="00A4392F">
              <w:rPr>
                <w:rFonts w:ascii="Arial Narrow" w:eastAsiaTheme="majorEastAsia" w:hAnsi="Arial Narrow" w:cstheme="majorBidi"/>
                <w:b/>
                <w:bCs/>
                <w:sz w:val="20"/>
              </w:rPr>
              <w:t>Exacerbation mortality (Base case: OCS burst, 1.13%; ED visit, 1.8%; Hospitalisation 2.5%)</w:t>
            </w:r>
          </w:p>
        </w:tc>
      </w:tr>
      <w:tr w:rsidR="00985766" w:rsidRPr="00A4392F" w14:paraId="591B2F44" w14:textId="77777777">
        <w:tc>
          <w:tcPr>
            <w:tcW w:w="1962" w:type="pct"/>
          </w:tcPr>
          <w:p w14:paraId="181F6EEF" w14:textId="77777777"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Mortality = 0%</w:t>
            </w:r>
          </w:p>
        </w:tc>
        <w:tc>
          <w:tcPr>
            <w:tcW w:w="708" w:type="pct"/>
            <w:vAlign w:val="center"/>
          </w:tcPr>
          <w:p w14:paraId="08EF8432" w14:textId="70673F32"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vAlign w:val="center"/>
          </w:tcPr>
          <w:p w14:paraId="67AF1C92"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0.097</w:t>
            </w:r>
          </w:p>
        </w:tc>
        <w:tc>
          <w:tcPr>
            <w:tcW w:w="786" w:type="pct"/>
            <w:vAlign w:val="center"/>
          </w:tcPr>
          <w:p w14:paraId="43E805E6" w14:textId="74D4A759" w:rsidR="00985766" w:rsidRPr="00EE5920"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EE5920">
              <w:rPr>
                <w:rFonts w:ascii="Arial Narrow" w:eastAsiaTheme="majorEastAsia" w:hAnsi="Arial Narrow" w:cstheme="majorBidi"/>
                <w:bCs/>
                <w:sz w:val="20"/>
                <w:vertAlign w:val="superscript"/>
              </w:rPr>
              <w:t>6</w:t>
            </w:r>
          </w:p>
        </w:tc>
        <w:tc>
          <w:tcPr>
            <w:tcW w:w="836" w:type="pct"/>
            <w:vAlign w:val="center"/>
          </w:tcPr>
          <w:p w14:paraId="373721DF" w14:textId="2DD2EC73"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63DCD68D" w14:textId="77777777">
        <w:tc>
          <w:tcPr>
            <w:tcW w:w="1962" w:type="pct"/>
          </w:tcPr>
          <w:p w14:paraId="02F139F2" w14:textId="1DE2B375"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OCS burst</w:t>
            </w:r>
            <w:r w:rsidR="00D5329E">
              <w:rPr>
                <w:rFonts w:ascii="Arial Narrow" w:eastAsiaTheme="majorEastAsia" w:hAnsi="Arial Narrow" w:cstheme="majorBidi"/>
                <w:bCs/>
                <w:sz w:val="20"/>
              </w:rPr>
              <w:t>:</w:t>
            </w:r>
            <w:r w:rsidR="00F21D8D">
              <w:rPr>
                <w:rFonts w:ascii="Arial Narrow" w:eastAsiaTheme="majorEastAsia" w:hAnsi="Arial Narrow" w:cstheme="majorBidi"/>
                <w:bCs/>
                <w:sz w:val="20"/>
              </w:rPr>
              <w:t xml:space="preserve"> </w:t>
            </w:r>
            <w:r w:rsidRPr="00A4392F">
              <w:rPr>
                <w:rFonts w:ascii="Arial Narrow" w:eastAsiaTheme="majorEastAsia" w:hAnsi="Arial Narrow" w:cstheme="majorBidi"/>
                <w:bCs/>
                <w:sz w:val="20"/>
              </w:rPr>
              <w:t>0.43%; ED visit</w:t>
            </w:r>
            <w:r w:rsidR="00D5329E">
              <w:rPr>
                <w:rFonts w:ascii="Arial Narrow" w:eastAsiaTheme="majorEastAsia" w:hAnsi="Arial Narrow" w:cstheme="majorBidi"/>
                <w:bCs/>
                <w:sz w:val="20"/>
              </w:rPr>
              <w:t>:</w:t>
            </w:r>
            <w:r w:rsidRPr="00A4392F">
              <w:rPr>
                <w:rFonts w:ascii="Arial Narrow" w:eastAsiaTheme="majorEastAsia" w:hAnsi="Arial Narrow" w:cstheme="majorBidi"/>
                <w:bCs/>
                <w:sz w:val="20"/>
              </w:rPr>
              <w:t xml:space="preserve"> 1.13%; Hospitalisation</w:t>
            </w:r>
            <w:r w:rsidR="00D5329E">
              <w:rPr>
                <w:rFonts w:ascii="Arial Narrow" w:eastAsiaTheme="majorEastAsia" w:hAnsi="Arial Narrow" w:cstheme="majorBidi"/>
                <w:bCs/>
                <w:sz w:val="20"/>
              </w:rPr>
              <w:t>:</w:t>
            </w:r>
            <w:r w:rsidRPr="00A4392F">
              <w:rPr>
                <w:rFonts w:ascii="Arial Narrow" w:eastAsiaTheme="majorEastAsia" w:hAnsi="Arial Narrow" w:cstheme="majorBidi"/>
                <w:bCs/>
                <w:sz w:val="20"/>
              </w:rPr>
              <w:t xml:space="preserve"> 1.13% (based on mepolizumab PSD)</w:t>
            </w:r>
            <w:r w:rsidR="00F21D8D">
              <w:rPr>
                <w:rFonts w:ascii="Arial Narrow" w:eastAsiaTheme="majorEastAsia" w:hAnsi="Arial Narrow" w:cstheme="majorBidi"/>
                <w:bCs/>
                <w:sz w:val="20"/>
              </w:rPr>
              <w:t xml:space="preserve"> </w:t>
            </w:r>
            <w:r w:rsidR="00F21D8D" w:rsidRPr="00EE227E">
              <w:rPr>
                <w:rFonts w:ascii="Arial Narrow" w:eastAsiaTheme="majorEastAsia" w:hAnsi="Arial Narrow" w:cstheme="majorBidi"/>
                <w:b/>
                <w:iCs/>
                <w:sz w:val="20"/>
              </w:rPr>
              <w:t>#2</w:t>
            </w:r>
          </w:p>
        </w:tc>
        <w:tc>
          <w:tcPr>
            <w:tcW w:w="708" w:type="pct"/>
            <w:vAlign w:val="center"/>
          </w:tcPr>
          <w:p w14:paraId="7B489E26" w14:textId="30302CCA"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vAlign w:val="center"/>
          </w:tcPr>
          <w:p w14:paraId="2BE82293"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0.159</w:t>
            </w:r>
          </w:p>
        </w:tc>
        <w:tc>
          <w:tcPr>
            <w:tcW w:w="786" w:type="pct"/>
            <w:vAlign w:val="center"/>
          </w:tcPr>
          <w:p w14:paraId="03833B3F" w14:textId="1B9C8064" w:rsidR="00985766" w:rsidRPr="003D343E"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3D343E">
              <w:rPr>
                <w:rFonts w:ascii="Arial Narrow" w:eastAsiaTheme="majorEastAsia" w:hAnsi="Arial Narrow" w:cstheme="majorBidi"/>
                <w:bCs/>
                <w:sz w:val="20"/>
                <w:vertAlign w:val="superscript"/>
              </w:rPr>
              <w:t>4</w:t>
            </w:r>
          </w:p>
        </w:tc>
        <w:tc>
          <w:tcPr>
            <w:tcW w:w="836" w:type="pct"/>
            <w:vAlign w:val="center"/>
          </w:tcPr>
          <w:p w14:paraId="5C848B32" w14:textId="47C2ECF3"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550ACD17" w14:textId="77777777">
        <w:tc>
          <w:tcPr>
            <w:tcW w:w="1962" w:type="pct"/>
          </w:tcPr>
          <w:p w14:paraId="06CF7BD8" w14:textId="77777777"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 xml:space="preserve">Rate=1.13% for all exacerbation scenarios </w:t>
            </w:r>
          </w:p>
        </w:tc>
        <w:tc>
          <w:tcPr>
            <w:tcW w:w="708" w:type="pct"/>
          </w:tcPr>
          <w:p w14:paraId="60CEC18B" w14:textId="1F5C3BD3"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76E3D48C"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0.214</w:t>
            </w:r>
          </w:p>
        </w:tc>
        <w:tc>
          <w:tcPr>
            <w:tcW w:w="786" w:type="pct"/>
          </w:tcPr>
          <w:p w14:paraId="1D5E0402" w14:textId="4C3C6A8C" w:rsidR="00985766" w:rsidRPr="00402CE1"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402CE1">
              <w:rPr>
                <w:rFonts w:ascii="Arial Narrow" w:eastAsiaTheme="majorEastAsia" w:hAnsi="Arial Narrow" w:cstheme="majorBidi"/>
                <w:bCs/>
                <w:sz w:val="20"/>
                <w:vertAlign w:val="superscript"/>
              </w:rPr>
              <w:t>1</w:t>
            </w:r>
          </w:p>
        </w:tc>
        <w:tc>
          <w:tcPr>
            <w:tcW w:w="836" w:type="pct"/>
          </w:tcPr>
          <w:p w14:paraId="3ACC9206" w14:textId="056A5BEC"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0E74D152" w14:textId="77777777">
        <w:tc>
          <w:tcPr>
            <w:tcW w:w="5000" w:type="pct"/>
            <w:gridSpan w:val="5"/>
          </w:tcPr>
          <w:p w14:paraId="1A6ACE30" w14:textId="77777777" w:rsidR="00985766" w:rsidRPr="00A4392F" w:rsidRDefault="00985766">
            <w:pPr>
              <w:keepNext/>
              <w:keepLines/>
              <w:widowControl w:val="0"/>
              <w:jc w:val="left"/>
              <w:rPr>
                <w:rFonts w:ascii="Arial Narrow" w:eastAsiaTheme="majorEastAsia" w:hAnsi="Arial Narrow" w:cstheme="majorBidi"/>
                <w:b/>
                <w:bCs/>
                <w:sz w:val="20"/>
              </w:rPr>
            </w:pPr>
            <w:r w:rsidRPr="00A4392F">
              <w:rPr>
                <w:rFonts w:ascii="Arial Narrow" w:eastAsiaTheme="majorEastAsia" w:hAnsi="Arial Narrow" w:cstheme="majorBidi"/>
                <w:b/>
                <w:bCs/>
                <w:sz w:val="20"/>
              </w:rPr>
              <w:t>Utility gain from controlled disease (Base case: 0.244)</w:t>
            </w:r>
          </w:p>
        </w:tc>
      </w:tr>
      <w:tr w:rsidR="00985766" w:rsidRPr="00A4392F" w14:paraId="41E5D748" w14:textId="77777777">
        <w:tc>
          <w:tcPr>
            <w:tcW w:w="1962" w:type="pct"/>
          </w:tcPr>
          <w:p w14:paraId="328EEE03" w14:textId="1D0B4EE5"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 xml:space="preserve">0.00 (no utility </w:t>
            </w:r>
            <w:proofErr w:type="gramStart"/>
            <w:r w:rsidRPr="00A4392F">
              <w:rPr>
                <w:rFonts w:ascii="Arial Narrow" w:eastAsiaTheme="majorEastAsia" w:hAnsi="Arial Narrow" w:cstheme="majorBidi"/>
                <w:bCs/>
                <w:sz w:val="20"/>
              </w:rPr>
              <w:t>gain)</w:t>
            </w:r>
            <w:r w:rsidR="00ED7489">
              <w:rPr>
                <w:rFonts w:ascii="Arial Narrow" w:eastAsiaTheme="majorEastAsia" w:hAnsi="Arial Narrow" w:cstheme="majorBidi"/>
                <w:bCs/>
                <w:sz w:val="20"/>
                <w:vertAlign w:val="superscript"/>
              </w:rPr>
              <w:t>a</w:t>
            </w:r>
            <w:proofErr w:type="gramEnd"/>
          </w:p>
        </w:tc>
        <w:tc>
          <w:tcPr>
            <w:tcW w:w="708" w:type="pct"/>
          </w:tcPr>
          <w:p w14:paraId="304DBDE9" w14:textId="4862AD8E"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317B5ECC"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0.121</w:t>
            </w:r>
          </w:p>
        </w:tc>
        <w:tc>
          <w:tcPr>
            <w:tcW w:w="786" w:type="pct"/>
          </w:tcPr>
          <w:p w14:paraId="64F09911" w14:textId="4CACB5F7" w:rsidR="00985766" w:rsidRPr="00F53386"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F53386">
              <w:rPr>
                <w:rFonts w:ascii="Arial Narrow" w:eastAsiaTheme="majorEastAsia" w:hAnsi="Arial Narrow" w:cstheme="majorBidi"/>
                <w:bCs/>
                <w:sz w:val="20"/>
                <w:vertAlign w:val="superscript"/>
              </w:rPr>
              <w:t>7</w:t>
            </w:r>
          </w:p>
        </w:tc>
        <w:tc>
          <w:tcPr>
            <w:tcW w:w="836" w:type="pct"/>
          </w:tcPr>
          <w:p w14:paraId="7D2CFCA9" w14:textId="2157CF16"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196FDD0B" w14:textId="77777777">
        <w:tc>
          <w:tcPr>
            <w:tcW w:w="1962" w:type="pct"/>
          </w:tcPr>
          <w:p w14:paraId="2980B09C" w14:textId="55DE744B"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 xml:space="preserve">0.194 (Trial </w:t>
            </w:r>
            <w:proofErr w:type="gramStart"/>
            <w:r w:rsidRPr="00A4392F">
              <w:rPr>
                <w:rFonts w:ascii="Arial Narrow" w:eastAsiaTheme="majorEastAsia" w:hAnsi="Arial Narrow" w:cstheme="majorBidi"/>
                <w:bCs/>
                <w:sz w:val="20"/>
              </w:rPr>
              <w:t>data)</w:t>
            </w:r>
            <w:r w:rsidR="00ED7489">
              <w:rPr>
                <w:rFonts w:ascii="Arial Narrow" w:eastAsiaTheme="majorEastAsia" w:hAnsi="Arial Narrow" w:cstheme="majorBidi"/>
                <w:bCs/>
                <w:sz w:val="20"/>
                <w:vertAlign w:val="superscript"/>
              </w:rPr>
              <w:t>b</w:t>
            </w:r>
            <w:proofErr w:type="gramEnd"/>
          </w:p>
        </w:tc>
        <w:tc>
          <w:tcPr>
            <w:tcW w:w="708" w:type="pct"/>
          </w:tcPr>
          <w:p w14:paraId="49042724" w14:textId="45D73160"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3F5E5B15"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0.208</w:t>
            </w:r>
          </w:p>
        </w:tc>
        <w:tc>
          <w:tcPr>
            <w:tcW w:w="786" w:type="pct"/>
          </w:tcPr>
          <w:p w14:paraId="21D907A7" w14:textId="404BC35B" w:rsidR="00985766" w:rsidRPr="00402CE1"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402CE1">
              <w:rPr>
                <w:rFonts w:ascii="Arial Narrow" w:eastAsiaTheme="majorEastAsia" w:hAnsi="Arial Narrow" w:cstheme="majorBidi"/>
                <w:bCs/>
                <w:sz w:val="20"/>
                <w:vertAlign w:val="superscript"/>
              </w:rPr>
              <w:t>1</w:t>
            </w:r>
          </w:p>
        </w:tc>
        <w:tc>
          <w:tcPr>
            <w:tcW w:w="836" w:type="pct"/>
          </w:tcPr>
          <w:p w14:paraId="1E074F09" w14:textId="4828418E"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072ED817" w14:textId="77777777">
        <w:tc>
          <w:tcPr>
            <w:tcW w:w="5000" w:type="pct"/>
            <w:gridSpan w:val="5"/>
          </w:tcPr>
          <w:p w14:paraId="737FC17D" w14:textId="3F16D980" w:rsidR="00985766" w:rsidRPr="00A4392F" w:rsidRDefault="00EF0872">
            <w:pPr>
              <w:keepNext/>
              <w:keepLines/>
              <w:widowControl w:val="0"/>
              <w:jc w:val="left"/>
              <w:rPr>
                <w:rFonts w:ascii="Arial Narrow" w:eastAsiaTheme="majorEastAsia" w:hAnsi="Arial Narrow" w:cstheme="majorBidi"/>
                <w:bCs/>
                <w:sz w:val="20"/>
              </w:rPr>
            </w:pPr>
            <w:r w:rsidRPr="00EE227E">
              <w:rPr>
                <w:rFonts w:ascii="Arial Narrow" w:eastAsiaTheme="majorEastAsia" w:hAnsi="Arial Narrow" w:cstheme="majorBidi"/>
                <w:b/>
                <w:bCs/>
                <w:iCs/>
                <w:sz w:val="20"/>
              </w:rPr>
              <w:t>Effect on</w:t>
            </w:r>
            <w:r w:rsidR="00CA2F52" w:rsidRPr="00EE227E">
              <w:rPr>
                <w:rFonts w:ascii="Arial Narrow" w:eastAsiaTheme="majorEastAsia" w:hAnsi="Arial Narrow" w:cstheme="majorBidi"/>
                <w:b/>
                <w:bCs/>
                <w:iCs/>
                <w:sz w:val="20"/>
              </w:rPr>
              <w:t xml:space="preserve"> risk of</w:t>
            </w:r>
            <w:r w:rsidRPr="00EE227E">
              <w:rPr>
                <w:rFonts w:ascii="Arial Narrow" w:eastAsiaTheme="majorEastAsia" w:hAnsi="Arial Narrow" w:cstheme="majorBidi"/>
                <w:b/>
                <w:bCs/>
                <w:iCs/>
                <w:sz w:val="20"/>
              </w:rPr>
              <w:t xml:space="preserve"> </w:t>
            </w:r>
            <w:r w:rsidR="00236B74" w:rsidRPr="00EE227E">
              <w:rPr>
                <w:rFonts w:ascii="Arial Narrow" w:eastAsiaTheme="majorEastAsia" w:hAnsi="Arial Narrow" w:cstheme="majorBidi"/>
                <w:b/>
                <w:bCs/>
                <w:iCs/>
                <w:sz w:val="20"/>
              </w:rPr>
              <w:t>exacerbation in the non-OCS population = 50%.</w:t>
            </w:r>
            <w:r w:rsidR="00236B74">
              <w:rPr>
                <w:rFonts w:ascii="Arial Narrow" w:eastAsiaTheme="majorEastAsia" w:hAnsi="Arial Narrow" w:cstheme="majorBidi"/>
                <w:b/>
                <w:bCs/>
                <w:sz w:val="20"/>
              </w:rPr>
              <w:t xml:space="preserve"> </w:t>
            </w:r>
            <w:r w:rsidR="00985766" w:rsidRPr="00A4392F">
              <w:rPr>
                <w:rFonts w:ascii="Arial Narrow" w:eastAsiaTheme="majorEastAsia" w:hAnsi="Arial Narrow" w:cstheme="majorBidi"/>
                <w:b/>
                <w:bCs/>
                <w:sz w:val="20"/>
              </w:rPr>
              <w:t xml:space="preserve">(Base case: </w:t>
            </w:r>
            <w:proofErr w:type="spellStart"/>
            <w:r w:rsidR="00985766" w:rsidRPr="00A4392F">
              <w:rPr>
                <w:rFonts w:ascii="Arial Narrow" w:eastAsiaTheme="majorEastAsia" w:hAnsi="Arial Narrow" w:cstheme="majorBidi"/>
                <w:b/>
                <w:bCs/>
                <w:sz w:val="20"/>
              </w:rPr>
              <w:t>tezepelumab</w:t>
            </w:r>
            <w:proofErr w:type="spellEnd"/>
            <w:r w:rsidR="00985766" w:rsidRPr="00A4392F">
              <w:rPr>
                <w:rFonts w:ascii="Arial Narrow" w:eastAsiaTheme="majorEastAsia" w:hAnsi="Arial Narrow" w:cstheme="majorBidi"/>
                <w:b/>
                <w:bCs/>
                <w:sz w:val="20"/>
              </w:rPr>
              <w:t xml:space="preserve"> controlled: 0.49, </w:t>
            </w:r>
            <w:r w:rsidR="00BA41B1">
              <w:rPr>
                <w:rFonts w:ascii="Arial Narrow" w:eastAsiaTheme="majorEastAsia" w:hAnsi="Arial Narrow" w:cstheme="majorBidi"/>
                <w:b/>
                <w:bCs/>
                <w:sz w:val="20"/>
              </w:rPr>
              <w:t>u</w:t>
            </w:r>
            <w:r w:rsidR="00985766" w:rsidRPr="00A4392F">
              <w:rPr>
                <w:rFonts w:ascii="Arial Narrow" w:eastAsiaTheme="majorEastAsia" w:hAnsi="Arial Narrow" w:cstheme="majorBidi"/>
                <w:b/>
                <w:bCs/>
                <w:sz w:val="20"/>
              </w:rPr>
              <w:t>ncontrolled</w:t>
            </w:r>
            <w:r w:rsidR="00BA41B1">
              <w:rPr>
                <w:rFonts w:ascii="Arial Narrow" w:eastAsiaTheme="majorEastAsia" w:hAnsi="Arial Narrow" w:cstheme="majorBidi"/>
                <w:b/>
                <w:bCs/>
                <w:sz w:val="20"/>
              </w:rPr>
              <w:t>:</w:t>
            </w:r>
            <w:r w:rsidR="00985766" w:rsidRPr="00A4392F">
              <w:rPr>
                <w:rFonts w:ascii="Arial Narrow" w:eastAsiaTheme="majorEastAsia" w:hAnsi="Arial Narrow" w:cstheme="majorBidi"/>
                <w:b/>
                <w:bCs/>
                <w:sz w:val="20"/>
              </w:rPr>
              <w:t xml:space="preserve"> 1.12</w:t>
            </w:r>
            <w:r w:rsidR="00BA41B1">
              <w:rPr>
                <w:rFonts w:ascii="Arial Narrow" w:eastAsiaTheme="majorEastAsia" w:hAnsi="Arial Narrow" w:cstheme="majorBidi"/>
                <w:b/>
                <w:bCs/>
                <w:sz w:val="20"/>
              </w:rPr>
              <w:t>;</w:t>
            </w:r>
            <w:r w:rsidR="00BA41B1" w:rsidRPr="00A4392F">
              <w:rPr>
                <w:rFonts w:ascii="Arial Narrow" w:eastAsiaTheme="majorEastAsia" w:hAnsi="Arial Narrow" w:cstheme="majorBidi"/>
                <w:b/>
                <w:bCs/>
                <w:sz w:val="20"/>
              </w:rPr>
              <w:t xml:space="preserve"> </w:t>
            </w:r>
            <w:r w:rsidR="00985766" w:rsidRPr="00A4392F">
              <w:rPr>
                <w:rFonts w:ascii="Arial Narrow" w:eastAsiaTheme="majorEastAsia" w:hAnsi="Arial Narrow" w:cstheme="majorBidi"/>
                <w:b/>
                <w:bCs/>
                <w:sz w:val="20"/>
              </w:rPr>
              <w:t xml:space="preserve">SoC controlled: 0.98, </w:t>
            </w:r>
            <w:r w:rsidR="00BA41B1">
              <w:rPr>
                <w:rFonts w:ascii="Arial Narrow" w:eastAsiaTheme="majorEastAsia" w:hAnsi="Arial Narrow" w:cstheme="majorBidi"/>
                <w:b/>
                <w:bCs/>
                <w:sz w:val="20"/>
              </w:rPr>
              <w:t>u</w:t>
            </w:r>
            <w:r w:rsidR="00985766" w:rsidRPr="00A4392F">
              <w:rPr>
                <w:rFonts w:ascii="Arial Narrow" w:eastAsiaTheme="majorEastAsia" w:hAnsi="Arial Narrow" w:cstheme="majorBidi"/>
                <w:b/>
                <w:bCs/>
                <w:sz w:val="20"/>
              </w:rPr>
              <w:t>ncontrolled 2.20 per year)</w:t>
            </w:r>
          </w:p>
        </w:tc>
      </w:tr>
      <w:tr w:rsidR="00985766" w:rsidRPr="00A4392F" w14:paraId="37657E7F" w14:textId="77777777">
        <w:tc>
          <w:tcPr>
            <w:tcW w:w="1962" w:type="pct"/>
          </w:tcPr>
          <w:p w14:paraId="2B24B19D" w14:textId="2D6FE2F0" w:rsidR="00985766" w:rsidRPr="00A4392F" w:rsidRDefault="00236B74">
            <w:pPr>
              <w:keepNext/>
              <w:keepLines/>
              <w:widowControl w:val="0"/>
              <w:jc w:val="left"/>
              <w:rPr>
                <w:rFonts w:ascii="Arial Narrow" w:eastAsiaTheme="majorEastAsia" w:hAnsi="Arial Narrow" w:cstheme="majorBidi"/>
                <w:bCs/>
                <w:sz w:val="20"/>
              </w:rPr>
            </w:pPr>
            <w:r w:rsidRPr="00EE227E">
              <w:rPr>
                <w:rFonts w:ascii="Arial Narrow" w:eastAsiaTheme="majorEastAsia" w:hAnsi="Arial Narrow" w:cstheme="majorBidi"/>
                <w:bCs/>
                <w:iCs/>
                <w:sz w:val="20"/>
              </w:rPr>
              <w:t xml:space="preserve">Removal of </w:t>
            </w:r>
            <w:r w:rsidR="004E4CF5" w:rsidRPr="00EE227E">
              <w:rPr>
                <w:rFonts w:ascii="Arial Narrow" w:eastAsiaTheme="majorEastAsia" w:hAnsi="Arial Narrow" w:cstheme="majorBidi"/>
                <w:bCs/>
                <w:iCs/>
                <w:sz w:val="20"/>
              </w:rPr>
              <w:t>effect</w:t>
            </w:r>
            <w:r w:rsidRPr="00EE227E">
              <w:rPr>
                <w:rFonts w:ascii="Arial Narrow" w:eastAsiaTheme="majorEastAsia" w:hAnsi="Arial Narrow" w:cstheme="majorBidi"/>
                <w:bCs/>
                <w:iCs/>
                <w:sz w:val="20"/>
              </w:rPr>
              <w:t>.</w:t>
            </w:r>
            <w:r>
              <w:rPr>
                <w:rFonts w:ascii="Arial Narrow" w:eastAsiaTheme="majorEastAsia" w:hAnsi="Arial Narrow" w:cstheme="majorBidi"/>
                <w:bCs/>
                <w:sz w:val="20"/>
              </w:rPr>
              <w:t xml:space="preserve"> </w:t>
            </w:r>
            <w:r w:rsidR="00985766" w:rsidRPr="00A4392F">
              <w:rPr>
                <w:rFonts w:ascii="Arial Narrow" w:eastAsiaTheme="majorEastAsia" w:hAnsi="Arial Narrow" w:cstheme="majorBidi"/>
                <w:bCs/>
                <w:sz w:val="20"/>
              </w:rPr>
              <w:t xml:space="preserve">Rates for SoC equal to the rates for </w:t>
            </w:r>
            <w:proofErr w:type="spellStart"/>
            <w:r w:rsidR="00985766" w:rsidRPr="00A4392F">
              <w:rPr>
                <w:rFonts w:ascii="Arial Narrow" w:eastAsiaTheme="majorEastAsia" w:hAnsi="Arial Narrow" w:cstheme="majorBidi"/>
                <w:bCs/>
                <w:sz w:val="20"/>
              </w:rPr>
              <w:t>tezepelumab</w:t>
            </w:r>
            <w:proofErr w:type="spellEnd"/>
            <w:r w:rsidR="00985766" w:rsidRPr="00A4392F">
              <w:rPr>
                <w:rFonts w:ascii="Arial Narrow" w:eastAsiaTheme="majorEastAsia" w:hAnsi="Arial Narrow" w:cstheme="majorBidi"/>
                <w:bCs/>
                <w:sz w:val="20"/>
              </w:rPr>
              <w:t xml:space="preserve"> </w:t>
            </w:r>
            <w:r w:rsidR="00ED7489">
              <w:rPr>
                <w:rFonts w:ascii="Arial Narrow" w:eastAsiaTheme="majorEastAsia" w:hAnsi="Arial Narrow" w:cstheme="majorBidi"/>
                <w:bCs/>
                <w:sz w:val="20"/>
                <w:vertAlign w:val="superscript"/>
              </w:rPr>
              <w:t>c</w:t>
            </w:r>
          </w:p>
        </w:tc>
        <w:tc>
          <w:tcPr>
            <w:tcW w:w="708" w:type="pct"/>
            <w:vAlign w:val="center"/>
          </w:tcPr>
          <w:p w14:paraId="39BEA3E9" w14:textId="683493EB"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vAlign w:val="center"/>
          </w:tcPr>
          <w:p w14:paraId="61A2ED3F"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0.119</w:t>
            </w:r>
          </w:p>
        </w:tc>
        <w:tc>
          <w:tcPr>
            <w:tcW w:w="786" w:type="pct"/>
            <w:vAlign w:val="center"/>
          </w:tcPr>
          <w:p w14:paraId="42746E4A" w14:textId="723D8378" w:rsidR="00985766" w:rsidRPr="00F53386"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F53386">
              <w:rPr>
                <w:rFonts w:ascii="Arial Narrow" w:eastAsiaTheme="majorEastAsia" w:hAnsi="Arial Narrow" w:cstheme="majorBidi"/>
                <w:bCs/>
                <w:sz w:val="20"/>
                <w:vertAlign w:val="superscript"/>
              </w:rPr>
              <w:t>7</w:t>
            </w:r>
          </w:p>
        </w:tc>
        <w:tc>
          <w:tcPr>
            <w:tcW w:w="836" w:type="pct"/>
            <w:vAlign w:val="center"/>
          </w:tcPr>
          <w:p w14:paraId="07B7F603" w14:textId="65A085A6"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F87956" w:rsidRPr="00EE227E" w14:paraId="3F3B518C" w14:textId="77777777">
        <w:tc>
          <w:tcPr>
            <w:tcW w:w="1962" w:type="pct"/>
          </w:tcPr>
          <w:p w14:paraId="750BE508" w14:textId="6F3A262E" w:rsidR="00F87956" w:rsidRPr="00EE227E" w:rsidRDefault="005212D5">
            <w:pPr>
              <w:keepNext/>
              <w:keepLines/>
              <w:widowControl w:val="0"/>
              <w:jc w:val="left"/>
              <w:rPr>
                <w:rFonts w:ascii="Arial Narrow" w:eastAsiaTheme="majorEastAsia" w:hAnsi="Arial Narrow" w:cstheme="majorBidi"/>
                <w:bCs/>
                <w:iCs/>
                <w:sz w:val="20"/>
              </w:rPr>
            </w:pPr>
            <w:r w:rsidRPr="00EE227E">
              <w:rPr>
                <w:rFonts w:ascii="Arial Narrow" w:eastAsiaTheme="majorEastAsia" w:hAnsi="Arial Narrow" w:cstheme="majorBidi"/>
                <w:bCs/>
                <w:iCs/>
                <w:sz w:val="20"/>
              </w:rPr>
              <w:t xml:space="preserve">Reduced effect on risk of exacerbation to 20%: annual rate of exacerbation, </w:t>
            </w:r>
            <w:proofErr w:type="spellStart"/>
            <w:r w:rsidRPr="00EE227E">
              <w:rPr>
                <w:rFonts w:ascii="Arial Narrow" w:eastAsiaTheme="majorEastAsia" w:hAnsi="Arial Narrow" w:cstheme="majorBidi"/>
                <w:bCs/>
                <w:iCs/>
                <w:sz w:val="20"/>
              </w:rPr>
              <w:t>tezepelumab</w:t>
            </w:r>
            <w:proofErr w:type="spellEnd"/>
            <w:r w:rsidRPr="00EE227E">
              <w:rPr>
                <w:rFonts w:ascii="Arial Narrow" w:eastAsiaTheme="majorEastAsia" w:hAnsi="Arial Narrow" w:cstheme="majorBidi"/>
                <w:bCs/>
                <w:iCs/>
                <w:sz w:val="20"/>
              </w:rPr>
              <w:t xml:space="preserve"> controlled: </w:t>
            </w:r>
            <w:r w:rsidR="005B259D" w:rsidRPr="00EE227E">
              <w:rPr>
                <w:rFonts w:ascii="Arial Narrow" w:eastAsiaTheme="majorEastAsia" w:hAnsi="Arial Narrow" w:cstheme="majorBidi"/>
                <w:bCs/>
                <w:iCs/>
                <w:sz w:val="20"/>
              </w:rPr>
              <w:t>0.784</w:t>
            </w:r>
            <w:r w:rsidRPr="00EE227E">
              <w:rPr>
                <w:rFonts w:ascii="Arial Narrow" w:eastAsiaTheme="majorEastAsia" w:hAnsi="Arial Narrow" w:cstheme="majorBidi"/>
                <w:bCs/>
                <w:iCs/>
                <w:sz w:val="20"/>
              </w:rPr>
              <w:t xml:space="preserve">, uncontrolled </w:t>
            </w:r>
            <w:r w:rsidR="005B259D" w:rsidRPr="00EE227E">
              <w:rPr>
                <w:rFonts w:ascii="Arial Narrow" w:eastAsiaTheme="majorEastAsia" w:hAnsi="Arial Narrow" w:cstheme="majorBidi"/>
                <w:bCs/>
                <w:iCs/>
                <w:sz w:val="20"/>
              </w:rPr>
              <w:t>1.760</w:t>
            </w:r>
            <w:r w:rsidRPr="00EE227E">
              <w:rPr>
                <w:rFonts w:ascii="Arial Narrow" w:eastAsiaTheme="majorEastAsia" w:hAnsi="Arial Narrow" w:cstheme="majorBidi"/>
                <w:bCs/>
                <w:iCs/>
                <w:sz w:val="20"/>
              </w:rPr>
              <w:t>; SoC controlled: 0.98, uncontrolled 2.20</w:t>
            </w:r>
            <w:r w:rsidR="002D50AE" w:rsidRPr="00EE227E">
              <w:rPr>
                <w:rFonts w:ascii="Arial Narrow" w:eastAsiaTheme="majorEastAsia" w:hAnsi="Arial Narrow" w:cstheme="majorBidi"/>
                <w:bCs/>
                <w:iCs/>
                <w:sz w:val="20"/>
                <w:vertAlign w:val="superscript"/>
              </w:rPr>
              <w:t xml:space="preserve"> d</w:t>
            </w:r>
          </w:p>
        </w:tc>
        <w:tc>
          <w:tcPr>
            <w:tcW w:w="708" w:type="pct"/>
            <w:vAlign w:val="center"/>
          </w:tcPr>
          <w:p w14:paraId="645E62AF" w14:textId="1EFD3E2B" w:rsidR="00F87956" w:rsidRPr="00EE227E" w:rsidRDefault="009D5532" w:rsidP="005808E6">
            <w:pPr>
              <w:keepNext/>
              <w:keepLines/>
              <w:widowControl w:val="0"/>
              <w:jc w:val="center"/>
              <w:rPr>
                <w:rFonts w:ascii="Arial Narrow" w:eastAsiaTheme="majorEastAsia" w:hAnsi="Arial Narrow" w:cstheme="majorBidi"/>
                <w:bCs/>
                <w:iCs/>
                <w:sz w:val="20"/>
              </w:rPr>
            </w:pPr>
            <w:r w:rsidRPr="00EE227E">
              <w:rPr>
                <w:rFonts w:ascii="Arial Narrow" w:eastAsiaTheme="majorEastAsia" w:hAnsi="Arial Narrow" w:cstheme="majorBidi"/>
                <w:bCs/>
                <w:iCs/>
                <w:sz w:val="20"/>
              </w:rPr>
              <w:t>$</w:t>
            </w:r>
            <w:r w:rsidR="00B14769" w:rsidRPr="00B14769">
              <w:rPr>
                <w:rFonts w:ascii="Arial Narrow" w:eastAsiaTheme="majorEastAsia" w:hAnsi="Arial Narrow" w:cstheme="majorBidi"/>
                <w:bCs/>
                <w:iCs/>
                <w:sz w:val="20"/>
                <w:highlight w:val="black"/>
              </w:rPr>
              <w:t>&amp;&amp;&amp;&amp;</w:t>
            </w:r>
          </w:p>
        </w:tc>
        <w:tc>
          <w:tcPr>
            <w:tcW w:w="708" w:type="pct"/>
            <w:vAlign w:val="center"/>
          </w:tcPr>
          <w:p w14:paraId="13FCBA4E" w14:textId="64C665D2" w:rsidR="00F87956" w:rsidRPr="00EE227E" w:rsidRDefault="009D5532" w:rsidP="005808E6">
            <w:pPr>
              <w:keepNext/>
              <w:keepLines/>
              <w:widowControl w:val="0"/>
              <w:jc w:val="center"/>
              <w:rPr>
                <w:rFonts w:ascii="Arial Narrow" w:eastAsiaTheme="majorEastAsia" w:hAnsi="Arial Narrow" w:cstheme="majorBidi"/>
                <w:bCs/>
                <w:iCs/>
                <w:sz w:val="20"/>
              </w:rPr>
            </w:pPr>
            <w:r w:rsidRPr="00EE227E">
              <w:rPr>
                <w:rFonts w:ascii="Arial Narrow" w:eastAsiaTheme="majorEastAsia" w:hAnsi="Arial Narrow" w:cstheme="majorBidi"/>
                <w:bCs/>
                <w:iCs/>
                <w:sz w:val="20"/>
              </w:rPr>
              <w:t>0.172</w:t>
            </w:r>
          </w:p>
        </w:tc>
        <w:tc>
          <w:tcPr>
            <w:tcW w:w="786" w:type="pct"/>
            <w:vAlign w:val="center"/>
          </w:tcPr>
          <w:p w14:paraId="6183F6EF" w14:textId="592F6C72" w:rsidR="00F87956" w:rsidRPr="003D343E" w:rsidRDefault="009D5532" w:rsidP="005808E6">
            <w:pPr>
              <w:keepNext/>
              <w:keepLines/>
              <w:widowControl w:val="0"/>
              <w:jc w:val="center"/>
              <w:rPr>
                <w:rFonts w:ascii="Arial Narrow" w:eastAsiaTheme="majorEastAsia" w:hAnsi="Arial Narrow" w:cstheme="majorBidi"/>
                <w:bCs/>
                <w:iCs/>
                <w:sz w:val="20"/>
                <w:vertAlign w:val="superscript"/>
              </w:rPr>
            </w:pPr>
            <w:r w:rsidRPr="00EE227E">
              <w:rPr>
                <w:rFonts w:ascii="Arial Narrow" w:eastAsiaTheme="majorEastAsia" w:hAnsi="Arial Narrow" w:cstheme="majorBidi"/>
                <w:bCs/>
                <w:iCs/>
                <w:sz w:val="20"/>
              </w:rPr>
              <w:t>$</w:t>
            </w:r>
            <w:r w:rsidR="00B14769" w:rsidRPr="00B14769">
              <w:rPr>
                <w:rFonts w:ascii="Arial Narrow" w:eastAsiaTheme="majorEastAsia" w:hAnsi="Arial Narrow" w:cstheme="majorBidi"/>
                <w:bCs/>
                <w:iCs/>
                <w:sz w:val="20"/>
                <w:highlight w:val="black"/>
              </w:rPr>
              <w:t>&amp;&amp;&amp;&amp;</w:t>
            </w:r>
            <w:r w:rsidR="003D343E">
              <w:rPr>
                <w:rFonts w:ascii="Arial Narrow" w:eastAsiaTheme="majorEastAsia" w:hAnsi="Arial Narrow" w:cstheme="majorBidi"/>
                <w:bCs/>
                <w:iCs/>
                <w:sz w:val="20"/>
                <w:vertAlign w:val="superscript"/>
              </w:rPr>
              <w:t>4</w:t>
            </w:r>
          </w:p>
        </w:tc>
        <w:tc>
          <w:tcPr>
            <w:tcW w:w="836" w:type="pct"/>
            <w:vAlign w:val="center"/>
          </w:tcPr>
          <w:p w14:paraId="1EA51C4C" w14:textId="07398251" w:rsidR="00F87956" w:rsidRPr="00EE227E" w:rsidRDefault="00B14769" w:rsidP="005808E6">
            <w:pPr>
              <w:keepNext/>
              <w:keepLines/>
              <w:widowControl w:val="0"/>
              <w:jc w:val="center"/>
              <w:rPr>
                <w:rFonts w:ascii="Arial Narrow" w:eastAsiaTheme="majorEastAsia" w:hAnsi="Arial Narrow" w:cstheme="majorBidi"/>
                <w:bCs/>
                <w:iCs/>
                <w:sz w:val="20"/>
              </w:rPr>
            </w:pPr>
            <w:r w:rsidRPr="00B14769">
              <w:rPr>
                <w:rFonts w:ascii="Arial Narrow" w:eastAsiaTheme="majorEastAsia" w:hAnsi="Arial Narrow" w:cstheme="majorBidi"/>
                <w:bCs/>
                <w:iCs/>
                <w:sz w:val="20"/>
                <w:highlight w:val="black"/>
              </w:rPr>
              <w:t>&amp;&amp;&amp;&amp;</w:t>
            </w:r>
            <w:r w:rsidR="00E52A9B" w:rsidRPr="00BA7FEF">
              <w:rPr>
                <w:rFonts w:ascii="Arial Narrow" w:eastAsiaTheme="majorEastAsia" w:hAnsi="Arial Narrow" w:cstheme="majorBidi"/>
                <w:bCs/>
                <w:iCs/>
                <w:sz w:val="20"/>
              </w:rPr>
              <w:t>%</w:t>
            </w:r>
          </w:p>
        </w:tc>
      </w:tr>
      <w:tr w:rsidR="00CD6799" w:rsidRPr="00EE227E" w14:paraId="649580A6" w14:textId="77777777">
        <w:tc>
          <w:tcPr>
            <w:tcW w:w="1962" w:type="pct"/>
          </w:tcPr>
          <w:p w14:paraId="7F205F7C" w14:textId="68209D7F" w:rsidR="00CD6799" w:rsidRPr="00EE227E" w:rsidRDefault="008B5286">
            <w:pPr>
              <w:keepNext/>
              <w:keepLines/>
              <w:widowControl w:val="0"/>
              <w:jc w:val="left"/>
              <w:rPr>
                <w:rFonts w:ascii="Arial Narrow" w:eastAsiaTheme="majorEastAsia" w:hAnsi="Arial Narrow" w:cstheme="majorBidi"/>
                <w:b/>
                <w:iCs/>
                <w:sz w:val="20"/>
              </w:rPr>
            </w:pPr>
            <w:r w:rsidRPr="00EE227E">
              <w:rPr>
                <w:rFonts w:ascii="Arial Narrow" w:eastAsiaTheme="majorEastAsia" w:hAnsi="Arial Narrow" w:cstheme="majorBidi"/>
                <w:bCs/>
                <w:iCs/>
                <w:sz w:val="20"/>
              </w:rPr>
              <w:t>Reduced</w:t>
            </w:r>
            <w:r w:rsidR="00EF0872" w:rsidRPr="00EE227E">
              <w:rPr>
                <w:rFonts w:ascii="Arial Narrow" w:eastAsiaTheme="majorEastAsia" w:hAnsi="Arial Narrow" w:cstheme="majorBidi"/>
                <w:bCs/>
                <w:iCs/>
                <w:sz w:val="20"/>
              </w:rPr>
              <w:t xml:space="preserve"> effect on </w:t>
            </w:r>
            <w:r w:rsidR="00CA2F52" w:rsidRPr="00EE227E">
              <w:rPr>
                <w:rFonts w:ascii="Arial Narrow" w:eastAsiaTheme="majorEastAsia" w:hAnsi="Arial Narrow" w:cstheme="majorBidi"/>
                <w:bCs/>
                <w:iCs/>
                <w:sz w:val="20"/>
              </w:rPr>
              <w:t xml:space="preserve">risk of </w:t>
            </w:r>
            <w:r w:rsidR="00DB6970" w:rsidRPr="00EE227E">
              <w:rPr>
                <w:rFonts w:ascii="Arial Narrow" w:eastAsiaTheme="majorEastAsia" w:hAnsi="Arial Narrow" w:cstheme="majorBidi"/>
                <w:bCs/>
                <w:iCs/>
                <w:sz w:val="20"/>
              </w:rPr>
              <w:t>exacerbation</w:t>
            </w:r>
            <w:r w:rsidR="00141E54" w:rsidRPr="00EE227E">
              <w:rPr>
                <w:rFonts w:ascii="Arial Narrow" w:eastAsiaTheme="majorEastAsia" w:hAnsi="Arial Narrow" w:cstheme="majorBidi"/>
                <w:bCs/>
                <w:iCs/>
                <w:sz w:val="20"/>
              </w:rPr>
              <w:t xml:space="preserve"> to 38%</w:t>
            </w:r>
            <w:r w:rsidRPr="00EE227E">
              <w:rPr>
                <w:rFonts w:ascii="Arial Narrow" w:eastAsiaTheme="majorEastAsia" w:hAnsi="Arial Narrow" w:cstheme="majorBidi"/>
                <w:bCs/>
                <w:iCs/>
                <w:sz w:val="20"/>
              </w:rPr>
              <w:t>:</w:t>
            </w:r>
            <w:r w:rsidR="001F3D46" w:rsidRPr="00EE227E">
              <w:rPr>
                <w:rFonts w:ascii="Arial Narrow" w:eastAsiaTheme="majorEastAsia" w:hAnsi="Arial Narrow" w:cstheme="majorBidi"/>
                <w:bCs/>
                <w:iCs/>
                <w:sz w:val="20"/>
              </w:rPr>
              <w:t xml:space="preserve"> annual</w:t>
            </w:r>
            <w:r w:rsidRPr="00EE227E">
              <w:rPr>
                <w:rFonts w:ascii="Arial Narrow" w:eastAsiaTheme="majorEastAsia" w:hAnsi="Arial Narrow" w:cstheme="majorBidi"/>
                <w:bCs/>
                <w:iCs/>
                <w:sz w:val="20"/>
              </w:rPr>
              <w:t xml:space="preserve"> r</w:t>
            </w:r>
            <w:r w:rsidR="00141E54" w:rsidRPr="00EE227E">
              <w:rPr>
                <w:rFonts w:ascii="Arial Narrow" w:eastAsiaTheme="majorEastAsia" w:hAnsi="Arial Narrow" w:cstheme="majorBidi"/>
                <w:bCs/>
                <w:iCs/>
                <w:sz w:val="20"/>
              </w:rPr>
              <w:t>ate of exacerbation</w:t>
            </w:r>
            <w:r w:rsidR="001F3D46" w:rsidRPr="00EE227E">
              <w:rPr>
                <w:rFonts w:ascii="Arial Narrow" w:eastAsiaTheme="majorEastAsia" w:hAnsi="Arial Narrow" w:cstheme="majorBidi"/>
                <w:bCs/>
                <w:iCs/>
                <w:sz w:val="20"/>
              </w:rPr>
              <w:t>,</w:t>
            </w:r>
            <w:r w:rsidR="00141E54" w:rsidRPr="00EE227E">
              <w:rPr>
                <w:rFonts w:ascii="Arial Narrow" w:eastAsiaTheme="majorEastAsia" w:hAnsi="Arial Narrow" w:cstheme="majorBidi"/>
                <w:bCs/>
                <w:iCs/>
                <w:sz w:val="20"/>
              </w:rPr>
              <w:t xml:space="preserve"> </w:t>
            </w:r>
            <w:proofErr w:type="spellStart"/>
            <w:r w:rsidR="00141E54" w:rsidRPr="00EE227E">
              <w:rPr>
                <w:rFonts w:ascii="Arial Narrow" w:eastAsiaTheme="majorEastAsia" w:hAnsi="Arial Narrow" w:cstheme="majorBidi"/>
                <w:bCs/>
                <w:iCs/>
                <w:sz w:val="20"/>
              </w:rPr>
              <w:t>tezepelumab</w:t>
            </w:r>
            <w:proofErr w:type="spellEnd"/>
            <w:r w:rsidR="00141E54" w:rsidRPr="00EE227E">
              <w:rPr>
                <w:rFonts w:ascii="Arial Narrow" w:eastAsiaTheme="majorEastAsia" w:hAnsi="Arial Narrow" w:cstheme="majorBidi"/>
                <w:bCs/>
                <w:iCs/>
                <w:sz w:val="20"/>
              </w:rPr>
              <w:t xml:space="preserve"> controlled: 0.</w:t>
            </w:r>
            <w:r w:rsidR="00DB6970" w:rsidRPr="00EE227E">
              <w:rPr>
                <w:rFonts w:ascii="Arial Narrow" w:eastAsiaTheme="majorEastAsia" w:hAnsi="Arial Narrow" w:cstheme="majorBidi"/>
                <w:bCs/>
                <w:iCs/>
                <w:sz w:val="20"/>
              </w:rPr>
              <w:t>607</w:t>
            </w:r>
            <w:r w:rsidR="00141E54" w:rsidRPr="00EE227E">
              <w:rPr>
                <w:rFonts w:ascii="Arial Narrow" w:eastAsiaTheme="majorEastAsia" w:hAnsi="Arial Narrow" w:cstheme="majorBidi"/>
                <w:bCs/>
                <w:iCs/>
                <w:sz w:val="20"/>
              </w:rPr>
              <w:t>, uncontrolled 1.</w:t>
            </w:r>
            <w:r w:rsidR="009129FA" w:rsidRPr="00EE227E">
              <w:rPr>
                <w:rFonts w:ascii="Arial Narrow" w:eastAsiaTheme="majorEastAsia" w:hAnsi="Arial Narrow" w:cstheme="majorBidi"/>
                <w:bCs/>
                <w:iCs/>
                <w:sz w:val="20"/>
              </w:rPr>
              <w:t>364</w:t>
            </w:r>
            <w:r w:rsidR="001F3D46" w:rsidRPr="00EE227E">
              <w:rPr>
                <w:rFonts w:ascii="Arial Narrow" w:eastAsiaTheme="majorEastAsia" w:hAnsi="Arial Narrow" w:cstheme="majorBidi"/>
                <w:bCs/>
                <w:iCs/>
                <w:sz w:val="20"/>
              </w:rPr>
              <w:t>;</w:t>
            </w:r>
            <w:r w:rsidR="00141E54" w:rsidRPr="00EE227E">
              <w:rPr>
                <w:rFonts w:ascii="Arial Narrow" w:eastAsiaTheme="majorEastAsia" w:hAnsi="Arial Narrow" w:cstheme="majorBidi"/>
                <w:bCs/>
                <w:iCs/>
                <w:sz w:val="20"/>
              </w:rPr>
              <w:t xml:space="preserve"> SoC controlled: 0.</w:t>
            </w:r>
            <w:r w:rsidR="00B138D6" w:rsidRPr="00EE227E">
              <w:rPr>
                <w:rFonts w:ascii="Arial Narrow" w:eastAsiaTheme="majorEastAsia" w:hAnsi="Arial Narrow" w:cstheme="majorBidi"/>
                <w:bCs/>
                <w:iCs/>
                <w:sz w:val="20"/>
              </w:rPr>
              <w:t>98</w:t>
            </w:r>
            <w:r w:rsidR="00141E54" w:rsidRPr="00EE227E">
              <w:rPr>
                <w:rFonts w:ascii="Arial Narrow" w:eastAsiaTheme="majorEastAsia" w:hAnsi="Arial Narrow" w:cstheme="majorBidi"/>
                <w:bCs/>
                <w:iCs/>
                <w:sz w:val="20"/>
              </w:rPr>
              <w:t xml:space="preserve">, uncontrolled </w:t>
            </w:r>
            <w:r w:rsidR="009129FA" w:rsidRPr="00EE227E">
              <w:rPr>
                <w:rFonts w:ascii="Arial Narrow" w:eastAsiaTheme="majorEastAsia" w:hAnsi="Arial Narrow" w:cstheme="majorBidi"/>
                <w:bCs/>
                <w:iCs/>
                <w:sz w:val="20"/>
              </w:rPr>
              <w:t>2.20</w:t>
            </w:r>
            <w:r w:rsidR="00621ADC" w:rsidRPr="00EE227E">
              <w:rPr>
                <w:rFonts w:ascii="Arial Narrow" w:eastAsiaTheme="majorEastAsia" w:hAnsi="Arial Narrow" w:cstheme="majorBidi"/>
                <w:bCs/>
                <w:iCs/>
                <w:sz w:val="20"/>
                <w:vertAlign w:val="superscript"/>
              </w:rPr>
              <w:t>d</w:t>
            </w:r>
            <w:r w:rsidR="009F04BA" w:rsidRPr="00EE227E">
              <w:rPr>
                <w:rFonts w:ascii="Arial Narrow" w:eastAsiaTheme="majorEastAsia" w:hAnsi="Arial Narrow" w:cstheme="majorBidi"/>
                <w:bCs/>
                <w:iCs/>
                <w:sz w:val="20"/>
                <w:vertAlign w:val="superscript"/>
              </w:rPr>
              <w:t xml:space="preserve"> </w:t>
            </w:r>
            <w:r w:rsidR="009F04BA" w:rsidRPr="00EE227E">
              <w:rPr>
                <w:rFonts w:ascii="Arial Narrow" w:eastAsiaTheme="majorEastAsia" w:hAnsi="Arial Narrow" w:cstheme="majorBidi"/>
                <w:b/>
                <w:iCs/>
                <w:sz w:val="20"/>
              </w:rPr>
              <w:t>#3</w:t>
            </w:r>
          </w:p>
        </w:tc>
        <w:tc>
          <w:tcPr>
            <w:tcW w:w="708" w:type="pct"/>
            <w:vAlign w:val="center"/>
          </w:tcPr>
          <w:p w14:paraId="17FC1B66" w14:textId="44C660CF" w:rsidR="00CD6799" w:rsidRPr="00EE227E" w:rsidRDefault="00D95E3E" w:rsidP="005808E6">
            <w:pPr>
              <w:keepNext/>
              <w:keepLines/>
              <w:widowControl w:val="0"/>
              <w:jc w:val="center"/>
              <w:rPr>
                <w:rFonts w:ascii="Arial Narrow" w:eastAsiaTheme="majorEastAsia" w:hAnsi="Arial Narrow" w:cstheme="majorBidi"/>
                <w:bCs/>
                <w:iCs/>
                <w:sz w:val="20"/>
              </w:rPr>
            </w:pPr>
            <w:r w:rsidRPr="00EE227E">
              <w:rPr>
                <w:rFonts w:ascii="Arial Narrow" w:eastAsiaTheme="majorEastAsia" w:hAnsi="Arial Narrow" w:cstheme="majorBidi"/>
                <w:bCs/>
                <w:iCs/>
                <w:sz w:val="20"/>
              </w:rPr>
              <w:t>$</w:t>
            </w:r>
            <w:r w:rsidR="00B14769" w:rsidRPr="00B14769">
              <w:rPr>
                <w:rFonts w:ascii="Arial Narrow" w:eastAsiaTheme="majorEastAsia" w:hAnsi="Arial Narrow" w:cstheme="majorBidi"/>
                <w:bCs/>
                <w:iCs/>
                <w:sz w:val="20"/>
                <w:highlight w:val="black"/>
              </w:rPr>
              <w:t>&amp;&amp;&amp;&amp;</w:t>
            </w:r>
          </w:p>
        </w:tc>
        <w:tc>
          <w:tcPr>
            <w:tcW w:w="708" w:type="pct"/>
            <w:vAlign w:val="center"/>
          </w:tcPr>
          <w:p w14:paraId="3DB3DB91" w14:textId="037108E3" w:rsidR="00CD6799" w:rsidRPr="00EE227E" w:rsidRDefault="00737101" w:rsidP="005808E6">
            <w:pPr>
              <w:keepNext/>
              <w:keepLines/>
              <w:widowControl w:val="0"/>
              <w:jc w:val="center"/>
              <w:rPr>
                <w:rFonts w:ascii="Arial Narrow" w:eastAsiaTheme="majorEastAsia" w:hAnsi="Arial Narrow" w:cstheme="majorBidi"/>
                <w:bCs/>
                <w:iCs/>
                <w:sz w:val="20"/>
              </w:rPr>
            </w:pPr>
            <w:r w:rsidRPr="00EE227E">
              <w:rPr>
                <w:rFonts w:ascii="Arial Narrow" w:eastAsiaTheme="majorEastAsia" w:hAnsi="Arial Narrow" w:cstheme="majorBidi"/>
                <w:bCs/>
                <w:iCs/>
                <w:sz w:val="20"/>
              </w:rPr>
              <w:t>0.206</w:t>
            </w:r>
          </w:p>
        </w:tc>
        <w:tc>
          <w:tcPr>
            <w:tcW w:w="786" w:type="pct"/>
            <w:vAlign w:val="center"/>
          </w:tcPr>
          <w:p w14:paraId="37FB1667" w14:textId="14269860" w:rsidR="00CD6799" w:rsidRPr="00402CE1" w:rsidRDefault="00737101" w:rsidP="005808E6">
            <w:pPr>
              <w:keepNext/>
              <w:keepLines/>
              <w:widowControl w:val="0"/>
              <w:jc w:val="center"/>
              <w:rPr>
                <w:rFonts w:ascii="Arial Narrow" w:eastAsiaTheme="majorEastAsia" w:hAnsi="Arial Narrow" w:cstheme="majorBidi"/>
                <w:bCs/>
                <w:iCs/>
                <w:sz w:val="20"/>
                <w:vertAlign w:val="superscript"/>
              </w:rPr>
            </w:pPr>
            <w:r w:rsidRPr="00EE227E">
              <w:rPr>
                <w:rFonts w:ascii="Arial Narrow" w:eastAsiaTheme="majorEastAsia" w:hAnsi="Arial Narrow" w:cstheme="majorBidi"/>
                <w:bCs/>
                <w:iCs/>
                <w:sz w:val="20"/>
              </w:rPr>
              <w:t>$</w:t>
            </w:r>
            <w:r w:rsidR="00B14769" w:rsidRPr="00B14769">
              <w:rPr>
                <w:rFonts w:ascii="Arial Narrow" w:eastAsiaTheme="majorEastAsia" w:hAnsi="Arial Narrow" w:cstheme="majorBidi"/>
                <w:bCs/>
                <w:iCs/>
                <w:sz w:val="20"/>
                <w:highlight w:val="black"/>
              </w:rPr>
              <w:t>&amp;&amp;&amp;&amp;</w:t>
            </w:r>
            <w:r w:rsidR="00402CE1">
              <w:rPr>
                <w:rFonts w:ascii="Arial Narrow" w:eastAsiaTheme="majorEastAsia" w:hAnsi="Arial Narrow" w:cstheme="majorBidi"/>
                <w:bCs/>
                <w:iCs/>
                <w:sz w:val="20"/>
                <w:vertAlign w:val="superscript"/>
              </w:rPr>
              <w:t>1</w:t>
            </w:r>
          </w:p>
        </w:tc>
        <w:tc>
          <w:tcPr>
            <w:tcW w:w="836" w:type="pct"/>
            <w:vAlign w:val="center"/>
          </w:tcPr>
          <w:p w14:paraId="36974742" w14:textId="307E7298" w:rsidR="00CD6799" w:rsidRPr="00BA7FEF" w:rsidRDefault="00B14769" w:rsidP="005808E6">
            <w:pPr>
              <w:keepNext/>
              <w:keepLines/>
              <w:widowControl w:val="0"/>
              <w:jc w:val="center"/>
              <w:rPr>
                <w:rFonts w:ascii="Arial Narrow" w:eastAsiaTheme="majorEastAsia" w:hAnsi="Arial Narrow" w:cstheme="majorBidi"/>
                <w:bCs/>
                <w:iCs/>
                <w:sz w:val="20"/>
                <w:highlight w:val="darkGray"/>
              </w:rPr>
            </w:pPr>
            <w:r w:rsidRPr="00B14769">
              <w:rPr>
                <w:rFonts w:ascii="Arial Narrow" w:eastAsiaTheme="majorEastAsia" w:hAnsi="Arial Narrow" w:cstheme="majorBidi"/>
                <w:bCs/>
                <w:iCs/>
                <w:sz w:val="20"/>
                <w:highlight w:val="black"/>
              </w:rPr>
              <w:t>&amp;&amp;&amp;&amp;</w:t>
            </w:r>
            <w:r w:rsidR="005808E6" w:rsidRPr="00BA7FEF">
              <w:rPr>
                <w:rFonts w:ascii="Arial Narrow" w:eastAsiaTheme="majorEastAsia" w:hAnsi="Arial Narrow" w:cstheme="majorBidi"/>
                <w:bCs/>
                <w:iCs/>
                <w:sz w:val="20"/>
              </w:rPr>
              <w:t>%</w:t>
            </w:r>
          </w:p>
        </w:tc>
      </w:tr>
      <w:tr w:rsidR="00985766" w:rsidRPr="00A4392F" w14:paraId="20502E94" w14:textId="77777777">
        <w:tc>
          <w:tcPr>
            <w:tcW w:w="5000" w:type="pct"/>
            <w:gridSpan w:val="5"/>
          </w:tcPr>
          <w:p w14:paraId="4BB2AAD3" w14:textId="77777777" w:rsidR="00985766" w:rsidRPr="00A4392F" w:rsidRDefault="00985766">
            <w:pPr>
              <w:keepNext/>
              <w:keepLines/>
              <w:widowControl w:val="0"/>
              <w:jc w:val="left"/>
              <w:rPr>
                <w:rFonts w:ascii="Arial Narrow" w:eastAsiaTheme="majorEastAsia" w:hAnsi="Arial Narrow" w:cstheme="majorBidi"/>
                <w:b/>
                <w:sz w:val="20"/>
              </w:rPr>
            </w:pPr>
            <w:r w:rsidRPr="00A4392F">
              <w:rPr>
                <w:rFonts w:ascii="Arial Narrow" w:eastAsiaTheme="majorEastAsia" w:hAnsi="Arial Narrow" w:cstheme="majorBidi"/>
                <w:b/>
                <w:sz w:val="20"/>
              </w:rPr>
              <w:t>Health state utility for controlled disease (Base case: 0.875)</w:t>
            </w:r>
          </w:p>
        </w:tc>
      </w:tr>
      <w:tr w:rsidR="00985766" w:rsidRPr="00A4392F" w14:paraId="5CC1C5FD" w14:textId="77777777">
        <w:tc>
          <w:tcPr>
            <w:tcW w:w="1962" w:type="pct"/>
          </w:tcPr>
          <w:p w14:paraId="3F17BA02" w14:textId="54C1B6F5"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0.74</w:t>
            </w:r>
            <w:r w:rsidRPr="00A4392F">
              <w:rPr>
                <w:rFonts w:ascii="Arial Narrow" w:eastAsiaTheme="majorEastAsia" w:hAnsi="Arial Narrow" w:cstheme="majorBidi"/>
                <w:bCs/>
                <w:sz w:val="20"/>
                <w:vertAlign w:val="superscript"/>
              </w:rPr>
              <w:t>e</w:t>
            </w:r>
          </w:p>
        </w:tc>
        <w:tc>
          <w:tcPr>
            <w:tcW w:w="708" w:type="pct"/>
          </w:tcPr>
          <w:p w14:paraId="0C47BB31" w14:textId="3B389D0E"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36E4FFD2"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0.170</w:t>
            </w:r>
          </w:p>
        </w:tc>
        <w:tc>
          <w:tcPr>
            <w:tcW w:w="786" w:type="pct"/>
          </w:tcPr>
          <w:p w14:paraId="0A36FDE6" w14:textId="145F965C" w:rsidR="00985766" w:rsidRPr="003D343E"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3D343E">
              <w:rPr>
                <w:rFonts w:ascii="Arial Narrow" w:eastAsiaTheme="majorEastAsia" w:hAnsi="Arial Narrow" w:cstheme="majorBidi"/>
                <w:bCs/>
                <w:sz w:val="20"/>
                <w:vertAlign w:val="superscript"/>
              </w:rPr>
              <w:t>4</w:t>
            </w:r>
          </w:p>
        </w:tc>
        <w:tc>
          <w:tcPr>
            <w:tcW w:w="836" w:type="pct"/>
          </w:tcPr>
          <w:p w14:paraId="7AB71587" w14:textId="6070B3A7"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67FAE38D" w14:textId="77777777">
        <w:tc>
          <w:tcPr>
            <w:tcW w:w="5000" w:type="pct"/>
            <w:gridSpan w:val="5"/>
          </w:tcPr>
          <w:p w14:paraId="10D5751F" w14:textId="77777777"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
                <w:bCs/>
                <w:sz w:val="20"/>
              </w:rPr>
              <w:t>Health state utility for uncontrolled disease (Base case: 0.631)</w:t>
            </w:r>
          </w:p>
        </w:tc>
      </w:tr>
      <w:tr w:rsidR="00985766" w:rsidRPr="00A4392F" w14:paraId="5B0B2FEF" w14:textId="77777777">
        <w:tc>
          <w:tcPr>
            <w:tcW w:w="1962" w:type="pct"/>
          </w:tcPr>
          <w:p w14:paraId="1EF88865" w14:textId="2694C326" w:rsidR="00985766" w:rsidRPr="00A4392F" w:rsidRDefault="00985766">
            <w:pPr>
              <w:keepNext/>
              <w:keepLines/>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0.812</w:t>
            </w:r>
            <w:r w:rsidRPr="00A4392F">
              <w:rPr>
                <w:rFonts w:ascii="Arial Narrow" w:eastAsiaTheme="majorEastAsia" w:hAnsi="Arial Narrow" w:cstheme="majorBidi"/>
                <w:bCs/>
                <w:sz w:val="20"/>
                <w:vertAlign w:val="superscript"/>
              </w:rPr>
              <w:t>f</w:t>
            </w:r>
          </w:p>
        </w:tc>
        <w:tc>
          <w:tcPr>
            <w:tcW w:w="708" w:type="pct"/>
          </w:tcPr>
          <w:p w14:paraId="3F953AF2" w14:textId="1172B024"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tcPr>
          <w:p w14:paraId="5B032EDA"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0.149</w:t>
            </w:r>
          </w:p>
        </w:tc>
        <w:tc>
          <w:tcPr>
            <w:tcW w:w="786" w:type="pct"/>
          </w:tcPr>
          <w:p w14:paraId="24295257" w14:textId="52601D4E" w:rsidR="00985766" w:rsidRPr="00EE5920"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EE5920">
              <w:rPr>
                <w:rFonts w:ascii="Arial Narrow" w:eastAsiaTheme="majorEastAsia" w:hAnsi="Arial Narrow" w:cstheme="majorBidi"/>
                <w:bCs/>
                <w:sz w:val="20"/>
                <w:vertAlign w:val="superscript"/>
              </w:rPr>
              <w:t>5</w:t>
            </w:r>
          </w:p>
        </w:tc>
        <w:tc>
          <w:tcPr>
            <w:tcW w:w="836" w:type="pct"/>
          </w:tcPr>
          <w:p w14:paraId="604891B8" w14:textId="5E116EBE" w:rsidR="00985766" w:rsidRPr="00A4392F" w:rsidRDefault="00B14769">
            <w:pPr>
              <w:keepNext/>
              <w:keepLines/>
              <w:widowControl w:val="0"/>
              <w:jc w:val="center"/>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985766" w:rsidRPr="00A4392F">
              <w:rPr>
                <w:rFonts w:ascii="Arial Narrow" w:eastAsiaTheme="majorEastAsia" w:hAnsi="Arial Narrow" w:cstheme="majorBidi"/>
                <w:bCs/>
                <w:sz w:val="20"/>
              </w:rPr>
              <w:t>%</w:t>
            </w:r>
          </w:p>
        </w:tc>
      </w:tr>
      <w:tr w:rsidR="00985766" w:rsidRPr="00A4392F" w14:paraId="07C3C3CF" w14:textId="77777777">
        <w:tc>
          <w:tcPr>
            <w:tcW w:w="5000" w:type="pct"/>
            <w:gridSpan w:val="5"/>
          </w:tcPr>
          <w:p w14:paraId="573AD9D6" w14:textId="77777777" w:rsidR="00985766" w:rsidRPr="00A4392F" w:rsidRDefault="00985766">
            <w:pPr>
              <w:keepNext/>
              <w:keepLines/>
              <w:widowControl w:val="0"/>
              <w:jc w:val="left"/>
              <w:rPr>
                <w:rFonts w:ascii="Arial Narrow" w:eastAsiaTheme="majorEastAsia" w:hAnsi="Arial Narrow" w:cstheme="majorBidi"/>
                <w:b/>
                <w:sz w:val="20"/>
              </w:rPr>
            </w:pPr>
            <w:r w:rsidRPr="00A4392F">
              <w:rPr>
                <w:rFonts w:ascii="Arial Narrow" w:eastAsiaTheme="majorEastAsia" w:hAnsi="Arial Narrow" w:cstheme="majorBidi"/>
                <w:b/>
                <w:sz w:val="20"/>
              </w:rPr>
              <w:t xml:space="preserve">Probability of achieving control after 32 weeks (Base Case: </w:t>
            </w:r>
            <w:proofErr w:type="spellStart"/>
            <w:r w:rsidRPr="00A4392F">
              <w:rPr>
                <w:rFonts w:ascii="Arial Narrow" w:eastAsiaTheme="majorEastAsia" w:hAnsi="Arial Narrow" w:cstheme="majorBidi"/>
                <w:b/>
                <w:sz w:val="20"/>
              </w:rPr>
              <w:t>tezepelumab</w:t>
            </w:r>
            <w:proofErr w:type="spellEnd"/>
            <w:r w:rsidRPr="00A4392F">
              <w:rPr>
                <w:rFonts w:ascii="Arial Narrow" w:eastAsiaTheme="majorEastAsia" w:hAnsi="Arial Narrow" w:cstheme="majorBidi"/>
                <w:b/>
                <w:sz w:val="20"/>
              </w:rPr>
              <w:t xml:space="preserve"> OCS/no OCS:0.0, SoC with OCS 8.8%, SoC no OCS:24.7%)</w:t>
            </w:r>
          </w:p>
        </w:tc>
      </w:tr>
      <w:tr w:rsidR="00985766" w:rsidRPr="00A4392F" w14:paraId="704F2D6F" w14:textId="77777777">
        <w:tc>
          <w:tcPr>
            <w:tcW w:w="1962" w:type="pct"/>
          </w:tcPr>
          <w:p w14:paraId="7C3B803D" w14:textId="15517748" w:rsidR="00985766" w:rsidRPr="009F04BA" w:rsidRDefault="00985766">
            <w:pPr>
              <w:keepNext/>
              <w:keepLines/>
              <w:widowControl w:val="0"/>
              <w:jc w:val="left"/>
              <w:rPr>
                <w:rFonts w:ascii="Arial Narrow" w:eastAsiaTheme="majorEastAsia" w:hAnsi="Arial Narrow" w:cstheme="majorBidi"/>
                <w:bCs/>
                <w:i/>
                <w:iCs/>
                <w:sz w:val="20"/>
              </w:rPr>
            </w:pPr>
            <w:r w:rsidRPr="00A4392F">
              <w:rPr>
                <w:rFonts w:ascii="Arial Narrow" w:eastAsiaTheme="majorEastAsia" w:hAnsi="Arial Narrow" w:cstheme="majorBidi"/>
                <w:bCs/>
                <w:sz w:val="20"/>
              </w:rPr>
              <w:t xml:space="preserve">Probability equal to pre-32-week assessment </w:t>
            </w:r>
            <w:r w:rsidR="00926157" w:rsidRPr="00926157">
              <w:rPr>
                <w:rFonts w:ascii="Arial Narrow" w:eastAsiaTheme="majorEastAsia" w:hAnsi="Arial Narrow" w:cstheme="majorBidi"/>
                <w:bCs/>
                <w:sz w:val="20"/>
                <w:vertAlign w:val="superscript"/>
              </w:rPr>
              <w:t>g</w:t>
            </w:r>
            <w:r w:rsidR="009F04BA">
              <w:rPr>
                <w:rFonts w:ascii="Arial Narrow" w:eastAsiaTheme="majorEastAsia" w:hAnsi="Arial Narrow" w:cstheme="majorBidi"/>
                <w:bCs/>
                <w:sz w:val="20"/>
                <w:vertAlign w:val="superscript"/>
              </w:rPr>
              <w:t xml:space="preserve"> </w:t>
            </w:r>
          </w:p>
        </w:tc>
        <w:tc>
          <w:tcPr>
            <w:tcW w:w="708" w:type="pct"/>
            <w:vAlign w:val="center"/>
          </w:tcPr>
          <w:p w14:paraId="11B38C2A" w14:textId="67E8D074"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tc>
        <w:tc>
          <w:tcPr>
            <w:tcW w:w="708" w:type="pct"/>
            <w:vAlign w:val="center"/>
          </w:tcPr>
          <w:p w14:paraId="3014DF3B" w14:textId="77777777" w:rsidR="00985766" w:rsidRPr="00A4392F" w:rsidRDefault="00985766">
            <w:pPr>
              <w:keepNext/>
              <w:keepLines/>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0.201</w:t>
            </w:r>
          </w:p>
        </w:tc>
        <w:tc>
          <w:tcPr>
            <w:tcW w:w="786" w:type="pct"/>
            <w:vAlign w:val="center"/>
          </w:tcPr>
          <w:p w14:paraId="2BC4A836" w14:textId="1DA67BAE" w:rsidR="00985766" w:rsidRPr="00402CE1" w:rsidRDefault="00985766">
            <w:pPr>
              <w:keepNext/>
              <w:keepLines/>
              <w:widowControl w:val="0"/>
              <w:jc w:val="center"/>
              <w:rPr>
                <w:rFonts w:ascii="Arial Narrow" w:eastAsiaTheme="majorEastAsia" w:hAnsi="Arial Narrow" w:cstheme="majorBidi"/>
                <w:bCs/>
                <w:sz w:val="20"/>
                <w:vertAlign w:val="superscript"/>
              </w:rPr>
            </w:pPr>
            <w:r w:rsidRPr="00A4392F">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402CE1">
              <w:rPr>
                <w:rFonts w:ascii="Arial Narrow" w:eastAsiaTheme="majorEastAsia" w:hAnsi="Arial Narrow" w:cstheme="majorBidi"/>
                <w:bCs/>
                <w:sz w:val="20"/>
                <w:vertAlign w:val="superscript"/>
              </w:rPr>
              <w:t>1</w:t>
            </w:r>
          </w:p>
        </w:tc>
        <w:tc>
          <w:tcPr>
            <w:tcW w:w="836" w:type="pct"/>
            <w:vAlign w:val="center"/>
          </w:tcPr>
          <w:p w14:paraId="3275E7ED" w14:textId="30ECDE2D" w:rsidR="00985766" w:rsidRPr="00BA7FEF" w:rsidRDefault="00B14769">
            <w:pPr>
              <w:keepNext/>
              <w:keepLines/>
              <w:widowControl w:val="0"/>
              <w:jc w:val="center"/>
              <w:rPr>
                <w:rFonts w:ascii="Arial Narrow" w:eastAsiaTheme="majorEastAsia" w:hAnsi="Arial Narrow" w:cstheme="majorBidi"/>
                <w:bCs/>
                <w:sz w:val="20"/>
                <w:highlight w:val="darkGray"/>
              </w:rPr>
            </w:pPr>
            <w:r w:rsidRPr="00B14769">
              <w:rPr>
                <w:rFonts w:ascii="Arial Narrow" w:eastAsiaTheme="majorEastAsia" w:hAnsi="Arial Narrow" w:cstheme="majorBidi"/>
                <w:bCs/>
                <w:sz w:val="20"/>
                <w:highlight w:val="black"/>
              </w:rPr>
              <w:t>&amp;&amp;&amp;&amp;</w:t>
            </w:r>
            <w:r w:rsidR="00985766" w:rsidRPr="00BA7FEF">
              <w:rPr>
                <w:rFonts w:ascii="Arial Narrow" w:eastAsiaTheme="majorEastAsia" w:hAnsi="Arial Narrow" w:cstheme="majorBidi"/>
                <w:bCs/>
                <w:sz w:val="20"/>
              </w:rPr>
              <w:t>%</w:t>
            </w:r>
          </w:p>
        </w:tc>
      </w:tr>
      <w:tr w:rsidR="00746BE8" w:rsidRPr="00EE227E" w14:paraId="1185997F" w14:textId="77777777" w:rsidTr="00746BE8">
        <w:tc>
          <w:tcPr>
            <w:tcW w:w="5000" w:type="pct"/>
            <w:gridSpan w:val="5"/>
          </w:tcPr>
          <w:p w14:paraId="0C90291B" w14:textId="750686A7" w:rsidR="00746BE8" w:rsidRPr="00EE227E" w:rsidRDefault="00746BE8" w:rsidP="00746BE8">
            <w:pPr>
              <w:keepNext/>
              <w:keepLines/>
              <w:widowControl w:val="0"/>
              <w:rPr>
                <w:rFonts w:ascii="Arial Narrow" w:eastAsiaTheme="majorEastAsia" w:hAnsi="Arial Narrow" w:cstheme="majorBidi"/>
                <w:b/>
                <w:iCs/>
                <w:sz w:val="20"/>
              </w:rPr>
            </w:pPr>
            <w:r w:rsidRPr="00EE227E">
              <w:rPr>
                <w:rFonts w:ascii="Arial Narrow" w:eastAsiaTheme="majorEastAsia" w:hAnsi="Arial Narrow" w:cstheme="majorBidi"/>
                <w:b/>
                <w:iCs/>
                <w:sz w:val="20"/>
              </w:rPr>
              <w:t>ESC respecified base case</w:t>
            </w:r>
          </w:p>
        </w:tc>
      </w:tr>
      <w:tr w:rsidR="00746BE8" w:rsidRPr="00EE227E" w14:paraId="19921963" w14:textId="77777777">
        <w:tc>
          <w:tcPr>
            <w:tcW w:w="1962" w:type="pct"/>
          </w:tcPr>
          <w:p w14:paraId="5FC9D9A9" w14:textId="7AA8624B" w:rsidR="00746BE8" w:rsidRPr="00EE227E" w:rsidRDefault="00CF6027">
            <w:pPr>
              <w:keepNext/>
              <w:keepLines/>
              <w:widowControl w:val="0"/>
              <w:jc w:val="left"/>
              <w:rPr>
                <w:rFonts w:ascii="Arial Narrow" w:eastAsiaTheme="majorEastAsia" w:hAnsi="Arial Narrow" w:cstheme="majorBidi"/>
                <w:b/>
                <w:iCs/>
                <w:sz w:val="20"/>
              </w:rPr>
            </w:pPr>
            <w:r w:rsidRPr="00EE227E">
              <w:rPr>
                <w:rFonts w:ascii="Arial Narrow" w:eastAsiaTheme="majorEastAsia" w:hAnsi="Arial Narrow" w:cstheme="majorBidi"/>
                <w:b/>
                <w:iCs/>
                <w:sz w:val="20"/>
              </w:rPr>
              <w:t xml:space="preserve">1# + 2# + 3# </w:t>
            </w:r>
          </w:p>
        </w:tc>
        <w:tc>
          <w:tcPr>
            <w:tcW w:w="708" w:type="pct"/>
            <w:vAlign w:val="center"/>
          </w:tcPr>
          <w:p w14:paraId="5DB00873" w14:textId="45B98813" w:rsidR="00746BE8" w:rsidRPr="00EE227E" w:rsidRDefault="0087046F">
            <w:pPr>
              <w:keepNext/>
              <w:keepLines/>
              <w:widowControl w:val="0"/>
              <w:jc w:val="center"/>
              <w:rPr>
                <w:rFonts w:ascii="Arial Narrow" w:eastAsiaTheme="majorEastAsia" w:hAnsi="Arial Narrow" w:cstheme="majorBidi"/>
                <w:bCs/>
                <w:iCs/>
                <w:sz w:val="20"/>
              </w:rPr>
            </w:pPr>
            <w:r w:rsidRPr="00EE227E">
              <w:rPr>
                <w:rFonts w:ascii="Arial Narrow" w:eastAsiaTheme="majorEastAsia" w:hAnsi="Arial Narrow" w:cstheme="majorBidi"/>
                <w:bCs/>
                <w:iCs/>
                <w:sz w:val="20"/>
              </w:rPr>
              <w:t>$</w:t>
            </w:r>
            <w:r w:rsidR="00B14769" w:rsidRPr="00B14769">
              <w:rPr>
                <w:rFonts w:ascii="Arial Narrow" w:eastAsiaTheme="majorEastAsia" w:hAnsi="Arial Narrow" w:cstheme="majorBidi"/>
                <w:bCs/>
                <w:iCs/>
                <w:sz w:val="20"/>
                <w:highlight w:val="black"/>
              </w:rPr>
              <w:t>&amp;&amp;&amp;&amp;</w:t>
            </w:r>
          </w:p>
        </w:tc>
        <w:tc>
          <w:tcPr>
            <w:tcW w:w="708" w:type="pct"/>
            <w:vAlign w:val="center"/>
          </w:tcPr>
          <w:p w14:paraId="45411EBC" w14:textId="1C1E82D6" w:rsidR="00746BE8" w:rsidRPr="00EE227E" w:rsidRDefault="0087046F">
            <w:pPr>
              <w:keepNext/>
              <w:keepLines/>
              <w:widowControl w:val="0"/>
              <w:jc w:val="center"/>
              <w:rPr>
                <w:rFonts w:ascii="Arial Narrow" w:eastAsiaTheme="majorEastAsia" w:hAnsi="Arial Narrow" w:cstheme="majorBidi"/>
                <w:bCs/>
                <w:iCs/>
                <w:sz w:val="20"/>
              </w:rPr>
            </w:pPr>
            <w:r w:rsidRPr="00EE227E">
              <w:rPr>
                <w:rFonts w:ascii="Arial Narrow" w:eastAsiaTheme="majorEastAsia" w:hAnsi="Arial Narrow" w:cstheme="majorBidi"/>
                <w:bCs/>
                <w:iCs/>
                <w:sz w:val="20"/>
              </w:rPr>
              <w:t>0.137</w:t>
            </w:r>
          </w:p>
        </w:tc>
        <w:tc>
          <w:tcPr>
            <w:tcW w:w="786" w:type="pct"/>
            <w:vAlign w:val="center"/>
          </w:tcPr>
          <w:p w14:paraId="6E44EEE8" w14:textId="751A7428" w:rsidR="00746BE8" w:rsidRPr="00EE5920" w:rsidRDefault="003007D6">
            <w:pPr>
              <w:keepNext/>
              <w:keepLines/>
              <w:widowControl w:val="0"/>
              <w:jc w:val="center"/>
              <w:rPr>
                <w:rFonts w:ascii="Arial Narrow" w:eastAsiaTheme="majorEastAsia" w:hAnsi="Arial Narrow" w:cstheme="majorBidi"/>
                <w:bCs/>
                <w:iCs/>
                <w:sz w:val="20"/>
                <w:vertAlign w:val="superscript"/>
              </w:rPr>
            </w:pPr>
            <w:r w:rsidRPr="00EE227E">
              <w:rPr>
                <w:rFonts w:ascii="Arial Narrow" w:eastAsiaTheme="majorEastAsia" w:hAnsi="Arial Narrow" w:cstheme="majorBidi"/>
                <w:bCs/>
                <w:iCs/>
                <w:sz w:val="20"/>
              </w:rPr>
              <w:t>$</w:t>
            </w:r>
            <w:r w:rsidR="00B14769" w:rsidRPr="00B14769">
              <w:rPr>
                <w:rFonts w:ascii="Arial Narrow" w:eastAsiaTheme="majorEastAsia" w:hAnsi="Arial Narrow" w:cstheme="majorBidi"/>
                <w:bCs/>
                <w:iCs/>
                <w:sz w:val="20"/>
                <w:highlight w:val="black"/>
              </w:rPr>
              <w:t>&amp;&amp;&amp;&amp;</w:t>
            </w:r>
            <w:r w:rsidR="00EE5920">
              <w:rPr>
                <w:rFonts w:ascii="Arial Narrow" w:eastAsiaTheme="majorEastAsia" w:hAnsi="Arial Narrow" w:cstheme="majorBidi"/>
                <w:bCs/>
                <w:iCs/>
                <w:sz w:val="20"/>
                <w:vertAlign w:val="superscript"/>
              </w:rPr>
              <w:t>5</w:t>
            </w:r>
          </w:p>
        </w:tc>
        <w:tc>
          <w:tcPr>
            <w:tcW w:w="836" w:type="pct"/>
            <w:vAlign w:val="center"/>
          </w:tcPr>
          <w:p w14:paraId="658E279A" w14:textId="4796DEC5" w:rsidR="00746BE8" w:rsidRPr="00BA7FEF" w:rsidRDefault="00B14769">
            <w:pPr>
              <w:keepNext/>
              <w:keepLines/>
              <w:widowControl w:val="0"/>
              <w:jc w:val="center"/>
              <w:rPr>
                <w:rFonts w:ascii="Arial Narrow" w:eastAsiaTheme="majorEastAsia" w:hAnsi="Arial Narrow" w:cstheme="majorBidi"/>
                <w:bCs/>
                <w:iCs/>
                <w:sz w:val="20"/>
                <w:highlight w:val="darkGray"/>
              </w:rPr>
            </w:pPr>
            <w:r w:rsidRPr="00B14769">
              <w:rPr>
                <w:rFonts w:ascii="Arial Narrow" w:eastAsiaTheme="majorEastAsia" w:hAnsi="Arial Narrow" w:cstheme="majorBidi"/>
                <w:bCs/>
                <w:iCs/>
                <w:sz w:val="20"/>
                <w:highlight w:val="black"/>
              </w:rPr>
              <w:t>&amp;&amp;&amp;&amp;</w:t>
            </w:r>
            <w:r w:rsidR="00543086" w:rsidRPr="00BA7FEF">
              <w:rPr>
                <w:rFonts w:ascii="Arial Narrow" w:eastAsiaTheme="majorEastAsia" w:hAnsi="Arial Narrow" w:cstheme="majorBidi"/>
                <w:bCs/>
                <w:iCs/>
                <w:sz w:val="20"/>
              </w:rPr>
              <w:t>%</w:t>
            </w:r>
          </w:p>
        </w:tc>
      </w:tr>
    </w:tbl>
    <w:p w14:paraId="288F0053" w14:textId="60A5B535" w:rsidR="00985766" w:rsidRPr="00D434A8" w:rsidRDefault="00985766" w:rsidP="00985766">
      <w:pPr>
        <w:pStyle w:val="TableFigureFooter"/>
      </w:pPr>
      <w:r w:rsidRPr="00D434A8">
        <w:t>Source: Based on Table 3-36, pp309-311 of the submission. Analyses presented in italics were added during the evaluation.</w:t>
      </w:r>
      <w:r w:rsidRPr="00D434A8">
        <w:br/>
        <w:t>CV= cardiovascular; ED= emergency department; ICER= incremental cost-effectiveness ratio; OCS= oral corticosteroids; PSD= public summary document; QALY= quality adjusted life years; RR= risk ratio; S</w:t>
      </w:r>
      <w:r w:rsidR="008B4663">
        <w:t>o</w:t>
      </w:r>
      <w:r w:rsidRPr="00D434A8">
        <w:t xml:space="preserve">C= standard of care; </w:t>
      </w:r>
      <w:proofErr w:type="spellStart"/>
      <w:r w:rsidRPr="00D434A8">
        <w:t>Teze</w:t>
      </w:r>
      <w:proofErr w:type="spellEnd"/>
      <w:r w:rsidRPr="00D434A8">
        <w:t xml:space="preserve"> = </w:t>
      </w:r>
      <w:proofErr w:type="spellStart"/>
      <w:r w:rsidRPr="00D434A8">
        <w:t>tezepelumab</w:t>
      </w:r>
      <w:proofErr w:type="spellEnd"/>
      <w:r w:rsidRPr="00D434A8">
        <w:rPr>
          <w:color w:val="3366FF"/>
        </w:rPr>
        <w:t>.</w:t>
      </w:r>
      <w:r w:rsidRPr="00D434A8">
        <w:rPr>
          <w:color w:val="3366FF"/>
        </w:rPr>
        <w:br/>
      </w:r>
      <w:r w:rsidRPr="00D434A8">
        <w:t xml:space="preserve">All analyses were conducted by making the following changes in “Attachment 3 2 CEA model </w:t>
      </w:r>
      <w:proofErr w:type="spellStart"/>
      <w:r w:rsidRPr="00D434A8">
        <w:t>Teze</w:t>
      </w:r>
      <w:proofErr w:type="spellEnd"/>
      <w:r w:rsidRPr="00D434A8">
        <w:t xml:space="preserve"> SUA July 2025.xlm”</w:t>
      </w:r>
    </w:p>
    <w:p w14:paraId="1C210DBF" w14:textId="630A5AD6" w:rsidR="00985766" w:rsidRDefault="00ED7489" w:rsidP="0010099E">
      <w:pPr>
        <w:pStyle w:val="TableFigureFooter"/>
        <w:spacing w:after="0"/>
      </w:pPr>
      <w:proofErr w:type="gramStart"/>
      <w:r>
        <w:rPr>
          <w:vertAlign w:val="superscript"/>
        </w:rPr>
        <w:t>a</w:t>
      </w:r>
      <w:proofErr w:type="gramEnd"/>
      <w:r w:rsidR="00985766" w:rsidRPr="00D434A8">
        <w:rPr>
          <w:vertAlign w:val="superscript"/>
        </w:rPr>
        <w:t xml:space="preserve"> </w:t>
      </w:r>
      <w:r w:rsidR="00985766" w:rsidRPr="00D434A8">
        <w:t>Input on tab "Summary" Cell M14= 0.0 (User input cells for sensitivity analysis). Assuming no difference in health state utility between controlled and uncontrolled.</w:t>
      </w:r>
      <w:r w:rsidR="00985766" w:rsidRPr="00D434A8">
        <w:br/>
      </w:r>
      <w:r>
        <w:rPr>
          <w:vertAlign w:val="superscript"/>
        </w:rPr>
        <w:t>b</w:t>
      </w:r>
      <w:r w:rsidR="00985766" w:rsidRPr="00D434A8">
        <w:rPr>
          <w:vertAlign w:val="superscript"/>
        </w:rPr>
        <w:t xml:space="preserve"> </w:t>
      </w:r>
      <w:r w:rsidR="00985766" w:rsidRPr="00D434A8">
        <w:t>Input on tab "Summary" Cell M14= 0.194 Using the utility values as reported in the NAVIGATOR and SOURCE trials without applying Australian values.</w:t>
      </w:r>
      <w:r w:rsidR="00985766" w:rsidRPr="00D434A8">
        <w:br/>
      </w:r>
      <w:r>
        <w:rPr>
          <w:vertAlign w:val="superscript"/>
        </w:rPr>
        <w:t>c</w:t>
      </w:r>
      <w:r w:rsidR="00985766" w:rsidRPr="00D434A8">
        <w:t xml:space="preserve"> Input on Tab 'Summary’: M32=0.49, M33=1.12. Base case: Tezepelumab did not lower the risk of exacerbation in individuals on OCS but reduced exacerbation risk by 50% in individuals not on OCS. But the NAVIGATOR trial results (individuals with and without OCS) indicated a relative effect that was not statistically significant.</w:t>
      </w:r>
    </w:p>
    <w:p w14:paraId="284BE179" w14:textId="3AC1AE7A" w:rsidR="00BE4C23" w:rsidRPr="00BE4C23" w:rsidRDefault="00BE4C23" w:rsidP="0010099E">
      <w:pPr>
        <w:pStyle w:val="3-BodyText"/>
        <w:spacing w:before="0" w:after="0"/>
        <w:ind w:left="0" w:firstLine="0"/>
        <w:rPr>
          <w:lang w:eastAsia="en-US"/>
        </w:rPr>
      </w:pPr>
      <w:r w:rsidRPr="00BE4C23">
        <w:rPr>
          <w:rFonts w:ascii="Arial Narrow" w:hAnsi="Arial Narrow" w:cs="Times New Roman"/>
          <w:snapToGrid w:val="0"/>
          <w:kern w:val="2"/>
          <w:sz w:val="18"/>
          <w:vertAlign w:val="superscript"/>
          <w:lang w:eastAsia="en-US"/>
          <w14:ligatures w14:val="standardContextual"/>
        </w:rPr>
        <w:t>d</w:t>
      </w:r>
      <w:r>
        <w:rPr>
          <w:rFonts w:ascii="Arial Narrow" w:hAnsi="Arial Narrow" w:cs="Times New Roman"/>
          <w:snapToGrid w:val="0"/>
          <w:kern w:val="2"/>
          <w:sz w:val="18"/>
          <w:lang w:eastAsia="en-US"/>
          <w14:ligatures w14:val="standardContextual"/>
        </w:rPr>
        <w:t xml:space="preserve"> </w:t>
      </w:r>
      <w:r w:rsidR="0010099E">
        <w:rPr>
          <w:rFonts w:ascii="Arial Narrow" w:hAnsi="Arial Narrow" w:cs="Times New Roman"/>
          <w:snapToGrid w:val="0"/>
          <w:kern w:val="2"/>
          <w:sz w:val="18"/>
          <w:lang w:eastAsia="en-US"/>
          <w14:ligatures w14:val="standardContextual"/>
        </w:rPr>
        <w:t>Input t</w:t>
      </w:r>
      <w:r w:rsidR="0010099E" w:rsidRPr="0010099E">
        <w:rPr>
          <w:rFonts w:ascii="Arial Narrow" w:hAnsi="Arial Narrow" w:cs="Times New Roman"/>
          <w:snapToGrid w:val="0"/>
          <w:kern w:val="2"/>
          <w:sz w:val="18"/>
          <w:lang w:eastAsia="en-US"/>
          <w14:ligatures w14:val="standardContextual"/>
        </w:rPr>
        <w:t xml:space="preserve">ab ‘Summary’ </w:t>
      </w:r>
      <w:r w:rsidR="008B3820">
        <w:rPr>
          <w:rFonts w:ascii="Arial Narrow" w:hAnsi="Arial Narrow" w:cs="Times New Roman"/>
          <w:snapToGrid w:val="0"/>
          <w:kern w:val="2"/>
          <w:sz w:val="18"/>
          <w:lang w:eastAsia="en-US"/>
          <w14:ligatures w14:val="standardContextual"/>
        </w:rPr>
        <w:t>L</w:t>
      </w:r>
      <w:r w:rsidR="0010099E" w:rsidRPr="0010099E">
        <w:rPr>
          <w:rFonts w:ascii="Arial Narrow" w:hAnsi="Arial Narrow" w:cs="Times New Roman"/>
          <w:snapToGrid w:val="0"/>
          <w:kern w:val="2"/>
          <w:sz w:val="18"/>
          <w:lang w:eastAsia="en-US"/>
          <w14:ligatures w14:val="standardContextual"/>
        </w:rPr>
        <w:t>32</w:t>
      </w:r>
      <w:r w:rsidR="008B3820" w:rsidRPr="008B3820">
        <w:rPr>
          <w:rFonts w:ascii="Arial Narrow" w:hAnsi="Arial Narrow" w:cs="Times New Roman"/>
          <w:snapToGrid w:val="0"/>
          <w:kern w:val="2"/>
          <w:sz w:val="18"/>
          <w:lang w:eastAsia="en-US"/>
          <w14:ligatures w14:val="standardContextual"/>
        </w:rPr>
        <w:t>=H32*(1-</w:t>
      </w:r>
      <w:r w:rsidR="002D50AE">
        <w:rPr>
          <w:rFonts w:ascii="Arial Narrow" w:hAnsi="Arial Narrow" w:cs="Times New Roman"/>
          <w:snapToGrid w:val="0"/>
          <w:kern w:val="2"/>
          <w:sz w:val="18"/>
          <w:lang w:eastAsia="en-US"/>
          <w14:ligatures w14:val="standardContextual"/>
        </w:rPr>
        <w:t>0.20/</w:t>
      </w:r>
      <w:r w:rsidR="008B3820" w:rsidRPr="008B3820">
        <w:rPr>
          <w:rFonts w:ascii="Arial Narrow" w:hAnsi="Arial Narrow" w:cs="Times New Roman"/>
          <w:snapToGrid w:val="0"/>
          <w:kern w:val="2"/>
          <w:sz w:val="18"/>
          <w:lang w:eastAsia="en-US"/>
          <w14:ligatures w14:val="standardContextual"/>
        </w:rPr>
        <w:t>0.38)</w:t>
      </w:r>
      <w:r w:rsidR="0010099E" w:rsidRPr="0010099E">
        <w:rPr>
          <w:rFonts w:ascii="Arial Narrow" w:hAnsi="Arial Narrow" w:cs="Times New Roman"/>
          <w:snapToGrid w:val="0"/>
          <w:kern w:val="2"/>
          <w:sz w:val="18"/>
          <w:lang w:eastAsia="en-US"/>
          <w14:ligatures w14:val="standardContextual"/>
        </w:rPr>
        <w:t xml:space="preserve">; </w:t>
      </w:r>
      <w:r w:rsidR="008B3820">
        <w:rPr>
          <w:rFonts w:ascii="Arial Narrow" w:hAnsi="Arial Narrow" w:cs="Times New Roman"/>
          <w:snapToGrid w:val="0"/>
          <w:kern w:val="2"/>
          <w:sz w:val="18"/>
          <w:lang w:eastAsia="en-US"/>
          <w14:ligatures w14:val="standardContextual"/>
        </w:rPr>
        <w:t>L</w:t>
      </w:r>
      <w:r w:rsidR="0010099E" w:rsidRPr="0010099E">
        <w:rPr>
          <w:rFonts w:ascii="Arial Narrow" w:hAnsi="Arial Narrow" w:cs="Times New Roman"/>
          <w:snapToGrid w:val="0"/>
          <w:kern w:val="2"/>
          <w:sz w:val="18"/>
          <w:lang w:eastAsia="en-US"/>
          <w14:ligatures w14:val="standardContextual"/>
        </w:rPr>
        <w:t>33</w:t>
      </w:r>
      <w:r w:rsidR="008B3820" w:rsidRPr="008B3820">
        <w:t xml:space="preserve"> </w:t>
      </w:r>
      <w:r w:rsidR="008B3820" w:rsidRPr="008B3820">
        <w:rPr>
          <w:rFonts w:ascii="Arial Narrow" w:hAnsi="Arial Narrow" w:cs="Times New Roman"/>
          <w:snapToGrid w:val="0"/>
          <w:kern w:val="2"/>
          <w:sz w:val="18"/>
          <w:lang w:eastAsia="en-US"/>
          <w14:ligatures w14:val="standardContextual"/>
        </w:rPr>
        <w:t>=H33*(1-</w:t>
      </w:r>
      <w:r w:rsidR="002D50AE">
        <w:rPr>
          <w:rFonts w:ascii="Arial Narrow" w:hAnsi="Arial Narrow" w:cs="Times New Roman"/>
          <w:snapToGrid w:val="0"/>
          <w:kern w:val="2"/>
          <w:sz w:val="18"/>
          <w:lang w:eastAsia="en-US"/>
          <w14:ligatures w14:val="standardContextual"/>
        </w:rPr>
        <w:t>0.20/</w:t>
      </w:r>
      <w:r w:rsidR="008B3820" w:rsidRPr="008B3820">
        <w:rPr>
          <w:rFonts w:ascii="Arial Narrow" w:hAnsi="Arial Narrow" w:cs="Times New Roman"/>
          <w:snapToGrid w:val="0"/>
          <w:kern w:val="2"/>
          <w:sz w:val="18"/>
          <w:lang w:eastAsia="en-US"/>
          <w14:ligatures w14:val="standardContextual"/>
        </w:rPr>
        <w:t>0.38)</w:t>
      </w:r>
    </w:p>
    <w:p w14:paraId="77734567" w14:textId="77777777" w:rsidR="00687C2A" w:rsidRDefault="00985766" w:rsidP="00687C2A">
      <w:pPr>
        <w:pStyle w:val="TableFigureFooter"/>
        <w:rPr>
          <w:i/>
          <w:szCs w:val="18"/>
        </w:rPr>
      </w:pPr>
      <w:r w:rsidRPr="00D434A8">
        <w:rPr>
          <w:vertAlign w:val="superscript"/>
        </w:rPr>
        <w:t>e</w:t>
      </w:r>
      <w:r w:rsidRPr="00D434A8">
        <w:t xml:space="preserve"> Input on tab "Summary" Cell M14= 0.109 (User input cells for sensitivity analysis). Input from Buendía, J. A., &amp; Zuluaga, A. F. (2024). Exploratory analysis of the economically justifiable price of </w:t>
      </w:r>
      <w:proofErr w:type="spellStart"/>
      <w:r w:rsidRPr="00D434A8">
        <w:t>tezepelumab</w:t>
      </w:r>
      <w:proofErr w:type="spellEnd"/>
      <w:r w:rsidRPr="00D434A8">
        <w:t xml:space="preserve"> for severe asthma in Colombia. Journal of Asthma, 62(4), 684–693.</w:t>
      </w:r>
      <w:r w:rsidRPr="00D434A8">
        <w:br/>
      </w:r>
      <w:r w:rsidRPr="00D434A8">
        <w:rPr>
          <w:vertAlign w:val="superscript"/>
        </w:rPr>
        <w:t xml:space="preserve">f </w:t>
      </w:r>
      <w:r w:rsidRPr="00D434A8">
        <w:t>Input on tab "Summary" Cell M14= 0.063 (User input cells for sensitivity analysis). Input from Habash, M., Guiang, H</w:t>
      </w:r>
      <w:r w:rsidR="001C5E58">
        <w:t xml:space="preserve"> et al </w:t>
      </w:r>
      <w:r w:rsidRPr="00D434A8">
        <w:t xml:space="preserve">(2023). Cost-effectiveness of </w:t>
      </w:r>
      <w:proofErr w:type="spellStart"/>
      <w:r w:rsidRPr="00D434A8">
        <w:t>tezepelumab</w:t>
      </w:r>
      <w:proofErr w:type="spellEnd"/>
      <w:r w:rsidRPr="00D434A8">
        <w:t xml:space="preserve"> in Canada for severe asthma. Journal of Medical Economics, 26(1), 902-914.</w:t>
      </w:r>
      <w:r w:rsidRPr="00D434A8">
        <w:br/>
      </w:r>
      <w:r w:rsidR="00B12E9F">
        <w:rPr>
          <w:vertAlign w:val="superscript"/>
        </w:rPr>
        <w:t>g</w:t>
      </w:r>
      <w:r w:rsidRPr="00D434A8">
        <w:rPr>
          <w:vertAlign w:val="superscript"/>
        </w:rPr>
        <w:t xml:space="preserve"> </w:t>
      </w:r>
      <w:r w:rsidRPr="00D434A8">
        <w:t xml:space="preserve">Input on tab "Summary" Cell J27=E23, K27=F23, L27=G23 and M27=H23 assuming no difference in efficacy of </w:t>
      </w:r>
      <w:proofErr w:type="spellStart"/>
      <w:r w:rsidRPr="00D434A8">
        <w:t>tezepelumab</w:t>
      </w:r>
      <w:proofErr w:type="spellEnd"/>
      <w:r w:rsidRPr="00D434A8">
        <w:t xml:space="preserve"> after 32 weeks assessment.</w:t>
      </w:r>
    </w:p>
    <w:p w14:paraId="4F81327E" w14:textId="540FA67F" w:rsidR="00687C2A" w:rsidRPr="00687C2A" w:rsidRDefault="00687C2A" w:rsidP="00687C2A">
      <w:pPr>
        <w:pStyle w:val="TableFigureFooter"/>
        <w:rPr>
          <w:i/>
        </w:rPr>
      </w:pPr>
      <w:r w:rsidRPr="00687C2A">
        <w:rPr>
          <w:i/>
        </w:rPr>
        <w:t xml:space="preserve">The redacted values correspond to the following ranges: </w:t>
      </w:r>
    </w:p>
    <w:p w14:paraId="2A7AEA09" w14:textId="1727830A" w:rsidR="00687C2A" w:rsidRPr="00687C2A" w:rsidRDefault="00687C2A" w:rsidP="00687C2A">
      <w:pPr>
        <w:pStyle w:val="TableFigureFooter"/>
        <w:rPr>
          <w:i/>
        </w:rPr>
      </w:pPr>
      <w:r w:rsidRPr="00687C2A">
        <w:rPr>
          <w:i/>
          <w:vertAlign w:val="superscript"/>
        </w:rPr>
        <w:t>1</w:t>
      </w:r>
      <w:r w:rsidRPr="00687C2A">
        <w:rPr>
          <w:i/>
        </w:rPr>
        <w:t xml:space="preserve"> </w:t>
      </w:r>
      <w:r w:rsidR="00402CE1" w:rsidRPr="00402CE1">
        <w:rPr>
          <w:i/>
        </w:rPr>
        <w:t>$75,000 to &lt; $95,000</w:t>
      </w:r>
    </w:p>
    <w:p w14:paraId="48712214" w14:textId="6D25D4CF" w:rsidR="00687C2A" w:rsidRPr="00687C2A" w:rsidRDefault="00687C2A" w:rsidP="00687C2A">
      <w:pPr>
        <w:pStyle w:val="TableFigureFooter"/>
        <w:rPr>
          <w:i/>
        </w:rPr>
      </w:pPr>
      <w:r w:rsidRPr="00687C2A">
        <w:rPr>
          <w:i/>
          <w:vertAlign w:val="superscript"/>
        </w:rPr>
        <w:t>2</w:t>
      </w:r>
      <w:r w:rsidRPr="00687C2A">
        <w:rPr>
          <w:i/>
        </w:rPr>
        <w:t xml:space="preserve"> </w:t>
      </w:r>
      <w:r w:rsidR="006A26AC" w:rsidRPr="006A26AC">
        <w:rPr>
          <w:i/>
        </w:rPr>
        <w:t>$55,000 to &lt; $75,000</w:t>
      </w:r>
    </w:p>
    <w:p w14:paraId="373525B1" w14:textId="153F54C3" w:rsidR="00687C2A" w:rsidRPr="00687C2A" w:rsidRDefault="00687C2A" w:rsidP="00687C2A">
      <w:pPr>
        <w:pStyle w:val="TableFigureFooter"/>
        <w:rPr>
          <w:i/>
        </w:rPr>
      </w:pPr>
      <w:r w:rsidRPr="00687C2A">
        <w:rPr>
          <w:i/>
          <w:vertAlign w:val="superscript"/>
        </w:rPr>
        <w:t>3</w:t>
      </w:r>
      <w:r w:rsidRPr="00687C2A">
        <w:rPr>
          <w:i/>
        </w:rPr>
        <w:t xml:space="preserve"> </w:t>
      </w:r>
      <w:r w:rsidR="002247EB" w:rsidRPr="002247EB">
        <w:rPr>
          <w:i/>
        </w:rPr>
        <w:t>$45,000 to &lt; $55,000</w:t>
      </w:r>
    </w:p>
    <w:p w14:paraId="0CF3DBA2" w14:textId="7911B28A" w:rsidR="00687C2A" w:rsidRPr="00687C2A" w:rsidRDefault="00687C2A" w:rsidP="00687C2A">
      <w:pPr>
        <w:pStyle w:val="TableFigureFooter"/>
        <w:rPr>
          <w:i/>
        </w:rPr>
      </w:pPr>
      <w:r w:rsidRPr="00687C2A">
        <w:rPr>
          <w:i/>
          <w:vertAlign w:val="superscript"/>
        </w:rPr>
        <w:t>4</w:t>
      </w:r>
      <w:r w:rsidRPr="00687C2A">
        <w:rPr>
          <w:i/>
        </w:rPr>
        <w:t xml:space="preserve"> </w:t>
      </w:r>
      <w:r w:rsidR="003D343E" w:rsidRPr="003D343E">
        <w:rPr>
          <w:i/>
        </w:rPr>
        <w:t>$95,000 to &lt; $115,000</w:t>
      </w:r>
    </w:p>
    <w:p w14:paraId="023D91A6" w14:textId="7809822B" w:rsidR="00687C2A" w:rsidRPr="00687C2A" w:rsidRDefault="00687C2A" w:rsidP="00687C2A">
      <w:pPr>
        <w:pStyle w:val="TableFigureFooter"/>
        <w:rPr>
          <w:i/>
        </w:rPr>
      </w:pPr>
      <w:r w:rsidRPr="00687C2A">
        <w:rPr>
          <w:i/>
          <w:vertAlign w:val="superscript"/>
        </w:rPr>
        <w:t>5</w:t>
      </w:r>
      <w:r w:rsidRPr="00687C2A">
        <w:rPr>
          <w:i/>
        </w:rPr>
        <w:t xml:space="preserve"> </w:t>
      </w:r>
      <w:bookmarkStart w:id="97" w:name="_Hlk219208923"/>
      <w:r w:rsidR="00EE5920" w:rsidRPr="00EE5920">
        <w:rPr>
          <w:i/>
        </w:rPr>
        <w:t>$115,000 to &lt; $135,000</w:t>
      </w:r>
      <w:bookmarkEnd w:id="97"/>
    </w:p>
    <w:p w14:paraId="33BB2FB4" w14:textId="77777777" w:rsidR="00895734" w:rsidRDefault="00687C2A" w:rsidP="00687C2A">
      <w:pPr>
        <w:pStyle w:val="TableFigureFooter"/>
        <w:rPr>
          <w:i/>
        </w:rPr>
      </w:pPr>
      <w:r w:rsidRPr="00687C2A">
        <w:rPr>
          <w:i/>
          <w:vertAlign w:val="superscript"/>
        </w:rPr>
        <w:t>6</w:t>
      </w:r>
      <w:r w:rsidRPr="00687C2A">
        <w:rPr>
          <w:i/>
        </w:rPr>
        <w:t xml:space="preserve"> </w:t>
      </w:r>
      <w:r w:rsidR="00895734" w:rsidRPr="00895734">
        <w:rPr>
          <w:i/>
        </w:rPr>
        <w:t>$155,000 to &lt; $255,000</w:t>
      </w:r>
    </w:p>
    <w:p w14:paraId="3B19141B" w14:textId="7C5204F1" w:rsidR="00985766" w:rsidRDefault="00895734" w:rsidP="0010099E">
      <w:pPr>
        <w:pStyle w:val="TableFigureFooter"/>
        <w:spacing w:after="0"/>
        <w:rPr>
          <w:i/>
        </w:rPr>
      </w:pPr>
      <w:r>
        <w:rPr>
          <w:i/>
          <w:vertAlign w:val="superscript"/>
        </w:rPr>
        <w:t>7</w:t>
      </w:r>
      <w:r w:rsidR="00F53386">
        <w:rPr>
          <w:i/>
          <w:vertAlign w:val="superscript"/>
        </w:rPr>
        <w:t xml:space="preserve"> </w:t>
      </w:r>
      <w:r w:rsidR="00F53386" w:rsidRPr="00F53386">
        <w:rPr>
          <w:i/>
        </w:rPr>
        <w:t>$135,000 to &lt; $155,000</w:t>
      </w:r>
    </w:p>
    <w:p w14:paraId="50285EED" w14:textId="77777777" w:rsidR="00F53386" w:rsidRPr="00F53386" w:rsidRDefault="00F53386" w:rsidP="00F53386">
      <w:pPr>
        <w:pStyle w:val="3-BodyText"/>
        <w:rPr>
          <w:lang w:eastAsia="en-US"/>
        </w:rPr>
      </w:pPr>
    </w:p>
    <w:p w14:paraId="6EA4D2A0" w14:textId="6002D345" w:rsidR="0021134A" w:rsidRPr="00EE227E" w:rsidRDefault="009C7938" w:rsidP="00EE7DA6">
      <w:pPr>
        <w:numPr>
          <w:ilvl w:val="1"/>
          <w:numId w:val="1"/>
        </w:numPr>
        <w:spacing w:before="60" w:after="60"/>
        <w:ind w:left="709"/>
        <w:rPr>
          <w:iCs/>
        </w:rPr>
      </w:pPr>
      <w:r w:rsidRPr="00EE227E">
        <w:rPr>
          <w:rFonts w:eastAsiaTheme="minorHAnsi"/>
          <w:iCs/>
        </w:rPr>
        <w:t xml:space="preserve">The </w:t>
      </w:r>
      <w:r w:rsidR="0021134A" w:rsidRPr="00EE227E">
        <w:rPr>
          <w:rFonts w:eastAsiaTheme="minorHAnsi"/>
          <w:iCs/>
        </w:rPr>
        <w:t xml:space="preserve">ESC </w:t>
      </w:r>
      <w:r w:rsidR="0021134A" w:rsidRPr="00EE227E">
        <w:rPr>
          <w:iCs/>
        </w:rPr>
        <w:t>noted the model contained substantial uncertainty and considered the assumptions adopted in the base case to be overly optimistic. The ESC advised that a respecified base case would be required to improve certainty in the model, including changes to the following:</w:t>
      </w:r>
    </w:p>
    <w:p w14:paraId="44313F02" w14:textId="29145F37" w:rsidR="0021134A" w:rsidRPr="00EE227E" w:rsidRDefault="0021134A" w:rsidP="007534E3">
      <w:pPr>
        <w:pStyle w:val="COMESmainissuesbullets"/>
        <w:numPr>
          <w:ilvl w:val="1"/>
          <w:numId w:val="25"/>
        </w:numPr>
        <w:ind w:left="1080" w:right="169"/>
      </w:pPr>
      <w:r w:rsidRPr="00EE227E">
        <w:t>a shorter time horizon (from lifetime [40 years] to a 20-year time horizon</w:t>
      </w:r>
      <w:proofErr w:type="gramStart"/>
      <w:r w:rsidRPr="00EE227E">
        <w:t>);</w:t>
      </w:r>
      <w:proofErr w:type="gramEnd"/>
    </w:p>
    <w:p w14:paraId="4919D897" w14:textId="435DB4E0" w:rsidR="0021134A" w:rsidRPr="00EE227E" w:rsidRDefault="0021134A" w:rsidP="007534E3">
      <w:pPr>
        <w:pStyle w:val="COMESmainissuesbullets"/>
        <w:numPr>
          <w:ilvl w:val="1"/>
          <w:numId w:val="25"/>
        </w:numPr>
        <w:ind w:left="1080" w:right="169"/>
      </w:pPr>
      <w:r w:rsidRPr="00EE227E">
        <w:t xml:space="preserve">a smaller reduction in exacerbation risk in the non-OCS </w:t>
      </w:r>
      <w:proofErr w:type="spellStart"/>
      <w:r w:rsidRPr="00EE227E">
        <w:t>tezepelumab</w:t>
      </w:r>
      <w:proofErr w:type="spellEnd"/>
      <w:r w:rsidRPr="00EE227E">
        <w:t xml:space="preserve"> group relative to SoC (from 50% to 38%); and </w:t>
      </w:r>
    </w:p>
    <w:p w14:paraId="08250562" w14:textId="2B910ACD" w:rsidR="00925C45" w:rsidRDefault="0021134A" w:rsidP="007534E3">
      <w:pPr>
        <w:pStyle w:val="COMESmainissuesbullets"/>
        <w:numPr>
          <w:ilvl w:val="1"/>
          <w:numId w:val="25"/>
        </w:numPr>
        <w:ind w:left="1080" w:right="169"/>
      </w:pPr>
      <w:r w:rsidRPr="00EE227E">
        <w:t>reduced exacerbation-related mortality rates consistent with the mepolizumab economic model (OCS burst: 0.43%; ED or hospitalisation: 1.13%).</w:t>
      </w:r>
    </w:p>
    <w:p w14:paraId="30A10044" w14:textId="17B208AA" w:rsidR="00230F00" w:rsidRPr="00EE227E" w:rsidRDefault="00E409F1" w:rsidP="00AE6E23">
      <w:pPr>
        <w:numPr>
          <w:ilvl w:val="1"/>
          <w:numId w:val="1"/>
        </w:numPr>
        <w:spacing w:before="60" w:after="60"/>
        <w:ind w:left="709"/>
      </w:pPr>
      <w:bookmarkStart w:id="98" w:name="_Ref214540686"/>
      <w:r>
        <w:t xml:space="preserve">The pre-PBAC Response </w:t>
      </w:r>
      <w:r w:rsidR="00362B7E">
        <w:t xml:space="preserve">accepted </w:t>
      </w:r>
      <w:r w:rsidR="00362B7E" w:rsidRPr="0038669E">
        <w:t xml:space="preserve">the </w:t>
      </w:r>
      <w:r w:rsidR="00265D55">
        <w:t xml:space="preserve">smaller </w:t>
      </w:r>
      <w:r w:rsidR="00517104">
        <w:t xml:space="preserve">reduction in exacerbation risk in the non-OCS </w:t>
      </w:r>
      <w:proofErr w:type="spellStart"/>
      <w:r w:rsidR="00517104">
        <w:t>tezepelumab</w:t>
      </w:r>
      <w:proofErr w:type="spellEnd"/>
      <w:r w:rsidR="00517104">
        <w:t xml:space="preserve"> group proposed by the ESC. However, the pre-PBAC </w:t>
      </w:r>
      <w:r w:rsidR="00347216">
        <w:t xml:space="preserve">Response argued that </w:t>
      </w:r>
      <w:r w:rsidR="0080023E">
        <w:t xml:space="preserve">the </w:t>
      </w:r>
      <w:r w:rsidR="002D48D8">
        <w:t xml:space="preserve">probability of </w:t>
      </w:r>
      <w:r w:rsidR="0023286C" w:rsidRPr="0038669E">
        <w:t>exacerbation</w:t>
      </w:r>
      <w:r w:rsidR="00213C15">
        <w:t>-related</w:t>
      </w:r>
      <w:r w:rsidR="0023286C" w:rsidRPr="0038669E">
        <w:t xml:space="preserve"> mortality </w:t>
      </w:r>
      <w:r w:rsidR="003B14BE">
        <w:t xml:space="preserve">should be </w:t>
      </w:r>
      <w:r w:rsidR="0023286C" w:rsidRPr="0038669E">
        <w:t>1.13%</w:t>
      </w:r>
      <w:r w:rsidR="00213C15">
        <w:t xml:space="preserve"> a</w:t>
      </w:r>
      <w:r w:rsidR="00F276B2">
        <w:t>cross all types</w:t>
      </w:r>
      <w:r w:rsidR="003B14BE">
        <w:t xml:space="preserve"> and th</w:t>
      </w:r>
      <w:r w:rsidR="00DC45C1">
        <w:t>at a lifetime tim</w:t>
      </w:r>
      <w:r w:rsidR="00B33450">
        <w:t>e horizon should remain</w:t>
      </w:r>
      <w:r w:rsidR="0023286C">
        <w:t xml:space="preserve">. </w:t>
      </w:r>
      <w:r w:rsidR="002D48D8">
        <w:t>The Response noted that</w:t>
      </w:r>
      <w:r w:rsidR="00362B7E" w:rsidRPr="00F276B2">
        <w:t xml:space="preserve"> </w:t>
      </w:r>
      <w:r w:rsidR="00523602">
        <w:t xml:space="preserve">with these </w:t>
      </w:r>
      <w:r w:rsidR="00362B7E" w:rsidRPr="00F276B2">
        <w:t xml:space="preserve">assumptions </w:t>
      </w:r>
      <w:r w:rsidR="002D48D8">
        <w:t>the</w:t>
      </w:r>
      <w:r w:rsidR="00362B7E" w:rsidRPr="0031437D">
        <w:t xml:space="preserve"> ICER is </w:t>
      </w:r>
      <w:r w:rsidR="00BF5EF1" w:rsidRPr="00BF5EF1">
        <w:t>$75,000 to &lt; $95,000</w:t>
      </w:r>
      <w:r w:rsidR="00362B7E" w:rsidRPr="0031437D">
        <w:t xml:space="preserve"> per QALY</w:t>
      </w:r>
      <w:r w:rsidR="002D48D8">
        <w:t xml:space="preserve"> gained</w:t>
      </w:r>
      <w:r w:rsidR="00362B7E" w:rsidRPr="0031437D">
        <w:t>.</w:t>
      </w:r>
      <w:bookmarkEnd w:id="98"/>
      <w:r w:rsidR="00362B7E" w:rsidRPr="0031437D">
        <w:t xml:space="preserve"> </w:t>
      </w:r>
    </w:p>
    <w:p w14:paraId="73A451D1" w14:textId="77777777" w:rsidR="00985766" w:rsidRPr="004F56D0" w:rsidRDefault="00985766" w:rsidP="00DA648B">
      <w:pPr>
        <w:keepNext/>
        <w:keepLines/>
        <w:spacing w:before="120"/>
        <w:outlineLvl w:val="2"/>
        <w:rPr>
          <w:rFonts w:asciiTheme="minorHAnsi" w:eastAsiaTheme="majorEastAsia" w:hAnsiTheme="minorHAnsi" w:cstheme="majorBidi"/>
          <w:b/>
          <w:color w:val="000000" w:themeColor="text1"/>
        </w:rPr>
      </w:pPr>
      <w:bookmarkStart w:id="99" w:name="_Toc206426970"/>
      <w:bookmarkStart w:id="100" w:name="_Toc206428381"/>
      <w:r w:rsidRPr="004F56D0">
        <w:rPr>
          <w:rFonts w:asciiTheme="minorHAnsi" w:eastAsiaTheme="majorEastAsia" w:hAnsiTheme="minorHAnsi" w:cstheme="majorBidi"/>
          <w:b/>
          <w:color w:val="000000" w:themeColor="text1"/>
        </w:rPr>
        <w:t xml:space="preserve">Eosinophilic or allergic </w:t>
      </w:r>
      <w:bookmarkEnd w:id="99"/>
      <w:bookmarkEnd w:id="100"/>
      <w:r w:rsidRPr="004F56D0">
        <w:rPr>
          <w:rFonts w:asciiTheme="minorHAnsi" w:eastAsiaTheme="majorEastAsia" w:hAnsiTheme="minorHAnsi" w:cstheme="majorBidi"/>
          <w:b/>
          <w:color w:val="000000" w:themeColor="text1"/>
        </w:rPr>
        <w:t xml:space="preserve">SUA </w:t>
      </w:r>
    </w:p>
    <w:p w14:paraId="01E3A715" w14:textId="68B1FF21" w:rsidR="00985766" w:rsidRPr="00EE227E" w:rsidRDefault="00985766" w:rsidP="00F65BD4">
      <w:pPr>
        <w:numPr>
          <w:ilvl w:val="1"/>
          <w:numId w:val="1"/>
        </w:numPr>
        <w:spacing w:after="120"/>
        <w:ind w:left="709"/>
        <w:rPr>
          <w:rFonts w:asciiTheme="minorHAnsi" w:eastAsiaTheme="minorHAnsi" w:hAnsiTheme="minorHAnsi" w:cstheme="minorBidi"/>
          <w:iCs/>
          <w:szCs w:val="22"/>
        </w:rPr>
      </w:pPr>
      <w:r w:rsidRPr="004F56D0">
        <w:rPr>
          <w:rFonts w:asciiTheme="minorHAnsi" w:eastAsiaTheme="minorHAnsi" w:hAnsiTheme="minorHAnsi" w:cstheme="minorBidi"/>
          <w:szCs w:val="22"/>
        </w:rPr>
        <w:t xml:space="preserve">The submission presented a cost-minimisation approach of </w:t>
      </w:r>
      <w:proofErr w:type="spellStart"/>
      <w:r w:rsidRPr="004F56D0">
        <w:rPr>
          <w:rFonts w:asciiTheme="minorHAnsi" w:eastAsiaTheme="minorHAnsi" w:hAnsiTheme="minorHAnsi" w:cstheme="minorBidi"/>
          <w:szCs w:val="22"/>
        </w:rPr>
        <w:t>tezepelumab</w:t>
      </w:r>
      <w:proofErr w:type="spellEnd"/>
      <w:r w:rsidRPr="004F56D0">
        <w:rPr>
          <w:rFonts w:asciiTheme="minorHAnsi" w:eastAsiaTheme="minorHAnsi" w:hAnsiTheme="minorHAnsi" w:cstheme="minorBidi"/>
          <w:szCs w:val="22"/>
        </w:rPr>
        <w:t xml:space="preserve"> versus dupilumab, the primary comparator in the eosinophilic or allergic SUA population. The cost-minimisation approach was consistent with the submission’s claim of non-inferiority of </w:t>
      </w:r>
      <w:proofErr w:type="spellStart"/>
      <w:r w:rsidRPr="004F56D0">
        <w:rPr>
          <w:rFonts w:asciiTheme="minorHAnsi" w:eastAsiaTheme="minorHAnsi" w:hAnsiTheme="minorHAnsi" w:cstheme="minorBidi"/>
          <w:szCs w:val="22"/>
        </w:rPr>
        <w:t>tezepelumab</w:t>
      </w:r>
      <w:proofErr w:type="spellEnd"/>
      <w:r w:rsidRPr="004F56D0">
        <w:rPr>
          <w:rFonts w:asciiTheme="minorHAnsi" w:eastAsiaTheme="minorHAnsi" w:hAnsiTheme="minorHAnsi" w:cstheme="minorBidi"/>
          <w:szCs w:val="22"/>
        </w:rPr>
        <w:t xml:space="preserve"> versus dupilumab. </w:t>
      </w:r>
      <w:r w:rsidR="000C1633" w:rsidRPr="00EE227E">
        <w:rPr>
          <w:rFonts w:asciiTheme="minorHAnsi" w:eastAsiaTheme="minorHAnsi" w:hAnsiTheme="minorHAnsi" w:cstheme="minorBidi"/>
          <w:iCs/>
          <w:szCs w:val="22"/>
        </w:rPr>
        <w:t xml:space="preserve">The ESC considered that this </w:t>
      </w:r>
      <w:r w:rsidRPr="00EE227E">
        <w:rPr>
          <w:rFonts w:asciiTheme="minorHAnsi" w:eastAsiaTheme="minorHAnsi" w:hAnsiTheme="minorHAnsi" w:cstheme="minorBidi"/>
          <w:iCs/>
          <w:szCs w:val="22"/>
        </w:rPr>
        <w:t>was reasonable.</w:t>
      </w:r>
    </w:p>
    <w:p w14:paraId="158D7054" w14:textId="77777777" w:rsidR="00985766" w:rsidRPr="004F56D0" w:rsidRDefault="00985766" w:rsidP="00F65BD4">
      <w:pPr>
        <w:numPr>
          <w:ilvl w:val="1"/>
          <w:numId w:val="1"/>
        </w:numPr>
        <w:spacing w:before="60" w:after="60"/>
        <w:ind w:left="709"/>
        <w:rPr>
          <w:rFonts w:asciiTheme="minorHAnsi" w:eastAsiaTheme="minorHAnsi" w:hAnsiTheme="minorHAnsi" w:cstheme="minorBidi"/>
          <w:szCs w:val="22"/>
        </w:rPr>
      </w:pPr>
      <w:r w:rsidRPr="00CC6663">
        <w:rPr>
          <w:rFonts w:asciiTheme="minorHAnsi" w:eastAsiaTheme="minorHAnsi" w:hAnsiTheme="minorHAnsi" w:cstheme="minorBidi"/>
          <w:szCs w:val="22"/>
        </w:rPr>
        <w:t xml:space="preserve">In </w:t>
      </w:r>
      <w:r w:rsidRPr="004F56D0">
        <w:rPr>
          <w:rFonts w:asciiTheme="minorHAnsi" w:eastAsiaTheme="minorHAnsi" w:hAnsiTheme="minorHAnsi" w:cstheme="minorBidi"/>
          <w:szCs w:val="22"/>
        </w:rPr>
        <w:t xml:space="preserve">patients with eosinophilic SUA, the proposed </w:t>
      </w:r>
      <w:proofErr w:type="spellStart"/>
      <w:r w:rsidRPr="004F56D0">
        <w:rPr>
          <w:rFonts w:asciiTheme="minorHAnsi" w:eastAsiaTheme="minorHAnsi" w:hAnsiTheme="minorHAnsi" w:cstheme="minorBidi"/>
          <w:szCs w:val="22"/>
        </w:rPr>
        <w:t>equi</w:t>
      </w:r>
      <w:proofErr w:type="spellEnd"/>
      <w:r w:rsidRPr="004F56D0">
        <w:rPr>
          <w:rFonts w:asciiTheme="minorHAnsi" w:eastAsiaTheme="minorHAnsi" w:hAnsiTheme="minorHAnsi" w:cstheme="minorBidi"/>
          <w:szCs w:val="22"/>
        </w:rPr>
        <w:t>-effective doses were estimated as:</w:t>
      </w:r>
    </w:p>
    <w:p w14:paraId="6E1AF39F" w14:textId="77777777" w:rsidR="00985766" w:rsidRPr="001F5B6E" w:rsidRDefault="00985766" w:rsidP="00F65BD4">
      <w:pPr>
        <w:pStyle w:val="ListParagraph"/>
        <w:numPr>
          <w:ilvl w:val="0"/>
          <w:numId w:val="4"/>
        </w:numPr>
        <w:ind w:left="1134"/>
        <w:jc w:val="both"/>
      </w:pPr>
      <w:r w:rsidRPr="001F5B6E">
        <w:t>Tezepelumab 210 mg by SC injection every 4 weeks over 1 year (13 doses).</w:t>
      </w:r>
    </w:p>
    <w:p w14:paraId="1B0118F2" w14:textId="77777777" w:rsidR="00985766" w:rsidRPr="001F5B6E" w:rsidRDefault="00985766" w:rsidP="00F65BD4">
      <w:pPr>
        <w:pStyle w:val="ListParagraph"/>
        <w:numPr>
          <w:ilvl w:val="0"/>
          <w:numId w:val="4"/>
        </w:numPr>
        <w:ind w:left="1134"/>
        <w:jc w:val="both"/>
      </w:pPr>
      <w:r w:rsidRPr="001F5B6E">
        <w:t>Dupilumab 400 mg (non-OCS dependent) or 600mg (OCS dependent) by SC injection (2 injections consecutively in 2 different injection sites) followed by 200 mg (non-OCS dependent) or 300 mg (OCS dependent) SC given every 2 weeks over 1 year (27 doses).</w:t>
      </w:r>
    </w:p>
    <w:p w14:paraId="1426AAE6" w14:textId="77777777" w:rsidR="00985766" w:rsidRPr="001F5B6E" w:rsidRDefault="00985766" w:rsidP="00F65BD4">
      <w:pPr>
        <w:pStyle w:val="ListParagraph"/>
        <w:numPr>
          <w:ilvl w:val="0"/>
          <w:numId w:val="4"/>
        </w:numPr>
        <w:ind w:left="1134"/>
        <w:jc w:val="both"/>
      </w:pPr>
      <w:proofErr w:type="spellStart"/>
      <w:r w:rsidRPr="001F5B6E">
        <w:t>Benralizumab</w:t>
      </w:r>
      <w:proofErr w:type="spellEnd"/>
      <w:r w:rsidRPr="001F5B6E">
        <w:t xml:space="preserve"> 30 mg by SC injection every 4 weeks for the first 3 doses, then every 8 weeks over 1 year (7.5 doses).</w:t>
      </w:r>
    </w:p>
    <w:p w14:paraId="2A76E8C3" w14:textId="77777777" w:rsidR="00985766" w:rsidRPr="001F5B6E" w:rsidRDefault="00985766" w:rsidP="00F65BD4">
      <w:pPr>
        <w:pStyle w:val="ListParagraph"/>
        <w:numPr>
          <w:ilvl w:val="0"/>
          <w:numId w:val="4"/>
        </w:numPr>
        <w:ind w:left="1134"/>
        <w:jc w:val="both"/>
      </w:pPr>
      <w:r w:rsidRPr="001F5B6E">
        <w:t>Mepolizumab 100 mg by SC injection every 4 weeks over 1 year (13 doses).</w:t>
      </w:r>
    </w:p>
    <w:p w14:paraId="2ECC44F3" w14:textId="77777777" w:rsidR="00985766" w:rsidRPr="004F56D0" w:rsidRDefault="00985766" w:rsidP="00F65BD4">
      <w:pPr>
        <w:numPr>
          <w:ilvl w:val="1"/>
          <w:numId w:val="1"/>
        </w:numPr>
        <w:spacing w:after="120"/>
        <w:ind w:left="851"/>
        <w:rPr>
          <w:rFonts w:asciiTheme="minorHAnsi" w:eastAsiaTheme="minorHAnsi" w:hAnsiTheme="minorHAnsi" w:cstheme="minorBidi"/>
          <w:szCs w:val="22"/>
        </w:rPr>
      </w:pPr>
      <w:r w:rsidRPr="004F56D0">
        <w:rPr>
          <w:rFonts w:asciiTheme="minorHAnsi" w:eastAsiaTheme="minorHAnsi" w:hAnsiTheme="minorHAnsi" w:cstheme="minorBidi"/>
          <w:szCs w:val="22"/>
        </w:rPr>
        <w:t xml:space="preserve">In patients with allergic SUA, the proposed </w:t>
      </w:r>
      <w:proofErr w:type="spellStart"/>
      <w:r w:rsidRPr="004F56D0">
        <w:rPr>
          <w:rFonts w:asciiTheme="minorHAnsi" w:eastAsiaTheme="minorHAnsi" w:hAnsiTheme="minorHAnsi" w:cstheme="minorBidi"/>
          <w:szCs w:val="22"/>
        </w:rPr>
        <w:t>equi</w:t>
      </w:r>
      <w:proofErr w:type="spellEnd"/>
      <w:r w:rsidRPr="004F56D0">
        <w:rPr>
          <w:rFonts w:asciiTheme="minorHAnsi" w:eastAsiaTheme="minorHAnsi" w:hAnsiTheme="minorHAnsi" w:cstheme="minorBidi"/>
          <w:szCs w:val="22"/>
        </w:rPr>
        <w:t>-effective doses were estimated as:</w:t>
      </w:r>
    </w:p>
    <w:p w14:paraId="6D7DFC63" w14:textId="77777777" w:rsidR="00985766" w:rsidRPr="001F5B6E" w:rsidRDefault="00985766" w:rsidP="00F65BD4">
      <w:pPr>
        <w:pStyle w:val="ListParagraph"/>
        <w:numPr>
          <w:ilvl w:val="0"/>
          <w:numId w:val="4"/>
        </w:numPr>
        <w:ind w:left="1134"/>
        <w:jc w:val="both"/>
      </w:pPr>
      <w:r w:rsidRPr="001F5B6E">
        <w:t>Tezepelumab 210 mg by SC injection every 4 weeks over 1 year (13 doses).</w:t>
      </w:r>
    </w:p>
    <w:p w14:paraId="15484134" w14:textId="77777777" w:rsidR="00985766" w:rsidRPr="001F5B6E" w:rsidRDefault="00985766" w:rsidP="00F65BD4">
      <w:pPr>
        <w:pStyle w:val="ListParagraph"/>
        <w:numPr>
          <w:ilvl w:val="0"/>
          <w:numId w:val="4"/>
        </w:numPr>
        <w:ind w:left="1134"/>
        <w:jc w:val="both"/>
      </w:pPr>
      <w:r w:rsidRPr="001F5B6E">
        <w:t>Dupilumab 400 mg (non-OCS dependent) or 600mg (OCS dependent) by SC injection (2 injections consecutively in 2 different injection sites) followed by 200 mg (non-OCS dependent) or 300 mg (OCS dependent) given every 2 weeks over 1 year (27 doses).</w:t>
      </w:r>
    </w:p>
    <w:p w14:paraId="0FFA1646" w14:textId="77777777" w:rsidR="00985766" w:rsidRPr="001F5B6E" w:rsidRDefault="00985766" w:rsidP="00F65BD4">
      <w:pPr>
        <w:pStyle w:val="ListParagraph"/>
        <w:numPr>
          <w:ilvl w:val="0"/>
          <w:numId w:val="4"/>
        </w:numPr>
        <w:ind w:left="1134"/>
        <w:jc w:val="both"/>
      </w:pPr>
      <w:r w:rsidRPr="001F5B6E">
        <w:t>Omalizumab 398 mg by SC injection every 4 weeks over 1 year (dosed at 2 or 4 weeks depending on patient weight and immunoglobulin E levels; 13 doses).</w:t>
      </w:r>
    </w:p>
    <w:p w14:paraId="08353F9E" w14:textId="4D2BEF2E" w:rsidR="00985766" w:rsidRPr="00CC6663" w:rsidRDefault="00985766" w:rsidP="00F65BD4">
      <w:pPr>
        <w:numPr>
          <w:ilvl w:val="1"/>
          <w:numId w:val="1"/>
        </w:numPr>
        <w:spacing w:before="60" w:after="60"/>
        <w:ind w:left="709"/>
        <w:rPr>
          <w:rFonts w:asciiTheme="minorHAnsi" w:eastAsiaTheme="minorHAnsi" w:hAnsiTheme="minorHAnsi" w:cstheme="minorBidi"/>
          <w:szCs w:val="22"/>
        </w:rPr>
      </w:pPr>
      <w:r w:rsidRPr="00CC6663">
        <w:rPr>
          <w:rFonts w:asciiTheme="minorHAnsi" w:eastAsiaTheme="minorHAnsi" w:hAnsiTheme="minorHAnsi" w:cstheme="minorBidi"/>
          <w:szCs w:val="22"/>
        </w:rPr>
        <w:t xml:space="preserve">The proposed </w:t>
      </w:r>
      <w:proofErr w:type="spellStart"/>
      <w:r w:rsidRPr="00CC6663">
        <w:rPr>
          <w:rFonts w:asciiTheme="minorHAnsi" w:eastAsiaTheme="minorHAnsi" w:hAnsiTheme="minorHAnsi" w:cstheme="minorBidi"/>
          <w:szCs w:val="22"/>
        </w:rPr>
        <w:t>equi</w:t>
      </w:r>
      <w:proofErr w:type="spellEnd"/>
      <w:r w:rsidRPr="00CC6663">
        <w:rPr>
          <w:rFonts w:asciiTheme="minorHAnsi" w:eastAsiaTheme="minorHAnsi" w:hAnsiTheme="minorHAnsi" w:cstheme="minorBidi"/>
          <w:szCs w:val="22"/>
        </w:rPr>
        <w:t xml:space="preserve">-effective doses for </w:t>
      </w:r>
      <w:proofErr w:type="spellStart"/>
      <w:r w:rsidRPr="00CC6663">
        <w:rPr>
          <w:rFonts w:asciiTheme="minorHAnsi" w:eastAsiaTheme="minorHAnsi" w:hAnsiTheme="minorHAnsi" w:cstheme="minorBidi"/>
          <w:szCs w:val="22"/>
        </w:rPr>
        <w:t>tezepelumab</w:t>
      </w:r>
      <w:proofErr w:type="spellEnd"/>
      <w:r w:rsidRPr="00CC6663">
        <w:rPr>
          <w:rFonts w:asciiTheme="minorHAnsi" w:eastAsiaTheme="minorHAnsi" w:hAnsiTheme="minorHAnsi" w:cstheme="minorBidi"/>
          <w:szCs w:val="22"/>
        </w:rPr>
        <w:t xml:space="preserve"> were based on the fixed-dose regimen used in the NAVIGATOR and SOURCE trials and the relevant 210 mg every 4 weeks treatment group in the dose-ranging PATHWAY trial. </w:t>
      </w:r>
      <w:r w:rsidRPr="00EE227E">
        <w:rPr>
          <w:rFonts w:asciiTheme="minorHAnsi" w:eastAsiaTheme="minorHAnsi" w:hAnsiTheme="minorHAnsi" w:cstheme="minorBidi"/>
          <w:iCs/>
          <w:szCs w:val="22"/>
        </w:rPr>
        <w:t>Th</w:t>
      </w:r>
      <w:r w:rsidR="005B5E19" w:rsidRPr="00EE227E">
        <w:rPr>
          <w:rFonts w:asciiTheme="minorHAnsi" w:eastAsiaTheme="minorHAnsi" w:hAnsiTheme="minorHAnsi" w:cstheme="minorBidi"/>
          <w:iCs/>
          <w:szCs w:val="22"/>
        </w:rPr>
        <w:t xml:space="preserve">e </w:t>
      </w:r>
      <w:r w:rsidR="00BE3F40" w:rsidRPr="00EE227E">
        <w:rPr>
          <w:rFonts w:asciiTheme="minorHAnsi" w:eastAsiaTheme="minorHAnsi" w:hAnsiTheme="minorHAnsi" w:cstheme="minorBidi"/>
          <w:iCs/>
          <w:szCs w:val="22"/>
        </w:rPr>
        <w:t>ESC</w:t>
      </w:r>
      <w:r w:rsidR="005B5E19" w:rsidRPr="00EE227E">
        <w:rPr>
          <w:rFonts w:asciiTheme="minorHAnsi" w:eastAsiaTheme="minorHAnsi" w:hAnsiTheme="minorHAnsi" w:cstheme="minorBidi"/>
          <w:iCs/>
          <w:szCs w:val="22"/>
        </w:rPr>
        <w:t xml:space="preserve"> considered that this</w:t>
      </w:r>
      <w:r w:rsidRPr="00EE227E">
        <w:rPr>
          <w:rFonts w:asciiTheme="minorHAnsi" w:eastAsiaTheme="minorHAnsi" w:hAnsiTheme="minorHAnsi" w:cstheme="minorBidi"/>
          <w:iCs/>
          <w:szCs w:val="22"/>
        </w:rPr>
        <w:t xml:space="preserve"> </w:t>
      </w:r>
      <w:r w:rsidRPr="005B5E19">
        <w:rPr>
          <w:rFonts w:asciiTheme="minorHAnsi" w:eastAsiaTheme="minorHAnsi" w:hAnsiTheme="minorHAnsi" w:cstheme="minorBidi"/>
          <w:szCs w:val="22"/>
        </w:rPr>
        <w:t>was reasonable.</w:t>
      </w:r>
      <w:r w:rsidRPr="00CC6663">
        <w:rPr>
          <w:rFonts w:asciiTheme="minorHAnsi" w:eastAsiaTheme="minorHAnsi" w:hAnsiTheme="minorHAnsi" w:cstheme="minorBidi"/>
          <w:szCs w:val="22"/>
        </w:rPr>
        <w:t xml:space="preserve"> The proposed </w:t>
      </w:r>
      <w:proofErr w:type="spellStart"/>
      <w:r w:rsidRPr="00CC6663">
        <w:rPr>
          <w:rFonts w:asciiTheme="minorHAnsi" w:eastAsiaTheme="minorHAnsi" w:hAnsiTheme="minorHAnsi" w:cstheme="minorBidi"/>
          <w:szCs w:val="22"/>
        </w:rPr>
        <w:t>equi</w:t>
      </w:r>
      <w:proofErr w:type="spellEnd"/>
      <w:r w:rsidRPr="00CC6663">
        <w:rPr>
          <w:rFonts w:asciiTheme="minorHAnsi" w:eastAsiaTheme="minorHAnsi" w:hAnsiTheme="minorHAnsi" w:cstheme="minorBidi"/>
          <w:szCs w:val="22"/>
        </w:rPr>
        <w:t xml:space="preserve">-effective doses for dupilumab, </w:t>
      </w:r>
      <w:proofErr w:type="spellStart"/>
      <w:r w:rsidRPr="00CC6663">
        <w:rPr>
          <w:rFonts w:asciiTheme="minorHAnsi" w:eastAsiaTheme="minorHAnsi" w:hAnsiTheme="minorHAnsi" w:cstheme="minorBidi"/>
          <w:szCs w:val="22"/>
        </w:rPr>
        <w:t>benralizumab</w:t>
      </w:r>
      <w:proofErr w:type="spellEnd"/>
      <w:r w:rsidRPr="00CC6663">
        <w:rPr>
          <w:rFonts w:asciiTheme="minorHAnsi" w:eastAsiaTheme="minorHAnsi" w:hAnsiTheme="minorHAnsi" w:cstheme="minorBidi"/>
          <w:szCs w:val="22"/>
        </w:rPr>
        <w:t xml:space="preserve">, mepolizumab and omalizumab were the same as the </w:t>
      </w:r>
      <w:proofErr w:type="spellStart"/>
      <w:r w:rsidRPr="00CC6663">
        <w:rPr>
          <w:rFonts w:asciiTheme="minorHAnsi" w:eastAsiaTheme="minorHAnsi" w:hAnsiTheme="minorHAnsi" w:cstheme="minorBidi"/>
          <w:szCs w:val="22"/>
        </w:rPr>
        <w:t>equi</w:t>
      </w:r>
      <w:proofErr w:type="spellEnd"/>
      <w:r w:rsidRPr="00CC6663">
        <w:rPr>
          <w:rFonts w:asciiTheme="minorHAnsi" w:eastAsiaTheme="minorHAnsi" w:hAnsiTheme="minorHAnsi" w:cstheme="minorBidi"/>
          <w:szCs w:val="22"/>
        </w:rPr>
        <w:t xml:space="preserve">-effective doses accepted by the PBAC at its November 2020 meeting when considering the dupilumab submission (para. 7.10, dupilumab PSD, PBAC November 2020 Meeting). </w:t>
      </w:r>
      <w:r w:rsidRPr="00EE227E">
        <w:rPr>
          <w:rFonts w:asciiTheme="minorHAnsi" w:eastAsiaTheme="minorHAnsi" w:hAnsiTheme="minorHAnsi" w:cstheme="minorBidi"/>
          <w:iCs/>
          <w:szCs w:val="22"/>
        </w:rPr>
        <w:t>Th</w:t>
      </w:r>
      <w:r w:rsidR="003F177C" w:rsidRPr="00EE227E">
        <w:rPr>
          <w:rFonts w:asciiTheme="minorHAnsi" w:eastAsiaTheme="minorHAnsi" w:hAnsiTheme="minorHAnsi" w:cstheme="minorBidi"/>
          <w:iCs/>
          <w:szCs w:val="22"/>
        </w:rPr>
        <w:t xml:space="preserve">e </w:t>
      </w:r>
      <w:r w:rsidR="00BE3F40" w:rsidRPr="00EE227E">
        <w:rPr>
          <w:rFonts w:asciiTheme="minorHAnsi" w:eastAsiaTheme="minorHAnsi" w:hAnsiTheme="minorHAnsi" w:cstheme="minorBidi"/>
          <w:iCs/>
          <w:szCs w:val="22"/>
        </w:rPr>
        <w:t>ESC</w:t>
      </w:r>
      <w:r w:rsidR="003F177C" w:rsidRPr="00EE227E">
        <w:rPr>
          <w:rFonts w:asciiTheme="minorHAnsi" w:eastAsiaTheme="minorHAnsi" w:hAnsiTheme="minorHAnsi" w:cstheme="minorBidi"/>
          <w:iCs/>
          <w:szCs w:val="22"/>
        </w:rPr>
        <w:t xml:space="preserve"> considered that this</w:t>
      </w:r>
      <w:r w:rsidRPr="00CC6663">
        <w:rPr>
          <w:rFonts w:asciiTheme="minorHAnsi" w:eastAsiaTheme="minorHAnsi" w:hAnsiTheme="minorHAnsi" w:cstheme="minorBidi"/>
          <w:szCs w:val="22"/>
        </w:rPr>
        <w:t xml:space="preserve"> was reasonable.</w:t>
      </w:r>
    </w:p>
    <w:p w14:paraId="7DD64F1C" w14:textId="77777777" w:rsidR="00985766" w:rsidRPr="001C4B49" w:rsidRDefault="00985766" w:rsidP="00F65BD4">
      <w:pPr>
        <w:numPr>
          <w:ilvl w:val="1"/>
          <w:numId w:val="1"/>
        </w:numPr>
        <w:spacing w:before="60" w:after="60"/>
        <w:ind w:left="709"/>
        <w:rPr>
          <w:rFonts w:asciiTheme="minorHAnsi" w:eastAsiaTheme="minorHAnsi" w:hAnsiTheme="minorHAnsi" w:cstheme="minorBidi"/>
          <w:szCs w:val="22"/>
        </w:rPr>
      </w:pPr>
      <w:r w:rsidRPr="00CC6663">
        <w:rPr>
          <w:rFonts w:asciiTheme="minorHAnsi" w:eastAsiaTheme="minorHAnsi" w:hAnsiTheme="minorHAnsi" w:cstheme="minorBidi"/>
          <w:szCs w:val="22"/>
        </w:rPr>
        <w:t xml:space="preserve">The cost-minimisation approach used a time horizon of 1 year. </w:t>
      </w:r>
      <w:r w:rsidRPr="001C4B49">
        <w:rPr>
          <w:rFonts w:asciiTheme="minorHAnsi" w:eastAsiaTheme="minorHAnsi" w:hAnsiTheme="minorHAnsi" w:cstheme="minorBidi"/>
          <w:szCs w:val="22"/>
        </w:rPr>
        <w:t xml:space="preserve">This was consistent with the duration of the </w:t>
      </w:r>
      <w:proofErr w:type="spellStart"/>
      <w:r w:rsidRPr="001C4B49">
        <w:rPr>
          <w:rFonts w:asciiTheme="minorHAnsi" w:eastAsiaTheme="minorHAnsi" w:hAnsiTheme="minorHAnsi" w:cstheme="minorBidi"/>
          <w:szCs w:val="22"/>
        </w:rPr>
        <w:t>tezepelumab</w:t>
      </w:r>
      <w:proofErr w:type="spellEnd"/>
      <w:r w:rsidRPr="001C4B49">
        <w:rPr>
          <w:rFonts w:asciiTheme="minorHAnsi" w:eastAsiaTheme="minorHAnsi" w:hAnsiTheme="minorHAnsi" w:cstheme="minorBidi"/>
          <w:szCs w:val="22"/>
        </w:rPr>
        <w:t xml:space="preserve"> trials. The PBAC previously accepted a 1-year time horizon for the cost-minimisation approach in the assessment of dupilumab (para. 7.9, dupilumab PSD, November 2020 PBAC Meeting).</w:t>
      </w:r>
    </w:p>
    <w:p w14:paraId="21A5E6A6" w14:textId="77777777" w:rsidR="00985766" w:rsidRPr="004F56D0" w:rsidRDefault="00985766" w:rsidP="00F65BD4">
      <w:pPr>
        <w:numPr>
          <w:ilvl w:val="1"/>
          <w:numId w:val="1"/>
        </w:numPr>
        <w:spacing w:after="120"/>
        <w:ind w:left="709"/>
        <w:rPr>
          <w:rFonts w:asciiTheme="minorHAnsi" w:eastAsiaTheme="minorHAnsi" w:hAnsiTheme="minorHAnsi" w:cstheme="minorBidi"/>
          <w:szCs w:val="22"/>
        </w:rPr>
      </w:pPr>
      <w:r w:rsidRPr="004F56D0">
        <w:rPr>
          <w:rFonts w:asciiTheme="minorHAnsi" w:eastAsiaTheme="minorHAnsi" w:hAnsiTheme="minorHAnsi" w:cstheme="minorBidi"/>
          <w:szCs w:val="22"/>
        </w:rPr>
        <w:t xml:space="preserve">The submission accounted for the loading dose(s) relating to dupilumab. The inclusion of the fixed loading doses in estimating the </w:t>
      </w:r>
      <w:proofErr w:type="spellStart"/>
      <w:r w:rsidRPr="004F56D0">
        <w:rPr>
          <w:rFonts w:asciiTheme="minorHAnsi" w:eastAsiaTheme="minorHAnsi" w:hAnsiTheme="minorHAnsi" w:cstheme="minorBidi"/>
          <w:szCs w:val="22"/>
        </w:rPr>
        <w:t>equi</w:t>
      </w:r>
      <w:proofErr w:type="spellEnd"/>
      <w:r w:rsidRPr="004F56D0">
        <w:rPr>
          <w:rFonts w:asciiTheme="minorHAnsi" w:eastAsiaTheme="minorHAnsi" w:hAnsiTheme="minorHAnsi" w:cstheme="minorBidi"/>
          <w:szCs w:val="22"/>
        </w:rPr>
        <w:t xml:space="preserve">-effective doses was consistent with the previous PBAC consideration of dupilumab (para. 7.9, dupilumab PSD, November 2020 PBAC Meeting). </w:t>
      </w:r>
    </w:p>
    <w:p w14:paraId="748E4358" w14:textId="77777777" w:rsidR="00985766" w:rsidRPr="004F56D0" w:rsidRDefault="00985766" w:rsidP="00F65BD4">
      <w:pPr>
        <w:numPr>
          <w:ilvl w:val="1"/>
          <w:numId w:val="1"/>
        </w:numPr>
        <w:spacing w:after="120"/>
        <w:ind w:left="709"/>
        <w:rPr>
          <w:rFonts w:asciiTheme="minorHAnsi" w:eastAsiaTheme="minorHAnsi" w:hAnsiTheme="minorHAnsi" w:cstheme="minorBidi"/>
          <w:szCs w:val="22"/>
        </w:rPr>
      </w:pPr>
      <w:r w:rsidRPr="004F56D0">
        <w:rPr>
          <w:rFonts w:asciiTheme="minorHAnsi" w:eastAsiaTheme="minorHAnsi" w:hAnsiTheme="minorHAnsi" w:cstheme="minorBidi"/>
          <w:szCs w:val="22"/>
        </w:rPr>
        <w:t>Tezepelumab and dupilumab were assumed to incur a one-off injection training cost (MBS item 82215). The PBAC had previously considered it appropriate to include a one-off SC injection training cost for patients or carers before self-injection (para. 7.10, dupilumab PSD, November 2020 PBAC Meeting).</w:t>
      </w:r>
    </w:p>
    <w:p w14:paraId="10BA8D65" w14:textId="67062EE4" w:rsidR="00985766" w:rsidRPr="004F56D0" w:rsidRDefault="00985766" w:rsidP="00F65BD4">
      <w:pPr>
        <w:numPr>
          <w:ilvl w:val="1"/>
          <w:numId w:val="1"/>
        </w:numPr>
        <w:spacing w:before="60" w:after="60"/>
        <w:ind w:left="709"/>
        <w:rPr>
          <w:rFonts w:asciiTheme="minorHAnsi" w:eastAsiaTheme="minorHAnsi" w:hAnsiTheme="minorHAnsi" w:cstheme="minorBidi"/>
          <w:szCs w:val="22"/>
        </w:rPr>
      </w:pPr>
      <w:r w:rsidRPr="004F56D0">
        <w:rPr>
          <w:rFonts w:asciiTheme="minorHAnsi" w:eastAsiaTheme="minorHAnsi" w:hAnsiTheme="minorHAnsi" w:cstheme="minorHAnsi"/>
        </w:rPr>
        <w:fldChar w:fldCharType="begin"/>
      </w:r>
      <w:r w:rsidRPr="004F56D0">
        <w:rPr>
          <w:rFonts w:asciiTheme="minorHAnsi" w:eastAsiaTheme="minorHAnsi" w:hAnsiTheme="minorHAnsi" w:cstheme="minorHAnsi"/>
        </w:rPr>
        <w:instrText xml:space="preserve"> REF _Ref205931026 \h </w:instrText>
      </w:r>
      <w:r w:rsidRPr="0039203D">
        <w:rPr>
          <w:rFonts w:asciiTheme="minorHAnsi" w:eastAsiaTheme="minorHAnsi" w:hAnsiTheme="minorHAnsi" w:cstheme="minorHAnsi"/>
        </w:rPr>
        <w:instrText xml:space="preserve"> \* MERGEFORMAT </w:instrText>
      </w:r>
      <w:r w:rsidRPr="004F56D0">
        <w:rPr>
          <w:rFonts w:asciiTheme="minorHAnsi" w:eastAsiaTheme="minorHAnsi" w:hAnsiTheme="minorHAnsi" w:cstheme="minorHAnsi"/>
        </w:rPr>
      </w:r>
      <w:r w:rsidRPr="004F56D0">
        <w:rPr>
          <w:rFonts w:asciiTheme="minorHAnsi" w:eastAsiaTheme="minorHAnsi" w:hAnsiTheme="minorHAnsi" w:cstheme="minorHAnsi"/>
        </w:rPr>
        <w:fldChar w:fldCharType="separate"/>
      </w:r>
      <w:r w:rsidR="0078760A" w:rsidRPr="0078760A">
        <w:rPr>
          <w:rFonts w:asciiTheme="minorHAnsi" w:hAnsiTheme="minorHAnsi" w:cstheme="minorHAnsi"/>
        </w:rPr>
        <w:t xml:space="preserve">Table </w:t>
      </w:r>
      <w:r w:rsidR="0078760A" w:rsidRPr="0078760A">
        <w:rPr>
          <w:rFonts w:asciiTheme="minorHAnsi" w:hAnsiTheme="minorHAnsi" w:cstheme="minorHAnsi"/>
          <w:noProof/>
        </w:rPr>
        <w:t>17</w:t>
      </w:r>
      <w:r w:rsidRPr="004F56D0">
        <w:rPr>
          <w:rFonts w:asciiTheme="minorHAnsi" w:eastAsiaTheme="minorHAnsi" w:hAnsiTheme="minorHAnsi" w:cstheme="minorHAnsi"/>
        </w:rPr>
        <w:fldChar w:fldCharType="end"/>
      </w:r>
      <w:r w:rsidRPr="004F56D0">
        <w:rPr>
          <w:rFonts w:asciiTheme="minorHAnsi" w:eastAsiaTheme="minorHAnsi" w:hAnsiTheme="minorHAnsi" w:cstheme="minorBidi"/>
          <w:szCs w:val="22"/>
        </w:rPr>
        <w:t xml:space="preserve"> presents the cost-minimisation approach of </w:t>
      </w:r>
      <w:proofErr w:type="spellStart"/>
      <w:r w:rsidRPr="004F56D0">
        <w:rPr>
          <w:rFonts w:asciiTheme="minorHAnsi" w:eastAsiaTheme="minorHAnsi" w:hAnsiTheme="minorHAnsi" w:cstheme="minorBidi"/>
          <w:szCs w:val="22"/>
        </w:rPr>
        <w:t>tezepelumab</w:t>
      </w:r>
      <w:proofErr w:type="spellEnd"/>
      <w:r w:rsidRPr="004F56D0">
        <w:rPr>
          <w:rFonts w:asciiTheme="minorHAnsi" w:eastAsiaTheme="minorHAnsi" w:hAnsiTheme="minorHAnsi" w:cstheme="minorBidi"/>
          <w:szCs w:val="22"/>
        </w:rPr>
        <w:t xml:space="preserve"> versus dupilumab based on the published price of dupilumab.</w:t>
      </w:r>
    </w:p>
    <w:p w14:paraId="5FCF0A12" w14:textId="5C5282CA" w:rsidR="00985766" w:rsidRPr="004F56D0" w:rsidRDefault="00985766" w:rsidP="00C72373">
      <w:pPr>
        <w:pStyle w:val="TableFigureHeading"/>
      </w:pPr>
      <w:bookmarkStart w:id="101" w:name="_Ref205931026"/>
      <w:r w:rsidRPr="004F56D0">
        <w:t xml:space="preserve">Table </w:t>
      </w:r>
      <w:r w:rsidR="001146FA">
        <w:fldChar w:fldCharType="begin"/>
      </w:r>
      <w:r w:rsidR="001146FA">
        <w:instrText xml:space="preserve"> SEQ Table \* ARABIC </w:instrText>
      </w:r>
      <w:r w:rsidR="001146FA">
        <w:fldChar w:fldCharType="separate"/>
      </w:r>
      <w:r w:rsidR="0078760A">
        <w:rPr>
          <w:noProof/>
        </w:rPr>
        <w:t>17</w:t>
      </w:r>
      <w:r w:rsidR="001146FA">
        <w:rPr>
          <w:noProof/>
        </w:rPr>
        <w:fldChar w:fldCharType="end"/>
      </w:r>
      <w:bookmarkEnd w:id="101"/>
      <w:r w:rsidRPr="004F56D0">
        <w:t xml:space="preserve"> Cost-minimisation approach of </w:t>
      </w:r>
      <w:proofErr w:type="spellStart"/>
      <w:r w:rsidRPr="004F56D0">
        <w:t>tezepelumab</w:t>
      </w:r>
      <w:proofErr w:type="spellEnd"/>
      <w:r w:rsidRPr="004F56D0">
        <w:t xml:space="preserve"> vs. dupilumab (</w:t>
      </w:r>
      <w:r w:rsidR="00974BD8">
        <w:t>published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Caption w:val="Cost-minimisation approach of tezepelumab vs. dupilumab (published price)"/>
      </w:tblPr>
      <w:tblGrid>
        <w:gridCol w:w="4390"/>
        <w:gridCol w:w="2411"/>
        <w:gridCol w:w="2216"/>
      </w:tblGrid>
      <w:tr w:rsidR="00985766" w:rsidRPr="00BA31AB" w14:paraId="1D3DD1A8" w14:textId="77777777">
        <w:trPr>
          <w:tblHeader/>
        </w:trPr>
        <w:tc>
          <w:tcPr>
            <w:tcW w:w="2434" w:type="pct"/>
          </w:tcPr>
          <w:p w14:paraId="24C23F17" w14:textId="77777777" w:rsidR="00985766" w:rsidRPr="00BA31AB" w:rsidRDefault="00985766" w:rsidP="00C72373">
            <w:pPr>
              <w:keepNext/>
              <w:keepLines/>
              <w:widowControl w:val="0"/>
              <w:jc w:val="center"/>
              <w:rPr>
                <w:rFonts w:ascii="Arial Narrow" w:eastAsiaTheme="majorEastAsia" w:hAnsi="Arial Narrow" w:cstheme="majorBidi"/>
                <w:b/>
                <w:bCs/>
                <w:sz w:val="20"/>
              </w:rPr>
            </w:pPr>
            <w:r w:rsidRPr="00BA31AB">
              <w:rPr>
                <w:rFonts w:ascii="Arial Narrow" w:eastAsiaTheme="majorEastAsia" w:hAnsi="Arial Narrow" w:cstheme="majorBidi"/>
                <w:b/>
                <w:bCs/>
                <w:sz w:val="20"/>
              </w:rPr>
              <w:t>Parameter</w:t>
            </w:r>
          </w:p>
        </w:tc>
        <w:tc>
          <w:tcPr>
            <w:tcW w:w="2566" w:type="pct"/>
            <w:gridSpan w:val="2"/>
          </w:tcPr>
          <w:p w14:paraId="4AFB1412" w14:textId="77777777" w:rsidR="00985766" w:rsidRPr="00BA31AB" w:rsidRDefault="00985766" w:rsidP="00C72373">
            <w:pPr>
              <w:keepNext/>
              <w:keepLines/>
              <w:widowControl w:val="0"/>
              <w:jc w:val="center"/>
              <w:rPr>
                <w:rFonts w:ascii="Arial Narrow" w:eastAsiaTheme="majorEastAsia" w:hAnsi="Arial Narrow" w:cstheme="majorBidi"/>
                <w:b/>
                <w:bCs/>
                <w:sz w:val="20"/>
              </w:rPr>
            </w:pPr>
          </w:p>
        </w:tc>
      </w:tr>
      <w:tr w:rsidR="00985766" w:rsidRPr="00BA31AB" w14:paraId="1E40CE2D" w14:textId="77777777">
        <w:tc>
          <w:tcPr>
            <w:tcW w:w="5000" w:type="pct"/>
            <w:gridSpan w:val="3"/>
          </w:tcPr>
          <w:p w14:paraId="67A0C8B6" w14:textId="77777777" w:rsidR="00985766" w:rsidRPr="00BA31AB" w:rsidRDefault="00985766" w:rsidP="00C72373">
            <w:pPr>
              <w:keepNext/>
              <w:keepLines/>
              <w:widowControl w:val="0"/>
              <w:jc w:val="left"/>
              <w:rPr>
                <w:rFonts w:ascii="Arial Narrow" w:eastAsiaTheme="majorEastAsia" w:hAnsi="Arial Narrow" w:cstheme="majorBidi"/>
                <w:b/>
                <w:bCs/>
                <w:sz w:val="20"/>
              </w:rPr>
            </w:pPr>
            <w:r w:rsidRPr="00BA31AB">
              <w:rPr>
                <w:rFonts w:ascii="Arial Narrow" w:eastAsiaTheme="majorEastAsia" w:hAnsi="Arial Narrow" w:cstheme="majorBidi"/>
                <w:b/>
                <w:bCs/>
                <w:sz w:val="20"/>
              </w:rPr>
              <w:t>Dupilumab treatment</w:t>
            </w:r>
          </w:p>
        </w:tc>
      </w:tr>
      <w:tr w:rsidR="00985766" w:rsidRPr="00BA31AB" w14:paraId="48A0EC11" w14:textId="77777777">
        <w:tc>
          <w:tcPr>
            <w:tcW w:w="2434" w:type="pct"/>
          </w:tcPr>
          <w:p w14:paraId="373268F1" w14:textId="77777777" w:rsidR="00985766" w:rsidRPr="00BA31AB" w:rsidRDefault="00985766" w:rsidP="00C72373">
            <w:pPr>
              <w:keepNext/>
              <w:keepLines/>
              <w:widowControl w:val="0"/>
              <w:jc w:val="center"/>
              <w:rPr>
                <w:rFonts w:ascii="Arial Narrow" w:eastAsiaTheme="majorEastAsia" w:hAnsi="Arial Narrow" w:cstheme="majorBidi"/>
                <w:b/>
                <w:bCs/>
                <w:sz w:val="20"/>
              </w:rPr>
            </w:pPr>
          </w:p>
        </w:tc>
        <w:tc>
          <w:tcPr>
            <w:tcW w:w="1337" w:type="pct"/>
          </w:tcPr>
          <w:p w14:paraId="23F0C22A" w14:textId="77777777" w:rsidR="00985766" w:rsidRPr="00BA31AB" w:rsidRDefault="00985766" w:rsidP="00C72373">
            <w:pPr>
              <w:keepNext/>
              <w:keepLines/>
              <w:widowControl w:val="0"/>
              <w:jc w:val="center"/>
              <w:rPr>
                <w:rFonts w:ascii="Arial Narrow" w:eastAsiaTheme="majorEastAsia" w:hAnsi="Arial Narrow" w:cstheme="majorBidi"/>
                <w:b/>
                <w:bCs/>
                <w:sz w:val="20"/>
              </w:rPr>
            </w:pPr>
            <w:r w:rsidRPr="00BA31AB">
              <w:rPr>
                <w:rFonts w:ascii="Arial Narrow" w:eastAsiaTheme="majorEastAsia" w:hAnsi="Arial Narrow" w:cstheme="majorBidi"/>
                <w:b/>
                <w:bCs/>
                <w:sz w:val="20"/>
              </w:rPr>
              <w:t>Dupilumab 200 mg every 2 weeks</w:t>
            </w:r>
          </w:p>
          <w:p w14:paraId="66558C37" w14:textId="77777777" w:rsidR="00985766" w:rsidRPr="00BA31AB" w:rsidRDefault="00985766" w:rsidP="00C72373">
            <w:pPr>
              <w:keepNext/>
              <w:keepLines/>
              <w:widowControl w:val="0"/>
              <w:jc w:val="center"/>
              <w:rPr>
                <w:rFonts w:ascii="Arial Narrow" w:eastAsiaTheme="majorEastAsia" w:hAnsi="Arial Narrow" w:cstheme="majorBidi"/>
                <w:b/>
                <w:bCs/>
                <w:sz w:val="20"/>
              </w:rPr>
            </w:pPr>
            <w:r w:rsidRPr="00BA31AB">
              <w:rPr>
                <w:rFonts w:ascii="Arial Narrow" w:eastAsiaTheme="majorEastAsia" w:hAnsi="Arial Narrow" w:cstheme="majorBidi"/>
                <w:b/>
                <w:bCs/>
                <w:sz w:val="20"/>
              </w:rPr>
              <w:t>(Non-OCS-dependent)</w:t>
            </w:r>
          </w:p>
        </w:tc>
        <w:tc>
          <w:tcPr>
            <w:tcW w:w="1229" w:type="pct"/>
          </w:tcPr>
          <w:p w14:paraId="7AF0F457" w14:textId="77777777" w:rsidR="00985766" w:rsidRPr="00BA31AB" w:rsidRDefault="00985766" w:rsidP="00C72373">
            <w:pPr>
              <w:keepNext/>
              <w:keepLines/>
              <w:widowControl w:val="0"/>
              <w:jc w:val="center"/>
              <w:rPr>
                <w:rFonts w:ascii="Arial Narrow" w:eastAsiaTheme="majorEastAsia" w:hAnsi="Arial Narrow" w:cstheme="majorBidi"/>
                <w:b/>
                <w:bCs/>
                <w:sz w:val="20"/>
              </w:rPr>
            </w:pPr>
            <w:r w:rsidRPr="00BA31AB">
              <w:rPr>
                <w:rFonts w:ascii="Arial Narrow" w:eastAsiaTheme="majorEastAsia" w:hAnsi="Arial Narrow" w:cstheme="majorBidi"/>
                <w:b/>
                <w:bCs/>
                <w:sz w:val="20"/>
              </w:rPr>
              <w:t>Dupilumab 300 mg every 2 weeks</w:t>
            </w:r>
          </w:p>
          <w:p w14:paraId="08DAB00F" w14:textId="77777777" w:rsidR="00985766" w:rsidRPr="00BA31AB" w:rsidRDefault="00985766" w:rsidP="00C72373">
            <w:pPr>
              <w:keepNext/>
              <w:keepLines/>
              <w:widowControl w:val="0"/>
              <w:jc w:val="center"/>
              <w:rPr>
                <w:rFonts w:ascii="Arial Narrow" w:eastAsiaTheme="majorEastAsia" w:hAnsi="Arial Narrow" w:cstheme="majorBidi"/>
                <w:b/>
                <w:bCs/>
                <w:sz w:val="20"/>
              </w:rPr>
            </w:pPr>
            <w:r w:rsidRPr="00BA31AB">
              <w:rPr>
                <w:rFonts w:ascii="Arial Narrow" w:eastAsiaTheme="majorEastAsia" w:hAnsi="Arial Narrow" w:cstheme="majorBidi"/>
                <w:b/>
                <w:bCs/>
                <w:sz w:val="20"/>
              </w:rPr>
              <w:t>(OCS-dependent)</w:t>
            </w:r>
          </w:p>
        </w:tc>
      </w:tr>
      <w:tr w:rsidR="00985766" w:rsidRPr="00BA31AB" w14:paraId="5BC19034" w14:textId="77777777">
        <w:tc>
          <w:tcPr>
            <w:tcW w:w="2434" w:type="pct"/>
          </w:tcPr>
          <w:p w14:paraId="608D1FFD"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Dose size per administration (mg)</w:t>
            </w:r>
          </w:p>
        </w:tc>
        <w:tc>
          <w:tcPr>
            <w:tcW w:w="1337" w:type="pct"/>
          </w:tcPr>
          <w:p w14:paraId="2111289E"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200</w:t>
            </w:r>
          </w:p>
        </w:tc>
        <w:tc>
          <w:tcPr>
            <w:tcW w:w="1229" w:type="pct"/>
          </w:tcPr>
          <w:p w14:paraId="2A500AF8"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300</w:t>
            </w:r>
          </w:p>
        </w:tc>
      </w:tr>
      <w:tr w:rsidR="00985766" w:rsidRPr="00BA31AB" w14:paraId="0E5BF6D0" w14:textId="77777777">
        <w:tc>
          <w:tcPr>
            <w:tcW w:w="2434" w:type="pct"/>
          </w:tcPr>
          <w:p w14:paraId="2BC5F901"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Drug cost/pack AEMP (S100 HSD Public) [A]</w:t>
            </w:r>
            <w:r w:rsidRPr="00BA31AB">
              <w:rPr>
                <w:rFonts w:ascii="Arial Narrow" w:eastAsiaTheme="majorEastAsia" w:hAnsi="Arial Narrow" w:cstheme="majorBidi"/>
                <w:bCs/>
                <w:sz w:val="20"/>
                <w:vertAlign w:val="superscript"/>
              </w:rPr>
              <w:t>a</w:t>
            </w:r>
          </w:p>
        </w:tc>
        <w:tc>
          <w:tcPr>
            <w:tcW w:w="1337" w:type="pct"/>
          </w:tcPr>
          <w:p w14:paraId="64EE543B"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$1,609.86</w:t>
            </w:r>
          </w:p>
        </w:tc>
        <w:tc>
          <w:tcPr>
            <w:tcW w:w="1229" w:type="pct"/>
          </w:tcPr>
          <w:p w14:paraId="26225678"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$1,609.86</w:t>
            </w:r>
          </w:p>
        </w:tc>
      </w:tr>
      <w:tr w:rsidR="00985766" w:rsidRPr="00BA31AB" w14:paraId="0EB3563D" w14:textId="77777777">
        <w:tc>
          <w:tcPr>
            <w:tcW w:w="2434" w:type="pct"/>
          </w:tcPr>
          <w:p w14:paraId="79184C65"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Number of units per Pack [B]</w:t>
            </w:r>
          </w:p>
        </w:tc>
        <w:tc>
          <w:tcPr>
            <w:tcW w:w="1337" w:type="pct"/>
          </w:tcPr>
          <w:p w14:paraId="3437BFCB"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2</w:t>
            </w:r>
          </w:p>
        </w:tc>
        <w:tc>
          <w:tcPr>
            <w:tcW w:w="1229" w:type="pct"/>
          </w:tcPr>
          <w:p w14:paraId="59C5A763"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2</w:t>
            </w:r>
          </w:p>
        </w:tc>
      </w:tr>
      <w:tr w:rsidR="00985766" w:rsidRPr="00BA31AB" w14:paraId="46B7015E" w14:textId="77777777">
        <w:tc>
          <w:tcPr>
            <w:tcW w:w="2434" w:type="pct"/>
          </w:tcPr>
          <w:p w14:paraId="11000A66"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Drug cost (AEMP) per dose [C= A/B]</w:t>
            </w:r>
          </w:p>
        </w:tc>
        <w:tc>
          <w:tcPr>
            <w:tcW w:w="1337" w:type="pct"/>
          </w:tcPr>
          <w:p w14:paraId="499BB349"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$804.93</w:t>
            </w:r>
          </w:p>
        </w:tc>
        <w:tc>
          <w:tcPr>
            <w:tcW w:w="1229" w:type="pct"/>
          </w:tcPr>
          <w:p w14:paraId="7539D540"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$804.93</w:t>
            </w:r>
          </w:p>
        </w:tc>
      </w:tr>
      <w:tr w:rsidR="00985766" w:rsidRPr="00BA31AB" w14:paraId="3D8E4E75" w14:textId="77777777">
        <w:tc>
          <w:tcPr>
            <w:tcW w:w="2434" w:type="pct"/>
          </w:tcPr>
          <w:p w14:paraId="75BC5C92"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Units required per loading dose [D]</w:t>
            </w:r>
          </w:p>
        </w:tc>
        <w:tc>
          <w:tcPr>
            <w:tcW w:w="1337" w:type="pct"/>
          </w:tcPr>
          <w:p w14:paraId="56383CAE"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2.0</w:t>
            </w:r>
          </w:p>
        </w:tc>
        <w:tc>
          <w:tcPr>
            <w:tcW w:w="1229" w:type="pct"/>
          </w:tcPr>
          <w:p w14:paraId="467CD1ED"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2.0</w:t>
            </w:r>
          </w:p>
        </w:tc>
      </w:tr>
      <w:tr w:rsidR="00985766" w:rsidRPr="00BA31AB" w14:paraId="2F2D96FB" w14:textId="77777777">
        <w:tc>
          <w:tcPr>
            <w:tcW w:w="2434" w:type="pct"/>
          </w:tcPr>
          <w:p w14:paraId="1764C4C9"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Number of maintenance doses per year [E]</w:t>
            </w:r>
          </w:p>
        </w:tc>
        <w:tc>
          <w:tcPr>
            <w:tcW w:w="1337" w:type="pct"/>
          </w:tcPr>
          <w:p w14:paraId="0FDE042D"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25 [</w:t>
            </w:r>
            <w:proofErr w:type="gramStart"/>
            <w:r w:rsidRPr="00BA31AB">
              <w:rPr>
                <w:rFonts w:ascii="Arial Narrow" w:eastAsiaTheme="majorEastAsia" w:hAnsi="Arial Narrow" w:cstheme="majorBidi"/>
                <w:bCs/>
                <w:sz w:val="20"/>
              </w:rPr>
              <w:t>=(</w:t>
            </w:r>
            <w:proofErr w:type="gramEnd"/>
            <w:r w:rsidRPr="00BA31AB">
              <w:rPr>
                <w:rFonts w:ascii="Arial Narrow" w:eastAsiaTheme="majorEastAsia" w:hAnsi="Arial Narrow" w:cstheme="majorBidi"/>
                <w:bCs/>
                <w:sz w:val="20"/>
              </w:rPr>
              <w:t>52-2)/2]</w:t>
            </w:r>
          </w:p>
        </w:tc>
        <w:tc>
          <w:tcPr>
            <w:tcW w:w="1229" w:type="pct"/>
          </w:tcPr>
          <w:p w14:paraId="5352EBD1"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25 [</w:t>
            </w:r>
            <w:proofErr w:type="gramStart"/>
            <w:r w:rsidRPr="00BA31AB">
              <w:rPr>
                <w:rFonts w:ascii="Arial Narrow" w:eastAsiaTheme="majorEastAsia" w:hAnsi="Arial Narrow" w:cstheme="majorBidi"/>
                <w:bCs/>
                <w:sz w:val="20"/>
              </w:rPr>
              <w:t>=(</w:t>
            </w:r>
            <w:proofErr w:type="gramEnd"/>
            <w:r w:rsidRPr="00BA31AB">
              <w:rPr>
                <w:rFonts w:ascii="Arial Narrow" w:eastAsiaTheme="majorEastAsia" w:hAnsi="Arial Narrow" w:cstheme="majorBidi"/>
                <w:bCs/>
                <w:sz w:val="20"/>
              </w:rPr>
              <w:t>52-2)/2]</w:t>
            </w:r>
          </w:p>
        </w:tc>
      </w:tr>
      <w:tr w:rsidR="00985766" w:rsidRPr="00BA31AB" w14:paraId="4A40ACDD" w14:textId="77777777">
        <w:tc>
          <w:tcPr>
            <w:tcW w:w="2434" w:type="pct"/>
          </w:tcPr>
          <w:p w14:paraId="0305DDCD"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Number of units required [F= D+E]</w:t>
            </w:r>
          </w:p>
        </w:tc>
        <w:tc>
          <w:tcPr>
            <w:tcW w:w="1337" w:type="pct"/>
          </w:tcPr>
          <w:p w14:paraId="131AA0F2"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27.0</w:t>
            </w:r>
          </w:p>
        </w:tc>
        <w:tc>
          <w:tcPr>
            <w:tcW w:w="1229" w:type="pct"/>
          </w:tcPr>
          <w:p w14:paraId="7F9D227A"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27.0</w:t>
            </w:r>
          </w:p>
        </w:tc>
      </w:tr>
      <w:tr w:rsidR="00985766" w:rsidRPr="00BA31AB" w14:paraId="7A3D5138" w14:textId="77777777">
        <w:tc>
          <w:tcPr>
            <w:tcW w:w="2434" w:type="pct"/>
          </w:tcPr>
          <w:p w14:paraId="2E346E95" w14:textId="77777777" w:rsidR="00985766" w:rsidRPr="00BA31AB" w:rsidRDefault="00985766" w:rsidP="00C72373">
            <w:pPr>
              <w:keepNext/>
              <w:keepLines/>
              <w:widowControl w:val="0"/>
              <w:jc w:val="left"/>
              <w:rPr>
                <w:rFonts w:ascii="Arial Narrow" w:eastAsiaTheme="majorEastAsia" w:hAnsi="Arial Narrow" w:cstheme="majorBidi"/>
                <w:b/>
                <w:sz w:val="20"/>
              </w:rPr>
            </w:pPr>
            <w:r w:rsidRPr="00BA31AB">
              <w:rPr>
                <w:rFonts w:ascii="Arial Narrow" w:eastAsiaTheme="majorEastAsia" w:hAnsi="Arial Narrow" w:cstheme="majorBidi"/>
                <w:b/>
                <w:sz w:val="20"/>
              </w:rPr>
              <w:t>Total annual drug cost [G=C x F]</w:t>
            </w:r>
          </w:p>
        </w:tc>
        <w:tc>
          <w:tcPr>
            <w:tcW w:w="1337" w:type="pct"/>
          </w:tcPr>
          <w:p w14:paraId="2C830ADE"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
                <w:sz w:val="20"/>
              </w:rPr>
              <w:t>$21,733.11</w:t>
            </w:r>
          </w:p>
        </w:tc>
        <w:tc>
          <w:tcPr>
            <w:tcW w:w="1229" w:type="pct"/>
          </w:tcPr>
          <w:p w14:paraId="3A44BE17"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
                <w:sz w:val="20"/>
              </w:rPr>
              <w:t>$21,733.11</w:t>
            </w:r>
          </w:p>
        </w:tc>
      </w:tr>
      <w:tr w:rsidR="00985766" w:rsidRPr="00BA31AB" w14:paraId="7694AFB6" w14:textId="77777777">
        <w:tc>
          <w:tcPr>
            <w:tcW w:w="2434" w:type="pct"/>
            <w:vAlign w:val="center"/>
          </w:tcPr>
          <w:p w14:paraId="1D61BB85"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Subcutaneous injection training (MBS Item 82215) [H]</w:t>
            </w:r>
          </w:p>
        </w:tc>
        <w:tc>
          <w:tcPr>
            <w:tcW w:w="1337" w:type="pct"/>
          </w:tcPr>
          <w:p w14:paraId="49639FA1"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$86.80</w:t>
            </w:r>
          </w:p>
          <w:p w14:paraId="0DEFB3D1" w14:textId="66A2EC71" w:rsidR="00985766" w:rsidRPr="00BA31AB" w:rsidRDefault="00985766" w:rsidP="00C72373">
            <w:pPr>
              <w:keepNext/>
              <w:keepLines/>
              <w:widowControl w:val="0"/>
              <w:jc w:val="center"/>
              <w:rPr>
                <w:rFonts w:ascii="Arial Narrow" w:eastAsiaTheme="majorEastAsia" w:hAnsi="Arial Narrow" w:cstheme="majorBidi"/>
                <w:bCs/>
                <w:sz w:val="20"/>
                <w:vertAlign w:val="superscript"/>
              </w:rPr>
            </w:pPr>
            <w:r w:rsidRPr="00BA31AB">
              <w:rPr>
                <w:rFonts w:ascii="Arial Narrow" w:eastAsiaTheme="majorEastAsia" w:hAnsi="Arial Narrow" w:cstheme="majorBidi"/>
                <w:bCs/>
                <w:sz w:val="20"/>
              </w:rPr>
              <w:t>$88.90</w:t>
            </w:r>
            <w:r w:rsidR="006F7886" w:rsidRPr="00BA31AB">
              <w:rPr>
                <w:rFonts w:ascii="Arial Narrow" w:eastAsiaTheme="majorEastAsia" w:hAnsi="Arial Narrow" w:cstheme="majorBidi"/>
                <w:bCs/>
                <w:sz w:val="20"/>
                <w:vertAlign w:val="superscript"/>
              </w:rPr>
              <w:t>c</w:t>
            </w:r>
          </w:p>
        </w:tc>
        <w:tc>
          <w:tcPr>
            <w:tcW w:w="1229" w:type="pct"/>
          </w:tcPr>
          <w:p w14:paraId="3FD2019D" w14:textId="13559A79" w:rsidR="00985766" w:rsidRPr="00BA31AB" w:rsidRDefault="00985766" w:rsidP="00C72373">
            <w:pPr>
              <w:keepNext/>
              <w:keepLines/>
              <w:widowControl w:val="0"/>
              <w:jc w:val="center"/>
              <w:rPr>
                <w:rFonts w:ascii="Arial Narrow" w:eastAsiaTheme="majorEastAsia" w:hAnsi="Arial Narrow" w:cstheme="majorBidi"/>
                <w:bCs/>
                <w:sz w:val="20"/>
                <w:vertAlign w:val="superscript"/>
              </w:rPr>
            </w:pPr>
            <w:r w:rsidRPr="00BA31AB">
              <w:rPr>
                <w:rFonts w:ascii="Arial Narrow" w:eastAsiaTheme="majorEastAsia" w:hAnsi="Arial Narrow" w:cstheme="majorBidi"/>
                <w:bCs/>
                <w:sz w:val="20"/>
              </w:rPr>
              <w:t>$86.80</w:t>
            </w:r>
            <w:r w:rsidRPr="00BA31AB">
              <w:rPr>
                <w:rFonts w:ascii="Arial Narrow" w:eastAsiaTheme="majorEastAsia" w:hAnsi="Arial Narrow" w:cstheme="majorBidi"/>
                <w:bCs/>
                <w:sz w:val="20"/>
              </w:rPr>
              <w:br/>
              <w:t>$88.90</w:t>
            </w:r>
            <w:r w:rsidR="006F7886" w:rsidRPr="00BA31AB">
              <w:rPr>
                <w:rFonts w:ascii="Arial Narrow" w:eastAsiaTheme="majorEastAsia" w:hAnsi="Arial Narrow" w:cstheme="majorBidi"/>
                <w:bCs/>
                <w:sz w:val="20"/>
                <w:vertAlign w:val="superscript"/>
              </w:rPr>
              <w:t>c</w:t>
            </w:r>
          </w:p>
        </w:tc>
      </w:tr>
      <w:tr w:rsidR="00985766" w:rsidRPr="00BA31AB" w14:paraId="7DAFDBB8" w14:textId="77777777">
        <w:tc>
          <w:tcPr>
            <w:tcW w:w="2434" w:type="pct"/>
            <w:vAlign w:val="center"/>
          </w:tcPr>
          <w:p w14:paraId="4125C47D"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Administration cost per maintenance injection [I]</w:t>
            </w:r>
            <w:r w:rsidRPr="00BA31AB">
              <w:rPr>
                <w:rFonts w:ascii="Arial Narrow" w:eastAsiaTheme="majorEastAsia" w:hAnsi="Arial Narrow" w:cstheme="majorBidi"/>
                <w:bCs/>
                <w:sz w:val="20"/>
                <w:vertAlign w:val="superscript"/>
              </w:rPr>
              <w:t>b</w:t>
            </w:r>
          </w:p>
        </w:tc>
        <w:tc>
          <w:tcPr>
            <w:tcW w:w="1337" w:type="pct"/>
          </w:tcPr>
          <w:p w14:paraId="60EFD47D"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$0.0</w:t>
            </w:r>
          </w:p>
        </w:tc>
        <w:tc>
          <w:tcPr>
            <w:tcW w:w="1229" w:type="pct"/>
          </w:tcPr>
          <w:p w14:paraId="6BB79A85"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$0.0</w:t>
            </w:r>
          </w:p>
        </w:tc>
      </w:tr>
      <w:tr w:rsidR="00985766" w:rsidRPr="00BA31AB" w14:paraId="14BD00C3" w14:textId="77777777">
        <w:tc>
          <w:tcPr>
            <w:tcW w:w="2434" w:type="pct"/>
            <w:vAlign w:val="center"/>
          </w:tcPr>
          <w:p w14:paraId="5E8D2857"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Total annual administration cost [J=H + I]</w:t>
            </w:r>
          </w:p>
        </w:tc>
        <w:tc>
          <w:tcPr>
            <w:tcW w:w="1337" w:type="pct"/>
          </w:tcPr>
          <w:p w14:paraId="68516D3E" w14:textId="5613CB41" w:rsidR="00985766" w:rsidRPr="00BA31AB" w:rsidRDefault="00985766" w:rsidP="00C72373">
            <w:pPr>
              <w:keepNext/>
              <w:keepLines/>
              <w:widowControl w:val="0"/>
              <w:jc w:val="center"/>
              <w:rPr>
                <w:rFonts w:ascii="Arial Narrow" w:eastAsiaTheme="majorEastAsia" w:hAnsi="Arial Narrow" w:cstheme="majorBidi"/>
                <w:bCs/>
                <w:sz w:val="20"/>
                <w:vertAlign w:val="superscript"/>
              </w:rPr>
            </w:pPr>
            <w:r w:rsidRPr="00BA31AB">
              <w:rPr>
                <w:rFonts w:ascii="Arial Narrow" w:eastAsiaTheme="majorEastAsia" w:hAnsi="Arial Narrow" w:cstheme="majorBidi"/>
                <w:bCs/>
                <w:sz w:val="20"/>
              </w:rPr>
              <w:t>$86.80</w:t>
            </w:r>
            <w:r w:rsidRPr="00BA31AB">
              <w:rPr>
                <w:rFonts w:ascii="Arial Narrow" w:eastAsiaTheme="majorEastAsia" w:hAnsi="Arial Narrow" w:cstheme="majorBidi"/>
                <w:bCs/>
                <w:sz w:val="20"/>
              </w:rPr>
              <w:br/>
              <w:t>$88.90</w:t>
            </w:r>
            <w:r w:rsidR="006F7886" w:rsidRPr="00BA31AB">
              <w:rPr>
                <w:rFonts w:ascii="Arial Narrow" w:eastAsiaTheme="majorEastAsia" w:hAnsi="Arial Narrow" w:cstheme="majorBidi"/>
                <w:bCs/>
                <w:sz w:val="20"/>
                <w:vertAlign w:val="superscript"/>
              </w:rPr>
              <w:t>c</w:t>
            </w:r>
          </w:p>
        </w:tc>
        <w:tc>
          <w:tcPr>
            <w:tcW w:w="1229" w:type="pct"/>
          </w:tcPr>
          <w:p w14:paraId="16D8C2FC" w14:textId="50695866" w:rsidR="00985766" w:rsidRPr="00BA31AB" w:rsidRDefault="00985766" w:rsidP="00C72373">
            <w:pPr>
              <w:keepNext/>
              <w:keepLines/>
              <w:widowControl w:val="0"/>
              <w:jc w:val="center"/>
              <w:rPr>
                <w:rFonts w:ascii="Arial Narrow" w:eastAsiaTheme="majorEastAsia" w:hAnsi="Arial Narrow" w:cstheme="majorBidi"/>
                <w:bCs/>
                <w:sz w:val="20"/>
                <w:vertAlign w:val="superscript"/>
              </w:rPr>
            </w:pPr>
            <w:r w:rsidRPr="00BA31AB">
              <w:rPr>
                <w:rFonts w:ascii="Arial Narrow" w:eastAsiaTheme="majorEastAsia" w:hAnsi="Arial Narrow" w:cstheme="majorBidi"/>
                <w:bCs/>
                <w:sz w:val="20"/>
              </w:rPr>
              <w:t>$86.80</w:t>
            </w:r>
            <w:r w:rsidRPr="00BA31AB">
              <w:rPr>
                <w:rFonts w:ascii="Arial Narrow" w:eastAsiaTheme="majorEastAsia" w:hAnsi="Arial Narrow" w:cstheme="majorBidi"/>
                <w:bCs/>
                <w:sz w:val="20"/>
              </w:rPr>
              <w:br/>
              <w:t>$88.90</w:t>
            </w:r>
            <w:r w:rsidR="006F7886" w:rsidRPr="00BA31AB">
              <w:rPr>
                <w:rFonts w:ascii="Arial Narrow" w:eastAsiaTheme="majorEastAsia" w:hAnsi="Arial Narrow" w:cstheme="majorBidi"/>
                <w:bCs/>
                <w:sz w:val="20"/>
                <w:vertAlign w:val="superscript"/>
              </w:rPr>
              <w:t>c</w:t>
            </w:r>
          </w:p>
        </w:tc>
      </w:tr>
      <w:tr w:rsidR="00985766" w:rsidRPr="00BA31AB" w14:paraId="373F2A16" w14:textId="77777777">
        <w:tc>
          <w:tcPr>
            <w:tcW w:w="2434" w:type="pct"/>
            <w:vAlign w:val="center"/>
          </w:tcPr>
          <w:p w14:paraId="31D2E9B2" w14:textId="77777777" w:rsidR="00985766" w:rsidRPr="00BA31AB" w:rsidRDefault="00985766" w:rsidP="00C72373">
            <w:pPr>
              <w:keepNext/>
              <w:keepLines/>
              <w:widowControl w:val="0"/>
              <w:jc w:val="left"/>
              <w:rPr>
                <w:rFonts w:ascii="Arial Narrow" w:eastAsiaTheme="majorEastAsia" w:hAnsi="Arial Narrow" w:cstheme="majorBidi"/>
                <w:b/>
                <w:sz w:val="20"/>
              </w:rPr>
            </w:pPr>
            <w:r w:rsidRPr="00BA31AB">
              <w:rPr>
                <w:rFonts w:ascii="Arial Narrow" w:eastAsiaTheme="majorEastAsia" w:hAnsi="Arial Narrow" w:cstheme="majorBidi"/>
                <w:b/>
                <w:sz w:val="20"/>
              </w:rPr>
              <w:t>Total annual drug cost per patient [K=G+J]</w:t>
            </w:r>
          </w:p>
        </w:tc>
        <w:tc>
          <w:tcPr>
            <w:tcW w:w="1337" w:type="pct"/>
            <w:tcBorders>
              <w:bottom w:val="single" w:sz="4" w:space="0" w:color="auto"/>
            </w:tcBorders>
          </w:tcPr>
          <w:p w14:paraId="035C15A1" w14:textId="74712E72" w:rsidR="00985766" w:rsidRPr="00BA31AB" w:rsidRDefault="00985766" w:rsidP="00C72373">
            <w:pPr>
              <w:keepNext/>
              <w:keepLines/>
              <w:widowControl w:val="0"/>
              <w:jc w:val="center"/>
              <w:rPr>
                <w:rFonts w:ascii="Arial Narrow" w:eastAsiaTheme="majorEastAsia" w:hAnsi="Arial Narrow" w:cstheme="majorBidi"/>
                <w:b/>
                <w:sz w:val="20"/>
                <w:vertAlign w:val="superscript"/>
              </w:rPr>
            </w:pPr>
            <w:r w:rsidRPr="00BA31AB">
              <w:rPr>
                <w:rFonts w:ascii="Arial Narrow" w:eastAsiaTheme="majorEastAsia" w:hAnsi="Arial Narrow" w:cstheme="majorBidi"/>
                <w:b/>
                <w:sz w:val="20"/>
              </w:rPr>
              <w:t>$21,819.91</w:t>
            </w:r>
            <w:r w:rsidRPr="00BA31AB">
              <w:rPr>
                <w:rFonts w:ascii="Arial Narrow" w:eastAsiaTheme="majorEastAsia" w:hAnsi="Arial Narrow" w:cstheme="majorBidi"/>
                <w:b/>
                <w:sz w:val="20"/>
              </w:rPr>
              <w:br/>
              <w:t>$21,822.01</w:t>
            </w:r>
            <w:r w:rsidR="006F7886" w:rsidRPr="00BA31AB">
              <w:rPr>
                <w:rFonts w:ascii="Arial Narrow" w:eastAsiaTheme="majorEastAsia" w:hAnsi="Arial Narrow" w:cstheme="majorBidi"/>
                <w:b/>
                <w:sz w:val="20"/>
                <w:vertAlign w:val="superscript"/>
              </w:rPr>
              <w:t>c</w:t>
            </w:r>
          </w:p>
        </w:tc>
        <w:tc>
          <w:tcPr>
            <w:tcW w:w="1229" w:type="pct"/>
            <w:tcBorders>
              <w:bottom w:val="single" w:sz="4" w:space="0" w:color="auto"/>
            </w:tcBorders>
          </w:tcPr>
          <w:p w14:paraId="7EB66B4B" w14:textId="350FD31C" w:rsidR="00985766" w:rsidRPr="00BA31AB" w:rsidRDefault="00985766" w:rsidP="00C72373">
            <w:pPr>
              <w:keepNext/>
              <w:keepLines/>
              <w:widowControl w:val="0"/>
              <w:jc w:val="center"/>
              <w:rPr>
                <w:rFonts w:ascii="Arial Narrow" w:eastAsiaTheme="majorEastAsia" w:hAnsi="Arial Narrow" w:cstheme="majorBidi"/>
                <w:b/>
                <w:sz w:val="20"/>
                <w:vertAlign w:val="superscript"/>
              </w:rPr>
            </w:pPr>
            <w:r w:rsidRPr="00BA31AB">
              <w:rPr>
                <w:rFonts w:ascii="Arial Narrow" w:eastAsiaTheme="majorEastAsia" w:hAnsi="Arial Narrow" w:cstheme="majorBidi"/>
                <w:b/>
                <w:sz w:val="20"/>
              </w:rPr>
              <w:t>$21,819.91</w:t>
            </w:r>
            <w:r w:rsidRPr="00BA31AB">
              <w:rPr>
                <w:rFonts w:ascii="Arial Narrow" w:eastAsiaTheme="majorEastAsia" w:hAnsi="Arial Narrow" w:cstheme="majorBidi"/>
                <w:b/>
                <w:sz w:val="20"/>
              </w:rPr>
              <w:br/>
              <w:t>$21,822.01</w:t>
            </w:r>
            <w:r w:rsidR="006F7886" w:rsidRPr="00BA31AB">
              <w:rPr>
                <w:rFonts w:ascii="Arial Narrow" w:eastAsiaTheme="majorEastAsia" w:hAnsi="Arial Narrow" w:cstheme="majorBidi"/>
                <w:b/>
                <w:sz w:val="20"/>
                <w:vertAlign w:val="superscript"/>
              </w:rPr>
              <w:t>c</w:t>
            </w:r>
          </w:p>
        </w:tc>
      </w:tr>
      <w:tr w:rsidR="00985766" w:rsidRPr="00BA31AB" w14:paraId="68D23AF1" w14:textId="77777777">
        <w:tc>
          <w:tcPr>
            <w:tcW w:w="2434" w:type="pct"/>
          </w:tcPr>
          <w:p w14:paraId="0D3E61FD" w14:textId="77777777" w:rsidR="00985766" w:rsidRPr="00BA31AB" w:rsidRDefault="00985766" w:rsidP="00C72373">
            <w:pPr>
              <w:keepNext/>
              <w:keepLines/>
              <w:widowControl w:val="0"/>
              <w:jc w:val="left"/>
              <w:rPr>
                <w:rFonts w:ascii="Arial Narrow" w:eastAsiaTheme="majorEastAsia" w:hAnsi="Arial Narrow" w:cstheme="majorBidi"/>
                <w:b/>
                <w:sz w:val="20"/>
              </w:rPr>
            </w:pPr>
            <w:r w:rsidRPr="00BA31AB">
              <w:rPr>
                <w:rFonts w:ascii="Arial Narrow" w:eastAsiaTheme="majorEastAsia" w:hAnsi="Arial Narrow" w:cstheme="majorBidi"/>
                <w:b/>
                <w:sz w:val="20"/>
              </w:rPr>
              <w:t>Tezepelumab treatment</w:t>
            </w:r>
          </w:p>
        </w:tc>
        <w:tc>
          <w:tcPr>
            <w:tcW w:w="1337" w:type="pct"/>
            <w:tcBorders>
              <w:right w:val="nil"/>
            </w:tcBorders>
          </w:tcPr>
          <w:p w14:paraId="2D41F224" w14:textId="77777777" w:rsidR="00985766" w:rsidRPr="00BA31AB" w:rsidRDefault="00985766" w:rsidP="00C72373">
            <w:pPr>
              <w:keepNext/>
              <w:keepLines/>
              <w:widowControl w:val="0"/>
              <w:jc w:val="center"/>
              <w:rPr>
                <w:rFonts w:ascii="Arial Narrow" w:eastAsiaTheme="majorEastAsia" w:hAnsi="Arial Narrow" w:cstheme="majorBidi"/>
                <w:b/>
                <w:sz w:val="20"/>
              </w:rPr>
            </w:pPr>
          </w:p>
        </w:tc>
        <w:tc>
          <w:tcPr>
            <w:tcW w:w="1229" w:type="pct"/>
            <w:tcBorders>
              <w:left w:val="nil"/>
            </w:tcBorders>
          </w:tcPr>
          <w:p w14:paraId="55F310A4" w14:textId="77777777" w:rsidR="00985766" w:rsidRPr="00BA31AB" w:rsidRDefault="00985766" w:rsidP="00C72373">
            <w:pPr>
              <w:keepNext/>
              <w:keepLines/>
              <w:widowControl w:val="0"/>
              <w:jc w:val="center"/>
              <w:rPr>
                <w:rFonts w:ascii="Arial Narrow" w:eastAsiaTheme="majorEastAsia" w:hAnsi="Arial Narrow" w:cstheme="majorBidi"/>
                <w:b/>
                <w:sz w:val="20"/>
              </w:rPr>
            </w:pPr>
          </w:p>
        </w:tc>
      </w:tr>
      <w:tr w:rsidR="00985766" w:rsidRPr="00BA31AB" w14:paraId="589EAFFF" w14:textId="77777777">
        <w:tc>
          <w:tcPr>
            <w:tcW w:w="2434" w:type="pct"/>
            <w:vMerge w:val="restart"/>
          </w:tcPr>
          <w:p w14:paraId="642C27CF" w14:textId="77777777" w:rsidR="00985766" w:rsidRPr="00BA31AB" w:rsidRDefault="00985766" w:rsidP="00C72373">
            <w:pPr>
              <w:keepNext/>
              <w:keepLines/>
              <w:widowControl w:val="0"/>
              <w:jc w:val="left"/>
              <w:rPr>
                <w:rFonts w:ascii="Arial Narrow" w:eastAsiaTheme="majorEastAsia" w:hAnsi="Arial Narrow" w:cstheme="majorBidi"/>
                <w:b/>
                <w:bCs/>
                <w:sz w:val="20"/>
              </w:rPr>
            </w:pPr>
          </w:p>
        </w:tc>
        <w:tc>
          <w:tcPr>
            <w:tcW w:w="2566" w:type="pct"/>
            <w:gridSpan w:val="2"/>
          </w:tcPr>
          <w:p w14:paraId="0D001E7F" w14:textId="77777777" w:rsidR="00985766" w:rsidRPr="00BA31AB" w:rsidRDefault="00985766" w:rsidP="00C72373">
            <w:pPr>
              <w:keepNext/>
              <w:keepLines/>
              <w:widowControl w:val="0"/>
              <w:jc w:val="center"/>
              <w:rPr>
                <w:rFonts w:ascii="Arial Narrow" w:eastAsiaTheme="majorEastAsia" w:hAnsi="Arial Narrow" w:cstheme="majorBidi"/>
                <w:b/>
                <w:bCs/>
                <w:sz w:val="20"/>
              </w:rPr>
            </w:pPr>
            <w:r w:rsidRPr="00BA31AB">
              <w:rPr>
                <w:rFonts w:ascii="Arial Narrow" w:eastAsiaTheme="majorEastAsia" w:hAnsi="Arial Narrow" w:cstheme="majorBidi"/>
                <w:b/>
                <w:bCs/>
                <w:sz w:val="20"/>
              </w:rPr>
              <w:t>Tezepelumab 210 mg every 4 weeks</w:t>
            </w:r>
          </w:p>
        </w:tc>
      </w:tr>
      <w:tr w:rsidR="00985766" w:rsidRPr="00BA31AB" w14:paraId="7F9DF1B8" w14:textId="77777777">
        <w:tc>
          <w:tcPr>
            <w:tcW w:w="2434" w:type="pct"/>
            <w:vMerge/>
          </w:tcPr>
          <w:p w14:paraId="5AD2BCE0" w14:textId="77777777" w:rsidR="00985766" w:rsidRPr="00BA31AB" w:rsidRDefault="00985766" w:rsidP="00C72373">
            <w:pPr>
              <w:keepNext/>
              <w:keepLines/>
              <w:widowControl w:val="0"/>
              <w:jc w:val="left"/>
              <w:rPr>
                <w:rFonts w:ascii="Arial Narrow" w:eastAsiaTheme="majorEastAsia" w:hAnsi="Arial Narrow" w:cstheme="majorBidi"/>
                <w:bCs/>
                <w:sz w:val="20"/>
              </w:rPr>
            </w:pPr>
          </w:p>
        </w:tc>
        <w:tc>
          <w:tcPr>
            <w:tcW w:w="1337" w:type="pct"/>
            <w:vAlign w:val="center"/>
          </w:tcPr>
          <w:p w14:paraId="61A4C526"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
                <w:sz w:val="20"/>
              </w:rPr>
              <w:t>Cost-minimised vs. dupilumab 200 mg every 2 weeks</w:t>
            </w:r>
          </w:p>
        </w:tc>
        <w:tc>
          <w:tcPr>
            <w:tcW w:w="1229" w:type="pct"/>
            <w:vAlign w:val="center"/>
          </w:tcPr>
          <w:p w14:paraId="092C329A"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
                <w:sz w:val="20"/>
              </w:rPr>
              <w:t>Cost-minimised vs. dupilumab 300 mg every 2 weeks</w:t>
            </w:r>
          </w:p>
        </w:tc>
      </w:tr>
      <w:tr w:rsidR="00985766" w:rsidRPr="00BA31AB" w14:paraId="56F90D20" w14:textId="77777777">
        <w:tc>
          <w:tcPr>
            <w:tcW w:w="2434" w:type="pct"/>
            <w:vAlign w:val="center"/>
          </w:tcPr>
          <w:p w14:paraId="694F0D63" w14:textId="77777777" w:rsidR="00985766" w:rsidRPr="00BA31AB" w:rsidRDefault="00985766" w:rsidP="00C72373">
            <w:pPr>
              <w:keepNext/>
              <w:keepLines/>
              <w:widowControl w:val="0"/>
              <w:jc w:val="left"/>
              <w:rPr>
                <w:rFonts w:ascii="Arial Narrow" w:eastAsiaTheme="majorEastAsia" w:hAnsi="Arial Narrow" w:cstheme="majorBidi"/>
                <w:b/>
                <w:sz w:val="20"/>
              </w:rPr>
            </w:pPr>
            <w:r w:rsidRPr="00BA31AB">
              <w:rPr>
                <w:rFonts w:ascii="Arial Narrow" w:eastAsiaTheme="majorEastAsia" w:hAnsi="Arial Narrow" w:cstheme="majorBidi"/>
                <w:b/>
                <w:sz w:val="20"/>
              </w:rPr>
              <w:t>Total annual cost-minimised treatment cost [L=K]</w:t>
            </w:r>
          </w:p>
        </w:tc>
        <w:tc>
          <w:tcPr>
            <w:tcW w:w="1337" w:type="pct"/>
          </w:tcPr>
          <w:p w14:paraId="18C17E63" w14:textId="3B22B137" w:rsidR="00985766" w:rsidRPr="00BA31AB" w:rsidRDefault="00985766" w:rsidP="00C72373">
            <w:pPr>
              <w:keepNext/>
              <w:keepLines/>
              <w:widowControl w:val="0"/>
              <w:jc w:val="center"/>
              <w:rPr>
                <w:rFonts w:ascii="Arial Narrow" w:eastAsiaTheme="majorEastAsia" w:hAnsi="Arial Narrow" w:cstheme="majorBidi"/>
                <w:b/>
                <w:sz w:val="20"/>
                <w:vertAlign w:val="superscript"/>
              </w:rPr>
            </w:pPr>
            <w:r w:rsidRPr="00BA31AB">
              <w:rPr>
                <w:rFonts w:ascii="Arial Narrow" w:eastAsiaTheme="majorEastAsia" w:hAnsi="Arial Narrow" w:cstheme="majorBidi"/>
                <w:b/>
                <w:sz w:val="20"/>
              </w:rPr>
              <w:t>$21,819.91</w:t>
            </w:r>
            <w:r w:rsidRPr="00BA31AB">
              <w:rPr>
                <w:rFonts w:ascii="Arial Narrow" w:eastAsiaTheme="majorEastAsia" w:hAnsi="Arial Narrow" w:cstheme="majorBidi"/>
                <w:b/>
                <w:sz w:val="20"/>
              </w:rPr>
              <w:br/>
              <w:t>$21,822.01</w:t>
            </w:r>
            <w:r w:rsidR="006F7886" w:rsidRPr="00BA31AB">
              <w:rPr>
                <w:rFonts w:ascii="Arial Narrow" w:eastAsiaTheme="majorEastAsia" w:hAnsi="Arial Narrow" w:cstheme="majorBidi"/>
                <w:b/>
                <w:sz w:val="20"/>
                <w:vertAlign w:val="superscript"/>
              </w:rPr>
              <w:t>c</w:t>
            </w:r>
          </w:p>
        </w:tc>
        <w:tc>
          <w:tcPr>
            <w:tcW w:w="1229" w:type="pct"/>
          </w:tcPr>
          <w:p w14:paraId="521A5343" w14:textId="3CF54EDE" w:rsidR="00985766" w:rsidRPr="00BA31AB" w:rsidRDefault="00985766" w:rsidP="00C72373">
            <w:pPr>
              <w:keepNext/>
              <w:keepLines/>
              <w:widowControl w:val="0"/>
              <w:jc w:val="center"/>
              <w:rPr>
                <w:rFonts w:ascii="Arial Narrow" w:eastAsiaTheme="majorEastAsia" w:hAnsi="Arial Narrow" w:cstheme="majorBidi"/>
                <w:b/>
                <w:sz w:val="20"/>
                <w:vertAlign w:val="superscript"/>
              </w:rPr>
            </w:pPr>
            <w:r w:rsidRPr="00BA31AB">
              <w:rPr>
                <w:rFonts w:ascii="Arial Narrow" w:eastAsiaTheme="majorEastAsia" w:hAnsi="Arial Narrow" w:cstheme="majorBidi"/>
                <w:b/>
                <w:sz w:val="20"/>
              </w:rPr>
              <w:t>$21,819.91</w:t>
            </w:r>
            <w:r w:rsidRPr="00BA31AB">
              <w:rPr>
                <w:rFonts w:ascii="Arial Narrow" w:eastAsiaTheme="majorEastAsia" w:hAnsi="Arial Narrow" w:cstheme="majorBidi"/>
                <w:b/>
                <w:sz w:val="20"/>
              </w:rPr>
              <w:br/>
              <w:t>$21,822.01</w:t>
            </w:r>
            <w:r w:rsidR="006F7886" w:rsidRPr="00BA31AB">
              <w:rPr>
                <w:rFonts w:ascii="Arial Narrow" w:eastAsiaTheme="majorEastAsia" w:hAnsi="Arial Narrow" w:cstheme="majorBidi"/>
                <w:b/>
                <w:sz w:val="20"/>
                <w:vertAlign w:val="superscript"/>
              </w:rPr>
              <w:t>c</w:t>
            </w:r>
          </w:p>
        </w:tc>
      </w:tr>
      <w:tr w:rsidR="00985766" w:rsidRPr="00BA31AB" w14:paraId="67CDA1E6" w14:textId="77777777">
        <w:tc>
          <w:tcPr>
            <w:tcW w:w="2434" w:type="pct"/>
            <w:vAlign w:val="center"/>
          </w:tcPr>
          <w:p w14:paraId="2B797206"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Subcutaneous injection training (MBS Item 82215) [H]</w:t>
            </w:r>
          </w:p>
        </w:tc>
        <w:tc>
          <w:tcPr>
            <w:tcW w:w="1337" w:type="pct"/>
          </w:tcPr>
          <w:p w14:paraId="6D180B25"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$86.80</w:t>
            </w:r>
          </w:p>
          <w:p w14:paraId="4E7088C5" w14:textId="29DF63DB" w:rsidR="00985766" w:rsidRPr="00BA31AB" w:rsidRDefault="00985766" w:rsidP="00C72373">
            <w:pPr>
              <w:keepNext/>
              <w:keepLines/>
              <w:widowControl w:val="0"/>
              <w:jc w:val="center"/>
              <w:rPr>
                <w:rFonts w:ascii="Arial Narrow" w:eastAsiaTheme="majorEastAsia" w:hAnsi="Arial Narrow" w:cstheme="majorBidi"/>
                <w:b/>
                <w:sz w:val="20"/>
                <w:vertAlign w:val="superscript"/>
              </w:rPr>
            </w:pPr>
            <w:r w:rsidRPr="00BA31AB">
              <w:rPr>
                <w:rFonts w:ascii="Arial Narrow" w:eastAsiaTheme="majorEastAsia" w:hAnsi="Arial Narrow" w:cstheme="majorBidi"/>
                <w:bCs/>
                <w:sz w:val="20"/>
              </w:rPr>
              <w:t>$88.90</w:t>
            </w:r>
            <w:r w:rsidR="006F7886" w:rsidRPr="00BA31AB">
              <w:rPr>
                <w:rFonts w:ascii="Arial Narrow" w:eastAsiaTheme="majorEastAsia" w:hAnsi="Arial Narrow" w:cstheme="majorBidi"/>
                <w:bCs/>
                <w:sz w:val="20"/>
                <w:vertAlign w:val="superscript"/>
              </w:rPr>
              <w:t>c</w:t>
            </w:r>
          </w:p>
        </w:tc>
        <w:tc>
          <w:tcPr>
            <w:tcW w:w="1229" w:type="pct"/>
          </w:tcPr>
          <w:p w14:paraId="4E3BD0FF" w14:textId="7A068DCA" w:rsidR="00985766" w:rsidRPr="00BA31AB" w:rsidRDefault="00985766" w:rsidP="00C72373">
            <w:pPr>
              <w:keepNext/>
              <w:keepLines/>
              <w:widowControl w:val="0"/>
              <w:jc w:val="center"/>
              <w:rPr>
                <w:rFonts w:ascii="Arial Narrow" w:eastAsiaTheme="majorEastAsia" w:hAnsi="Arial Narrow" w:cstheme="majorBidi"/>
                <w:b/>
                <w:sz w:val="20"/>
                <w:vertAlign w:val="superscript"/>
              </w:rPr>
            </w:pPr>
            <w:r w:rsidRPr="00BA31AB">
              <w:rPr>
                <w:rFonts w:ascii="Arial Narrow" w:eastAsiaTheme="majorEastAsia" w:hAnsi="Arial Narrow" w:cstheme="majorBidi"/>
                <w:bCs/>
                <w:sz w:val="20"/>
              </w:rPr>
              <w:t>$86.80</w:t>
            </w:r>
            <w:r w:rsidRPr="00BA31AB">
              <w:rPr>
                <w:rFonts w:ascii="Arial Narrow" w:eastAsiaTheme="majorEastAsia" w:hAnsi="Arial Narrow" w:cstheme="majorBidi"/>
                <w:bCs/>
                <w:sz w:val="20"/>
              </w:rPr>
              <w:br/>
              <w:t>$88.90</w:t>
            </w:r>
            <w:r w:rsidR="006F7886" w:rsidRPr="00BA31AB">
              <w:rPr>
                <w:rFonts w:ascii="Arial Narrow" w:eastAsiaTheme="majorEastAsia" w:hAnsi="Arial Narrow" w:cstheme="majorBidi"/>
                <w:bCs/>
                <w:sz w:val="20"/>
                <w:vertAlign w:val="superscript"/>
              </w:rPr>
              <w:t>c</w:t>
            </w:r>
          </w:p>
        </w:tc>
      </w:tr>
      <w:tr w:rsidR="00985766" w:rsidRPr="00BA31AB" w14:paraId="54F56462" w14:textId="77777777">
        <w:tc>
          <w:tcPr>
            <w:tcW w:w="2434" w:type="pct"/>
            <w:vAlign w:val="center"/>
          </w:tcPr>
          <w:p w14:paraId="56C8D789"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Administration cost per maintenance injection [I]</w:t>
            </w:r>
            <w:r w:rsidRPr="00BA31AB">
              <w:rPr>
                <w:rFonts w:ascii="Arial Narrow" w:eastAsiaTheme="majorEastAsia" w:hAnsi="Arial Narrow" w:cstheme="majorBidi"/>
                <w:bCs/>
                <w:sz w:val="20"/>
                <w:vertAlign w:val="superscript"/>
              </w:rPr>
              <w:t>b</w:t>
            </w:r>
          </w:p>
        </w:tc>
        <w:tc>
          <w:tcPr>
            <w:tcW w:w="1337" w:type="pct"/>
          </w:tcPr>
          <w:p w14:paraId="72017A95"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Cs/>
                <w:sz w:val="20"/>
              </w:rPr>
              <w:t>$0.00</w:t>
            </w:r>
          </w:p>
        </w:tc>
        <w:tc>
          <w:tcPr>
            <w:tcW w:w="1229" w:type="pct"/>
            <w:vAlign w:val="center"/>
          </w:tcPr>
          <w:p w14:paraId="3DC8A1D6"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Cs/>
                <w:sz w:val="20"/>
              </w:rPr>
              <w:t>$0.00</w:t>
            </w:r>
          </w:p>
        </w:tc>
      </w:tr>
      <w:tr w:rsidR="00985766" w:rsidRPr="00BA31AB" w14:paraId="1BB386AE" w14:textId="77777777">
        <w:tc>
          <w:tcPr>
            <w:tcW w:w="2434" w:type="pct"/>
            <w:vAlign w:val="center"/>
          </w:tcPr>
          <w:p w14:paraId="6518F50B"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Total annual administration cost [J=H + I]</w:t>
            </w:r>
          </w:p>
        </w:tc>
        <w:tc>
          <w:tcPr>
            <w:tcW w:w="1337" w:type="pct"/>
          </w:tcPr>
          <w:p w14:paraId="097D80FD" w14:textId="687A784A" w:rsidR="00985766" w:rsidRPr="00BA31AB" w:rsidRDefault="00985766" w:rsidP="00C72373">
            <w:pPr>
              <w:keepNext/>
              <w:keepLines/>
              <w:widowControl w:val="0"/>
              <w:jc w:val="center"/>
              <w:rPr>
                <w:rFonts w:ascii="Arial Narrow" w:eastAsiaTheme="majorEastAsia" w:hAnsi="Arial Narrow" w:cstheme="majorBidi"/>
                <w:b/>
                <w:sz w:val="20"/>
                <w:vertAlign w:val="superscript"/>
              </w:rPr>
            </w:pPr>
            <w:r w:rsidRPr="00BA31AB">
              <w:rPr>
                <w:rFonts w:ascii="Arial Narrow" w:eastAsiaTheme="majorEastAsia" w:hAnsi="Arial Narrow" w:cstheme="majorBidi"/>
                <w:bCs/>
                <w:sz w:val="20"/>
              </w:rPr>
              <w:t>$86.80</w:t>
            </w:r>
            <w:r w:rsidRPr="00BA31AB">
              <w:rPr>
                <w:rFonts w:ascii="Arial Narrow" w:eastAsiaTheme="majorEastAsia" w:hAnsi="Arial Narrow" w:cstheme="majorBidi"/>
                <w:bCs/>
                <w:sz w:val="20"/>
              </w:rPr>
              <w:br/>
              <w:t>$88.90</w:t>
            </w:r>
            <w:r w:rsidR="006F7886" w:rsidRPr="00BA31AB">
              <w:rPr>
                <w:rFonts w:ascii="Arial Narrow" w:eastAsiaTheme="majorEastAsia" w:hAnsi="Arial Narrow" w:cstheme="majorBidi"/>
                <w:bCs/>
                <w:sz w:val="20"/>
                <w:vertAlign w:val="superscript"/>
              </w:rPr>
              <w:t>c</w:t>
            </w:r>
          </w:p>
        </w:tc>
        <w:tc>
          <w:tcPr>
            <w:tcW w:w="1229" w:type="pct"/>
          </w:tcPr>
          <w:p w14:paraId="2ECA2328" w14:textId="3D659D1A" w:rsidR="00985766" w:rsidRPr="00BA31AB" w:rsidRDefault="00985766" w:rsidP="00C72373">
            <w:pPr>
              <w:keepNext/>
              <w:keepLines/>
              <w:widowControl w:val="0"/>
              <w:jc w:val="center"/>
              <w:rPr>
                <w:rFonts w:ascii="Arial Narrow" w:eastAsiaTheme="majorEastAsia" w:hAnsi="Arial Narrow" w:cstheme="majorBidi"/>
                <w:b/>
                <w:sz w:val="20"/>
                <w:vertAlign w:val="superscript"/>
              </w:rPr>
            </w:pPr>
            <w:r w:rsidRPr="00BA31AB">
              <w:rPr>
                <w:rFonts w:ascii="Arial Narrow" w:eastAsiaTheme="majorEastAsia" w:hAnsi="Arial Narrow" w:cstheme="majorBidi"/>
                <w:bCs/>
                <w:sz w:val="20"/>
              </w:rPr>
              <w:t>$86.80</w:t>
            </w:r>
            <w:r w:rsidRPr="00BA31AB">
              <w:rPr>
                <w:rFonts w:ascii="Arial Narrow" w:eastAsiaTheme="majorEastAsia" w:hAnsi="Arial Narrow" w:cstheme="majorBidi"/>
                <w:bCs/>
                <w:sz w:val="20"/>
              </w:rPr>
              <w:br/>
              <w:t>$88.90</w:t>
            </w:r>
            <w:r w:rsidR="006F7886" w:rsidRPr="00BA31AB">
              <w:rPr>
                <w:rFonts w:ascii="Arial Narrow" w:eastAsiaTheme="majorEastAsia" w:hAnsi="Arial Narrow" w:cstheme="majorBidi"/>
                <w:bCs/>
                <w:sz w:val="20"/>
                <w:vertAlign w:val="superscript"/>
              </w:rPr>
              <w:t>c</w:t>
            </w:r>
          </w:p>
        </w:tc>
      </w:tr>
      <w:tr w:rsidR="00985766" w:rsidRPr="00BA31AB" w14:paraId="7F19FD73" w14:textId="77777777">
        <w:tc>
          <w:tcPr>
            <w:tcW w:w="2434" w:type="pct"/>
          </w:tcPr>
          <w:p w14:paraId="5142902F" w14:textId="77777777" w:rsidR="00985766" w:rsidRPr="00BA31AB" w:rsidRDefault="00985766" w:rsidP="00C72373">
            <w:pPr>
              <w:keepNext/>
              <w:keepLines/>
              <w:widowControl w:val="0"/>
              <w:jc w:val="left"/>
              <w:rPr>
                <w:rFonts w:ascii="Arial Narrow" w:eastAsiaTheme="majorEastAsia" w:hAnsi="Arial Narrow" w:cstheme="majorBidi"/>
                <w:b/>
                <w:sz w:val="20"/>
              </w:rPr>
            </w:pPr>
            <w:r w:rsidRPr="00BA31AB">
              <w:rPr>
                <w:rFonts w:ascii="Arial Narrow" w:eastAsiaTheme="majorEastAsia" w:hAnsi="Arial Narrow" w:cstheme="majorBidi"/>
                <w:b/>
                <w:sz w:val="20"/>
              </w:rPr>
              <w:t>Total annual drug cost [M=L-J]</w:t>
            </w:r>
          </w:p>
        </w:tc>
        <w:tc>
          <w:tcPr>
            <w:tcW w:w="1337" w:type="pct"/>
            <w:vAlign w:val="center"/>
          </w:tcPr>
          <w:p w14:paraId="01A24627"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
                <w:sz w:val="20"/>
              </w:rPr>
              <w:t>$21,733.11</w:t>
            </w:r>
          </w:p>
        </w:tc>
        <w:tc>
          <w:tcPr>
            <w:tcW w:w="1229" w:type="pct"/>
            <w:vAlign w:val="center"/>
          </w:tcPr>
          <w:p w14:paraId="4969E8EF"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
                <w:sz w:val="20"/>
              </w:rPr>
              <w:t>$21,733.11</w:t>
            </w:r>
          </w:p>
        </w:tc>
      </w:tr>
      <w:tr w:rsidR="00985766" w:rsidRPr="00BA31AB" w14:paraId="10C14F8A" w14:textId="77777777">
        <w:tc>
          <w:tcPr>
            <w:tcW w:w="2434" w:type="pct"/>
          </w:tcPr>
          <w:p w14:paraId="231D2E46"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No. of doses in Year 1 [N]</w:t>
            </w:r>
          </w:p>
        </w:tc>
        <w:tc>
          <w:tcPr>
            <w:tcW w:w="1337" w:type="pct"/>
          </w:tcPr>
          <w:p w14:paraId="3184F2E5"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Cs/>
                <w:sz w:val="20"/>
              </w:rPr>
              <w:t>13</w:t>
            </w:r>
          </w:p>
        </w:tc>
        <w:tc>
          <w:tcPr>
            <w:tcW w:w="1229" w:type="pct"/>
            <w:vAlign w:val="center"/>
          </w:tcPr>
          <w:p w14:paraId="54670F43"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13</w:t>
            </w:r>
          </w:p>
        </w:tc>
      </w:tr>
      <w:tr w:rsidR="00985766" w:rsidRPr="00BA31AB" w14:paraId="40EA2D9D" w14:textId="77777777">
        <w:tc>
          <w:tcPr>
            <w:tcW w:w="2434" w:type="pct"/>
          </w:tcPr>
          <w:p w14:paraId="63151E92"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No. of units per dose [O]</w:t>
            </w:r>
          </w:p>
        </w:tc>
        <w:tc>
          <w:tcPr>
            <w:tcW w:w="1337" w:type="pct"/>
          </w:tcPr>
          <w:p w14:paraId="3C42C525"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1</w:t>
            </w:r>
          </w:p>
        </w:tc>
        <w:tc>
          <w:tcPr>
            <w:tcW w:w="1229" w:type="pct"/>
            <w:vAlign w:val="center"/>
          </w:tcPr>
          <w:p w14:paraId="6891EAD0"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1</w:t>
            </w:r>
          </w:p>
        </w:tc>
      </w:tr>
      <w:tr w:rsidR="00985766" w:rsidRPr="00BA31AB" w14:paraId="452EB8D9" w14:textId="77777777">
        <w:tc>
          <w:tcPr>
            <w:tcW w:w="2434" w:type="pct"/>
          </w:tcPr>
          <w:p w14:paraId="72E4CA21"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No. of units per pack [P]</w:t>
            </w:r>
          </w:p>
        </w:tc>
        <w:tc>
          <w:tcPr>
            <w:tcW w:w="1337" w:type="pct"/>
          </w:tcPr>
          <w:p w14:paraId="4E2B5BFC"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1</w:t>
            </w:r>
          </w:p>
        </w:tc>
        <w:tc>
          <w:tcPr>
            <w:tcW w:w="1229" w:type="pct"/>
            <w:vAlign w:val="center"/>
          </w:tcPr>
          <w:p w14:paraId="7074A018"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1</w:t>
            </w:r>
          </w:p>
        </w:tc>
      </w:tr>
      <w:tr w:rsidR="00985766" w:rsidRPr="00BA31AB" w14:paraId="1B580469" w14:textId="77777777">
        <w:tc>
          <w:tcPr>
            <w:tcW w:w="2434" w:type="pct"/>
          </w:tcPr>
          <w:p w14:paraId="2C7627B0"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No. of packs required in year 1 [Q=</w:t>
            </w:r>
            <w:proofErr w:type="spellStart"/>
            <w:r w:rsidRPr="00BA31AB">
              <w:rPr>
                <w:rFonts w:ascii="Arial Narrow" w:eastAsiaTheme="majorEastAsia" w:hAnsi="Arial Narrow" w:cstheme="majorBidi"/>
                <w:bCs/>
                <w:sz w:val="20"/>
              </w:rPr>
              <w:t>NxO</w:t>
            </w:r>
            <w:proofErr w:type="spellEnd"/>
            <w:r w:rsidRPr="00BA31AB">
              <w:rPr>
                <w:rFonts w:ascii="Arial Narrow" w:eastAsiaTheme="majorEastAsia" w:hAnsi="Arial Narrow" w:cstheme="majorBidi"/>
                <w:bCs/>
                <w:sz w:val="20"/>
              </w:rPr>
              <w:t>/P]</w:t>
            </w:r>
          </w:p>
        </w:tc>
        <w:tc>
          <w:tcPr>
            <w:tcW w:w="1337" w:type="pct"/>
          </w:tcPr>
          <w:p w14:paraId="4BDD5005"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13</w:t>
            </w:r>
          </w:p>
        </w:tc>
        <w:tc>
          <w:tcPr>
            <w:tcW w:w="1229" w:type="pct"/>
            <w:vAlign w:val="center"/>
          </w:tcPr>
          <w:p w14:paraId="0453BBCB"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13</w:t>
            </w:r>
          </w:p>
        </w:tc>
      </w:tr>
      <w:tr w:rsidR="00985766" w:rsidRPr="00BA31AB" w14:paraId="3842A4E5" w14:textId="77777777">
        <w:tc>
          <w:tcPr>
            <w:tcW w:w="2434" w:type="pct"/>
          </w:tcPr>
          <w:p w14:paraId="1AADE353" w14:textId="77777777" w:rsidR="00985766" w:rsidRPr="00BA31AB" w:rsidRDefault="00985766" w:rsidP="00C72373">
            <w:pPr>
              <w:keepNext/>
              <w:keepLines/>
              <w:widowControl w:val="0"/>
              <w:jc w:val="left"/>
              <w:rPr>
                <w:rFonts w:ascii="Arial Narrow" w:eastAsiaTheme="majorEastAsia" w:hAnsi="Arial Narrow" w:cstheme="majorBidi"/>
                <w:b/>
                <w:sz w:val="20"/>
              </w:rPr>
            </w:pPr>
            <w:r w:rsidRPr="00BA31AB">
              <w:rPr>
                <w:rFonts w:ascii="Arial Narrow" w:eastAsiaTheme="majorEastAsia" w:hAnsi="Arial Narrow" w:cstheme="majorBidi"/>
                <w:b/>
                <w:sz w:val="20"/>
              </w:rPr>
              <w:t>Drug cost per pack AEMP (S100 HSD Public) [R=M/Q]</w:t>
            </w:r>
          </w:p>
        </w:tc>
        <w:tc>
          <w:tcPr>
            <w:tcW w:w="1337" w:type="pct"/>
            <w:vAlign w:val="center"/>
          </w:tcPr>
          <w:p w14:paraId="1BF69CF4"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
                <w:sz w:val="20"/>
              </w:rPr>
              <w:t>$1,671.78</w:t>
            </w:r>
          </w:p>
        </w:tc>
        <w:tc>
          <w:tcPr>
            <w:tcW w:w="1229" w:type="pct"/>
            <w:vAlign w:val="center"/>
          </w:tcPr>
          <w:p w14:paraId="5EF00026"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
                <w:sz w:val="20"/>
              </w:rPr>
              <w:t>$1,671.78</w:t>
            </w:r>
          </w:p>
        </w:tc>
      </w:tr>
      <w:tr w:rsidR="00985766" w:rsidRPr="00BA31AB" w14:paraId="4DB8F67F" w14:textId="77777777">
        <w:tc>
          <w:tcPr>
            <w:tcW w:w="2434" w:type="pct"/>
            <w:vAlign w:val="center"/>
          </w:tcPr>
          <w:p w14:paraId="6FBCBF07"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Mark-up [S]</w:t>
            </w:r>
          </w:p>
        </w:tc>
        <w:tc>
          <w:tcPr>
            <w:tcW w:w="1337" w:type="pct"/>
            <w:vAlign w:val="center"/>
          </w:tcPr>
          <w:p w14:paraId="36F96794"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Cs/>
                <w:sz w:val="20"/>
              </w:rPr>
              <w:t>$40.00</w:t>
            </w:r>
          </w:p>
        </w:tc>
        <w:tc>
          <w:tcPr>
            <w:tcW w:w="1229" w:type="pct"/>
            <w:vAlign w:val="center"/>
          </w:tcPr>
          <w:p w14:paraId="1907724F" w14:textId="77777777" w:rsidR="00985766" w:rsidRPr="00BA31AB" w:rsidRDefault="00985766" w:rsidP="00C72373">
            <w:pPr>
              <w:keepNext/>
              <w:keepLines/>
              <w:widowControl w:val="0"/>
              <w:jc w:val="center"/>
              <w:rPr>
                <w:rFonts w:ascii="Arial Narrow" w:eastAsiaTheme="majorEastAsia" w:hAnsi="Arial Narrow" w:cstheme="majorBidi"/>
                <w:bCs/>
                <w:sz w:val="20"/>
              </w:rPr>
            </w:pPr>
            <w:r w:rsidRPr="00BA31AB">
              <w:rPr>
                <w:rFonts w:ascii="Arial Narrow" w:eastAsiaTheme="majorEastAsia" w:hAnsi="Arial Narrow" w:cstheme="majorBidi"/>
                <w:bCs/>
                <w:sz w:val="20"/>
              </w:rPr>
              <w:t>$40.00</w:t>
            </w:r>
          </w:p>
        </w:tc>
      </w:tr>
      <w:tr w:rsidR="00985766" w:rsidRPr="00BA31AB" w14:paraId="202BD6E1" w14:textId="77777777">
        <w:tc>
          <w:tcPr>
            <w:tcW w:w="2434" w:type="pct"/>
            <w:vAlign w:val="center"/>
          </w:tcPr>
          <w:p w14:paraId="4BD55003" w14:textId="77777777" w:rsidR="00985766" w:rsidRPr="00BA31AB" w:rsidRDefault="00985766" w:rsidP="00C72373">
            <w:pPr>
              <w:keepNext/>
              <w:keepLines/>
              <w:widowControl w:val="0"/>
              <w:jc w:val="left"/>
              <w:rPr>
                <w:rFonts w:ascii="Arial Narrow" w:eastAsiaTheme="majorEastAsia" w:hAnsi="Arial Narrow" w:cstheme="majorBidi"/>
                <w:bCs/>
                <w:sz w:val="20"/>
              </w:rPr>
            </w:pPr>
            <w:r w:rsidRPr="00BA31AB">
              <w:rPr>
                <w:rFonts w:ascii="Arial Narrow" w:eastAsiaTheme="majorEastAsia" w:hAnsi="Arial Narrow" w:cstheme="majorBidi"/>
                <w:bCs/>
                <w:sz w:val="20"/>
              </w:rPr>
              <w:t>Dispensing fee [T]</w:t>
            </w:r>
          </w:p>
        </w:tc>
        <w:tc>
          <w:tcPr>
            <w:tcW w:w="1337" w:type="pct"/>
            <w:vAlign w:val="center"/>
          </w:tcPr>
          <w:p w14:paraId="516B4FD1" w14:textId="7E48CFB3" w:rsidR="00985766" w:rsidRPr="00BA31AB" w:rsidRDefault="00985766" w:rsidP="00C72373">
            <w:pPr>
              <w:keepNext/>
              <w:keepLines/>
              <w:widowControl w:val="0"/>
              <w:jc w:val="center"/>
              <w:rPr>
                <w:rFonts w:ascii="Arial Narrow" w:eastAsiaTheme="majorEastAsia" w:hAnsi="Arial Narrow" w:cstheme="majorBidi"/>
                <w:b/>
                <w:sz w:val="20"/>
                <w:vertAlign w:val="superscript"/>
              </w:rPr>
            </w:pPr>
            <w:r w:rsidRPr="00BA31AB">
              <w:rPr>
                <w:rFonts w:ascii="Arial Narrow" w:eastAsiaTheme="majorEastAsia" w:hAnsi="Arial Narrow" w:cstheme="majorBidi"/>
                <w:bCs/>
                <w:sz w:val="20"/>
              </w:rPr>
              <w:t>$8.67</w:t>
            </w:r>
            <w:r w:rsidRPr="00BA31AB">
              <w:rPr>
                <w:rFonts w:ascii="Arial Narrow" w:eastAsiaTheme="majorEastAsia" w:hAnsi="Arial Narrow" w:cstheme="majorBidi"/>
                <w:bCs/>
                <w:sz w:val="20"/>
              </w:rPr>
              <w:br/>
              <w:t>$8.88</w:t>
            </w:r>
            <w:r w:rsidR="006F7886" w:rsidRPr="00BA31AB">
              <w:rPr>
                <w:rFonts w:ascii="Arial Narrow" w:eastAsiaTheme="majorEastAsia" w:hAnsi="Arial Narrow" w:cstheme="majorBidi"/>
                <w:bCs/>
                <w:sz w:val="20"/>
                <w:vertAlign w:val="superscript"/>
              </w:rPr>
              <w:t>c</w:t>
            </w:r>
          </w:p>
        </w:tc>
        <w:tc>
          <w:tcPr>
            <w:tcW w:w="1229" w:type="pct"/>
            <w:vAlign w:val="center"/>
          </w:tcPr>
          <w:p w14:paraId="1CE1DEC4" w14:textId="4A54FD63" w:rsidR="00985766" w:rsidRPr="00BA31AB" w:rsidRDefault="00985766" w:rsidP="00C72373">
            <w:pPr>
              <w:keepNext/>
              <w:keepLines/>
              <w:widowControl w:val="0"/>
              <w:jc w:val="center"/>
              <w:rPr>
                <w:rFonts w:ascii="Arial Narrow" w:eastAsiaTheme="majorEastAsia" w:hAnsi="Arial Narrow" w:cstheme="majorBidi"/>
                <w:bCs/>
                <w:sz w:val="20"/>
                <w:vertAlign w:val="superscript"/>
              </w:rPr>
            </w:pPr>
            <w:r w:rsidRPr="00BA31AB">
              <w:rPr>
                <w:rFonts w:ascii="Arial Narrow" w:eastAsiaTheme="majorEastAsia" w:hAnsi="Arial Narrow" w:cstheme="majorBidi"/>
                <w:bCs/>
                <w:sz w:val="20"/>
              </w:rPr>
              <w:t>$8.67</w:t>
            </w:r>
            <w:r w:rsidRPr="00BA31AB">
              <w:rPr>
                <w:rFonts w:ascii="Arial Narrow" w:eastAsiaTheme="majorEastAsia" w:hAnsi="Arial Narrow" w:cstheme="majorBidi"/>
                <w:bCs/>
                <w:sz w:val="20"/>
              </w:rPr>
              <w:br/>
              <w:t>$8.88</w:t>
            </w:r>
            <w:r w:rsidR="006F7886" w:rsidRPr="00BA31AB">
              <w:rPr>
                <w:rFonts w:ascii="Arial Narrow" w:eastAsiaTheme="majorEastAsia" w:hAnsi="Arial Narrow" w:cstheme="majorBidi"/>
                <w:bCs/>
                <w:sz w:val="20"/>
                <w:vertAlign w:val="superscript"/>
              </w:rPr>
              <w:t>c</w:t>
            </w:r>
          </w:p>
        </w:tc>
      </w:tr>
      <w:tr w:rsidR="00985766" w:rsidRPr="00BA31AB" w14:paraId="3235EF7C" w14:textId="77777777">
        <w:tc>
          <w:tcPr>
            <w:tcW w:w="2434" w:type="pct"/>
          </w:tcPr>
          <w:p w14:paraId="4CDF28C4" w14:textId="77777777" w:rsidR="00985766" w:rsidRPr="00BA31AB" w:rsidRDefault="00985766" w:rsidP="00C72373">
            <w:pPr>
              <w:keepNext/>
              <w:keepLines/>
              <w:widowControl w:val="0"/>
              <w:jc w:val="left"/>
              <w:rPr>
                <w:rFonts w:ascii="Arial Narrow" w:eastAsiaTheme="majorEastAsia" w:hAnsi="Arial Narrow" w:cstheme="majorBidi"/>
                <w:b/>
                <w:sz w:val="20"/>
              </w:rPr>
            </w:pPr>
            <w:r w:rsidRPr="00BA31AB">
              <w:rPr>
                <w:rFonts w:ascii="Arial Narrow" w:eastAsiaTheme="majorEastAsia" w:hAnsi="Arial Narrow" w:cstheme="majorBidi"/>
                <w:b/>
                <w:sz w:val="20"/>
              </w:rPr>
              <w:t>Drug cost per pack (DPMQ, Section 100 HSD, private) [U = R + S + T]</w:t>
            </w:r>
          </w:p>
        </w:tc>
        <w:tc>
          <w:tcPr>
            <w:tcW w:w="1337" w:type="pct"/>
            <w:vAlign w:val="center"/>
          </w:tcPr>
          <w:p w14:paraId="282BB56E"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
                <w:sz w:val="20"/>
              </w:rPr>
              <w:t>$1,720.45</w:t>
            </w:r>
          </w:p>
          <w:p w14:paraId="2FDC08B7" w14:textId="3989A671" w:rsidR="00985766" w:rsidRPr="00BA31AB" w:rsidRDefault="00985766" w:rsidP="00C72373">
            <w:pPr>
              <w:keepNext/>
              <w:keepLines/>
              <w:widowControl w:val="0"/>
              <w:jc w:val="center"/>
              <w:rPr>
                <w:rFonts w:ascii="Arial Narrow" w:eastAsiaTheme="majorEastAsia" w:hAnsi="Arial Narrow" w:cstheme="majorBidi"/>
                <w:b/>
                <w:bCs/>
                <w:sz w:val="20"/>
                <w:vertAlign w:val="superscript"/>
              </w:rPr>
            </w:pPr>
            <w:r w:rsidRPr="00BA31AB">
              <w:rPr>
                <w:rFonts w:ascii="Arial Narrow" w:eastAsiaTheme="majorEastAsia" w:hAnsi="Arial Narrow" w:cstheme="majorBidi"/>
                <w:b/>
                <w:sz w:val="20"/>
              </w:rPr>
              <w:t>$1,720.66</w:t>
            </w:r>
            <w:r w:rsidR="006F7886" w:rsidRPr="00BA31AB">
              <w:rPr>
                <w:rFonts w:ascii="Arial Narrow" w:eastAsiaTheme="majorEastAsia" w:hAnsi="Arial Narrow" w:cstheme="majorBidi"/>
                <w:b/>
                <w:sz w:val="20"/>
                <w:vertAlign w:val="superscript"/>
              </w:rPr>
              <w:t>c</w:t>
            </w:r>
          </w:p>
        </w:tc>
        <w:tc>
          <w:tcPr>
            <w:tcW w:w="1229" w:type="pct"/>
            <w:vAlign w:val="center"/>
          </w:tcPr>
          <w:p w14:paraId="27472076" w14:textId="77777777" w:rsidR="00985766" w:rsidRPr="00BA31AB" w:rsidRDefault="00985766" w:rsidP="00C72373">
            <w:pPr>
              <w:keepNext/>
              <w:keepLines/>
              <w:widowControl w:val="0"/>
              <w:jc w:val="center"/>
              <w:rPr>
                <w:rFonts w:ascii="Arial Narrow" w:eastAsiaTheme="majorEastAsia" w:hAnsi="Arial Narrow" w:cstheme="majorBidi"/>
                <w:b/>
                <w:sz w:val="20"/>
              </w:rPr>
            </w:pPr>
            <w:r w:rsidRPr="00BA31AB">
              <w:rPr>
                <w:rFonts w:ascii="Arial Narrow" w:eastAsiaTheme="majorEastAsia" w:hAnsi="Arial Narrow" w:cstheme="majorBidi"/>
                <w:b/>
                <w:sz w:val="20"/>
              </w:rPr>
              <w:t>$1,720.45</w:t>
            </w:r>
          </w:p>
          <w:p w14:paraId="6EB50962" w14:textId="70C310F8" w:rsidR="00985766" w:rsidRPr="00BA31AB" w:rsidRDefault="00985766" w:rsidP="00C72373">
            <w:pPr>
              <w:keepNext/>
              <w:keepLines/>
              <w:widowControl w:val="0"/>
              <w:jc w:val="center"/>
              <w:rPr>
                <w:rFonts w:ascii="Arial Narrow" w:eastAsiaTheme="majorEastAsia" w:hAnsi="Arial Narrow" w:cstheme="majorBidi"/>
                <w:b/>
                <w:sz w:val="20"/>
                <w:vertAlign w:val="superscript"/>
              </w:rPr>
            </w:pPr>
            <w:r w:rsidRPr="00BA31AB">
              <w:rPr>
                <w:rFonts w:ascii="Arial Narrow" w:eastAsiaTheme="majorEastAsia" w:hAnsi="Arial Narrow" w:cstheme="majorBidi"/>
                <w:b/>
                <w:sz w:val="20"/>
              </w:rPr>
              <w:t>$1,720.66</w:t>
            </w:r>
            <w:r w:rsidR="006F7886" w:rsidRPr="00BA31AB">
              <w:rPr>
                <w:rFonts w:ascii="Arial Narrow" w:eastAsiaTheme="majorEastAsia" w:hAnsi="Arial Narrow" w:cstheme="majorBidi"/>
                <w:b/>
                <w:sz w:val="20"/>
                <w:vertAlign w:val="superscript"/>
              </w:rPr>
              <w:t>c</w:t>
            </w:r>
          </w:p>
        </w:tc>
      </w:tr>
    </w:tbl>
    <w:p w14:paraId="5A313DB0" w14:textId="470E7720" w:rsidR="00985766" w:rsidRPr="004F56D0" w:rsidRDefault="00985766" w:rsidP="00C72373">
      <w:pPr>
        <w:pStyle w:val="TableFigureFooter"/>
        <w:keepNext/>
      </w:pPr>
      <w:r w:rsidRPr="004F56D0">
        <w:t xml:space="preserve">Source: Table 3-3, p255; Table 3-4, p255 of the submission. </w:t>
      </w:r>
      <w:bookmarkStart w:id="102" w:name="_Hlk206271983"/>
      <w:r w:rsidRPr="00EE227E">
        <w:rPr>
          <w:iCs/>
        </w:rPr>
        <w:t>Italicised text indicates updated costs (as of 12 August 2025) of subcutaneous injection training ($88.90) and dispensing fee ($8.88).</w:t>
      </w:r>
      <w:bookmarkEnd w:id="102"/>
    </w:p>
    <w:p w14:paraId="2E187A61" w14:textId="77777777" w:rsidR="00985766" w:rsidRDefault="00985766" w:rsidP="00C72373">
      <w:pPr>
        <w:pStyle w:val="TableFigureFooter"/>
        <w:keepNext/>
      </w:pPr>
      <w:r w:rsidRPr="004F56D0">
        <w:t xml:space="preserve">AEMP = Approved Ex-manufacturer Price; DPMQ= Dispensed Price for Maximum Quantity; HSD = Highly Specialised Drugs Program; OCS = oral corticosteroids; </w:t>
      </w:r>
      <w:r w:rsidRPr="004F56D0">
        <w:br/>
      </w:r>
      <w:r w:rsidRPr="004F56D0">
        <w:rPr>
          <w:vertAlign w:val="superscript"/>
        </w:rPr>
        <w:t>a</w:t>
      </w:r>
      <w:r w:rsidRPr="004F56D0">
        <w:t xml:space="preserve"> PBS AEMP for S100 HSD Public (PBS, August 2025).</w:t>
      </w:r>
      <w:r w:rsidRPr="004F56D0">
        <w:br/>
      </w:r>
      <w:r w:rsidRPr="004F56D0">
        <w:rPr>
          <w:vertAlign w:val="superscript"/>
        </w:rPr>
        <w:t>b</w:t>
      </w:r>
      <w:r w:rsidRPr="004F56D0">
        <w:t xml:space="preserve"> </w:t>
      </w:r>
      <w:proofErr w:type="gramStart"/>
      <w:r w:rsidRPr="004F56D0">
        <w:t>The</w:t>
      </w:r>
      <w:proofErr w:type="gramEnd"/>
      <w:r w:rsidRPr="004F56D0">
        <w:t xml:space="preserve"> submission assumed self-administration for maintenance doses in all patients.</w:t>
      </w:r>
    </w:p>
    <w:p w14:paraId="011E93DC" w14:textId="6808A9A5" w:rsidR="00BA31AB" w:rsidRPr="00BA31AB" w:rsidRDefault="00BA31AB" w:rsidP="00C72373">
      <w:pPr>
        <w:pStyle w:val="TableFigureFooter"/>
        <w:keepNext/>
      </w:pPr>
      <w:r w:rsidRPr="00BA31AB">
        <w:rPr>
          <w:vertAlign w:val="superscript"/>
        </w:rPr>
        <w:t xml:space="preserve">c </w:t>
      </w:r>
      <w:r w:rsidRPr="00BA31AB">
        <w:t>Text indicates updated costs (as of 12 August 2025) of subcutaneous injection training ($88.90) and dispensing fee ($8.88).</w:t>
      </w:r>
    </w:p>
    <w:p w14:paraId="57BF8CBD" w14:textId="70262E74" w:rsidR="00DE4273" w:rsidRPr="00893657" w:rsidRDefault="00985766" w:rsidP="00893657">
      <w:pPr>
        <w:numPr>
          <w:ilvl w:val="1"/>
          <w:numId w:val="1"/>
        </w:numPr>
        <w:spacing w:after="120"/>
        <w:ind w:left="709"/>
        <w:jc w:val="left"/>
        <w:rPr>
          <w:rFonts w:asciiTheme="minorHAnsi" w:eastAsiaTheme="minorHAnsi" w:hAnsiTheme="minorHAnsi" w:cstheme="minorBidi"/>
          <w:szCs w:val="22"/>
        </w:rPr>
      </w:pPr>
      <w:r w:rsidRPr="004F56D0">
        <w:rPr>
          <w:rFonts w:asciiTheme="minorHAnsi" w:eastAsiaTheme="minorHAnsi" w:hAnsiTheme="minorHAnsi" w:cstheme="minorBidi"/>
          <w:szCs w:val="22"/>
        </w:rPr>
        <w:t xml:space="preserve">Based on the cost-minimisation approach versus dupilumab, the proposed DPMQ per pack for </w:t>
      </w:r>
      <w:proofErr w:type="spellStart"/>
      <w:r w:rsidRPr="004F56D0">
        <w:rPr>
          <w:rFonts w:asciiTheme="minorHAnsi" w:eastAsiaTheme="minorHAnsi" w:hAnsiTheme="minorHAnsi" w:cstheme="minorBidi"/>
          <w:szCs w:val="22"/>
        </w:rPr>
        <w:t>tezepelumab</w:t>
      </w:r>
      <w:proofErr w:type="spellEnd"/>
      <w:r w:rsidRPr="004F56D0">
        <w:rPr>
          <w:rFonts w:asciiTheme="minorHAnsi" w:eastAsiaTheme="minorHAnsi" w:hAnsiTheme="minorHAnsi" w:cstheme="minorBidi"/>
          <w:szCs w:val="22"/>
        </w:rPr>
        <w:t xml:space="preserve"> was $1,671.78 for a public hospital and </w:t>
      </w:r>
      <w:r w:rsidRPr="00EE227E">
        <w:rPr>
          <w:rFonts w:asciiTheme="minorHAnsi" w:eastAsiaTheme="minorHAnsi" w:hAnsiTheme="minorHAnsi" w:cstheme="minorBidi"/>
          <w:szCs w:val="22"/>
        </w:rPr>
        <w:t>$1,720.</w:t>
      </w:r>
      <w:r w:rsidRPr="00EE227E">
        <w:rPr>
          <w:rFonts w:asciiTheme="minorHAnsi" w:eastAsiaTheme="minorHAnsi" w:hAnsiTheme="minorHAnsi" w:cstheme="minorBidi"/>
          <w:iCs/>
          <w:szCs w:val="22"/>
        </w:rPr>
        <w:t>66</w:t>
      </w:r>
      <w:r w:rsidRPr="004F56D0">
        <w:rPr>
          <w:rFonts w:asciiTheme="minorHAnsi" w:eastAsiaTheme="minorHAnsi" w:hAnsiTheme="minorHAnsi" w:cstheme="minorBidi"/>
          <w:szCs w:val="22"/>
        </w:rPr>
        <w:t xml:space="preserve"> for a private hospital. </w:t>
      </w:r>
      <w:r w:rsidR="00D57860">
        <w:t>The ESC noted that d</w:t>
      </w:r>
      <w:r w:rsidRPr="001C4B49">
        <w:t xml:space="preserve">upilumab may not be the lowest cost therapy for either the uncontrolled severe eosinophilic or allergic asthma population. </w:t>
      </w:r>
    </w:p>
    <w:p w14:paraId="472842D7" w14:textId="19FFC935" w:rsidR="00C25D9C" w:rsidRPr="0098262F" w:rsidRDefault="00D9000B" w:rsidP="00BB732D">
      <w:pPr>
        <w:pStyle w:val="COMESSubsectionheading"/>
      </w:pPr>
      <w:bookmarkStart w:id="103" w:name="_Toc22897646"/>
      <w:bookmarkStart w:id="104" w:name="_Toc209017000"/>
      <w:r>
        <w:t>Drug</w:t>
      </w:r>
      <w:r w:rsidR="00C25D9C" w:rsidRPr="0098262F">
        <w:t xml:space="preserve"> cost/patient/year</w:t>
      </w:r>
      <w:bookmarkEnd w:id="103"/>
      <w:bookmarkEnd w:id="104"/>
    </w:p>
    <w:p w14:paraId="51EC8D3D" w14:textId="77777777" w:rsidR="004F7589" w:rsidRPr="004F56D0" w:rsidRDefault="004F7589" w:rsidP="004F7589">
      <w:pPr>
        <w:keepNext/>
        <w:keepLines/>
        <w:spacing w:before="40"/>
        <w:outlineLvl w:val="2"/>
        <w:rPr>
          <w:rFonts w:asciiTheme="minorHAnsi" w:eastAsiaTheme="majorEastAsia" w:hAnsiTheme="minorHAnsi" w:cstheme="majorBidi"/>
          <w:b/>
          <w:color w:val="000000" w:themeColor="text1"/>
        </w:rPr>
      </w:pPr>
      <w:r w:rsidRPr="004F56D0">
        <w:rPr>
          <w:rFonts w:asciiTheme="minorHAnsi" w:eastAsiaTheme="majorEastAsia" w:hAnsiTheme="minorHAnsi" w:cstheme="majorBidi"/>
          <w:b/>
          <w:color w:val="000000" w:themeColor="text1"/>
        </w:rPr>
        <w:t>Non-eosinophilic and non-allergic SUA</w:t>
      </w:r>
    </w:p>
    <w:p w14:paraId="7AF34AC7" w14:textId="7DA2B656" w:rsidR="004F7589" w:rsidRPr="004F56D0" w:rsidRDefault="004F7589" w:rsidP="00FB4F30">
      <w:pPr>
        <w:numPr>
          <w:ilvl w:val="1"/>
          <w:numId w:val="5"/>
        </w:numPr>
        <w:spacing w:after="120"/>
        <w:ind w:left="709"/>
        <w:jc w:val="left"/>
        <w:rPr>
          <w:rFonts w:asciiTheme="minorHAnsi" w:eastAsiaTheme="minorHAnsi" w:hAnsiTheme="minorHAnsi" w:cstheme="minorBidi"/>
          <w:szCs w:val="22"/>
        </w:rPr>
      </w:pPr>
      <w:r w:rsidRPr="004F56D0">
        <w:rPr>
          <w:rFonts w:asciiTheme="minorHAnsi" w:eastAsiaTheme="minorHAnsi" w:hAnsiTheme="minorHAnsi" w:cstheme="minorBidi"/>
          <w:szCs w:val="22"/>
        </w:rPr>
        <w:t xml:space="preserve">For the non-eosinophilic and non-allergic SUA population the drug cost per patient per year is presented in </w:t>
      </w:r>
      <w:r w:rsidRPr="004F56D0">
        <w:rPr>
          <w:rFonts w:asciiTheme="minorHAnsi" w:eastAsiaTheme="minorHAnsi" w:hAnsiTheme="minorHAnsi" w:cstheme="minorBidi"/>
          <w:szCs w:val="22"/>
        </w:rPr>
        <w:fldChar w:fldCharType="begin"/>
      </w:r>
      <w:r w:rsidRPr="004F56D0">
        <w:rPr>
          <w:rFonts w:asciiTheme="minorHAnsi" w:eastAsiaTheme="minorHAnsi" w:hAnsiTheme="minorHAnsi" w:cstheme="minorBidi"/>
          <w:szCs w:val="22"/>
        </w:rPr>
        <w:instrText xml:space="preserve"> REF _Ref205931831 \h </w:instrText>
      </w:r>
      <w:r w:rsidRPr="004F56D0">
        <w:rPr>
          <w:rFonts w:asciiTheme="minorHAnsi" w:eastAsiaTheme="minorHAnsi" w:hAnsiTheme="minorHAnsi" w:cstheme="minorBidi"/>
          <w:szCs w:val="22"/>
        </w:rPr>
      </w:r>
      <w:r w:rsidRPr="004F56D0">
        <w:rPr>
          <w:rFonts w:asciiTheme="minorHAnsi" w:eastAsiaTheme="minorHAnsi" w:hAnsiTheme="minorHAnsi" w:cstheme="minorBidi"/>
          <w:szCs w:val="22"/>
        </w:rPr>
        <w:fldChar w:fldCharType="separate"/>
      </w:r>
      <w:r w:rsidR="0078760A" w:rsidRPr="004F56D0">
        <w:t xml:space="preserve">Table </w:t>
      </w:r>
      <w:r w:rsidR="0078760A">
        <w:rPr>
          <w:noProof/>
        </w:rPr>
        <w:t>18</w:t>
      </w:r>
      <w:r w:rsidRPr="004F56D0">
        <w:rPr>
          <w:rFonts w:asciiTheme="minorHAnsi" w:eastAsiaTheme="minorHAnsi" w:hAnsiTheme="minorHAnsi" w:cstheme="minorBidi"/>
          <w:szCs w:val="22"/>
        </w:rPr>
        <w:fldChar w:fldCharType="end"/>
      </w:r>
      <w:r w:rsidRPr="004F56D0">
        <w:rPr>
          <w:rFonts w:asciiTheme="minorHAnsi" w:eastAsiaTheme="minorHAnsi" w:hAnsiTheme="minorHAnsi" w:cstheme="minorBidi"/>
          <w:szCs w:val="22"/>
        </w:rPr>
        <w:t>.</w:t>
      </w:r>
    </w:p>
    <w:p w14:paraId="6288AA87" w14:textId="1CBDB2BF" w:rsidR="004F7589" w:rsidRPr="004F56D0" w:rsidRDefault="004F7589" w:rsidP="004F7589">
      <w:pPr>
        <w:pStyle w:val="TableFigureHeading"/>
      </w:pPr>
      <w:bookmarkStart w:id="105" w:name="_Ref205931831"/>
      <w:r w:rsidRPr="004F56D0">
        <w:t xml:space="preserve">Table </w:t>
      </w:r>
      <w:r w:rsidR="001146FA">
        <w:fldChar w:fldCharType="begin"/>
      </w:r>
      <w:r w:rsidR="001146FA">
        <w:instrText xml:space="preserve"> SEQ Table \* ARABIC </w:instrText>
      </w:r>
      <w:r w:rsidR="001146FA">
        <w:fldChar w:fldCharType="separate"/>
      </w:r>
      <w:r w:rsidR="0078760A">
        <w:rPr>
          <w:noProof/>
        </w:rPr>
        <w:t>18</w:t>
      </w:r>
      <w:r w:rsidR="001146FA">
        <w:rPr>
          <w:noProof/>
        </w:rPr>
        <w:fldChar w:fldCharType="end"/>
      </w:r>
      <w:bookmarkEnd w:id="105"/>
      <w:r w:rsidRPr="004F56D0">
        <w:t>: Intervention costs per patient per year for non-eosinophilic and non-allergic subgroup on high-dose 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 Intervention costs per patient per year for non-eosinophilic and non-allergic subgroup on high-dose ICS"/>
      </w:tblPr>
      <w:tblGrid>
        <w:gridCol w:w="2969"/>
        <w:gridCol w:w="1986"/>
        <w:gridCol w:w="1984"/>
        <w:gridCol w:w="2078"/>
      </w:tblGrid>
      <w:tr w:rsidR="004F7589" w:rsidRPr="004F56D0" w14:paraId="6E7022E4" w14:textId="77777777">
        <w:trPr>
          <w:cantSplit/>
          <w:tblHeader/>
        </w:trPr>
        <w:tc>
          <w:tcPr>
            <w:tcW w:w="1647" w:type="pct"/>
            <w:vMerge w:val="restart"/>
            <w:vAlign w:val="center"/>
          </w:tcPr>
          <w:p w14:paraId="3002EF29" w14:textId="77777777" w:rsidR="004F7589" w:rsidRPr="00A4392F" w:rsidRDefault="004F7589">
            <w:pPr>
              <w:widowControl w:val="0"/>
              <w:jc w:val="center"/>
              <w:rPr>
                <w:rFonts w:ascii="Arial Narrow" w:eastAsiaTheme="majorEastAsia" w:hAnsi="Arial Narrow" w:cstheme="majorBidi"/>
                <w:b/>
                <w:bCs/>
                <w:sz w:val="20"/>
              </w:rPr>
            </w:pPr>
          </w:p>
        </w:tc>
        <w:tc>
          <w:tcPr>
            <w:tcW w:w="3353" w:type="pct"/>
            <w:gridSpan w:val="3"/>
            <w:vAlign w:val="center"/>
          </w:tcPr>
          <w:p w14:paraId="7B9DC3DE"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Tezepelumab</w:t>
            </w:r>
          </w:p>
        </w:tc>
      </w:tr>
      <w:tr w:rsidR="004F7589" w:rsidRPr="004F56D0" w14:paraId="573F8E9A" w14:textId="77777777">
        <w:trPr>
          <w:cantSplit/>
          <w:trHeight w:val="290"/>
          <w:tblHeader/>
        </w:trPr>
        <w:tc>
          <w:tcPr>
            <w:tcW w:w="1647" w:type="pct"/>
            <w:vMerge/>
            <w:vAlign w:val="center"/>
          </w:tcPr>
          <w:p w14:paraId="5EF77FC9" w14:textId="77777777" w:rsidR="004F7589" w:rsidRPr="00A4392F" w:rsidRDefault="004F7589">
            <w:pPr>
              <w:widowControl w:val="0"/>
              <w:jc w:val="center"/>
              <w:rPr>
                <w:rFonts w:ascii="Arial Narrow" w:eastAsiaTheme="majorEastAsia" w:hAnsi="Arial Narrow" w:cstheme="majorBidi"/>
                <w:b/>
                <w:bCs/>
                <w:sz w:val="20"/>
              </w:rPr>
            </w:pPr>
          </w:p>
        </w:tc>
        <w:tc>
          <w:tcPr>
            <w:tcW w:w="1101" w:type="pct"/>
            <w:vAlign w:val="center"/>
          </w:tcPr>
          <w:p w14:paraId="57EE1EB4"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 xml:space="preserve">Trial </w:t>
            </w:r>
          </w:p>
        </w:tc>
        <w:tc>
          <w:tcPr>
            <w:tcW w:w="1100" w:type="pct"/>
            <w:vAlign w:val="center"/>
          </w:tcPr>
          <w:p w14:paraId="651CD3AD"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Model</w:t>
            </w:r>
          </w:p>
        </w:tc>
        <w:tc>
          <w:tcPr>
            <w:tcW w:w="1151" w:type="pct"/>
            <w:vAlign w:val="center"/>
          </w:tcPr>
          <w:p w14:paraId="1DF19075"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Financial estimates</w:t>
            </w:r>
          </w:p>
        </w:tc>
      </w:tr>
      <w:tr w:rsidR="004F7589" w:rsidRPr="004F56D0" w14:paraId="1392061B" w14:textId="77777777">
        <w:trPr>
          <w:cantSplit/>
          <w:trHeight w:val="290"/>
          <w:tblHeader/>
        </w:trPr>
        <w:tc>
          <w:tcPr>
            <w:tcW w:w="1647" w:type="pct"/>
            <w:vAlign w:val="center"/>
          </w:tcPr>
          <w:p w14:paraId="3C4E8954" w14:textId="77777777" w:rsidR="004F7589" w:rsidRPr="00A4392F" w:rsidRDefault="004F7589">
            <w:pPr>
              <w:widowControl w:val="0"/>
              <w:jc w:val="left"/>
              <w:rPr>
                <w:rFonts w:ascii="Arial Narrow" w:eastAsiaTheme="majorEastAsia" w:hAnsi="Arial Narrow" w:cstheme="majorBidi"/>
                <w:sz w:val="20"/>
              </w:rPr>
            </w:pPr>
            <w:r w:rsidRPr="00A4392F">
              <w:rPr>
                <w:rFonts w:ascii="Arial Narrow" w:eastAsiaTheme="majorEastAsia" w:hAnsi="Arial Narrow" w:cstheme="majorBidi"/>
                <w:sz w:val="20"/>
              </w:rPr>
              <w:t>Proposed dose</w:t>
            </w:r>
          </w:p>
        </w:tc>
        <w:tc>
          <w:tcPr>
            <w:tcW w:w="1101" w:type="pct"/>
            <w:vAlign w:val="center"/>
          </w:tcPr>
          <w:p w14:paraId="2BF73E1F"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210 mg injection Q4W</w:t>
            </w:r>
          </w:p>
        </w:tc>
        <w:tc>
          <w:tcPr>
            <w:tcW w:w="1100" w:type="pct"/>
          </w:tcPr>
          <w:p w14:paraId="47170699"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210 mg injection Q4W</w:t>
            </w:r>
          </w:p>
        </w:tc>
        <w:tc>
          <w:tcPr>
            <w:tcW w:w="1151" w:type="pct"/>
          </w:tcPr>
          <w:p w14:paraId="59650588"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210 mg injection Q4W</w:t>
            </w:r>
          </w:p>
        </w:tc>
      </w:tr>
      <w:tr w:rsidR="004F7589" w:rsidRPr="004F56D0" w14:paraId="5DA02100" w14:textId="77777777">
        <w:trPr>
          <w:cantSplit/>
          <w:trHeight w:val="290"/>
          <w:tblHeader/>
        </w:trPr>
        <w:tc>
          <w:tcPr>
            <w:tcW w:w="1647" w:type="pct"/>
            <w:vAlign w:val="center"/>
          </w:tcPr>
          <w:p w14:paraId="6400E929" w14:textId="77777777" w:rsidR="004F7589" w:rsidRPr="00A4392F" w:rsidRDefault="004F7589">
            <w:pPr>
              <w:widowControl w:val="0"/>
              <w:jc w:val="left"/>
              <w:rPr>
                <w:rFonts w:ascii="Arial Narrow" w:eastAsiaTheme="majorEastAsia" w:hAnsi="Arial Narrow" w:cstheme="majorBidi"/>
                <w:sz w:val="20"/>
              </w:rPr>
            </w:pPr>
            <w:r w:rsidRPr="00A4392F">
              <w:rPr>
                <w:rFonts w:ascii="Arial Narrow" w:eastAsiaTheme="majorEastAsia" w:hAnsi="Arial Narrow" w:cstheme="majorBidi"/>
                <w:sz w:val="20"/>
              </w:rPr>
              <w:t>Mean compliance</w:t>
            </w:r>
          </w:p>
        </w:tc>
        <w:tc>
          <w:tcPr>
            <w:tcW w:w="1101" w:type="pct"/>
            <w:vAlign w:val="center"/>
          </w:tcPr>
          <w:p w14:paraId="11FDC24F"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98.2%</w:t>
            </w:r>
            <w:r w:rsidRPr="00A4392F">
              <w:rPr>
                <w:rFonts w:ascii="Arial Narrow" w:eastAsiaTheme="majorEastAsia" w:hAnsi="Arial Narrow" w:cstheme="majorBidi"/>
                <w:sz w:val="20"/>
                <w:vertAlign w:val="superscript"/>
              </w:rPr>
              <w:t>a</w:t>
            </w:r>
          </w:p>
        </w:tc>
        <w:tc>
          <w:tcPr>
            <w:tcW w:w="1100" w:type="pct"/>
            <w:vAlign w:val="center"/>
          </w:tcPr>
          <w:p w14:paraId="4F140034"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100%</w:t>
            </w:r>
          </w:p>
        </w:tc>
        <w:tc>
          <w:tcPr>
            <w:tcW w:w="1151" w:type="pct"/>
            <w:vAlign w:val="center"/>
          </w:tcPr>
          <w:p w14:paraId="4D58AAE0"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93%</w:t>
            </w:r>
          </w:p>
        </w:tc>
      </w:tr>
      <w:tr w:rsidR="004F7589" w:rsidRPr="004F56D0" w14:paraId="451F9B2C" w14:textId="77777777">
        <w:trPr>
          <w:cantSplit/>
        </w:trPr>
        <w:tc>
          <w:tcPr>
            <w:tcW w:w="1647" w:type="pct"/>
            <w:vAlign w:val="center"/>
          </w:tcPr>
          <w:p w14:paraId="631EDDBB" w14:textId="77777777" w:rsidR="004F7589" w:rsidRPr="00A4392F" w:rsidRDefault="004F7589">
            <w:pPr>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lang w:val="en-US"/>
              </w:rPr>
              <w:t xml:space="preserve">Mean 4-weekly dose </w:t>
            </w:r>
            <w:r w:rsidRPr="00A4392F">
              <w:rPr>
                <w:rFonts w:ascii="Arial Narrow" w:eastAsiaTheme="majorEastAsia" w:hAnsi="Arial Narrow" w:cstheme="majorBidi"/>
                <w:bCs/>
                <w:sz w:val="20"/>
                <w:vertAlign w:val="superscript"/>
                <w:lang w:val="en-US"/>
              </w:rPr>
              <w:t>b</w:t>
            </w:r>
          </w:p>
        </w:tc>
        <w:tc>
          <w:tcPr>
            <w:tcW w:w="1101" w:type="pct"/>
            <w:vAlign w:val="center"/>
          </w:tcPr>
          <w:p w14:paraId="322D3BE1"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206.1 mg</w:t>
            </w:r>
          </w:p>
        </w:tc>
        <w:tc>
          <w:tcPr>
            <w:tcW w:w="1100" w:type="pct"/>
            <w:vAlign w:val="center"/>
          </w:tcPr>
          <w:p w14:paraId="0C5F04A0"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210 mg</w:t>
            </w:r>
          </w:p>
        </w:tc>
        <w:tc>
          <w:tcPr>
            <w:tcW w:w="1151" w:type="pct"/>
            <w:vAlign w:val="center"/>
          </w:tcPr>
          <w:p w14:paraId="34413874"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225.6 mg</w:t>
            </w:r>
          </w:p>
        </w:tc>
      </w:tr>
      <w:tr w:rsidR="004F7589" w:rsidRPr="004F56D0" w14:paraId="02375F66" w14:textId="77777777">
        <w:trPr>
          <w:cantSplit/>
        </w:trPr>
        <w:tc>
          <w:tcPr>
            <w:tcW w:w="1647" w:type="pct"/>
            <w:vAlign w:val="center"/>
          </w:tcPr>
          <w:p w14:paraId="6890C970" w14:textId="77777777" w:rsidR="004F7589" w:rsidRPr="00A4392F" w:rsidRDefault="004F7589">
            <w:pPr>
              <w:widowControl w:val="0"/>
              <w:jc w:val="left"/>
              <w:rPr>
                <w:rFonts w:ascii="Arial Narrow" w:eastAsiaTheme="majorEastAsia" w:hAnsi="Arial Narrow" w:cstheme="majorBidi"/>
                <w:bCs/>
                <w:sz w:val="20"/>
                <w:lang w:val="en-US"/>
              </w:rPr>
            </w:pPr>
            <w:r w:rsidRPr="00A4392F">
              <w:rPr>
                <w:rFonts w:ascii="Arial Narrow" w:eastAsiaTheme="majorEastAsia" w:hAnsi="Arial Narrow" w:cstheme="majorBidi"/>
                <w:bCs/>
                <w:sz w:val="20"/>
                <w:lang w:val="en-US"/>
              </w:rPr>
              <w:t xml:space="preserve">Mean dose/week </w:t>
            </w:r>
            <w:r w:rsidRPr="00A4392F">
              <w:rPr>
                <w:rFonts w:ascii="Arial Narrow" w:eastAsiaTheme="majorEastAsia" w:hAnsi="Arial Narrow" w:cstheme="majorBidi"/>
                <w:bCs/>
                <w:sz w:val="20"/>
                <w:vertAlign w:val="superscript"/>
                <w:lang w:val="en-US"/>
              </w:rPr>
              <w:t>c</w:t>
            </w:r>
          </w:p>
        </w:tc>
        <w:tc>
          <w:tcPr>
            <w:tcW w:w="1101" w:type="pct"/>
            <w:vAlign w:val="center"/>
          </w:tcPr>
          <w:p w14:paraId="158CC174"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51.5 mg</w:t>
            </w:r>
          </w:p>
        </w:tc>
        <w:tc>
          <w:tcPr>
            <w:tcW w:w="1100" w:type="pct"/>
            <w:vAlign w:val="center"/>
          </w:tcPr>
          <w:p w14:paraId="53E64AF8"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52.5 mg</w:t>
            </w:r>
          </w:p>
        </w:tc>
        <w:tc>
          <w:tcPr>
            <w:tcW w:w="1151" w:type="pct"/>
            <w:vAlign w:val="center"/>
          </w:tcPr>
          <w:p w14:paraId="44D6DF0A"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56.4 mg</w:t>
            </w:r>
          </w:p>
        </w:tc>
      </w:tr>
      <w:tr w:rsidR="004F7589" w:rsidRPr="004F56D0" w14:paraId="6BC89ACE" w14:textId="77777777">
        <w:trPr>
          <w:cantSplit/>
        </w:trPr>
        <w:tc>
          <w:tcPr>
            <w:tcW w:w="1647" w:type="pct"/>
            <w:vAlign w:val="center"/>
          </w:tcPr>
          <w:p w14:paraId="21537A96" w14:textId="77777777" w:rsidR="004F7589" w:rsidRPr="00A4392F" w:rsidRDefault="004F7589">
            <w:pPr>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Mean duration (Weeks)</w:t>
            </w:r>
          </w:p>
        </w:tc>
        <w:tc>
          <w:tcPr>
            <w:tcW w:w="1101" w:type="pct"/>
            <w:vAlign w:val="center"/>
          </w:tcPr>
          <w:p w14:paraId="1A929E9E"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 xml:space="preserve">47.9 </w:t>
            </w:r>
            <w:r w:rsidRPr="00A4392F">
              <w:rPr>
                <w:rFonts w:ascii="Arial Narrow" w:eastAsiaTheme="majorEastAsia" w:hAnsi="Arial Narrow" w:cstheme="majorBidi"/>
                <w:sz w:val="20"/>
                <w:vertAlign w:val="superscript"/>
              </w:rPr>
              <w:t>d</w:t>
            </w:r>
          </w:p>
        </w:tc>
        <w:tc>
          <w:tcPr>
            <w:tcW w:w="1100" w:type="pct"/>
            <w:vAlign w:val="center"/>
          </w:tcPr>
          <w:p w14:paraId="05DBE0E1"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 xml:space="preserve">85.1 </w:t>
            </w:r>
            <w:r w:rsidRPr="00A4392F">
              <w:rPr>
                <w:rFonts w:ascii="Arial Narrow" w:eastAsiaTheme="majorEastAsia" w:hAnsi="Arial Narrow" w:cstheme="majorBidi"/>
                <w:sz w:val="20"/>
                <w:vertAlign w:val="superscript"/>
              </w:rPr>
              <w:t>e</w:t>
            </w:r>
          </w:p>
        </w:tc>
        <w:tc>
          <w:tcPr>
            <w:tcW w:w="1151" w:type="pct"/>
            <w:vAlign w:val="center"/>
          </w:tcPr>
          <w:p w14:paraId="5F4EC42B"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48.3</w:t>
            </w:r>
          </w:p>
        </w:tc>
      </w:tr>
      <w:tr w:rsidR="004F7589" w:rsidRPr="004F56D0" w14:paraId="38E2524D" w14:textId="77777777">
        <w:trPr>
          <w:cantSplit/>
        </w:trPr>
        <w:tc>
          <w:tcPr>
            <w:tcW w:w="1647" w:type="pct"/>
            <w:vAlign w:val="center"/>
          </w:tcPr>
          <w:p w14:paraId="09E7D457" w14:textId="77777777" w:rsidR="004F7589" w:rsidRPr="00A4392F" w:rsidRDefault="004F7589">
            <w:pPr>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 xml:space="preserve">Cost/ patient over the mean duration </w:t>
            </w:r>
            <w:r w:rsidRPr="00A4392F">
              <w:rPr>
                <w:rFonts w:ascii="Arial Narrow" w:eastAsiaTheme="majorEastAsia" w:hAnsi="Arial Narrow" w:cstheme="majorBidi"/>
                <w:bCs/>
                <w:sz w:val="20"/>
                <w:vertAlign w:val="superscript"/>
              </w:rPr>
              <w:t>f</w:t>
            </w:r>
          </w:p>
        </w:tc>
        <w:tc>
          <w:tcPr>
            <w:tcW w:w="1101" w:type="pct"/>
            <w:vAlign w:val="center"/>
          </w:tcPr>
          <w:p w14:paraId="1DC9B8B1" w14:textId="7B8DE89E"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p>
        </w:tc>
        <w:tc>
          <w:tcPr>
            <w:tcW w:w="1100" w:type="pct"/>
            <w:vAlign w:val="center"/>
          </w:tcPr>
          <w:p w14:paraId="5EBF22C9" w14:textId="447C845D"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p>
        </w:tc>
        <w:tc>
          <w:tcPr>
            <w:tcW w:w="1151" w:type="pct"/>
            <w:vAlign w:val="center"/>
          </w:tcPr>
          <w:p w14:paraId="65A6539B" w14:textId="1D3B114F"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p>
        </w:tc>
      </w:tr>
      <w:tr w:rsidR="004F7589" w:rsidRPr="004F56D0" w14:paraId="67824125" w14:textId="77777777">
        <w:trPr>
          <w:cantSplit/>
        </w:trPr>
        <w:tc>
          <w:tcPr>
            <w:tcW w:w="1647" w:type="pct"/>
            <w:vAlign w:val="center"/>
          </w:tcPr>
          <w:p w14:paraId="5D7C2A83" w14:textId="77777777" w:rsidR="004F7589" w:rsidRPr="00A4392F" w:rsidRDefault="004F7589">
            <w:pPr>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 xml:space="preserve">Cost/ patient trial-based period (50w) </w:t>
            </w:r>
            <w:proofErr w:type="spellStart"/>
            <w:proofErr w:type="gramStart"/>
            <w:r w:rsidRPr="00A4392F">
              <w:rPr>
                <w:rFonts w:ascii="Arial Narrow" w:eastAsiaTheme="majorEastAsia" w:hAnsi="Arial Narrow" w:cstheme="majorBidi"/>
                <w:bCs/>
                <w:sz w:val="20"/>
                <w:vertAlign w:val="superscript"/>
              </w:rPr>
              <w:t>g,h</w:t>
            </w:r>
            <w:proofErr w:type="spellEnd"/>
            <w:proofErr w:type="gramEnd"/>
          </w:p>
        </w:tc>
        <w:tc>
          <w:tcPr>
            <w:tcW w:w="1101" w:type="pct"/>
            <w:vAlign w:val="center"/>
          </w:tcPr>
          <w:p w14:paraId="7F77DBEC" w14:textId="55EB4512"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p>
        </w:tc>
        <w:tc>
          <w:tcPr>
            <w:tcW w:w="1100" w:type="pct"/>
            <w:vAlign w:val="center"/>
          </w:tcPr>
          <w:p w14:paraId="343CE200" w14:textId="617860CE"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p>
        </w:tc>
        <w:tc>
          <w:tcPr>
            <w:tcW w:w="1151" w:type="pct"/>
            <w:vAlign w:val="center"/>
          </w:tcPr>
          <w:p w14:paraId="1EB6D7D1" w14:textId="00179B5E"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p>
        </w:tc>
      </w:tr>
      <w:tr w:rsidR="004F7589" w:rsidRPr="004F56D0" w14:paraId="0431CE7B" w14:textId="77777777">
        <w:trPr>
          <w:cantSplit/>
        </w:trPr>
        <w:tc>
          <w:tcPr>
            <w:tcW w:w="1647" w:type="pct"/>
            <w:vAlign w:val="center"/>
          </w:tcPr>
          <w:p w14:paraId="0B0A0894" w14:textId="77777777" w:rsidR="004F7589" w:rsidRPr="00A4392F" w:rsidRDefault="004F7589">
            <w:pPr>
              <w:widowControl w:val="0"/>
              <w:jc w:val="left"/>
              <w:rPr>
                <w:rFonts w:ascii="Arial Narrow" w:eastAsiaTheme="majorEastAsia" w:hAnsi="Arial Narrow" w:cstheme="majorBidi"/>
                <w:b/>
                <w:sz w:val="20"/>
              </w:rPr>
            </w:pPr>
            <w:r w:rsidRPr="00A4392F">
              <w:rPr>
                <w:rFonts w:ascii="Arial Narrow" w:eastAsiaTheme="majorEastAsia" w:hAnsi="Arial Narrow" w:cstheme="majorBidi"/>
                <w:b/>
                <w:sz w:val="20"/>
              </w:rPr>
              <w:t xml:space="preserve">Cost/ patient/ year </w:t>
            </w:r>
            <w:proofErr w:type="spellStart"/>
            <w:r w:rsidRPr="00A4392F">
              <w:rPr>
                <w:rFonts w:ascii="Arial Narrow" w:eastAsiaTheme="majorEastAsia" w:hAnsi="Arial Narrow" w:cstheme="majorBidi"/>
                <w:b/>
                <w:sz w:val="20"/>
                <w:vertAlign w:val="superscript"/>
              </w:rPr>
              <w:t>i</w:t>
            </w:r>
            <w:proofErr w:type="spellEnd"/>
          </w:p>
        </w:tc>
        <w:tc>
          <w:tcPr>
            <w:tcW w:w="1101" w:type="pct"/>
            <w:vAlign w:val="center"/>
          </w:tcPr>
          <w:p w14:paraId="1AF7CAF8" w14:textId="0F662991" w:rsidR="004F7589" w:rsidRPr="00A4392F" w:rsidRDefault="004F7589">
            <w:pPr>
              <w:widowControl w:val="0"/>
              <w:jc w:val="center"/>
              <w:rPr>
                <w:rFonts w:ascii="Arial Narrow" w:eastAsiaTheme="majorEastAsia" w:hAnsi="Arial Narrow" w:cstheme="majorBidi"/>
                <w:b/>
                <w:sz w:val="20"/>
              </w:rPr>
            </w:pPr>
            <w:r w:rsidRPr="00A4392F">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p>
        </w:tc>
        <w:tc>
          <w:tcPr>
            <w:tcW w:w="1100" w:type="pct"/>
            <w:vAlign w:val="center"/>
          </w:tcPr>
          <w:p w14:paraId="2F323E39" w14:textId="2BBA63FB" w:rsidR="004F7589" w:rsidRPr="00A4392F" w:rsidRDefault="004F7589">
            <w:pPr>
              <w:widowControl w:val="0"/>
              <w:jc w:val="center"/>
              <w:rPr>
                <w:rFonts w:ascii="Arial Narrow" w:eastAsiaTheme="majorEastAsia" w:hAnsi="Arial Narrow" w:cstheme="majorBidi"/>
                <w:b/>
                <w:sz w:val="20"/>
              </w:rPr>
            </w:pPr>
            <w:r w:rsidRPr="00A4392F">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p>
        </w:tc>
        <w:tc>
          <w:tcPr>
            <w:tcW w:w="1151" w:type="pct"/>
            <w:vAlign w:val="center"/>
          </w:tcPr>
          <w:p w14:paraId="3589D80A" w14:textId="46D4F55A" w:rsidR="004F7589" w:rsidRPr="00A4392F" w:rsidRDefault="004F7589">
            <w:pPr>
              <w:widowControl w:val="0"/>
              <w:jc w:val="center"/>
              <w:rPr>
                <w:rFonts w:ascii="Arial Narrow" w:eastAsiaTheme="majorEastAsia" w:hAnsi="Arial Narrow" w:cstheme="majorBidi"/>
                <w:b/>
                <w:sz w:val="20"/>
              </w:rPr>
            </w:pPr>
            <w:r w:rsidRPr="00A4392F">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p>
        </w:tc>
      </w:tr>
    </w:tbl>
    <w:p w14:paraId="05CAE5CE" w14:textId="77777777" w:rsidR="004F7589" w:rsidRPr="004F56D0" w:rsidRDefault="004F7589" w:rsidP="004F7589">
      <w:pPr>
        <w:pStyle w:val="TableFigureFooter"/>
      </w:pPr>
      <w:r w:rsidRPr="004F56D0">
        <w:t xml:space="preserve">Source: Complied during the evaluation from Table 2-15, pp53-56 of the submission; ‘Attachment 3 2 CEA model </w:t>
      </w:r>
      <w:proofErr w:type="spellStart"/>
      <w:r w:rsidRPr="004F56D0">
        <w:t>Teze</w:t>
      </w:r>
      <w:proofErr w:type="spellEnd"/>
      <w:r w:rsidRPr="004F56D0">
        <w:t xml:space="preserve"> SUA July 2025.xlm’, Tab ‘Other AU inputs’; Tab ‘Deterministic Results’; Attachment 4.3 Financial impact </w:t>
      </w:r>
      <w:proofErr w:type="spellStart"/>
      <w:r w:rsidRPr="004F56D0">
        <w:t>nonEOS_nonAllergic</w:t>
      </w:r>
      <w:proofErr w:type="spellEnd"/>
      <w:r w:rsidRPr="004F56D0">
        <w:t xml:space="preserve"> SUA </w:t>
      </w:r>
      <w:proofErr w:type="spellStart"/>
      <w:r w:rsidRPr="004F56D0">
        <w:t>teze_July</w:t>
      </w:r>
      <w:proofErr w:type="spellEnd"/>
      <w:r w:rsidRPr="004F56D0">
        <w:t xml:space="preserve"> 2025 Tab ’3b. Impact- proposed (eff)’ NAVIGATOR study CSR, p135; SOURCE study CSR p139; NAVIGATOR CSR ‘Tezepelumab - d5180c00007’ Table 14.3.1.1, p5; SOURCE CSR ‘Tezepelumab - d5180c00009’ Table 14.3.1.1.</w:t>
      </w:r>
      <w:r w:rsidRPr="00EE227E">
        <w:rPr>
          <w:iCs/>
        </w:rPr>
        <w:t xml:space="preserve"> Italicised text (calculated cells) added during the evaluation.</w:t>
      </w:r>
    </w:p>
    <w:p w14:paraId="53DECE40" w14:textId="77777777" w:rsidR="004F7589" w:rsidRPr="004F56D0" w:rsidRDefault="004F7589" w:rsidP="004F7589">
      <w:pPr>
        <w:pStyle w:val="TableFigureFooter"/>
        <w:rPr>
          <w:vertAlign w:val="superscript"/>
        </w:rPr>
      </w:pPr>
      <w:r w:rsidRPr="004F56D0">
        <w:t xml:space="preserve">DPMQ = Dispensed Price for Maximum Quantity; ICS= inhaled corticosteroids; NR = Not reported; Q4W= every 4 weeks; w= Weeks </w:t>
      </w:r>
      <w:r w:rsidRPr="004F56D0">
        <w:br/>
      </w:r>
      <w:proofErr w:type="spellStart"/>
      <w:proofErr w:type="gramStart"/>
      <w:r w:rsidRPr="004F56D0">
        <w:rPr>
          <w:b/>
          <w:bCs/>
          <w:vertAlign w:val="superscript"/>
        </w:rPr>
        <w:t>a</w:t>
      </w:r>
      <w:proofErr w:type="spellEnd"/>
      <w:proofErr w:type="gramEnd"/>
      <w:r w:rsidRPr="004F56D0">
        <w:rPr>
          <w:b/>
          <w:bCs/>
          <w:vertAlign w:val="superscript"/>
        </w:rPr>
        <w:t xml:space="preserve"> </w:t>
      </w:r>
      <w:r w:rsidRPr="004F56D0">
        <w:t>Average compliance reported in the 2 trials: (98.2% = 99.0% (NAVIGATOR)+ 97.3% (SOURCE))/2.</w:t>
      </w:r>
      <w:r w:rsidRPr="004F56D0">
        <w:br/>
      </w:r>
      <w:r w:rsidRPr="004F56D0">
        <w:rPr>
          <w:vertAlign w:val="superscript"/>
        </w:rPr>
        <w:t>b</w:t>
      </w:r>
      <w:r w:rsidRPr="004F56D0">
        <w:t xml:space="preserve"> Proposed dose (mg) x compliance rate (%)</w:t>
      </w:r>
      <w:r w:rsidRPr="004F56D0">
        <w:br/>
      </w:r>
      <w:r w:rsidRPr="004F56D0">
        <w:rPr>
          <w:vertAlign w:val="superscript"/>
        </w:rPr>
        <w:t xml:space="preserve">c </w:t>
      </w:r>
      <w:r w:rsidRPr="004F56D0">
        <w:t>Mean 4-weekly dose/4.</w:t>
      </w:r>
    </w:p>
    <w:p w14:paraId="259B52DB" w14:textId="7ECDE5F4" w:rsidR="004F7589" w:rsidRPr="004F56D0" w:rsidRDefault="004F7589" w:rsidP="004F7589">
      <w:pPr>
        <w:pStyle w:val="TableFigureFooter"/>
      </w:pPr>
      <w:r w:rsidRPr="004F56D0">
        <w:rPr>
          <w:vertAlign w:val="superscript"/>
        </w:rPr>
        <w:t>d</w:t>
      </w:r>
      <w:r w:rsidRPr="004F56D0">
        <w:t xml:space="preserve"> Average trial-based </w:t>
      </w:r>
      <w:proofErr w:type="spellStart"/>
      <w:r w:rsidRPr="004F56D0">
        <w:t>tezepelumab</w:t>
      </w:r>
      <w:proofErr w:type="spellEnd"/>
      <w:r w:rsidRPr="004F56D0">
        <w:t xml:space="preserve"> exposure: (352.3 days (NAVIGATOR)+ 318.7 days (SOURCE))/7/2.</w:t>
      </w:r>
      <w:r w:rsidRPr="004F56D0">
        <w:br/>
      </w:r>
      <w:r w:rsidRPr="004F56D0">
        <w:rPr>
          <w:vertAlign w:val="superscript"/>
        </w:rPr>
        <w:t>e</w:t>
      </w:r>
      <w:r w:rsidRPr="004F56D0">
        <w:t xml:space="preserve"> 85.1= 1.63 (years of exposure in the model) x (365.25/7)</w:t>
      </w:r>
      <w:r w:rsidRPr="004F56D0">
        <w:br/>
      </w:r>
      <w:r w:rsidRPr="004F56D0">
        <w:rPr>
          <w:vertAlign w:val="superscript"/>
        </w:rPr>
        <w:t xml:space="preserve">f </w:t>
      </w:r>
      <w:r w:rsidRPr="004F56D0">
        <w:t>Calculated for the mean trial/model duration=Mean dose/week (mg) x cost per mg ($</w:t>
      </w:r>
      <w:r w:rsidR="00B14769" w:rsidRPr="00B14769">
        <w:rPr>
          <w:highlight w:val="black"/>
        </w:rPr>
        <w:t>&amp;&amp;&amp;&amp;</w:t>
      </w:r>
      <w:r w:rsidRPr="004F56D0">
        <w:t>/210) x mean duration (in weeks).</w:t>
      </w:r>
      <w:r w:rsidRPr="004F56D0">
        <w:br/>
      </w:r>
      <w:r w:rsidRPr="004F56D0">
        <w:rPr>
          <w:vertAlign w:val="superscript"/>
        </w:rPr>
        <w:t>g</w:t>
      </w:r>
      <w:r w:rsidRPr="004F56D0">
        <w:t xml:space="preserve"> 50 weeks= Mean of planned follow-up duration of 2 trials: (50 = 52 (NAVIGATOR)+ 48 (SOURCE))/2.</w:t>
      </w:r>
      <w:r w:rsidRPr="004F56D0">
        <w:br/>
      </w:r>
      <w:r w:rsidRPr="004F56D0">
        <w:rPr>
          <w:vertAlign w:val="superscript"/>
        </w:rPr>
        <w:t>h</w:t>
      </w:r>
      <w:r w:rsidRPr="004F56D0">
        <w:t xml:space="preserve"> (Cost/patient over the trial or model duration /trial/model duration in weeks) x 50.</w:t>
      </w:r>
      <w:r w:rsidRPr="004F56D0">
        <w:br/>
      </w:r>
      <w:proofErr w:type="spellStart"/>
      <w:r w:rsidRPr="004F56D0">
        <w:rPr>
          <w:vertAlign w:val="superscript"/>
        </w:rPr>
        <w:t>i</w:t>
      </w:r>
      <w:proofErr w:type="spellEnd"/>
      <w:r w:rsidRPr="004F56D0">
        <w:t xml:space="preserve"> (Cost/patient over the trial or model duration /trial/model duration in weeks) x (365.25/7).</w:t>
      </w:r>
    </w:p>
    <w:p w14:paraId="52C65AB9" w14:textId="77777777" w:rsidR="004F7589" w:rsidRPr="004F56D0" w:rsidRDefault="004F7589" w:rsidP="004F7589">
      <w:pPr>
        <w:keepNext/>
        <w:keepLines/>
        <w:spacing w:before="40"/>
        <w:outlineLvl w:val="2"/>
        <w:rPr>
          <w:rFonts w:asciiTheme="minorHAnsi" w:eastAsiaTheme="majorEastAsia" w:hAnsiTheme="minorHAnsi" w:cstheme="majorBidi"/>
          <w:b/>
          <w:color w:val="000000" w:themeColor="text1"/>
        </w:rPr>
      </w:pPr>
      <w:r w:rsidRPr="004F56D0">
        <w:rPr>
          <w:rFonts w:asciiTheme="minorHAnsi" w:eastAsiaTheme="majorEastAsia" w:hAnsiTheme="minorHAnsi" w:cstheme="majorBidi"/>
          <w:b/>
          <w:color w:val="000000" w:themeColor="text1"/>
        </w:rPr>
        <w:t>Eosinophilic or allergic SUA</w:t>
      </w:r>
    </w:p>
    <w:p w14:paraId="1E9349C5" w14:textId="4BD4B384" w:rsidR="004F7589" w:rsidRDefault="004F7589" w:rsidP="00FB4F30">
      <w:pPr>
        <w:numPr>
          <w:ilvl w:val="1"/>
          <w:numId w:val="5"/>
        </w:numPr>
        <w:spacing w:after="120"/>
        <w:ind w:left="709"/>
        <w:jc w:val="left"/>
        <w:rPr>
          <w:rFonts w:asciiTheme="minorHAnsi" w:eastAsiaTheme="minorHAnsi" w:hAnsiTheme="minorHAnsi" w:cstheme="minorBidi"/>
          <w:szCs w:val="22"/>
        </w:rPr>
      </w:pPr>
      <w:r w:rsidRPr="004F56D0">
        <w:rPr>
          <w:rFonts w:asciiTheme="minorHAnsi" w:eastAsiaTheme="minorHAnsi" w:hAnsiTheme="minorHAnsi" w:cstheme="minorBidi"/>
          <w:szCs w:val="22"/>
        </w:rPr>
        <w:t xml:space="preserve">For the eosinophilic or allergic SUA population the drug cost per patient per year for </w:t>
      </w:r>
      <w:proofErr w:type="spellStart"/>
      <w:r w:rsidRPr="004F56D0">
        <w:rPr>
          <w:rFonts w:asciiTheme="minorHAnsi" w:eastAsiaTheme="minorHAnsi" w:hAnsiTheme="minorHAnsi" w:cstheme="minorBidi"/>
          <w:szCs w:val="22"/>
        </w:rPr>
        <w:t>tezepelumab</w:t>
      </w:r>
      <w:proofErr w:type="spellEnd"/>
      <w:r w:rsidRPr="004F56D0">
        <w:rPr>
          <w:rFonts w:asciiTheme="minorHAnsi" w:eastAsiaTheme="minorHAnsi" w:hAnsiTheme="minorHAnsi" w:cstheme="minorBidi"/>
          <w:szCs w:val="22"/>
        </w:rPr>
        <w:t xml:space="preserve"> and dupilumab </w:t>
      </w:r>
      <w:r w:rsidR="002F0B70">
        <w:rPr>
          <w:rFonts w:asciiTheme="minorHAnsi" w:eastAsiaTheme="minorHAnsi" w:hAnsiTheme="minorHAnsi" w:cstheme="minorBidi"/>
          <w:szCs w:val="22"/>
        </w:rPr>
        <w:t xml:space="preserve">based on published prices </w:t>
      </w:r>
      <w:r w:rsidRPr="004F56D0">
        <w:rPr>
          <w:rFonts w:asciiTheme="minorHAnsi" w:eastAsiaTheme="minorHAnsi" w:hAnsiTheme="minorHAnsi" w:cstheme="minorBidi"/>
          <w:szCs w:val="22"/>
        </w:rPr>
        <w:t xml:space="preserve">is presented in </w:t>
      </w:r>
      <w:r w:rsidRPr="004F56D0">
        <w:rPr>
          <w:rFonts w:asciiTheme="minorHAnsi" w:eastAsiaTheme="minorHAnsi" w:hAnsiTheme="minorHAnsi" w:cstheme="minorBidi"/>
          <w:szCs w:val="22"/>
        </w:rPr>
        <w:fldChar w:fldCharType="begin"/>
      </w:r>
      <w:r w:rsidRPr="004F56D0">
        <w:rPr>
          <w:rFonts w:asciiTheme="minorHAnsi" w:eastAsiaTheme="minorHAnsi" w:hAnsiTheme="minorHAnsi" w:cstheme="minorBidi"/>
          <w:szCs w:val="22"/>
        </w:rPr>
        <w:instrText xml:space="preserve"> REF _Ref206074551 \h </w:instrText>
      </w:r>
      <w:r>
        <w:rPr>
          <w:rFonts w:asciiTheme="minorHAnsi" w:eastAsiaTheme="minorHAnsi" w:hAnsiTheme="minorHAnsi" w:cstheme="minorBidi"/>
          <w:szCs w:val="22"/>
        </w:rPr>
        <w:instrText xml:space="preserve"> \* MERGEFORMAT </w:instrText>
      </w:r>
      <w:r w:rsidRPr="004F56D0">
        <w:rPr>
          <w:rFonts w:asciiTheme="minorHAnsi" w:eastAsiaTheme="minorHAnsi" w:hAnsiTheme="minorHAnsi" w:cstheme="minorBidi"/>
          <w:szCs w:val="22"/>
        </w:rPr>
      </w:r>
      <w:r w:rsidRPr="004F56D0">
        <w:rPr>
          <w:rFonts w:asciiTheme="minorHAnsi" w:eastAsiaTheme="minorHAnsi" w:hAnsiTheme="minorHAnsi" w:cstheme="minorBidi"/>
          <w:szCs w:val="22"/>
        </w:rPr>
        <w:fldChar w:fldCharType="separate"/>
      </w:r>
      <w:r w:rsidR="0078760A" w:rsidRPr="0078760A">
        <w:rPr>
          <w:rFonts w:asciiTheme="minorHAnsi" w:eastAsiaTheme="minorHAnsi" w:hAnsiTheme="minorHAnsi" w:cstheme="minorBidi"/>
          <w:szCs w:val="22"/>
        </w:rPr>
        <w:t>Table 19</w:t>
      </w:r>
      <w:r w:rsidRPr="004F56D0">
        <w:rPr>
          <w:rFonts w:asciiTheme="minorHAnsi" w:eastAsiaTheme="minorHAnsi" w:hAnsiTheme="minorHAnsi" w:cstheme="minorBidi"/>
          <w:szCs w:val="22"/>
        </w:rPr>
        <w:fldChar w:fldCharType="end"/>
      </w:r>
      <w:r w:rsidRPr="004F56D0">
        <w:rPr>
          <w:rFonts w:asciiTheme="minorHAnsi" w:eastAsiaTheme="minorHAnsi" w:hAnsiTheme="minorHAnsi" w:cstheme="minorBidi"/>
          <w:szCs w:val="22"/>
        </w:rPr>
        <w:t>.</w:t>
      </w:r>
    </w:p>
    <w:p w14:paraId="18B0F3AF" w14:textId="77777777" w:rsidR="00007573" w:rsidRPr="004F56D0" w:rsidRDefault="00007573" w:rsidP="00007573">
      <w:pPr>
        <w:spacing w:after="120"/>
        <w:ind w:left="709"/>
        <w:jc w:val="left"/>
        <w:rPr>
          <w:rFonts w:asciiTheme="minorHAnsi" w:eastAsiaTheme="minorHAnsi" w:hAnsiTheme="minorHAnsi" w:cstheme="minorBidi"/>
          <w:szCs w:val="22"/>
        </w:rPr>
      </w:pPr>
    </w:p>
    <w:p w14:paraId="1381C6E3" w14:textId="5ADFAE60" w:rsidR="004F7589" w:rsidRPr="004F56D0" w:rsidRDefault="004F7589" w:rsidP="004F7589">
      <w:pPr>
        <w:pStyle w:val="TableFigureHeading"/>
      </w:pPr>
      <w:bookmarkStart w:id="106" w:name="_Ref206074551"/>
      <w:r w:rsidRPr="004F56D0">
        <w:t xml:space="preserve">Table </w:t>
      </w:r>
      <w:r w:rsidR="001146FA">
        <w:fldChar w:fldCharType="begin"/>
      </w:r>
      <w:r w:rsidR="001146FA">
        <w:instrText xml:space="preserve"> SEQ Table \* ARABIC </w:instrText>
      </w:r>
      <w:r w:rsidR="001146FA">
        <w:fldChar w:fldCharType="separate"/>
      </w:r>
      <w:r w:rsidR="0078760A">
        <w:rPr>
          <w:noProof/>
        </w:rPr>
        <w:t>19</w:t>
      </w:r>
      <w:r w:rsidR="001146FA">
        <w:rPr>
          <w:noProof/>
        </w:rPr>
        <w:fldChar w:fldCharType="end"/>
      </w:r>
      <w:bookmarkEnd w:id="106"/>
      <w:r w:rsidRPr="004F56D0">
        <w:t xml:space="preserve"> Drug cost per patient for </w:t>
      </w:r>
      <w:proofErr w:type="spellStart"/>
      <w:r w:rsidRPr="004F56D0">
        <w:t>tezepelumab</w:t>
      </w:r>
      <w:proofErr w:type="spellEnd"/>
      <w:r w:rsidRPr="004F56D0">
        <w:t xml:space="preserve"> and dupilumab (published AEMP, public hospital)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Drug cost per patient for tezepelumab and dupilumab (published AEMP, public hospital)"/>
      </w:tblPr>
      <w:tblGrid>
        <w:gridCol w:w="1784"/>
        <w:gridCol w:w="1192"/>
        <w:gridCol w:w="1129"/>
        <w:gridCol w:w="1277"/>
        <w:gridCol w:w="1187"/>
        <w:gridCol w:w="1196"/>
        <w:gridCol w:w="1252"/>
      </w:tblGrid>
      <w:tr w:rsidR="004F7589" w:rsidRPr="004F56D0" w14:paraId="1DBD0818" w14:textId="77777777">
        <w:trPr>
          <w:cantSplit/>
          <w:tblHeader/>
        </w:trPr>
        <w:tc>
          <w:tcPr>
            <w:tcW w:w="990" w:type="pct"/>
            <w:vMerge w:val="restart"/>
            <w:vAlign w:val="center"/>
          </w:tcPr>
          <w:p w14:paraId="74B7AE68" w14:textId="77777777" w:rsidR="004F7589" w:rsidRPr="00A4392F" w:rsidRDefault="004F7589">
            <w:pPr>
              <w:widowControl w:val="0"/>
              <w:jc w:val="center"/>
              <w:rPr>
                <w:rFonts w:ascii="Arial Narrow" w:eastAsiaTheme="majorEastAsia" w:hAnsi="Arial Narrow" w:cstheme="majorBidi"/>
                <w:b/>
                <w:bCs/>
                <w:sz w:val="20"/>
              </w:rPr>
            </w:pPr>
          </w:p>
        </w:tc>
        <w:tc>
          <w:tcPr>
            <w:tcW w:w="1995" w:type="pct"/>
            <w:gridSpan w:val="3"/>
            <w:vAlign w:val="center"/>
          </w:tcPr>
          <w:p w14:paraId="45AAB19C"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Tezepelumab</w:t>
            </w:r>
          </w:p>
        </w:tc>
        <w:tc>
          <w:tcPr>
            <w:tcW w:w="2016" w:type="pct"/>
            <w:gridSpan w:val="3"/>
            <w:vAlign w:val="center"/>
          </w:tcPr>
          <w:p w14:paraId="406C81D1"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Dupilumab</w:t>
            </w:r>
          </w:p>
        </w:tc>
      </w:tr>
      <w:tr w:rsidR="004F7589" w:rsidRPr="004F56D0" w14:paraId="0E329383" w14:textId="77777777">
        <w:trPr>
          <w:cantSplit/>
          <w:trHeight w:val="290"/>
          <w:tblHeader/>
        </w:trPr>
        <w:tc>
          <w:tcPr>
            <w:tcW w:w="990" w:type="pct"/>
            <w:vMerge/>
            <w:vAlign w:val="center"/>
          </w:tcPr>
          <w:p w14:paraId="77EC3A09" w14:textId="77777777" w:rsidR="004F7589" w:rsidRPr="00A4392F" w:rsidRDefault="004F7589">
            <w:pPr>
              <w:widowControl w:val="0"/>
              <w:jc w:val="center"/>
              <w:rPr>
                <w:rFonts w:ascii="Arial Narrow" w:eastAsiaTheme="majorEastAsia" w:hAnsi="Arial Narrow" w:cstheme="majorBidi"/>
                <w:b/>
                <w:bCs/>
                <w:sz w:val="20"/>
              </w:rPr>
            </w:pPr>
          </w:p>
        </w:tc>
        <w:tc>
          <w:tcPr>
            <w:tcW w:w="661" w:type="pct"/>
            <w:vAlign w:val="center"/>
          </w:tcPr>
          <w:p w14:paraId="3C7B69C0"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 xml:space="preserve">Trial </w:t>
            </w:r>
          </w:p>
        </w:tc>
        <w:tc>
          <w:tcPr>
            <w:tcW w:w="626" w:type="pct"/>
            <w:vAlign w:val="center"/>
          </w:tcPr>
          <w:p w14:paraId="6594B59A"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CMA</w:t>
            </w:r>
          </w:p>
        </w:tc>
        <w:tc>
          <w:tcPr>
            <w:tcW w:w="708" w:type="pct"/>
            <w:vAlign w:val="center"/>
          </w:tcPr>
          <w:p w14:paraId="1507C065"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Financial estimates</w:t>
            </w:r>
          </w:p>
        </w:tc>
        <w:tc>
          <w:tcPr>
            <w:tcW w:w="658" w:type="pct"/>
            <w:vAlign w:val="center"/>
          </w:tcPr>
          <w:p w14:paraId="656CA84C"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 xml:space="preserve">Trial </w:t>
            </w:r>
          </w:p>
        </w:tc>
        <w:tc>
          <w:tcPr>
            <w:tcW w:w="663" w:type="pct"/>
            <w:vAlign w:val="center"/>
          </w:tcPr>
          <w:p w14:paraId="14816200"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CMA</w:t>
            </w:r>
          </w:p>
        </w:tc>
        <w:tc>
          <w:tcPr>
            <w:tcW w:w="694" w:type="pct"/>
            <w:vAlign w:val="center"/>
          </w:tcPr>
          <w:p w14:paraId="42994D2D" w14:textId="77777777" w:rsidR="004F7589" w:rsidRPr="00A4392F" w:rsidRDefault="004F7589">
            <w:pPr>
              <w:widowControl w:val="0"/>
              <w:jc w:val="center"/>
              <w:rPr>
                <w:rFonts w:ascii="Arial Narrow" w:eastAsiaTheme="majorEastAsia" w:hAnsi="Arial Narrow" w:cstheme="majorBidi"/>
                <w:b/>
                <w:bCs/>
                <w:sz w:val="20"/>
              </w:rPr>
            </w:pPr>
            <w:r w:rsidRPr="00A4392F">
              <w:rPr>
                <w:rFonts w:ascii="Arial Narrow" w:eastAsiaTheme="majorEastAsia" w:hAnsi="Arial Narrow" w:cstheme="majorBidi"/>
                <w:b/>
                <w:bCs/>
                <w:sz w:val="20"/>
              </w:rPr>
              <w:t>Financial estimates</w:t>
            </w:r>
          </w:p>
        </w:tc>
      </w:tr>
      <w:tr w:rsidR="004F7589" w:rsidRPr="004F56D0" w14:paraId="1B813B67" w14:textId="77777777">
        <w:trPr>
          <w:cantSplit/>
          <w:trHeight w:val="290"/>
          <w:tblHeader/>
        </w:trPr>
        <w:tc>
          <w:tcPr>
            <w:tcW w:w="990" w:type="pct"/>
            <w:vAlign w:val="center"/>
          </w:tcPr>
          <w:p w14:paraId="4551CC1A" w14:textId="77777777" w:rsidR="004F7589" w:rsidRPr="00A4392F" w:rsidRDefault="004F7589">
            <w:pPr>
              <w:widowControl w:val="0"/>
              <w:jc w:val="left"/>
              <w:rPr>
                <w:rFonts w:ascii="Arial Narrow" w:eastAsiaTheme="majorEastAsia" w:hAnsi="Arial Narrow" w:cstheme="majorBidi"/>
                <w:sz w:val="20"/>
              </w:rPr>
            </w:pPr>
            <w:r w:rsidRPr="00A4392F">
              <w:rPr>
                <w:rFonts w:ascii="Arial Narrow" w:eastAsiaTheme="majorEastAsia" w:hAnsi="Arial Narrow" w:cstheme="majorBidi"/>
                <w:sz w:val="20"/>
              </w:rPr>
              <w:t>Proposed dose</w:t>
            </w:r>
          </w:p>
        </w:tc>
        <w:tc>
          <w:tcPr>
            <w:tcW w:w="1995" w:type="pct"/>
            <w:gridSpan w:val="3"/>
            <w:vAlign w:val="center"/>
          </w:tcPr>
          <w:p w14:paraId="6E0FCE2B"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sz w:val="20"/>
              </w:rPr>
              <w:t>210 mg Q4W</w:t>
            </w:r>
          </w:p>
        </w:tc>
        <w:tc>
          <w:tcPr>
            <w:tcW w:w="2016" w:type="pct"/>
            <w:gridSpan w:val="3"/>
          </w:tcPr>
          <w:p w14:paraId="6F6547D2" w14:textId="77777777" w:rsidR="004F7589" w:rsidRPr="00A4392F" w:rsidRDefault="004F7589">
            <w:pPr>
              <w:keepNext/>
              <w:widowControl w:val="0"/>
              <w:jc w:val="left"/>
              <w:rPr>
                <w:rFonts w:ascii="Arial Narrow" w:eastAsiaTheme="majorEastAsia" w:hAnsi="Arial Narrow" w:cstheme="majorBidi"/>
                <w:sz w:val="20"/>
              </w:rPr>
            </w:pPr>
            <w:r w:rsidRPr="00A4392F">
              <w:rPr>
                <w:rFonts w:ascii="Arial Narrow" w:eastAsiaTheme="majorEastAsia" w:hAnsi="Arial Narrow" w:cstheme="majorBidi"/>
                <w:sz w:val="20"/>
              </w:rPr>
              <w:t>Loading dose 400mg (non-OCS dependent) or 600mg (OCS dependent) then 200 mg (non-OCS dependent) or 300mg (OCS dependent) Q2W</w:t>
            </w:r>
          </w:p>
        </w:tc>
      </w:tr>
      <w:tr w:rsidR="004F7589" w:rsidRPr="004F56D0" w14:paraId="07F5416E" w14:textId="77777777">
        <w:trPr>
          <w:cantSplit/>
        </w:trPr>
        <w:tc>
          <w:tcPr>
            <w:tcW w:w="990" w:type="pct"/>
            <w:vAlign w:val="center"/>
          </w:tcPr>
          <w:p w14:paraId="47D0987D" w14:textId="77777777" w:rsidR="004F7589" w:rsidRPr="00A4392F" w:rsidRDefault="004F7589">
            <w:pPr>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Mean duration</w:t>
            </w:r>
            <w:r w:rsidRPr="00A4392F">
              <w:rPr>
                <w:rFonts w:ascii="Arial Narrow" w:eastAsiaTheme="majorEastAsia" w:hAnsi="Arial Narrow" w:cstheme="majorBidi"/>
                <w:bCs/>
                <w:sz w:val="20"/>
                <w:lang w:val="en-US"/>
              </w:rPr>
              <w:t xml:space="preserve"> </w:t>
            </w:r>
          </w:p>
        </w:tc>
        <w:tc>
          <w:tcPr>
            <w:tcW w:w="661" w:type="pct"/>
          </w:tcPr>
          <w:p w14:paraId="2876C47C"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bCs/>
                <w:sz w:val="20"/>
              </w:rPr>
              <w:t>48-52 weeks trial duration</w:t>
            </w:r>
          </w:p>
        </w:tc>
        <w:tc>
          <w:tcPr>
            <w:tcW w:w="626" w:type="pct"/>
            <w:vAlign w:val="center"/>
          </w:tcPr>
          <w:p w14:paraId="6F5C910D"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bCs/>
                <w:sz w:val="20"/>
              </w:rPr>
              <w:t>1 year</w:t>
            </w:r>
          </w:p>
        </w:tc>
        <w:tc>
          <w:tcPr>
            <w:tcW w:w="708" w:type="pct"/>
            <w:vAlign w:val="center"/>
          </w:tcPr>
          <w:p w14:paraId="4D358EEA"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bCs/>
                <w:sz w:val="20"/>
              </w:rPr>
              <w:t>Not estimated</w:t>
            </w:r>
          </w:p>
        </w:tc>
        <w:tc>
          <w:tcPr>
            <w:tcW w:w="658" w:type="pct"/>
          </w:tcPr>
          <w:p w14:paraId="1AB89621"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bCs/>
                <w:sz w:val="20"/>
              </w:rPr>
              <w:t>24-52 weeks trial duration</w:t>
            </w:r>
          </w:p>
        </w:tc>
        <w:tc>
          <w:tcPr>
            <w:tcW w:w="663" w:type="pct"/>
            <w:vAlign w:val="center"/>
          </w:tcPr>
          <w:p w14:paraId="366431C7" w14:textId="77777777" w:rsidR="004F7589" w:rsidRPr="00A4392F" w:rsidRDefault="004F7589">
            <w:pPr>
              <w:widowControl w:val="0"/>
              <w:jc w:val="center"/>
              <w:rPr>
                <w:rFonts w:ascii="Arial Narrow" w:eastAsiaTheme="majorEastAsia" w:hAnsi="Arial Narrow" w:cstheme="majorBidi"/>
                <w:sz w:val="20"/>
              </w:rPr>
            </w:pPr>
            <w:r w:rsidRPr="00A4392F">
              <w:rPr>
                <w:rFonts w:ascii="Arial Narrow" w:eastAsiaTheme="majorEastAsia" w:hAnsi="Arial Narrow" w:cstheme="majorBidi"/>
                <w:bCs/>
                <w:sz w:val="20"/>
              </w:rPr>
              <w:t>1 year</w:t>
            </w:r>
          </w:p>
        </w:tc>
        <w:tc>
          <w:tcPr>
            <w:tcW w:w="694" w:type="pct"/>
            <w:vAlign w:val="center"/>
          </w:tcPr>
          <w:p w14:paraId="3CD66534"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Not estimated</w:t>
            </w:r>
          </w:p>
        </w:tc>
      </w:tr>
      <w:tr w:rsidR="004F7589" w:rsidRPr="004F56D0" w14:paraId="069DB4B5" w14:textId="77777777">
        <w:trPr>
          <w:cantSplit/>
        </w:trPr>
        <w:tc>
          <w:tcPr>
            <w:tcW w:w="990" w:type="pct"/>
            <w:vAlign w:val="center"/>
          </w:tcPr>
          <w:p w14:paraId="66DBBBA7" w14:textId="77777777" w:rsidR="004F7589" w:rsidRPr="00A4392F" w:rsidRDefault="004F7589">
            <w:pPr>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No. of doses/year</w:t>
            </w:r>
            <w:r w:rsidRPr="00A4392F">
              <w:rPr>
                <w:rFonts w:ascii="Arial Narrow" w:eastAsiaTheme="majorEastAsia" w:hAnsi="Arial Narrow" w:cstheme="majorBidi"/>
                <w:bCs/>
                <w:sz w:val="20"/>
                <w:lang w:val="en-US"/>
              </w:rPr>
              <w:t xml:space="preserve"> 1</w:t>
            </w:r>
          </w:p>
        </w:tc>
        <w:tc>
          <w:tcPr>
            <w:tcW w:w="661" w:type="pct"/>
            <w:vAlign w:val="center"/>
          </w:tcPr>
          <w:p w14:paraId="16BAD355"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13</w:t>
            </w:r>
          </w:p>
        </w:tc>
        <w:tc>
          <w:tcPr>
            <w:tcW w:w="626" w:type="pct"/>
            <w:vAlign w:val="center"/>
          </w:tcPr>
          <w:p w14:paraId="184A194E"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13</w:t>
            </w:r>
          </w:p>
        </w:tc>
        <w:tc>
          <w:tcPr>
            <w:tcW w:w="708" w:type="pct"/>
            <w:vAlign w:val="center"/>
          </w:tcPr>
          <w:p w14:paraId="6DB98C5E"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13.04</w:t>
            </w:r>
          </w:p>
        </w:tc>
        <w:tc>
          <w:tcPr>
            <w:tcW w:w="658" w:type="pct"/>
            <w:vAlign w:val="center"/>
          </w:tcPr>
          <w:p w14:paraId="024AD37C"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27</w:t>
            </w:r>
          </w:p>
        </w:tc>
        <w:tc>
          <w:tcPr>
            <w:tcW w:w="663" w:type="pct"/>
            <w:vAlign w:val="center"/>
          </w:tcPr>
          <w:p w14:paraId="0B9FEDBA"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27</w:t>
            </w:r>
          </w:p>
        </w:tc>
        <w:tc>
          <w:tcPr>
            <w:tcW w:w="694" w:type="pct"/>
            <w:vAlign w:val="center"/>
          </w:tcPr>
          <w:p w14:paraId="116FBC76"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27.63</w:t>
            </w:r>
          </w:p>
        </w:tc>
      </w:tr>
      <w:tr w:rsidR="004F7589" w:rsidRPr="004F56D0" w14:paraId="40AFB3D6" w14:textId="77777777">
        <w:trPr>
          <w:cantSplit/>
        </w:trPr>
        <w:tc>
          <w:tcPr>
            <w:tcW w:w="990" w:type="pct"/>
            <w:vAlign w:val="center"/>
          </w:tcPr>
          <w:p w14:paraId="6B2A30AC" w14:textId="77777777" w:rsidR="004F7589" w:rsidRPr="00A4392F" w:rsidRDefault="004F7589">
            <w:pPr>
              <w:widowControl w:val="0"/>
              <w:jc w:val="left"/>
              <w:rPr>
                <w:rFonts w:ascii="Arial Narrow" w:eastAsiaTheme="majorEastAsia" w:hAnsi="Arial Narrow" w:cstheme="majorBidi"/>
                <w:bCs/>
                <w:sz w:val="20"/>
              </w:rPr>
            </w:pPr>
            <w:r w:rsidRPr="00A4392F">
              <w:rPr>
                <w:rFonts w:ascii="Arial Narrow" w:eastAsiaTheme="majorEastAsia" w:hAnsi="Arial Narrow" w:cstheme="majorBidi"/>
                <w:bCs/>
                <w:sz w:val="20"/>
              </w:rPr>
              <w:t>Drug cost/ patient/Year</w:t>
            </w:r>
          </w:p>
        </w:tc>
        <w:tc>
          <w:tcPr>
            <w:tcW w:w="661" w:type="pct"/>
            <w:vAlign w:val="center"/>
          </w:tcPr>
          <w:p w14:paraId="4C9A1F6C"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Not estimated</w:t>
            </w:r>
          </w:p>
        </w:tc>
        <w:tc>
          <w:tcPr>
            <w:tcW w:w="626" w:type="pct"/>
            <w:vAlign w:val="center"/>
          </w:tcPr>
          <w:p w14:paraId="4FB447E0"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$21,733.11</w:t>
            </w:r>
            <w:r w:rsidRPr="00A4392F">
              <w:rPr>
                <w:rFonts w:ascii="Arial Narrow" w:eastAsiaTheme="majorEastAsia" w:hAnsi="Arial Narrow" w:cstheme="majorBidi"/>
                <w:bCs/>
                <w:sz w:val="20"/>
                <w:vertAlign w:val="superscript"/>
              </w:rPr>
              <w:t>a</w:t>
            </w:r>
          </w:p>
        </w:tc>
        <w:tc>
          <w:tcPr>
            <w:tcW w:w="708" w:type="pct"/>
            <w:vAlign w:val="center"/>
          </w:tcPr>
          <w:p w14:paraId="52364DD1"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Not estimated</w:t>
            </w:r>
          </w:p>
        </w:tc>
        <w:tc>
          <w:tcPr>
            <w:tcW w:w="658" w:type="pct"/>
            <w:vAlign w:val="center"/>
          </w:tcPr>
          <w:p w14:paraId="085424EB"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Not estimated</w:t>
            </w:r>
          </w:p>
        </w:tc>
        <w:tc>
          <w:tcPr>
            <w:tcW w:w="663" w:type="pct"/>
            <w:vAlign w:val="center"/>
          </w:tcPr>
          <w:p w14:paraId="1F19049E"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$21,733.11</w:t>
            </w:r>
            <w:r w:rsidRPr="00A4392F">
              <w:rPr>
                <w:rFonts w:ascii="Arial Narrow" w:eastAsiaTheme="majorEastAsia" w:hAnsi="Arial Narrow" w:cstheme="majorBidi"/>
                <w:bCs/>
                <w:sz w:val="20"/>
                <w:vertAlign w:val="superscript"/>
              </w:rPr>
              <w:t>b</w:t>
            </w:r>
          </w:p>
        </w:tc>
        <w:tc>
          <w:tcPr>
            <w:tcW w:w="694" w:type="pct"/>
            <w:vAlign w:val="center"/>
          </w:tcPr>
          <w:p w14:paraId="1DD2F28C" w14:textId="77777777" w:rsidR="004F7589" w:rsidRPr="00A4392F" w:rsidRDefault="004F7589">
            <w:pPr>
              <w:widowControl w:val="0"/>
              <w:jc w:val="center"/>
              <w:rPr>
                <w:rFonts w:ascii="Arial Narrow" w:eastAsiaTheme="majorEastAsia" w:hAnsi="Arial Narrow" w:cstheme="majorBidi"/>
                <w:bCs/>
                <w:sz w:val="20"/>
              </w:rPr>
            </w:pPr>
            <w:r w:rsidRPr="00A4392F">
              <w:rPr>
                <w:rFonts w:ascii="Arial Narrow" w:eastAsiaTheme="majorEastAsia" w:hAnsi="Arial Narrow" w:cstheme="majorBidi"/>
                <w:bCs/>
                <w:sz w:val="20"/>
              </w:rPr>
              <w:t>Not estimated</w:t>
            </w:r>
          </w:p>
        </w:tc>
      </w:tr>
    </w:tbl>
    <w:p w14:paraId="2F92DD74" w14:textId="77777777" w:rsidR="004F7589" w:rsidRPr="004F56D0" w:rsidRDefault="004F7589" w:rsidP="004F7589">
      <w:pPr>
        <w:pStyle w:val="TableFigureFooter"/>
      </w:pPr>
      <w:r w:rsidRPr="004F56D0">
        <w:t xml:space="preserve">Source: </w:t>
      </w:r>
      <w:r w:rsidRPr="00EE227E">
        <w:rPr>
          <w:iCs/>
        </w:rPr>
        <w:t>Table compiled during the evaluation from Table 3-3, p255; Table 3-4, p255 of the submission.</w:t>
      </w:r>
      <w:r w:rsidRPr="00EE227E">
        <w:rPr>
          <w:iCs/>
        </w:rPr>
        <w:br/>
      </w:r>
      <w:r w:rsidRPr="004F56D0">
        <w:t>AEMP= = Approved Ex-manufacturer Price; CMA= cost minimisation approach;  DPMQ = Dispensed Price for Maximum Quantity; OCS= Oral corticosteroids; Q2W= Once every 2 weeks; Q4W= Once every 4 weeks.</w:t>
      </w:r>
      <w:r w:rsidRPr="004F56D0">
        <w:br/>
      </w:r>
      <w:r w:rsidRPr="004F56D0">
        <w:rPr>
          <w:b/>
          <w:bCs/>
          <w:vertAlign w:val="superscript"/>
        </w:rPr>
        <w:t xml:space="preserve">a </w:t>
      </w:r>
      <w:r w:rsidRPr="004F56D0">
        <w:t>$21,733.11</w:t>
      </w:r>
      <w:r w:rsidRPr="004F56D0">
        <w:rPr>
          <w:vertAlign w:val="superscript"/>
        </w:rPr>
        <w:t xml:space="preserve"> </w:t>
      </w:r>
      <w:r w:rsidRPr="004F56D0">
        <w:t xml:space="preserve">= $1,671.78 x 13 (proposed published AEMP for </w:t>
      </w:r>
      <w:proofErr w:type="spellStart"/>
      <w:r w:rsidRPr="004F56D0">
        <w:t>tezepelumab</w:t>
      </w:r>
      <w:proofErr w:type="spellEnd"/>
      <w:r w:rsidRPr="004F56D0">
        <w:t>, public hospital based on cost-minimisation against dupilumab).</w:t>
      </w:r>
    </w:p>
    <w:p w14:paraId="30467446" w14:textId="77777777" w:rsidR="004F7589" w:rsidRPr="004F56D0" w:rsidRDefault="004F7589" w:rsidP="004F7589">
      <w:pPr>
        <w:pStyle w:val="TableFigureFooter"/>
      </w:pPr>
      <w:r w:rsidRPr="004F56D0">
        <w:rPr>
          <w:vertAlign w:val="superscript"/>
        </w:rPr>
        <w:t>b</w:t>
      </w:r>
      <w:r w:rsidRPr="004F56D0">
        <w:t xml:space="preserve"> $21,733.11 = ($1,609.86/2) x 27 (published AEMP for dupilumab, public hospital).</w:t>
      </w:r>
    </w:p>
    <w:p w14:paraId="268768EF" w14:textId="3626F292" w:rsidR="00B60939" w:rsidRPr="0098262F" w:rsidRDefault="00B60939" w:rsidP="002B05A1">
      <w:pPr>
        <w:pStyle w:val="COMESSubsectionheading"/>
      </w:pPr>
      <w:bookmarkStart w:id="107" w:name="_Toc22897647"/>
      <w:bookmarkStart w:id="108" w:name="_Toc209017001"/>
      <w:r w:rsidRPr="0098262F">
        <w:t>Estimated PBS usage &amp; financial implications</w:t>
      </w:r>
      <w:bookmarkEnd w:id="107"/>
      <w:bookmarkEnd w:id="108"/>
    </w:p>
    <w:p w14:paraId="36ABBF1E" w14:textId="6907928E" w:rsidR="000E5FB3" w:rsidRPr="004F56D0" w:rsidRDefault="000E5FB3" w:rsidP="000E5FB3">
      <w:pPr>
        <w:pStyle w:val="COMESnumberedpara"/>
        <w:rPr>
          <w:lang w:eastAsia="en-US"/>
        </w:rPr>
      </w:pPr>
      <w:bookmarkStart w:id="109" w:name="_Toc22897648"/>
      <w:bookmarkStart w:id="110" w:name="_Toc209017002"/>
      <w:r w:rsidRPr="004F56D0">
        <w:rPr>
          <w:lang w:eastAsia="en-US"/>
        </w:rPr>
        <w:t xml:space="preserve">This submission </w:t>
      </w:r>
      <w:r>
        <w:rPr>
          <w:lang w:eastAsia="en-US"/>
        </w:rPr>
        <w:t>was</w:t>
      </w:r>
      <w:r w:rsidRPr="004F56D0">
        <w:rPr>
          <w:lang w:eastAsia="en-US"/>
        </w:rPr>
        <w:t xml:space="preserve"> considered by DUSC. Separate estimated PBS usage and financial implications were presented for the non-eosinophilic and non-allergic SUA population and the eosinophilic or allergic SUA population. </w:t>
      </w:r>
    </w:p>
    <w:p w14:paraId="75CFAA80" w14:textId="77777777" w:rsidR="000E5FB3" w:rsidRPr="004F56D0" w:rsidRDefault="000E5FB3" w:rsidP="000E5FB3">
      <w:pPr>
        <w:keepNext/>
        <w:keepLines/>
        <w:spacing w:before="40"/>
        <w:outlineLvl w:val="2"/>
        <w:rPr>
          <w:rFonts w:asciiTheme="minorHAnsi" w:eastAsiaTheme="majorEastAsia" w:hAnsiTheme="minorHAnsi" w:cstheme="majorBidi"/>
          <w:b/>
          <w:color w:val="000000" w:themeColor="text1"/>
        </w:rPr>
      </w:pPr>
      <w:bookmarkStart w:id="111" w:name="_Toc206426973"/>
      <w:bookmarkStart w:id="112" w:name="_Toc206428384"/>
      <w:r w:rsidRPr="004F56D0">
        <w:rPr>
          <w:rFonts w:asciiTheme="minorHAnsi" w:eastAsiaTheme="majorEastAsia" w:hAnsiTheme="minorHAnsi" w:cstheme="majorBidi"/>
          <w:b/>
          <w:color w:val="000000" w:themeColor="text1"/>
        </w:rPr>
        <w:t xml:space="preserve">Non-eosinophilic and non-allergic </w:t>
      </w:r>
      <w:bookmarkEnd w:id="111"/>
      <w:bookmarkEnd w:id="112"/>
      <w:r w:rsidRPr="004F56D0">
        <w:rPr>
          <w:rFonts w:asciiTheme="minorHAnsi" w:eastAsiaTheme="majorEastAsia" w:hAnsiTheme="minorHAnsi" w:cstheme="majorBidi"/>
          <w:b/>
          <w:color w:val="000000" w:themeColor="text1"/>
        </w:rPr>
        <w:t>SUA</w:t>
      </w:r>
    </w:p>
    <w:p w14:paraId="3ACCF114" w14:textId="2775E4C3" w:rsidR="000E5FB3" w:rsidRPr="004F56D0" w:rsidRDefault="000E5FB3" w:rsidP="000E5FB3">
      <w:pPr>
        <w:pStyle w:val="COMESnumberedpara"/>
      </w:pPr>
      <w:r w:rsidRPr="004F56D0">
        <w:t xml:space="preserve">An epidemiological approach was used for the non-eosinophilic and non-allergic population. </w:t>
      </w:r>
      <w:r w:rsidRPr="008B7335">
        <w:t>T</w:t>
      </w:r>
      <w:r w:rsidR="008B7335">
        <w:t>he evaluation considered t</w:t>
      </w:r>
      <w:r w:rsidRPr="008B7335">
        <w:t>his was reasonable.</w:t>
      </w:r>
    </w:p>
    <w:p w14:paraId="63495A6A" w14:textId="38E4F7A4" w:rsidR="000E5FB3" w:rsidRPr="008B7335" w:rsidRDefault="000E5FB3" w:rsidP="000E5FB3">
      <w:pPr>
        <w:pStyle w:val="COMESnumberedpara"/>
      </w:pPr>
      <w:r w:rsidRPr="004F56D0">
        <w:t xml:space="preserve">As </w:t>
      </w:r>
      <w:proofErr w:type="spellStart"/>
      <w:r w:rsidRPr="004F56D0">
        <w:t>tezepelumab</w:t>
      </w:r>
      <w:proofErr w:type="spellEnd"/>
      <w:r w:rsidRPr="004F56D0">
        <w:t xml:space="preserve"> was an add-on therapy to SoC, the submission did not substitute other or apply cost offsets for SoC costs into the model. The submission did not apply minor PBS/MBS cost offsets for associated adverse events. </w:t>
      </w:r>
      <w:r w:rsidRPr="008B7335">
        <w:t>T</w:t>
      </w:r>
      <w:r w:rsidR="008B7335" w:rsidRPr="008B7335">
        <w:t>he evaluation considered t</w:t>
      </w:r>
      <w:r w:rsidRPr="008B7335">
        <w:t>his was appropriate.</w:t>
      </w:r>
    </w:p>
    <w:p w14:paraId="101E7FA9" w14:textId="5E0ADA13" w:rsidR="000E5FB3" w:rsidRPr="004F56D0" w:rsidRDefault="000E5FB3" w:rsidP="000E5FB3">
      <w:pPr>
        <w:pStyle w:val="COMESnumberedpara"/>
      </w:pPr>
      <w:r w:rsidRPr="004321C1">
        <w:fldChar w:fldCharType="begin"/>
      </w:r>
      <w:r w:rsidRPr="004F56D0">
        <w:instrText xml:space="preserve"> REF _Ref104805262 \h </w:instrText>
      </w:r>
      <w:r>
        <w:instrText xml:space="preserve"> \* MERGEFORMAT </w:instrText>
      </w:r>
      <w:r w:rsidRPr="004321C1">
        <w:fldChar w:fldCharType="separate"/>
      </w:r>
      <w:r w:rsidR="0078760A" w:rsidRPr="0078760A">
        <w:t>Table 20</w:t>
      </w:r>
      <w:r w:rsidRPr="004321C1">
        <w:fldChar w:fldCharType="end"/>
      </w:r>
      <w:r w:rsidRPr="004321C1">
        <w:t xml:space="preserve"> </w:t>
      </w:r>
      <w:r w:rsidRPr="004F56D0">
        <w:t>presents the key inputs used in the financial estimates.</w:t>
      </w:r>
    </w:p>
    <w:p w14:paraId="7D142020" w14:textId="2B83CF46" w:rsidR="000E5FB3" w:rsidRPr="004F56D0" w:rsidRDefault="000E5FB3" w:rsidP="000E5FB3">
      <w:pPr>
        <w:pStyle w:val="TableFigureHeading"/>
      </w:pPr>
      <w:bookmarkStart w:id="113" w:name="_Ref104805262"/>
      <w:r w:rsidRPr="004F56D0">
        <w:rPr>
          <w:szCs w:val="18"/>
        </w:rPr>
        <w:t xml:space="preserve">Table </w:t>
      </w:r>
      <w:r w:rsidRPr="004F56D0">
        <w:rPr>
          <w:szCs w:val="18"/>
        </w:rPr>
        <w:fldChar w:fldCharType="begin"/>
      </w:r>
      <w:r w:rsidRPr="004F56D0">
        <w:rPr>
          <w:szCs w:val="18"/>
        </w:rPr>
        <w:instrText xml:space="preserve"> SEQ Table \* ARABIC </w:instrText>
      </w:r>
      <w:r w:rsidRPr="004F56D0">
        <w:rPr>
          <w:szCs w:val="18"/>
        </w:rPr>
        <w:fldChar w:fldCharType="separate"/>
      </w:r>
      <w:r w:rsidR="0078760A">
        <w:rPr>
          <w:noProof/>
          <w:szCs w:val="18"/>
        </w:rPr>
        <w:t>20</w:t>
      </w:r>
      <w:r w:rsidRPr="004F56D0">
        <w:rPr>
          <w:noProof/>
          <w:szCs w:val="18"/>
        </w:rPr>
        <w:fldChar w:fldCharType="end"/>
      </w:r>
      <w:bookmarkEnd w:id="113"/>
      <w:r w:rsidRPr="004F56D0">
        <w:rPr>
          <w:szCs w:val="18"/>
        </w:rPr>
        <w:t>:</w:t>
      </w:r>
      <w:r w:rsidRPr="004F56D0">
        <w:t xml:space="preserve"> Key inputs for financial estimates (non-eosinophilic and non-allergic SUA)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inputs for financial estimates (non-eosinophilic and non-allergic SUA)"/>
      </w:tblPr>
      <w:tblGrid>
        <w:gridCol w:w="2122"/>
        <w:gridCol w:w="1701"/>
        <w:gridCol w:w="5357"/>
      </w:tblGrid>
      <w:tr w:rsidR="000E5FB3" w:rsidRPr="004F56D0" w14:paraId="1055D8CA" w14:textId="77777777" w:rsidTr="000343C1">
        <w:trPr>
          <w:tblHeader/>
        </w:trPr>
        <w:tc>
          <w:tcPr>
            <w:tcW w:w="2122" w:type="dxa"/>
            <w:vAlign w:val="center"/>
          </w:tcPr>
          <w:p w14:paraId="08217280" w14:textId="77777777" w:rsidR="000E5FB3" w:rsidRPr="004F56D0" w:rsidRDefault="000E5FB3" w:rsidP="000343C1">
            <w:pPr>
              <w:widowControl w:val="0"/>
              <w:jc w:val="center"/>
              <w:rPr>
                <w:rFonts w:ascii="Arial Narrow" w:eastAsiaTheme="majorEastAsia" w:hAnsi="Arial Narrow" w:cs="Times New Roman"/>
                <w:b/>
                <w:sz w:val="20"/>
              </w:rPr>
            </w:pPr>
            <w:r w:rsidRPr="004F56D0">
              <w:rPr>
                <w:rFonts w:ascii="Arial Narrow" w:eastAsiaTheme="majorEastAsia" w:hAnsi="Arial Narrow" w:cs="Times New Roman"/>
                <w:b/>
                <w:sz w:val="20"/>
              </w:rPr>
              <w:t>Data</w:t>
            </w:r>
          </w:p>
        </w:tc>
        <w:tc>
          <w:tcPr>
            <w:tcW w:w="1701" w:type="dxa"/>
            <w:vAlign w:val="center"/>
          </w:tcPr>
          <w:p w14:paraId="06324A2E" w14:textId="77777777" w:rsidR="000E5FB3" w:rsidRPr="004F56D0" w:rsidRDefault="000E5FB3" w:rsidP="000343C1">
            <w:pPr>
              <w:widowControl w:val="0"/>
              <w:jc w:val="center"/>
              <w:rPr>
                <w:rFonts w:ascii="Arial Narrow" w:eastAsiaTheme="majorEastAsia" w:hAnsi="Arial Narrow" w:cs="Times New Roman"/>
                <w:b/>
                <w:sz w:val="20"/>
              </w:rPr>
            </w:pPr>
            <w:r w:rsidRPr="004F56D0">
              <w:rPr>
                <w:rFonts w:ascii="Arial Narrow" w:eastAsiaTheme="majorEastAsia" w:hAnsi="Arial Narrow" w:cs="Times New Roman"/>
                <w:b/>
                <w:sz w:val="20"/>
              </w:rPr>
              <w:t>Value</w:t>
            </w:r>
          </w:p>
        </w:tc>
        <w:tc>
          <w:tcPr>
            <w:tcW w:w="5357" w:type="dxa"/>
            <w:vAlign w:val="center"/>
          </w:tcPr>
          <w:p w14:paraId="52548A98" w14:textId="77777777" w:rsidR="000E5FB3" w:rsidRPr="004F56D0" w:rsidRDefault="000E5FB3" w:rsidP="000343C1">
            <w:pPr>
              <w:widowControl w:val="0"/>
              <w:jc w:val="center"/>
              <w:rPr>
                <w:rFonts w:ascii="Arial Narrow" w:eastAsiaTheme="majorEastAsia" w:hAnsi="Arial Narrow" w:cs="Times New Roman"/>
                <w:b/>
                <w:sz w:val="20"/>
              </w:rPr>
            </w:pPr>
            <w:r w:rsidRPr="004F56D0">
              <w:rPr>
                <w:rFonts w:ascii="Arial Narrow" w:eastAsiaTheme="majorEastAsia" w:hAnsi="Arial Narrow" w:cs="Times New Roman"/>
                <w:b/>
                <w:sz w:val="20"/>
              </w:rPr>
              <w:t xml:space="preserve">Source and comment </w:t>
            </w:r>
          </w:p>
        </w:tc>
      </w:tr>
      <w:tr w:rsidR="000E5FB3" w:rsidRPr="004F56D0" w14:paraId="3921BAF2" w14:textId="77777777" w:rsidTr="000343C1">
        <w:tc>
          <w:tcPr>
            <w:tcW w:w="9180" w:type="dxa"/>
            <w:gridSpan w:val="3"/>
            <w:vAlign w:val="center"/>
          </w:tcPr>
          <w:p w14:paraId="486A829E" w14:textId="77777777" w:rsidR="000E5FB3" w:rsidRPr="004F56D0" w:rsidRDefault="000E5FB3" w:rsidP="000343C1">
            <w:pPr>
              <w:widowControl w:val="0"/>
              <w:jc w:val="left"/>
              <w:rPr>
                <w:rFonts w:ascii="Arial Narrow" w:eastAsiaTheme="majorEastAsia" w:hAnsi="Arial Narrow" w:cs="Times New Roman"/>
                <w:b/>
                <w:sz w:val="20"/>
              </w:rPr>
            </w:pPr>
            <w:r w:rsidRPr="004F56D0">
              <w:rPr>
                <w:rFonts w:ascii="Arial Narrow" w:eastAsiaTheme="majorEastAsia" w:hAnsi="Arial Narrow" w:cs="Times New Roman"/>
                <w:b/>
                <w:sz w:val="20"/>
              </w:rPr>
              <w:t>Eligible population</w:t>
            </w:r>
          </w:p>
        </w:tc>
      </w:tr>
      <w:tr w:rsidR="000E5FB3" w:rsidRPr="004F56D0" w14:paraId="50473F57" w14:textId="77777777" w:rsidTr="00437718">
        <w:tc>
          <w:tcPr>
            <w:tcW w:w="2122" w:type="dxa"/>
            <w:vAlign w:val="center"/>
          </w:tcPr>
          <w:p w14:paraId="5E0D9DB2"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Australian adult population (12+ years)</w:t>
            </w:r>
          </w:p>
        </w:tc>
        <w:tc>
          <w:tcPr>
            <w:tcW w:w="1701" w:type="dxa"/>
            <w:vAlign w:val="center"/>
          </w:tcPr>
          <w:p w14:paraId="4B678FF4" w14:textId="77777777" w:rsidR="000E5FB3" w:rsidRPr="004F56D0" w:rsidRDefault="000E5FB3" w:rsidP="000343C1">
            <w:pPr>
              <w:widowControl w:val="0"/>
              <w:ind w:right="-109"/>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Yr 1: 23,780,244 </w:t>
            </w:r>
          </w:p>
          <w:p w14:paraId="5F0A58C2" w14:textId="77777777" w:rsidR="000E5FB3" w:rsidRPr="004F56D0" w:rsidRDefault="000E5FB3" w:rsidP="000343C1">
            <w:pPr>
              <w:widowControl w:val="0"/>
              <w:ind w:right="-109"/>
              <w:jc w:val="left"/>
              <w:rPr>
                <w:rFonts w:ascii="Arial Narrow" w:eastAsiaTheme="majorEastAsia" w:hAnsi="Arial Narrow" w:cstheme="majorBidi"/>
                <w:bCs/>
                <w:sz w:val="20"/>
              </w:rPr>
            </w:pPr>
            <w:r w:rsidRPr="004F56D0">
              <w:rPr>
                <w:rFonts w:ascii="Arial Narrow" w:eastAsiaTheme="majorEastAsia" w:hAnsi="Arial Narrow" w:cstheme="majorBidi"/>
                <w:bCs/>
                <w:sz w:val="20"/>
              </w:rPr>
              <w:t>Yr 2: 24,125,467</w:t>
            </w:r>
          </w:p>
          <w:p w14:paraId="2AFBF181" w14:textId="77777777" w:rsidR="000E5FB3" w:rsidRPr="004F56D0" w:rsidRDefault="000E5FB3" w:rsidP="000343C1">
            <w:pPr>
              <w:widowControl w:val="0"/>
              <w:ind w:right="-109"/>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Yr 3: 24,463,128 </w:t>
            </w:r>
          </w:p>
          <w:p w14:paraId="1E6CB257" w14:textId="77777777" w:rsidR="000E5FB3" w:rsidRPr="004F56D0" w:rsidRDefault="000E5FB3" w:rsidP="000343C1">
            <w:pPr>
              <w:widowControl w:val="0"/>
              <w:ind w:right="-109"/>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Yr 4: 24,804,118 </w:t>
            </w:r>
          </w:p>
          <w:p w14:paraId="4B026A3A" w14:textId="77777777" w:rsidR="000E5FB3" w:rsidRPr="004F56D0" w:rsidRDefault="000E5FB3" w:rsidP="000343C1">
            <w:pPr>
              <w:widowControl w:val="0"/>
              <w:ind w:right="-109"/>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Yr 5: 25,126,404 </w:t>
            </w:r>
          </w:p>
          <w:p w14:paraId="36B21CDF" w14:textId="77777777" w:rsidR="000E5FB3" w:rsidRPr="004F56D0" w:rsidRDefault="000E5FB3" w:rsidP="000343C1">
            <w:pPr>
              <w:widowControl w:val="0"/>
              <w:ind w:right="-109"/>
              <w:jc w:val="left"/>
              <w:rPr>
                <w:rFonts w:ascii="Arial Narrow" w:eastAsiaTheme="majorEastAsia" w:hAnsi="Arial Narrow" w:cstheme="majorBidi"/>
                <w:bCs/>
                <w:sz w:val="20"/>
              </w:rPr>
            </w:pPr>
            <w:r w:rsidRPr="004F56D0">
              <w:rPr>
                <w:rFonts w:ascii="Arial Narrow" w:eastAsiaTheme="majorEastAsia" w:hAnsi="Arial Narrow" w:cstheme="majorBidi"/>
                <w:bCs/>
                <w:sz w:val="20"/>
              </w:rPr>
              <w:t>Yr 6: 25,458,711</w:t>
            </w:r>
          </w:p>
        </w:tc>
        <w:tc>
          <w:tcPr>
            <w:tcW w:w="5357" w:type="dxa"/>
          </w:tcPr>
          <w:p w14:paraId="6A0A5CC5" w14:textId="25CF2E6C" w:rsidR="000E5FB3" w:rsidRPr="004F56D0" w:rsidRDefault="000E5FB3" w:rsidP="00437718">
            <w:pPr>
              <w:widowControl w:val="0"/>
              <w:jc w:val="left"/>
              <w:rPr>
                <w:rFonts w:ascii="Arial Narrow" w:eastAsiaTheme="majorEastAsia" w:hAnsi="Arial Narrow" w:cstheme="majorBidi"/>
                <w:bCs/>
                <w:i/>
                <w:sz w:val="20"/>
              </w:rPr>
            </w:pPr>
            <w:r w:rsidRPr="004F56D0">
              <w:rPr>
                <w:rFonts w:ascii="Arial Narrow" w:eastAsiaTheme="majorEastAsia" w:hAnsi="Arial Narrow" w:cstheme="majorBidi"/>
                <w:bCs/>
                <w:sz w:val="20"/>
              </w:rPr>
              <w:t xml:space="preserve">ABS population statistics (3222.0 Series B). 23,780,244 in 2025 increasing to 25,458,711 in 2030. </w:t>
            </w:r>
            <w:r w:rsidR="00081638">
              <w:rPr>
                <w:rFonts w:ascii="Arial Narrow" w:eastAsiaTheme="majorEastAsia" w:hAnsi="Arial Narrow" w:cstheme="majorBidi"/>
                <w:bCs/>
                <w:sz w:val="20"/>
              </w:rPr>
              <w:t>DUSC considered th</w:t>
            </w:r>
            <w:r w:rsidRPr="00081638">
              <w:rPr>
                <w:rFonts w:ascii="Arial Narrow" w:eastAsiaTheme="majorEastAsia" w:hAnsi="Arial Narrow" w:cstheme="majorBidi"/>
                <w:bCs/>
                <w:sz w:val="20"/>
              </w:rPr>
              <w:t>is was reasonable.</w:t>
            </w:r>
          </w:p>
          <w:p w14:paraId="2A95CF87" w14:textId="77777777" w:rsidR="000E5FB3" w:rsidRPr="004F56D0" w:rsidRDefault="000E5FB3" w:rsidP="00437718">
            <w:pPr>
              <w:widowControl w:val="0"/>
              <w:jc w:val="left"/>
              <w:rPr>
                <w:rFonts w:ascii="Arial Narrow" w:eastAsiaTheme="majorEastAsia" w:hAnsi="Arial Narrow" w:cstheme="majorBidi"/>
                <w:bCs/>
                <w:i/>
                <w:iCs/>
                <w:sz w:val="20"/>
              </w:rPr>
            </w:pPr>
          </w:p>
        </w:tc>
      </w:tr>
      <w:tr w:rsidR="000E5FB3" w:rsidRPr="004F56D0" w14:paraId="0212044B" w14:textId="77777777" w:rsidTr="00437718">
        <w:tc>
          <w:tcPr>
            <w:tcW w:w="2122" w:type="dxa"/>
            <w:vAlign w:val="center"/>
          </w:tcPr>
          <w:p w14:paraId="5855C984"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Prevalence of asthma</w:t>
            </w:r>
          </w:p>
        </w:tc>
        <w:tc>
          <w:tcPr>
            <w:tcW w:w="1701" w:type="dxa"/>
            <w:vAlign w:val="center"/>
          </w:tcPr>
          <w:p w14:paraId="6E20AFC8" w14:textId="77777777"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11.5%</w:t>
            </w:r>
          </w:p>
        </w:tc>
        <w:tc>
          <w:tcPr>
            <w:tcW w:w="5357" w:type="dxa"/>
          </w:tcPr>
          <w:p w14:paraId="77047BE5" w14:textId="6C9ED18C" w:rsidR="000E5FB3" w:rsidRPr="004F56D0" w:rsidRDefault="000E5FB3" w:rsidP="00437718">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AIHW 2022, National Health Survey, 11.5% based on adults aged 15+ years. </w:t>
            </w:r>
            <w:r w:rsidR="001C4ADF">
              <w:rPr>
                <w:rFonts w:ascii="Arial Narrow" w:eastAsiaTheme="majorEastAsia" w:hAnsi="Arial Narrow" w:cstheme="majorBidi"/>
                <w:bCs/>
                <w:sz w:val="20"/>
              </w:rPr>
              <w:t>DUSC considered t</w:t>
            </w:r>
            <w:r w:rsidRPr="001C4ADF">
              <w:rPr>
                <w:rFonts w:ascii="Arial Narrow" w:eastAsiaTheme="majorEastAsia" w:hAnsi="Arial Narrow" w:cstheme="majorBidi"/>
                <w:bCs/>
                <w:sz w:val="20"/>
              </w:rPr>
              <w:t>his was reasonable.</w:t>
            </w:r>
          </w:p>
        </w:tc>
      </w:tr>
      <w:tr w:rsidR="000E5FB3" w:rsidRPr="004F56D0" w14:paraId="25B96FFB" w14:textId="77777777" w:rsidTr="00437718">
        <w:tc>
          <w:tcPr>
            <w:tcW w:w="2122" w:type="dxa"/>
            <w:vAlign w:val="center"/>
          </w:tcPr>
          <w:p w14:paraId="083B6DB8"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Difficult to treat/control asthma</w:t>
            </w:r>
          </w:p>
        </w:tc>
        <w:tc>
          <w:tcPr>
            <w:tcW w:w="1701" w:type="dxa"/>
            <w:vAlign w:val="center"/>
          </w:tcPr>
          <w:p w14:paraId="6AECCF5C" w14:textId="77777777"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21.7%</w:t>
            </w:r>
          </w:p>
        </w:tc>
        <w:tc>
          <w:tcPr>
            <w:tcW w:w="5357" w:type="dxa"/>
          </w:tcPr>
          <w:p w14:paraId="19DBF101" w14:textId="2BDE14DF" w:rsidR="000E5FB3" w:rsidRPr="004F56D0" w:rsidRDefault="000E5FB3" w:rsidP="00437718">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Davis 2024</w:t>
            </w:r>
            <w:r w:rsidR="000C66CD">
              <w:rPr>
                <w:rFonts w:ascii="Arial Narrow" w:eastAsiaTheme="majorEastAsia" w:hAnsi="Arial Narrow" w:cstheme="majorBidi"/>
                <w:bCs/>
                <w:sz w:val="20"/>
              </w:rPr>
              <w:t>.</w:t>
            </w:r>
            <w:r w:rsidRPr="004F56D0" w:rsidDel="000108DF">
              <w:rPr>
                <w:rFonts w:ascii="Arial Narrow" w:eastAsiaTheme="majorEastAsia" w:hAnsi="Arial Narrow" w:cstheme="majorBidi"/>
                <w:i/>
                <w:sz w:val="20"/>
              </w:rPr>
              <w:t xml:space="preserve"> </w:t>
            </w:r>
            <w:r w:rsidR="000C66CD" w:rsidRPr="000C66CD">
              <w:rPr>
                <w:rFonts w:ascii="Arial Narrow" w:hAnsi="Arial Narrow"/>
                <w:sz w:val="20"/>
                <w:szCs w:val="20"/>
              </w:rPr>
              <w:t>DUSC considered this parameter uncertain and possibly underestimated. DUSC noted the source provided may under-represent certain populations (e.g.</w:t>
            </w:r>
            <w:r w:rsidR="000C66CD" w:rsidRPr="000C66CD">
              <w:rPr>
                <w:rFonts w:ascii="Arial Narrow" w:hAnsi="Arial Narrow"/>
                <w:sz w:val="20"/>
                <w:szCs w:val="20"/>
                <w:lang w:val="en-US"/>
              </w:rPr>
              <w:t xml:space="preserve"> older Australians, </w:t>
            </w:r>
            <w:r w:rsidR="002B7373">
              <w:rPr>
                <w:rFonts w:ascii="Arial Narrow" w:hAnsi="Arial Narrow"/>
                <w:sz w:val="20"/>
                <w:szCs w:val="20"/>
                <w:lang w:val="en-US"/>
              </w:rPr>
              <w:t xml:space="preserve">those with a language other than </w:t>
            </w:r>
            <w:r w:rsidR="006E7A13">
              <w:rPr>
                <w:rFonts w:ascii="Arial Narrow" w:hAnsi="Arial Narrow"/>
                <w:sz w:val="20"/>
                <w:szCs w:val="20"/>
                <w:lang w:val="en-US"/>
              </w:rPr>
              <w:t>English and those from</w:t>
            </w:r>
            <w:r w:rsidR="000C66CD" w:rsidRPr="000C66CD">
              <w:rPr>
                <w:rFonts w:ascii="Arial Narrow" w:hAnsi="Arial Narrow"/>
                <w:sz w:val="20"/>
                <w:szCs w:val="20"/>
                <w:lang w:val="en-US"/>
              </w:rPr>
              <w:t xml:space="preserve"> A</w:t>
            </w:r>
            <w:r w:rsidR="006E7A13">
              <w:rPr>
                <w:rFonts w:ascii="Arial Narrow" w:hAnsi="Arial Narrow"/>
                <w:sz w:val="20"/>
                <w:szCs w:val="20"/>
                <w:lang w:val="en-US"/>
              </w:rPr>
              <w:t xml:space="preserve">boriginal and </w:t>
            </w:r>
            <w:r w:rsidR="000C66CD" w:rsidRPr="000C66CD">
              <w:rPr>
                <w:rFonts w:ascii="Arial Narrow" w:hAnsi="Arial Narrow"/>
                <w:sz w:val="20"/>
                <w:szCs w:val="20"/>
                <w:lang w:val="en-US"/>
              </w:rPr>
              <w:t>T</w:t>
            </w:r>
            <w:r w:rsidR="006E7A13">
              <w:rPr>
                <w:rFonts w:ascii="Arial Narrow" w:hAnsi="Arial Narrow"/>
                <w:sz w:val="20"/>
                <w:szCs w:val="20"/>
                <w:lang w:val="en-US"/>
              </w:rPr>
              <w:t xml:space="preserve">orres </w:t>
            </w:r>
            <w:r w:rsidR="000C66CD" w:rsidRPr="000C66CD">
              <w:rPr>
                <w:rFonts w:ascii="Arial Narrow" w:hAnsi="Arial Narrow"/>
                <w:sz w:val="20"/>
                <w:szCs w:val="20"/>
                <w:lang w:val="en-US"/>
              </w:rPr>
              <w:t>S</w:t>
            </w:r>
            <w:r w:rsidR="006E7A13">
              <w:rPr>
                <w:rFonts w:ascii="Arial Narrow" w:hAnsi="Arial Narrow"/>
                <w:sz w:val="20"/>
                <w:szCs w:val="20"/>
                <w:lang w:val="en-US"/>
              </w:rPr>
              <w:t xml:space="preserve">trait </w:t>
            </w:r>
            <w:r w:rsidR="000C66CD" w:rsidRPr="000C66CD">
              <w:rPr>
                <w:rFonts w:ascii="Arial Narrow" w:hAnsi="Arial Narrow"/>
                <w:sz w:val="20"/>
                <w:szCs w:val="20"/>
                <w:lang w:val="en-US"/>
              </w:rPr>
              <w:t>I</w:t>
            </w:r>
            <w:r w:rsidR="006E7A13">
              <w:rPr>
                <w:rFonts w:ascii="Arial Narrow" w:hAnsi="Arial Narrow"/>
                <w:sz w:val="20"/>
                <w:szCs w:val="20"/>
                <w:lang w:val="en-US"/>
              </w:rPr>
              <w:t>slander backgrounds</w:t>
            </w:r>
            <w:r w:rsidR="000C66CD" w:rsidRPr="000C66CD">
              <w:rPr>
                <w:rFonts w:ascii="Arial Narrow" w:hAnsi="Arial Narrow"/>
                <w:sz w:val="20"/>
                <w:szCs w:val="20"/>
                <w:lang w:val="en-US"/>
              </w:rPr>
              <w:t xml:space="preserve">) </w:t>
            </w:r>
            <w:r w:rsidR="000C66CD" w:rsidRPr="000C66CD">
              <w:rPr>
                <w:rFonts w:ascii="Arial Narrow" w:hAnsi="Arial Narrow"/>
                <w:sz w:val="20"/>
                <w:szCs w:val="20"/>
              </w:rPr>
              <w:t>therefore underestimating SUA.</w:t>
            </w:r>
            <w:r w:rsidR="006622B7">
              <w:rPr>
                <w:rFonts w:ascii="Arial Narrow" w:hAnsi="Arial Narrow"/>
                <w:sz w:val="20"/>
                <w:szCs w:val="20"/>
              </w:rPr>
              <w:t xml:space="preserve"> The pre-PBAC response </w:t>
            </w:r>
            <w:r w:rsidR="00F37019">
              <w:rPr>
                <w:rFonts w:ascii="Arial Narrow" w:hAnsi="Arial Narrow"/>
                <w:sz w:val="20"/>
                <w:szCs w:val="20"/>
              </w:rPr>
              <w:t xml:space="preserve">argued that </w:t>
            </w:r>
            <w:r w:rsidR="00EF2DE4">
              <w:rPr>
                <w:rFonts w:ascii="Arial Narrow" w:hAnsi="Arial Narrow"/>
                <w:sz w:val="20"/>
                <w:szCs w:val="20"/>
              </w:rPr>
              <w:t xml:space="preserve">the study provided the first population based </w:t>
            </w:r>
            <w:r w:rsidR="002819E4">
              <w:rPr>
                <w:rFonts w:ascii="Arial Narrow" w:hAnsi="Arial Narrow"/>
                <w:sz w:val="20"/>
                <w:szCs w:val="20"/>
              </w:rPr>
              <w:t>real world study using standard criteria for difficult to treat asthma</w:t>
            </w:r>
            <w:r w:rsidR="007A36CE">
              <w:rPr>
                <w:rFonts w:ascii="Arial Narrow" w:hAnsi="Arial Narrow"/>
                <w:sz w:val="20"/>
                <w:szCs w:val="20"/>
              </w:rPr>
              <w:t xml:space="preserve"> and hence remained the most reliable and current source for Australia. </w:t>
            </w:r>
          </w:p>
        </w:tc>
      </w:tr>
      <w:tr w:rsidR="000E5FB3" w:rsidRPr="004F56D0" w14:paraId="1C18683F" w14:textId="77777777" w:rsidTr="00437718">
        <w:tc>
          <w:tcPr>
            <w:tcW w:w="2122" w:type="dxa"/>
            <w:vAlign w:val="center"/>
          </w:tcPr>
          <w:p w14:paraId="5609C800"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High</w:t>
            </w:r>
            <w:r>
              <w:rPr>
                <w:rFonts w:ascii="Arial Narrow" w:eastAsiaTheme="majorEastAsia" w:hAnsi="Arial Narrow" w:cstheme="majorBidi"/>
                <w:bCs/>
                <w:sz w:val="20"/>
              </w:rPr>
              <w:t>-</w:t>
            </w:r>
            <w:r w:rsidRPr="004F56D0">
              <w:rPr>
                <w:rFonts w:ascii="Arial Narrow" w:eastAsiaTheme="majorEastAsia" w:hAnsi="Arial Narrow" w:cstheme="majorBidi"/>
                <w:bCs/>
                <w:sz w:val="20"/>
              </w:rPr>
              <w:t>dose ICS/LABA</w:t>
            </w:r>
          </w:p>
        </w:tc>
        <w:tc>
          <w:tcPr>
            <w:tcW w:w="1701" w:type="dxa"/>
            <w:vAlign w:val="center"/>
          </w:tcPr>
          <w:p w14:paraId="504A7D58" w14:textId="77777777"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41.1%</w:t>
            </w:r>
          </w:p>
        </w:tc>
        <w:tc>
          <w:tcPr>
            <w:tcW w:w="5357" w:type="dxa"/>
          </w:tcPr>
          <w:p w14:paraId="54B76E89" w14:textId="3C14A3BF" w:rsidR="000E5FB3" w:rsidRPr="0000405C" w:rsidRDefault="000E5FB3" w:rsidP="00437718">
            <w:pPr>
              <w:jc w:val="left"/>
              <w:rPr>
                <w:rFonts w:ascii="Arial Narrow" w:hAnsi="Arial Narrow"/>
                <w:i/>
                <w:iCs/>
                <w:sz w:val="20"/>
                <w:szCs w:val="20"/>
              </w:rPr>
            </w:pPr>
            <w:r w:rsidRPr="004F56D0">
              <w:rPr>
                <w:rFonts w:ascii="Arial Narrow" w:eastAsiaTheme="majorEastAsia" w:hAnsi="Arial Narrow" w:cstheme="majorBidi"/>
                <w:bCs/>
                <w:sz w:val="20"/>
              </w:rPr>
              <w:t>Davis 2024</w:t>
            </w:r>
            <w:r w:rsidR="0000405C">
              <w:rPr>
                <w:rFonts w:ascii="Arial Narrow" w:eastAsiaTheme="majorEastAsia" w:hAnsi="Arial Narrow" w:cstheme="majorBidi"/>
                <w:sz w:val="20"/>
              </w:rPr>
              <w:t xml:space="preserve">. </w:t>
            </w:r>
            <w:r w:rsidR="0000405C" w:rsidRPr="0000405C">
              <w:rPr>
                <w:rFonts w:ascii="Arial Narrow" w:hAnsi="Arial Narrow"/>
                <w:sz w:val="20"/>
                <w:szCs w:val="20"/>
              </w:rPr>
              <w:t xml:space="preserve">DUSC considered this parameter to be underestimated. DUSC considered there could be a higher </w:t>
            </w:r>
            <w:r w:rsidR="004423CA">
              <w:rPr>
                <w:rFonts w:ascii="Arial Narrow" w:hAnsi="Arial Narrow"/>
                <w:sz w:val="20"/>
                <w:szCs w:val="20"/>
              </w:rPr>
              <w:t>proportion</w:t>
            </w:r>
            <w:r w:rsidR="0000405C" w:rsidRPr="0000405C">
              <w:rPr>
                <w:rFonts w:ascii="Arial Narrow" w:hAnsi="Arial Narrow"/>
                <w:sz w:val="20"/>
                <w:szCs w:val="20"/>
              </w:rPr>
              <w:t xml:space="preserve"> on high dose ICS/LABA – particularly considering Davis underrepresents older Australians. DUSC noted the NAVIGATOR study where approximately 75% of patients were on a </w:t>
            </w:r>
            <w:r w:rsidR="00832C74">
              <w:rPr>
                <w:rFonts w:ascii="Arial Narrow" w:hAnsi="Arial Narrow"/>
                <w:sz w:val="20"/>
                <w:szCs w:val="20"/>
              </w:rPr>
              <w:t>high dose ICS</w:t>
            </w:r>
            <w:r w:rsidR="00CA02C7">
              <w:rPr>
                <w:rFonts w:ascii="Arial Narrow" w:hAnsi="Arial Narrow"/>
                <w:sz w:val="20"/>
                <w:szCs w:val="20"/>
              </w:rPr>
              <w:t xml:space="preserve">. The pre-PBAC response (p3) noted that </w:t>
            </w:r>
            <w:r w:rsidR="004D304C">
              <w:rPr>
                <w:rFonts w:ascii="Arial Narrow" w:hAnsi="Arial Narrow"/>
                <w:sz w:val="20"/>
                <w:szCs w:val="20"/>
              </w:rPr>
              <w:t xml:space="preserve">in the PATHWAY study only 48% of patients were on </w:t>
            </w:r>
            <w:r w:rsidR="00832C74">
              <w:rPr>
                <w:rFonts w:ascii="Arial Narrow" w:hAnsi="Arial Narrow"/>
                <w:sz w:val="20"/>
                <w:szCs w:val="20"/>
              </w:rPr>
              <w:t>high dose ICS</w:t>
            </w:r>
            <w:r w:rsidR="005E4A4D">
              <w:rPr>
                <w:rFonts w:ascii="Arial Narrow" w:hAnsi="Arial Narrow"/>
                <w:sz w:val="20"/>
                <w:szCs w:val="20"/>
              </w:rPr>
              <w:t>.</w:t>
            </w:r>
            <w:r w:rsidDel="0000405C">
              <w:rPr>
                <w:rFonts w:ascii="Arial Narrow" w:eastAsiaTheme="majorEastAsia" w:hAnsi="Arial Narrow"/>
                <w:sz w:val="20"/>
                <w:szCs w:val="20"/>
              </w:rPr>
              <w:t xml:space="preserve"> </w:t>
            </w:r>
            <w:r w:rsidR="0064394F">
              <w:rPr>
                <w:rFonts w:ascii="Arial Narrow" w:hAnsi="Arial Narrow"/>
                <w:sz w:val="20"/>
                <w:szCs w:val="20"/>
              </w:rPr>
              <w:t>The pre-PBAC response (</w:t>
            </w:r>
            <w:r w:rsidR="00123426">
              <w:rPr>
                <w:rFonts w:ascii="Arial Narrow" w:hAnsi="Arial Narrow"/>
                <w:sz w:val="20"/>
                <w:szCs w:val="20"/>
              </w:rPr>
              <w:t>p</w:t>
            </w:r>
            <w:r w:rsidR="002D6D6E">
              <w:rPr>
                <w:rFonts w:ascii="Arial Narrow" w:hAnsi="Arial Narrow"/>
                <w:sz w:val="20"/>
                <w:szCs w:val="20"/>
              </w:rPr>
              <w:t xml:space="preserve">3) also noted that </w:t>
            </w:r>
            <w:r w:rsidR="00176743">
              <w:rPr>
                <w:rFonts w:ascii="Arial Narrow" w:hAnsi="Arial Narrow"/>
                <w:sz w:val="20"/>
                <w:szCs w:val="20"/>
              </w:rPr>
              <w:t xml:space="preserve">Reddel </w:t>
            </w:r>
            <w:r w:rsidR="00756C90">
              <w:rPr>
                <w:rFonts w:ascii="Arial Narrow" w:hAnsi="Arial Narrow"/>
                <w:sz w:val="20"/>
                <w:szCs w:val="20"/>
              </w:rPr>
              <w:t>et</w:t>
            </w:r>
            <w:r w:rsidR="005F30D5">
              <w:rPr>
                <w:rFonts w:ascii="Arial Narrow" w:hAnsi="Arial Narrow"/>
                <w:sz w:val="20"/>
                <w:szCs w:val="20"/>
              </w:rPr>
              <w:t xml:space="preserve"> a</w:t>
            </w:r>
            <w:r w:rsidR="00756C90">
              <w:rPr>
                <w:rFonts w:ascii="Arial Narrow" w:hAnsi="Arial Narrow"/>
                <w:sz w:val="20"/>
                <w:szCs w:val="20"/>
              </w:rPr>
              <w:t>l.</w:t>
            </w:r>
            <w:r w:rsidR="005F30D5">
              <w:rPr>
                <w:rFonts w:ascii="Arial Narrow" w:hAnsi="Arial Narrow"/>
                <w:sz w:val="20"/>
                <w:szCs w:val="20"/>
              </w:rPr>
              <w:t>,</w:t>
            </w:r>
            <w:r w:rsidR="00756C90">
              <w:rPr>
                <w:rFonts w:ascii="Arial Narrow" w:hAnsi="Arial Narrow"/>
                <w:sz w:val="20"/>
                <w:szCs w:val="20"/>
              </w:rPr>
              <w:t xml:space="preserve"> </w:t>
            </w:r>
            <w:r w:rsidR="00176743">
              <w:rPr>
                <w:rFonts w:ascii="Arial Narrow" w:hAnsi="Arial Narrow"/>
                <w:sz w:val="20"/>
                <w:szCs w:val="20"/>
              </w:rPr>
              <w:t xml:space="preserve">2017 </w:t>
            </w:r>
            <w:r w:rsidR="005F30D5">
              <w:rPr>
                <w:rFonts w:ascii="Arial Narrow" w:eastAsiaTheme="majorEastAsia" w:hAnsi="Arial Narrow" w:cstheme="majorBidi"/>
                <w:sz w:val="20"/>
              </w:rPr>
              <w:t>reported</w:t>
            </w:r>
            <w:r w:rsidR="00A85811">
              <w:rPr>
                <w:rFonts w:ascii="Arial Narrow" w:eastAsiaTheme="majorEastAsia" w:hAnsi="Arial Narrow" w:cstheme="majorBidi"/>
                <w:sz w:val="20"/>
              </w:rPr>
              <w:t xml:space="preserve"> </w:t>
            </w:r>
            <w:r w:rsidR="00115C5C">
              <w:rPr>
                <w:rFonts w:ascii="Arial Narrow" w:eastAsiaTheme="majorEastAsia" w:hAnsi="Arial Narrow" w:cstheme="majorBidi"/>
                <w:sz w:val="20"/>
              </w:rPr>
              <w:t xml:space="preserve">that Australian </w:t>
            </w:r>
            <w:r w:rsidR="007144FD">
              <w:rPr>
                <w:rFonts w:ascii="Arial Narrow" w:eastAsiaTheme="majorEastAsia" w:hAnsi="Arial Narrow" w:cstheme="majorBidi"/>
                <w:sz w:val="20"/>
              </w:rPr>
              <w:t xml:space="preserve">general practice data </w:t>
            </w:r>
            <w:r w:rsidR="00021038">
              <w:rPr>
                <w:rFonts w:ascii="Arial Narrow" w:eastAsiaTheme="majorEastAsia" w:hAnsi="Arial Narrow" w:cstheme="majorBidi"/>
                <w:sz w:val="20"/>
              </w:rPr>
              <w:t>found that among those on ICS/LABA, 30.2% were on high dose ICS</w:t>
            </w:r>
            <w:r w:rsidRPr="004F56D0" w:rsidDel="0000405C">
              <w:rPr>
                <w:rFonts w:ascii="Arial Narrow" w:eastAsiaTheme="majorEastAsia" w:hAnsi="Arial Narrow" w:cstheme="majorBidi"/>
                <w:sz w:val="20"/>
              </w:rPr>
              <w:t xml:space="preserve"> </w:t>
            </w:r>
            <w:r w:rsidR="00FF401B">
              <w:rPr>
                <w:rFonts w:ascii="Arial Narrow" w:eastAsiaTheme="majorEastAsia" w:hAnsi="Arial Narrow" w:cstheme="majorBidi"/>
                <w:sz w:val="20"/>
              </w:rPr>
              <w:t xml:space="preserve">and argued that the </w:t>
            </w:r>
            <w:r w:rsidR="006464D5">
              <w:rPr>
                <w:rFonts w:ascii="Arial Narrow" w:eastAsiaTheme="majorEastAsia" w:hAnsi="Arial Narrow" w:cstheme="majorBidi"/>
                <w:sz w:val="20"/>
              </w:rPr>
              <w:t xml:space="preserve">41.1% may be an overestimate. </w:t>
            </w:r>
          </w:p>
        </w:tc>
      </w:tr>
      <w:tr w:rsidR="000E5FB3" w:rsidRPr="004F56D0" w14:paraId="7C713CD7" w14:textId="77777777" w:rsidTr="00437718">
        <w:tc>
          <w:tcPr>
            <w:tcW w:w="2122" w:type="dxa"/>
            <w:vAlign w:val="center"/>
          </w:tcPr>
          <w:p w14:paraId="6F63F0A1"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Severe treatment refractory asthma</w:t>
            </w:r>
          </w:p>
        </w:tc>
        <w:tc>
          <w:tcPr>
            <w:tcW w:w="1701" w:type="dxa"/>
            <w:vAlign w:val="center"/>
          </w:tcPr>
          <w:p w14:paraId="68135615" w14:textId="77777777"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20.5%</w:t>
            </w:r>
          </w:p>
        </w:tc>
        <w:tc>
          <w:tcPr>
            <w:tcW w:w="5357" w:type="dxa"/>
          </w:tcPr>
          <w:p w14:paraId="48DA5EBC" w14:textId="00F43CBA" w:rsidR="000E5FB3" w:rsidRPr="004F56D0" w:rsidRDefault="000E5FB3" w:rsidP="00437718">
            <w:pPr>
              <w:widowControl w:val="0"/>
              <w:jc w:val="left"/>
              <w:rPr>
                <w:rFonts w:ascii="Arial Narrow" w:eastAsiaTheme="majorEastAsia" w:hAnsi="Arial Narrow" w:cstheme="majorBidi"/>
                <w:bCs/>
                <w:i/>
                <w:iCs/>
                <w:sz w:val="20"/>
              </w:rPr>
            </w:pPr>
            <w:r w:rsidRPr="004F56D0">
              <w:rPr>
                <w:rFonts w:ascii="Arial Narrow" w:eastAsiaTheme="majorEastAsia" w:hAnsi="Arial Narrow" w:cstheme="majorBidi"/>
                <w:bCs/>
                <w:sz w:val="20"/>
              </w:rPr>
              <w:t>Hekking 2015</w:t>
            </w:r>
            <w:r w:rsidR="004423CA">
              <w:rPr>
                <w:rFonts w:ascii="Arial Narrow" w:eastAsiaTheme="majorEastAsia" w:hAnsi="Arial Narrow" w:cstheme="majorBidi"/>
                <w:bCs/>
                <w:sz w:val="20"/>
              </w:rPr>
              <w:t xml:space="preserve">. DUSC considered this </w:t>
            </w:r>
            <w:r w:rsidR="000060D9">
              <w:rPr>
                <w:rFonts w:ascii="Arial Narrow" w:eastAsiaTheme="majorEastAsia" w:hAnsi="Arial Narrow" w:cstheme="majorBidi"/>
                <w:bCs/>
                <w:sz w:val="20"/>
              </w:rPr>
              <w:t xml:space="preserve">to be </w:t>
            </w:r>
            <w:r w:rsidR="004423CA">
              <w:rPr>
                <w:rFonts w:ascii="Arial Narrow" w:eastAsiaTheme="majorEastAsia" w:hAnsi="Arial Narrow" w:cstheme="majorBidi"/>
                <w:bCs/>
                <w:sz w:val="20"/>
              </w:rPr>
              <w:t>reasonable.</w:t>
            </w:r>
          </w:p>
        </w:tc>
      </w:tr>
      <w:tr w:rsidR="000E5FB3" w:rsidRPr="004F56D0" w14:paraId="25B61DBF" w14:textId="77777777" w:rsidTr="00437718">
        <w:tc>
          <w:tcPr>
            <w:tcW w:w="2122" w:type="dxa"/>
            <w:vAlign w:val="center"/>
          </w:tcPr>
          <w:p w14:paraId="1F380F8D"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Proportion of all SUA patients not eligible for biologics based on biomarker status (i.e., non-eosinophilic and nonallergic) </w:t>
            </w:r>
          </w:p>
        </w:tc>
        <w:tc>
          <w:tcPr>
            <w:tcW w:w="1701" w:type="dxa"/>
            <w:vAlign w:val="center"/>
          </w:tcPr>
          <w:p w14:paraId="44B9490C" w14:textId="77777777"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22.7%</w:t>
            </w:r>
          </w:p>
        </w:tc>
        <w:tc>
          <w:tcPr>
            <w:tcW w:w="5357" w:type="dxa"/>
          </w:tcPr>
          <w:p w14:paraId="13342D60" w14:textId="77777777" w:rsidR="000E5FB3" w:rsidRPr="004F56D0" w:rsidRDefault="000E5FB3" w:rsidP="00437718">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NAVIGATOR and PATHWAY trials, 22.7%.</w:t>
            </w:r>
          </w:p>
          <w:p w14:paraId="53BD7173" w14:textId="3FE8D619" w:rsidR="000E5FB3" w:rsidRPr="006B43A1" w:rsidRDefault="000060D9" w:rsidP="00437718">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DUSC considered this to be reasonable. </w:t>
            </w:r>
          </w:p>
        </w:tc>
      </w:tr>
      <w:tr w:rsidR="000E5FB3" w:rsidRPr="004F56D0" w14:paraId="53657E09" w14:textId="77777777" w:rsidTr="00437718">
        <w:tc>
          <w:tcPr>
            <w:tcW w:w="9180" w:type="dxa"/>
            <w:gridSpan w:val="3"/>
          </w:tcPr>
          <w:p w14:paraId="56A0017A" w14:textId="77777777" w:rsidR="000E5FB3" w:rsidRPr="004F56D0" w:rsidRDefault="000E5FB3" w:rsidP="00437718">
            <w:pPr>
              <w:widowControl w:val="0"/>
              <w:jc w:val="left"/>
              <w:rPr>
                <w:rFonts w:ascii="Arial Narrow" w:eastAsiaTheme="majorEastAsia" w:hAnsi="Arial Narrow" w:cs="Times New Roman"/>
                <w:b/>
                <w:sz w:val="20"/>
                <w:lang w:val="en-US"/>
              </w:rPr>
            </w:pPr>
            <w:r w:rsidRPr="004F56D0">
              <w:rPr>
                <w:rFonts w:ascii="Arial Narrow" w:eastAsiaTheme="majorEastAsia" w:hAnsi="Arial Narrow" w:cs="Times New Roman"/>
                <w:b/>
                <w:sz w:val="20"/>
                <w:lang w:val="en-US"/>
              </w:rPr>
              <w:t xml:space="preserve">Treatment </w:t>
            </w:r>
            <w:proofErr w:type="spellStart"/>
            <w:r w:rsidRPr="004F56D0">
              <w:rPr>
                <w:rFonts w:ascii="Arial Narrow" w:eastAsiaTheme="majorEastAsia" w:hAnsi="Arial Narrow" w:cs="Times New Roman"/>
                <w:b/>
                <w:sz w:val="20"/>
                <w:lang w:val="en-US"/>
              </w:rPr>
              <w:t>utilisation</w:t>
            </w:r>
            <w:proofErr w:type="spellEnd"/>
          </w:p>
        </w:tc>
      </w:tr>
      <w:tr w:rsidR="000E5FB3" w:rsidRPr="004F56D0" w14:paraId="0AC3EF4E" w14:textId="77777777" w:rsidTr="00437718">
        <w:tc>
          <w:tcPr>
            <w:tcW w:w="2122" w:type="dxa"/>
            <w:vAlign w:val="center"/>
          </w:tcPr>
          <w:p w14:paraId="77A0FB81"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Uptake rate</w:t>
            </w:r>
          </w:p>
        </w:tc>
        <w:tc>
          <w:tcPr>
            <w:tcW w:w="1701" w:type="dxa"/>
            <w:vAlign w:val="center"/>
          </w:tcPr>
          <w:p w14:paraId="75DD74B4" w14:textId="440ECFCD"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Yr 1: </w:t>
            </w:r>
            <w:r w:rsidR="00B14769" w:rsidRPr="00B14769">
              <w:rPr>
                <w:rFonts w:ascii="Arial Narrow" w:eastAsiaTheme="majorEastAsia" w:hAnsi="Arial Narrow" w:cstheme="majorBidi"/>
                <w:bCs/>
                <w:sz w:val="20"/>
                <w:highlight w:val="black"/>
              </w:rPr>
              <w:t>&amp;&amp;&amp;&amp;</w:t>
            </w:r>
            <w:r w:rsidRPr="004F56D0">
              <w:rPr>
                <w:rFonts w:ascii="Arial Narrow" w:eastAsiaTheme="majorEastAsia" w:hAnsi="Arial Narrow" w:cstheme="majorBidi"/>
                <w:bCs/>
                <w:sz w:val="20"/>
              </w:rPr>
              <w:t>%</w:t>
            </w:r>
          </w:p>
          <w:p w14:paraId="4BD30C82" w14:textId="42E0EAA8"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Yr 2: </w:t>
            </w:r>
            <w:r w:rsidR="00B14769" w:rsidRPr="00B14769">
              <w:rPr>
                <w:rFonts w:ascii="Arial Narrow" w:eastAsiaTheme="majorEastAsia" w:hAnsi="Arial Narrow" w:cstheme="majorBidi"/>
                <w:bCs/>
                <w:sz w:val="20"/>
                <w:highlight w:val="black"/>
              </w:rPr>
              <w:t>&amp;&amp;&amp;&amp;</w:t>
            </w:r>
            <w:r w:rsidRPr="004F56D0">
              <w:rPr>
                <w:rFonts w:ascii="Arial Narrow" w:eastAsiaTheme="majorEastAsia" w:hAnsi="Arial Narrow" w:cstheme="majorBidi"/>
                <w:bCs/>
                <w:sz w:val="20"/>
              </w:rPr>
              <w:t>%</w:t>
            </w:r>
          </w:p>
          <w:p w14:paraId="7A93BF73" w14:textId="3F3CA737"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Yr 3: </w:t>
            </w:r>
            <w:r w:rsidR="00B14769" w:rsidRPr="00B14769">
              <w:rPr>
                <w:rFonts w:ascii="Arial Narrow" w:eastAsiaTheme="majorEastAsia" w:hAnsi="Arial Narrow" w:cstheme="majorBidi"/>
                <w:bCs/>
                <w:sz w:val="20"/>
                <w:highlight w:val="black"/>
              </w:rPr>
              <w:t>&amp;&amp;&amp;&amp;</w:t>
            </w:r>
            <w:r w:rsidRPr="004F56D0">
              <w:rPr>
                <w:rFonts w:ascii="Arial Narrow" w:eastAsiaTheme="majorEastAsia" w:hAnsi="Arial Narrow" w:cstheme="majorBidi"/>
                <w:bCs/>
                <w:sz w:val="20"/>
              </w:rPr>
              <w:t>%</w:t>
            </w:r>
          </w:p>
          <w:p w14:paraId="11249205" w14:textId="1843F9D2"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Yr 4: </w:t>
            </w:r>
            <w:r w:rsidR="00B14769" w:rsidRPr="00B14769">
              <w:rPr>
                <w:rFonts w:ascii="Arial Narrow" w:eastAsiaTheme="majorEastAsia" w:hAnsi="Arial Narrow" w:cstheme="majorBidi"/>
                <w:bCs/>
                <w:sz w:val="20"/>
                <w:highlight w:val="black"/>
              </w:rPr>
              <w:t>&amp;&amp;&amp;&amp;</w:t>
            </w:r>
            <w:r w:rsidRPr="004F56D0">
              <w:rPr>
                <w:rFonts w:ascii="Arial Narrow" w:eastAsiaTheme="majorEastAsia" w:hAnsi="Arial Narrow" w:cstheme="majorBidi"/>
                <w:bCs/>
                <w:sz w:val="20"/>
              </w:rPr>
              <w:t>%</w:t>
            </w:r>
          </w:p>
          <w:p w14:paraId="43028B61" w14:textId="0C9D2770"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Yr 5: </w:t>
            </w:r>
            <w:r w:rsidR="00B14769" w:rsidRPr="00B14769">
              <w:rPr>
                <w:rFonts w:ascii="Arial Narrow" w:eastAsiaTheme="majorEastAsia" w:hAnsi="Arial Narrow" w:cstheme="majorBidi"/>
                <w:bCs/>
                <w:sz w:val="20"/>
                <w:highlight w:val="black"/>
              </w:rPr>
              <w:t>&amp;&amp;&amp;&amp;</w:t>
            </w:r>
            <w:r w:rsidRPr="004F56D0">
              <w:rPr>
                <w:rFonts w:ascii="Arial Narrow" w:eastAsiaTheme="majorEastAsia" w:hAnsi="Arial Narrow" w:cstheme="majorBidi"/>
                <w:bCs/>
                <w:sz w:val="20"/>
              </w:rPr>
              <w:t>%</w:t>
            </w:r>
          </w:p>
          <w:p w14:paraId="53A9DF9B" w14:textId="5C377539"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Yr 6: </w:t>
            </w:r>
            <w:r w:rsidR="00B14769" w:rsidRPr="00B14769">
              <w:rPr>
                <w:rFonts w:ascii="Arial Narrow" w:eastAsiaTheme="majorEastAsia" w:hAnsi="Arial Narrow" w:cstheme="majorBidi"/>
                <w:bCs/>
                <w:sz w:val="20"/>
                <w:highlight w:val="black"/>
              </w:rPr>
              <w:t>&amp;&amp;&amp;&amp;</w:t>
            </w:r>
            <w:r w:rsidRPr="004F56D0">
              <w:rPr>
                <w:rFonts w:ascii="Arial Narrow" w:eastAsiaTheme="majorEastAsia" w:hAnsi="Arial Narrow" w:cstheme="majorBidi"/>
                <w:bCs/>
                <w:sz w:val="20"/>
              </w:rPr>
              <w:t>%</w:t>
            </w:r>
          </w:p>
        </w:tc>
        <w:tc>
          <w:tcPr>
            <w:tcW w:w="5357" w:type="dxa"/>
          </w:tcPr>
          <w:p w14:paraId="36F40F35" w14:textId="77777777" w:rsidR="000E5FB3" w:rsidRPr="004F56D0" w:rsidRDefault="000E5FB3" w:rsidP="00437718">
            <w:pPr>
              <w:widowControl w:val="0"/>
              <w:jc w:val="left"/>
              <w:rPr>
                <w:rFonts w:ascii="Arial Narrow" w:eastAsiaTheme="majorEastAsia" w:hAnsi="Arial Narrow" w:cstheme="majorBidi"/>
                <w:bCs/>
                <w:i/>
                <w:iCs/>
                <w:sz w:val="20"/>
              </w:rPr>
            </w:pPr>
            <w:r w:rsidRPr="004F56D0">
              <w:rPr>
                <w:rFonts w:ascii="Arial Narrow" w:eastAsiaTheme="majorEastAsia" w:hAnsi="Arial Narrow" w:cstheme="majorBidi"/>
                <w:bCs/>
                <w:sz w:val="20"/>
              </w:rPr>
              <w:t>Estimated by the submission.</w:t>
            </w:r>
            <w:r w:rsidRPr="004F56D0">
              <w:rPr>
                <w:rFonts w:ascii="Arial Narrow" w:eastAsiaTheme="majorEastAsia" w:hAnsi="Arial Narrow" w:cstheme="majorBidi"/>
                <w:bCs/>
                <w:i/>
                <w:iCs/>
                <w:sz w:val="20"/>
              </w:rPr>
              <w:t xml:space="preserve"> </w:t>
            </w:r>
          </w:p>
          <w:p w14:paraId="1E9128D8" w14:textId="20BD41F8" w:rsidR="000E5FB3" w:rsidRDefault="00CE5FC1" w:rsidP="00437718">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The evaluation considered this l</w:t>
            </w:r>
            <w:r w:rsidR="000E5FB3" w:rsidRPr="00372839">
              <w:rPr>
                <w:rFonts w:ascii="Arial Narrow" w:eastAsiaTheme="majorEastAsia" w:hAnsi="Arial Narrow" w:cstheme="majorBidi"/>
                <w:bCs/>
                <w:sz w:val="20"/>
              </w:rPr>
              <w:t>ikely underestimated based on dupilumab’s utilisation</w:t>
            </w:r>
            <w:r w:rsidR="00C87DC2">
              <w:rPr>
                <w:rFonts w:ascii="Arial Narrow" w:eastAsiaTheme="majorEastAsia" w:hAnsi="Arial Narrow" w:cstheme="majorBidi"/>
                <w:bCs/>
                <w:sz w:val="20"/>
              </w:rPr>
              <w:t xml:space="preserve"> </w:t>
            </w:r>
            <w:r w:rsidR="000E5FB3" w:rsidRPr="00372839">
              <w:rPr>
                <w:rFonts w:ascii="Arial Narrow" w:eastAsiaTheme="majorEastAsia" w:hAnsi="Arial Narrow" w:cstheme="majorBidi"/>
                <w:bCs/>
                <w:sz w:val="20"/>
              </w:rPr>
              <w:t>more than tripled from 2021 (first listed on PBS) to 2022, prescriptions in 2022 were 2.2 times more than projected and in 2023 reached the market share predicted for 2027</w:t>
            </w:r>
            <w:r w:rsidR="000E5FB3" w:rsidRPr="00372839">
              <w:rPr>
                <w:rFonts w:ascii="Arial Narrow" w:eastAsiaTheme="majorEastAsia" w:hAnsi="Arial Narrow" w:cstheme="majorBidi"/>
                <w:bCs/>
                <w:sz w:val="20"/>
                <w:vertAlign w:val="superscript"/>
              </w:rPr>
              <w:t>a</w:t>
            </w:r>
            <w:r w:rsidR="000E5FB3" w:rsidRPr="00372839">
              <w:rPr>
                <w:rFonts w:ascii="Arial Narrow" w:eastAsiaTheme="majorEastAsia" w:hAnsi="Arial Narrow" w:cstheme="majorBidi"/>
                <w:bCs/>
                <w:sz w:val="20"/>
              </w:rPr>
              <w:t xml:space="preserve">. </w:t>
            </w:r>
            <w:r w:rsidR="008D4F2B">
              <w:rPr>
                <w:rFonts w:ascii="Arial Narrow" w:eastAsiaTheme="majorEastAsia" w:hAnsi="Arial Narrow" w:cstheme="majorBidi"/>
                <w:bCs/>
                <w:sz w:val="20"/>
              </w:rPr>
              <w:t>The evaluators considered t</w:t>
            </w:r>
            <w:r w:rsidR="000E5FB3" w:rsidRPr="00372839">
              <w:rPr>
                <w:rFonts w:ascii="Arial Narrow" w:eastAsiaTheme="majorEastAsia" w:hAnsi="Arial Narrow" w:cstheme="majorBidi"/>
                <w:bCs/>
                <w:sz w:val="20"/>
              </w:rPr>
              <w:t>his increased dupilumab uptake could have resulted during the COVID-19 pandemic when many reports on asthma patients indicated increased severity due to IL-13 pathway disruption. However, the magnitude of this impact could not be quantified.</w:t>
            </w:r>
          </w:p>
          <w:p w14:paraId="4BF82C2F" w14:textId="7434875E" w:rsidR="008D4F2B" w:rsidRPr="00372839" w:rsidRDefault="008D4F2B" w:rsidP="00437718">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DUSC considered the uptake rate to be underestimated. </w:t>
            </w:r>
          </w:p>
        </w:tc>
      </w:tr>
      <w:tr w:rsidR="000E5FB3" w:rsidRPr="004F56D0" w14:paraId="460700C6" w14:textId="77777777" w:rsidTr="00437718">
        <w:tc>
          <w:tcPr>
            <w:tcW w:w="2122" w:type="dxa"/>
            <w:vAlign w:val="center"/>
          </w:tcPr>
          <w:p w14:paraId="19C029DA"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Proportion continuing treatment</w:t>
            </w:r>
          </w:p>
        </w:tc>
        <w:tc>
          <w:tcPr>
            <w:tcW w:w="1701" w:type="dxa"/>
            <w:vAlign w:val="center"/>
          </w:tcPr>
          <w:p w14:paraId="7C12519B" w14:textId="77777777"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75.9%</w:t>
            </w:r>
          </w:p>
        </w:tc>
        <w:tc>
          <w:tcPr>
            <w:tcW w:w="5357" w:type="dxa"/>
          </w:tcPr>
          <w:p w14:paraId="65D1971A" w14:textId="3FC9E950" w:rsidR="000E5FB3" w:rsidRPr="009726DB" w:rsidRDefault="000E5FB3" w:rsidP="00437718">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Based on NAVIGATOR, PATHWAY and SOURCE trial results </w:t>
            </w:r>
            <w:r w:rsidR="002538C5">
              <w:rPr>
                <w:rFonts w:ascii="Arial Narrow" w:eastAsiaTheme="majorEastAsia" w:hAnsi="Arial Narrow" w:cstheme="majorBidi"/>
                <w:bCs/>
                <w:sz w:val="20"/>
              </w:rPr>
              <w:t xml:space="preserve">and </w:t>
            </w:r>
            <w:r w:rsidRPr="004F56D0">
              <w:rPr>
                <w:rFonts w:ascii="Arial Narrow" w:eastAsiaTheme="majorEastAsia" w:hAnsi="Arial Narrow" w:cstheme="majorBidi"/>
                <w:bCs/>
                <w:sz w:val="20"/>
              </w:rPr>
              <w:t>assuming only responders continue treatment.</w:t>
            </w:r>
            <w:r w:rsidRPr="004F56D0">
              <w:rPr>
                <w:rFonts w:ascii="Arial Narrow" w:eastAsiaTheme="majorEastAsia" w:hAnsi="Arial Narrow" w:cstheme="majorBidi"/>
                <w:bCs/>
                <w:sz w:val="20"/>
              </w:rPr>
              <w:br/>
            </w:r>
            <w:r w:rsidRPr="009726DB">
              <w:rPr>
                <w:rFonts w:ascii="Arial Narrow" w:eastAsiaTheme="majorEastAsia" w:hAnsi="Arial Narrow" w:cstheme="majorBidi"/>
                <w:bCs/>
                <w:sz w:val="20"/>
              </w:rPr>
              <w:t xml:space="preserve">Uncertain. The continuing rate was </w:t>
            </w:r>
            <w:r w:rsidR="00C31AAA">
              <w:rPr>
                <w:rFonts w:ascii="Arial Narrow" w:eastAsiaTheme="majorEastAsia" w:hAnsi="Arial Narrow" w:cstheme="majorBidi"/>
                <w:bCs/>
                <w:sz w:val="20"/>
              </w:rPr>
              <w:t>assumed to equal</w:t>
            </w:r>
            <w:r w:rsidR="00C31AAA" w:rsidRPr="009726DB">
              <w:rPr>
                <w:rFonts w:ascii="Arial Narrow" w:eastAsiaTheme="majorEastAsia" w:hAnsi="Arial Narrow" w:cstheme="majorBidi"/>
                <w:bCs/>
                <w:sz w:val="20"/>
              </w:rPr>
              <w:t xml:space="preserve"> </w:t>
            </w:r>
            <w:r w:rsidRPr="009726DB">
              <w:rPr>
                <w:rFonts w:ascii="Arial Narrow" w:eastAsiaTheme="majorEastAsia" w:hAnsi="Arial Narrow" w:cstheme="majorBidi"/>
                <w:bCs/>
                <w:sz w:val="20"/>
              </w:rPr>
              <w:t>t</w:t>
            </w:r>
            <w:r w:rsidR="00C31AAA">
              <w:rPr>
                <w:rFonts w:ascii="Arial Narrow" w:eastAsiaTheme="majorEastAsia" w:hAnsi="Arial Narrow" w:cstheme="majorBidi"/>
                <w:bCs/>
                <w:sz w:val="20"/>
              </w:rPr>
              <w:t>he</w:t>
            </w:r>
            <w:r w:rsidRPr="009726DB">
              <w:rPr>
                <w:rFonts w:ascii="Arial Narrow" w:eastAsiaTheme="majorEastAsia" w:hAnsi="Arial Narrow" w:cstheme="majorBidi"/>
                <w:bCs/>
                <w:sz w:val="20"/>
              </w:rPr>
              <w:t xml:space="preserve"> response rate and</w:t>
            </w:r>
            <w:r w:rsidR="002606C4">
              <w:rPr>
                <w:rFonts w:ascii="Arial Narrow" w:eastAsiaTheme="majorEastAsia" w:hAnsi="Arial Narrow" w:cstheme="majorBidi"/>
                <w:bCs/>
                <w:sz w:val="20"/>
              </w:rPr>
              <w:t xml:space="preserve"> was</w:t>
            </w:r>
            <w:r w:rsidRPr="009726DB">
              <w:rPr>
                <w:rFonts w:ascii="Arial Narrow" w:eastAsiaTheme="majorEastAsia" w:hAnsi="Arial Narrow" w:cstheme="majorBidi"/>
                <w:bCs/>
                <w:sz w:val="20"/>
              </w:rPr>
              <w:t xml:space="preserve"> based on all trial patients as opposed to the subgroup of non-eosinophilic and non-allergic patients on high-dose ICS.</w:t>
            </w:r>
          </w:p>
          <w:p w14:paraId="349E9A96" w14:textId="54698E64" w:rsidR="000E5FB3" w:rsidRPr="009726DB" w:rsidRDefault="000E5FB3" w:rsidP="00437718">
            <w:pPr>
              <w:widowControl w:val="0"/>
              <w:jc w:val="left"/>
              <w:rPr>
                <w:rFonts w:ascii="Arial Narrow" w:eastAsiaTheme="majorEastAsia" w:hAnsi="Arial Narrow" w:cstheme="majorBidi"/>
                <w:bCs/>
                <w:sz w:val="20"/>
              </w:rPr>
            </w:pPr>
            <w:r w:rsidRPr="009726DB">
              <w:rPr>
                <w:rFonts w:ascii="Arial Narrow" w:eastAsiaTheme="majorEastAsia" w:hAnsi="Arial Narrow" w:cstheme="majorBidi"/>
                <w:bCs/>
                <w:sz w:val="20"/>
              </w:rPr>
              <w:t>The response rate was also different to that used in the economic model which used pooled NAVIGATOR and SOURCE data</w:t>
            </w:r>
            <w:r w:rsidR="00F65D1F">
              <w:rPr>
                <w:rFonts w:ascii="Arial Narrow" w:eastAsiaTheme="majorEastAsia" w:hAnsi="Arial Narrow" w:cstheme="majorBidi"/>
                <w:bCs/>
                <w:sz w:val="20"/>
              </w:rPr>
              <w:t xml:space="preserve"> (42.3% </w:t>
            </w:r>
            <w:r w:rsidR="00E874ED">
              <w:rPr>
                <w:rFonts w:ascii="Arial Narrow" w:eastAsiaTheme="majorEastAsia" w:hAnsi="Arial Narrow" w:cstheme="majorBidi"/>
                <w:bCs/>
                <w:sz w:val="20"/>
              </w:rPr>
              <w:t xml:space="preserve">with </w:t>
            </w:r>
            <w:r w:rsidR="00F65D1F">
              <w:rPr>
                <w:rFonts w:ascii="Arial Narrow" w:eastAsiaTheme="majorEastAsia" w:hAnsi="Arial Narrow" w:cstheme="majorBidi"/>
                <w:bCs/>
                <w:sz w:val="20"/>
              </w:rPr>
              <w:t>OCS</w:t>
            </w:r>
            <w:r w:rsidR="00CC1896">
              <w:rPr>
                <w:rFonts w:ascii="Arial Narrow" w:eastAsiaTheme="majorEastAsia" w:hAnsi="Arial Narrow" w:cstheme="majorBidi"/>
                <w:bCs/>
                <w:sz w:val="20"/>
              </w:rPr>
              <w:t xml:space="preserve"> and 48</w:t>
            </w:r>
            <w:r w:rsidR="000677D6">
              <w:rPr>
                <w:rFonts w:ascii="Arial Narrow" w:eastAsiaTheme="majorEastAsia" w:hAnsi="Arial Narrow" w:cstheme="majorBidi"/>
                <w:bCs/>
                <w:sz w:val="20"/>
              </w:rPr>
              <w:t>.</w:t>
            </w:r>
            <w:r w:rsidR="00CC1896">
              <w:rPr>
                <w:rFonts w:ascii="Arial Narrow" w:eastAsiaTheme="majorEastAsia" w:hAnsi="Arial Narrow" w:cstheme="majorBidi"/>
                <w:bCs/>
                <w:sz w:val="20"/>
              </w:rPr>
              <w:t>7</w:t>
            </w:r>
            <w:r w:rsidR="000677D6">
              <w:rPr>
                <w:rFonts w:ascii="Arial Narrow" w:eastAsiaTheme="majorEastAsia" w:hAnsi="Arial Narrow" w:cstheme="majorBidi"/>
                <w:bCs/>
                <w:sz w:val="20"/>
              </w:rPr>
              <w:t>%</w:t>
            </w:r>
            <w:r w:rsidR="00CC1896">
              <w:rPr>
                <w:rFonts w:ascii="Arial Narrow" w:eastAsiaTheme="majorEastAsia" w:hAnsi="Arial Narrow" w:cstheme="majorBidi"/>
                <w:bCs/>
                <w:sz w:val="20"/>
              </w:rPr>
              <w:t xml:space="preserve"> </w:t>
            </w:r>
            <w:r w:rsidR="00E874ED">
              <w:rPr>
                <w:rFonts w:ascii="Arial Narrow" w:eastAsiaTheme="majorEastAsia" w:hAnsi="Arial Narrow" w:cstheme="majorBidi"/>
                <w:bCs/>
                <w:sz w:val="20"/>
              </w:rPr>
              <w:t xml:space="preserve">without </w:t>
            </w:r>
            <w:r w:rsidR="00CC1896">
              <w:rPr>
                <w:rFonts w:ascii="Arial Narrow" w:eastAsiaTheme="majorEastAsia" w:hAnsi="Arial Narrow" w:cstheme="majorBidi"/>
                <w:bCs/>
                <w:sz w:val="20"/>
              </w:rPr>
              <w:t>OCS).</w:t>
            </w:r>
          </w:p>
          <w:p w14:paraId="00D43CC2" w14:textId="63B1781D" w:rsidR="000E5FB3" w:rsidRPr="004F56D0" w:rsidRDefault="000E5FB3" w:rsidP="00437718">
            <w:pPr>
              <w:widowControl w:val="0"/>
              <w:jc w:val="left"/>
              <w:rPr>
                <w:rFonts w:ascii="Arial Narrow" w:eastAsiaTheme="majorEastAsia" w:hAnsi="Arial Narrow" w:cstheme="majorBidi"/>
                <w:bCs/>
                <w:i/>
                <w:iCs/>
                <w:sz w:val="20"/>
              </w:rPr>
            </w:pPr>
          </w:p>
          <w:p w14:paraId="692B87D6" w14:textId="05A8B208" w:rsidR="000E5FB3" w:rsidRPr="00FB6A75" w:rsidRDefault="009726DB" w:rsidP="00437718">
            <w:pPr>
              <w:jc w:val="left"/>
              <w:rPr>
                <w:rFonts w:ascii="Arial Narrow" w:hAnsi="Arial Narrow"/>
                <w:sz w:val="20"/>
                <w:szCs w:val="20"/>
              </w:rPr>
            </w:pPr>
            <w:r w:rsidRPr="00FB6A75">
              <w:rPr>
                <w:rFonts w:ascii="Arial Narrow" w:hAnsi="Arial Narrow"/>
                <w:sz w:val="20"/>
                <w:szCs w:val="20"/>
              </w:rPr>
              <w:t xml:space="preserve">DUSC considered this parameter to be uncertain </w:t>
            </w:r>
            <w:r w:rsidR="003F7DBF">
              <w:rPr>
                <w:rFonts w:ascii="Arial Narrow" w:hAnsi="Arial Narrow"/>
                <w:sz w:val="20"/>
                <w:szCs w:val="20"/>
              </w:rPr>
              <w:t xml:space="preserve">and potentially overestimated as the proportion of patients continuing treatment varied at different time points in the trial. </w:t>
            </w:r>
          </w:p>
        </w:tc>
      </w:tr>
      <w:tr w:rsidR="000E5FB3" w:rsidRPr="004F56D0" w14:paraId="2C67EAA0" w14:textId="77777777" w:rsidTr="00437718">
        <w:tc>
          <w:tcPr>
            <w:tcW w:w="2122" w:type="dxa"/>
            <w:vAlign w:val="center"/>
          </w:tcPr>
          <w:p w14:paraId="15B57DAE"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Compliance rate</w:t>
            </w:r>
          </w:p>
        </w:tc>
        <w:tc>
          <w:tcPr>
            <w:tcW w:w="1701" w:type="dxa"/>
            <w:vAlign w:val="center"/>
          </w:tcPr>
          <w:p w14:paraId="6EA33634" w14:textId="77777777"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93.01%</w:t>
            </w:r>
          </w:p>
        </w:tc>
        <w:tc>
          <w:tcPr>
            <w:tcW w:w="5357" w:type="dxa"/>
          </w:tcPr>
          <w:p w14:paraId="1AA208F0" w14:textId="6288DA2B" w:rsidR="000E5FB3" w:rsidRDefault="000E5FB3" w:rsidP="00437718">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Based on persistence rate in NAVIGATOR. </w:t>
            </w:r>
            <w:r w:rsidR="00FF78D2">
              <w:rPr>
                <w:rFonts w:ascii="Arial Narrow" w:eastAsiaTheme="majorEastAsia" w:hAnsi="Arial Narrow" w:cstheme="majorBidi"/>
                <w:bCs/>
                <w:sz w:val="20"/>
              </w:rPr>
              <w:t>The evaluation considered this input likely</w:t>
            </w:r>
            <w:r w:rsidRPr="0038178C">
              <w:rPr>
                <w:rFonts w:ascii="Arial Narrow" w:eastAsiaTheme="majorEastAsia" w:hAnsi="Arial Narrow" w:cstheme="majorBidi"/>
                <w:bCs/>
                <w:sz w:val="20"/>
              </w:rPr>
              <w:t xml:space="preserve"> underestimated. Compliance rate was 99% in the NAVIGATOR trial and 97.3% in the SOURCE trial (Average=98.2%).</w:t>
            </w:r>
          </w:p>
          <w:p w14:paraId="0663595D" w14:textId="70E40A10" w:rsidR="00FF78D2" w:rsidRPr="004F56D0" w:rsidRDefault="00FF78D2" w:rsidP="00437718">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DUSC considered this input to be reasonable. </w:t>
            </w:r>
          </w:p>
        </w:tc>
      </w:tr>
      <w:tr w:rsidR="000E5FB3" w:rsidRPr="004F56D0" w14:paraId="136F47E6" w14:textId="77777777" w:rsidTr="00437718">
        <w:tc>
          <w:tcPr>
            <w:tcW w:w="2122" w:type="dxa"/>
            <w:vAlign w:val="center"/>
          </w:tcPr>
          <w:p w14:paraId="29A0CB8D"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Scripts</w:t>
            </w:r>
          </w:p>
        </w:tc>
        <w:tc>
          <w:tcPr>
            <w:tcW w:w="1701" w:type="dxa"/>
            <w:vAlign w:val="center"/>
          </w:tcPr>
          <w:p w14:paraId="18ADA862"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Initiators: 7.44/year</w:t>
            </w:r>
          </w:p>
          <w:p w14:paraId="59216801" w14:textId="77777777" w:rsidR="000E5FB3" w:rsidRPr="004F56D0" w:rsidRDefault="000E5FB3" w:rsidP="000343C1">
            <w:pPr>
              <w:widowControl w:val="0"/>
              <w:ind w:right="-107"/>
              <w:jc w:val="left"/>
              <w:rPr>
                <w:rFonts w:ascii="Arial Narrow" w:eastAsiaTheme="majorEastAsia" w:hAnsi="Arial Narrow" w:cstheme="majorBidi"/>
                <w:bCs/>
                <w:sz w:val="20"/>
              </w:rPr>
            </w:pPr>
            <w:proofErr w:type="spellStart"/>
            <w:r w:rsidRPr="004F56D0">
              <w:rPr>
                <w:rFonts w:ascii="Arial Narrow" w:eastAsiaTheme="majorEastAsia" w:hAnsi="Arial Narrow" w:cstheme="majorBidi"/>
                <w:bCs/>
                <w:sz w:val="20"/>
              </w:rPr>
              <w:t>Continuers</w:t>
            </w:r>
            <w:proofErr w:type="spellEnd"/>
            <w:r w:rsidRPr="004F56D0">
              <w:rPr>
                <w:rFonts w:ascii="Arial Narrow" w:eastAsiaTheme="majorEastAsia" w:hAnsi="Arial Narrow" w:cstheme="majorBidi"/>
                <w:bCs/>
                <w:sz w:val="20"/>
              </w:rPr>
              <w:t>: 12.09/ year</w:t>
            </w:r>
          </w:p>
        </w:tc>
        <w:tc>
          <w:tcPr>
            <w:tcW w:w="5357" w:type="dxa"/>
          </w:tcPr>
          <w:p w14:paraId="719FD53D" w14:textId="77777777" w:rsidR="000E5FB3" w:rsidRPr="004F56D0" w:rsidRDefault="000E5FB3" w:rsidP="00437718">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Based on 93.01% compliance, initiating scripts calculated for 32 weeks and continuing scripts calculated over 52 weeks. </w:t>
            </w:r>
          </w:p>
          <w:p w14:paraId="1BC46E10" w14:textId="77777777" w:rsidR="000E5FB3" w:rsidRPr="004F56D0" w:rsidRDefault="000E5FB3" w:rsidP="00437718">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Initiators receive 32 weeks of treatment, after which they are assessed for response. Continuers receive treatment if they respond, for 12.09 x 4 weeks= 48.4 weeks (0.93 years).</w:t>
            </w:r>
          </w:p>
          <w:p w14:paraId="59BF1AAD" w14:textId="29BC5C0D" w:rsidR="000E5FB3" w:rsidRPr="005534E2" w:rsidRDefault="000E5FB3" w:rsidP="00437718">
            <w:pPr>
              <w:widowControl w:val="0"/>
              <w:jc w:val="left"/>
              <w:rPr>
                <w:rFonts w:ascii="Arial Narrow" w:eastAsiaTheme="majorEastAsia" w:hAnsi="Arial Narrow" w:cstheme="majorBidi"/>
                <w:bCs/>
                <w:sz w:val="20"/>
              </w:rPr>
            </w:pPr>
            <w:r w:rsidRPr="005534E2">
              <w:rPr>
                <w:rFonts w:ascii="Arial Narrow" w:eastAsiaTheme="majorEastAsia" w:hAnsi="Arial Narrow" w:cstheme="majorBidi"/>
                <w:bCs/>
                <w:sz w:val="20"/>
              </w:rPr>
              <w:t xml:space="preserve">The total scripts for continuers and therefore time on treatment was likely underestimated based on median time on treatment of 1.2 years for dupilumab. </w:t>
            </w:r>
            <w:r w:rsidR="00D42505">
              <w:rPr>
                <w:rFonts w:ascii="Arial Narrow" w:eastAsiaTheme="majorEastAsia" w:hAnsi="Arial Narrow" w:cstheme="majorBidi"/>
                <w:bCs/>
                <w:sz w:val="20"/>
                <w:vertAlign w:val="superscript"/>
              </w:rPr>
              <w:t>b</w:t>
            </w:r>
          </w:p>
        </w:tc>
      </w:tr>
      <w:tr w:rsidR="000E5FB3" w:rsidRPr="004F56D0" w14:paraId="6227F6DD" w14:textId="77777777" w:rsidTr="00437718">
        <w:tc>
          <w:tcPr>
            <w:tcW w:w="9180" w:type="dxa"/>
            <w:gridSpan w:val="3"/>
          </w:tcPr>
          <w:p w14:paraId="2F260F5C" w14:textId="77777777" w:rsidR="000E5FB3" w:rsidRPr="004F56D0" w:rsidRDefault="000E5FB3" w:rsidP="00437718">
            <w:pPr>
              <w:widowControl w:val="0"/>
              <w:jc w:val="left"/>
              <w:rPr>
                <w:rFonts w:ascii="Arial Narrow" w:eastAsiaTheme="majorEastAsia" w:hAnsi="Arial Narrow" w:cs="Times New Roman"/>
                <w:b/>
                <w:sz w:val="20"/>
                <w:lang w:val="en-US"/>
              </w:rPr>
            </w:pPr>
            <w:r w:rsidRPr="004F56D0">
              <w:rPr>
                <w:rFonts w:ascii="Arial Narrow" w:eastAsiaTheme="majorEastAsia" w:hAnsi="Arial Narrow" w:cs="Times New Roman"/>
                <w:b/>
                <w:sz w:val="20"/>
                <w:lang w:val="en-US"/>
              </w:rPr>
              <w:t>Costs</w:t>
            </w:r>
          </w:p>
        </w:tc>
      </w:tr>
      <w:tr w:rsidR="000E5FB3" w:rsidRPr="004F56D0" w14:paraId="3CA2F0DD" w14:textId="77777777" w:rsidTr="00437718">
        <w:tc>
          <w:tcPr>
            <w:tcW w:w="2122" w:type="dxa"/>
            <w:vAlign w:val="center"/>
          </w:tcPr>
          <w:p w14:paraId="32367033"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Proposed medicine</w:t>
            </w:r>
          </w:p>
        </w:tc>
        <w:tc>
          <w:tcPr>
            <w:tcW w:w="1701" w:type="dxa"/>
            <w:vAlign w:val="center"/>
          </w:tcPr>
          <w:p w14:paraId="6D7B2E4A" w14:textId="4460FDD6" w:rsidR="000E5FB3" w:rsidRPr="004F56D0" w:rsidRDefault="000E5FB3" w:rsidP="000343C1">
            <w:pPr>
              <w:widowControl w:val="0"/>
              <w:ind w:right="-108"/>
              <w:jc w:val="left"/>
              <w:rPr>
                <w:rFonts w:ascii="Arial Narrow" w:eastAsiaTheme="majorEastAsia" w:hAnsi="Arial Narrow" w:cstheme="majorBidi"/>
                <w:bCs/>
                <w:sz w:val="20"/>
              </w:rPr>
            </w:pPr>
            <w:r w:rsidRPr="004F56D0">
              <w:rPr>
                <w:rFonts w:ascii="Arial Narrow" w:eastAsiaTheme="majorEastAsia" w:hAnsi="Arial Narrow" w:cstheme="majorBidi"/>
                <w:bCs/>
                <w:sz w:val="20"/>
              </w:rPr>
              <w:t>Published: $1,690.74</w:t>
            </w:r>
            <w:r w:rsidRPr="004F56D0">
              <w:rPr>
                <w:rFonts w:ascii="Arial Narrow" w:eastAsiaTheme="majorEastAsia" w:hAnsi="Arial Narrow" w:cstheme="majorBidi"/>
                <w:bCs/>
                <w:sz w:val="20"/>
              </w:rPr>
              <w:br/>
              <w:t>Effective: $</w:t>
            </w:r>
            <w:r w:rsidR="00B14769" w:rsidRPr="00B14769">
              <w:rPr>
                <w:rFonts w:ascii="Arial Narrow" w:eastAsiaTheme="majorEastAsia" w:hAnsi="Arial Narrow" w:cstheme="majorBidi"/>
                <w:bCs/>
                <w:sz w:val="20"/>
                <w:highlight w:val="black"/>
              </w:rPr>
              <w:t>&amp;&amp;&amp;&amp;</w:t>
            </w:r>
          </w:p>
        </w:tc>
        <w:tc>
          <w:tcPr>
            <w:tcW w:w="5357" w:type="dxa"/>
          </w:tcPr>
          <w:p w14:paraId="29ABBDF4" w14:textId="31382178" w:rsidR="000E5FB3" w:rsidRPr="004F56D0" w:rsidRDefault="000E5FB3" w:rsidP="00437718">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Requested price: weighted DPMQ (AEMP $</w:t>
            </w:r>
            <w:r w:rsidR="00B14769" w:rsidRPr="00B14769">
              <w:rPr>
                <w:rFonts w:ascii="Arial Narrow" w:eastAsiaTheme="majorEastAsia" w:hAnsi="Arial Narrow" w:cstheme="majorBidi"/>
                <w:bCs/>
                <w:sz w:val="20"/>
                <w:highlight w:val="black"/>
              </w:rPr>
              <w:t>&amp;&amp;&amp;&amp;</w:t>
            </w:r>
            <w:r w:rsidRPr="004F56D0">
              <w:rPr>
                <w:rFonts w:ascii="Arial Narrow" w:eastAsiaTheme="majorEastAsia" w:hAnsi="Arial Narrow" w:cstheme="majorBidi"/>
                <w:bCs/>
                <w:sz w:val="20"/>
              </w:rPr>
              <w:t>).</w:t>
            </w:r>
          </w:p>
        </w:tc>
      </w:tr>
      <w:tr w:rsidR="000E5FB3" w:rsidRPr="004F56D0" w14:paraId="12B0931A" w14:textId="77777777" w:rsidTr="00437718">
        <w:tc>
          <w:tcPr>
            <w:tcW w:w="2122" w:type="dxa"/>
          </w:tcPr>
          <w:p w14:paraId="51FF231A"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Public/Private split</w:t>
            </w:r>
          </w:p>
        </w:tc>
        <w:tc>
          <w:tcPr>
            <w:tcW w:w="1701" w:type="dxa"/>
          </w:tcPr>
          <w:p w14:paraId="43F28DF6" w14:textId="77777777" w:rsidR="000E5FB3" w:rsidRPr="004F56D0" w:rsidRDefault="000E5FB3" w:rsidP="000343C1">
            <w:pPr>
              <w:widowControl w:val="0"/>
              <w:ind w:right="-106"/>
              <w:jc w:val="left"/>
              <w:rPr>
                <w:rFonts w:ascii="Arial Narrow" w:eastAsiaTheme="majorEastAsia" w:hAnsi="Arial Narrow" w:cstheme="majorBidi"/>
                <w:bCs/>
                <w:sz w:val="20"/>
              </w:rPr>
            </w:pPr>
            <w:r w:rsidRPr="004F56D0">
              <w:rPr>
                <w:rFonts w:ascii="Arial Narrow" w:eastAsiaTheme="majorEastAsia" w:hAnsi="Arial Narrow" w:cstheme="majorBidi"/>
                <w:bCs/>
                <w:sz w:val="20"/>
              </w:rPr>
              <w:t>61.05% public, 38.95% private</w:t>
            </w:r>
          </w:p>
        </w:tc>
        <w:tc>
          <w:tcPr>
            <w:tcW w:w="5357" w:type="dxa"/>
          </w:tcPr>
          <w:p w14:paraId="4B3CF753" w14:textId="77777777" w:rsidR="000E5FB3" w:rsidRPr="004F56D0" w:rsidRDefault="000E5FB3" w:rsidP="00437718">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Based on the distribution of dupilumab market.</w:t>
            </w:r>
          </w:p>
          <w:p w14:paraId="7CE906A3" w14:textId="77777777" w:rsidR="000E5FB3" w:rsidRPr="00D42505" w:rsidRDefault="000E5FB3" w:rsidP="00437718">
            <w:pPr>
              <w:widowControl w:val="0"/>
              <w:jc w:val="left"/>
              <w:rPr>
                <w:rFonts w:ascii="Arial Narrow" w:eastAsiaTheme="majorEastAsia" w:hAnsi="Arial Narrow" w:cstheme="majorBidi"/>
                <w:bCs/>
                <w:sz w:val="20"/>
              </w:rPr>
            </w:pPr>
            <w:r w:rsidRPr="00D42505">
              <w:rPr>
                <w:rFonts w:ascii="Arial Narrow" w:eastAsiaTheme="majorEastAsia" w:hAnsi="Arial Narrow" w:cstheme="majorBidi"/>
                <w:bCs/>
                <w:sz w:val="20"/>
              </w:rPr>
              <w:t>This was reasonable.</w:t>
            </w:r>
          </w:p>
        </w:tc>
      </w:tr>
      <w:tr w:rsidR="000E5FB3" w:rsidRPr="004F56D0" w14:paraId="46616873" w14:textId="77777777" w:rsidTr="00437718">
        <w:tc>
          <w:tcPr>
            <w:tcW w:w="2122" w:type="dxa"/>
            <w:vAlign w:val="center"/>
          </w:tcPr>
          <w:p w14:paraId="1B0817E7" w14:textId="77777777" w:rsidR="000E5FB3" w:rsidRPr="004F56D0" w:rsidRDefault="000E5FB3" w:rsidP="000343C1">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MBS costs</w:t>
            </w:r>
          </w:p>
        </w:tc>
        <w:tc>
          <w:tcPr>
            <w:tcW w:w="1701" w:type="dxa"/>
            <w:vAlign w:val="center"/>
          </w:tcPr>
          <w:p w14:paraId="2089A906" w14:textId="3A06D521" w:rsidR="000E5FB3" w:rsidRPr="004F56D0" w:rsidRDefault="000E5FB3" w:rsidP="000343C1">
            <w:pPr>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$86.80</w:t>
            </w:r>
            <w:r w:rsidRPr="004F56D0">
              <w:rPr>
                <w:rFonts w:ascii="Arial Narrow" w:eastAsiaTheme="majorEastAsia" w:hAnsi="Arial Narrow" w:cstheme="majorBidi"/>
                <w:bCs/>
                <w:sz w:val="20"/>
              </w:rPr>
              <w:br/>
            </w:r>
          </w:p>
        </w:tc>
        <w:tc>
          <w:tcPr>
            <w:tcW w:w="5357" w:type="dxa"/>
          </w:tcPr>
          <w:p w14:paraId="5C26162E" w14:textId="1AE7CCBE" w:rsidR="000E5FB3" w:rsidRPr="004F56D0" w:rsidRDefault="000E5FB3" w:rsidP="00437718">
            <w:pPr>
              <w:widowControl w:val="0"/>
              <w:jc w:val="left"/>
              <w:rPr>
                <w:rFonts w:ascii="Arial Narrow" w:eastAsiaTheme="majorEastAsia" w:hAnsi="Arial Narrow" w:cstheme="majorBidi"/>
                <w:bCs/>
                <w:sz w:val="20"/>
              </w:rPr>
            </w:pPr>
            <w:r w:rsidRPr="004F56D0">
              <w:rPr>
                <w:rFonts w:ascii="Arial Narrow" w:eastAsiaTheme="majorEastAsia" w:hAnsi="Arial Narrow" w:cstheme="majorBidi"/>
                <w:bCs/>
                <w:sz w:val="20"/>
              </w:rPr>
              <w:t>MBS item 82215. Training of injection technique</w:t>
            </w:r>
          </w:p>
          <w:p w14:paraId="3C2DDC18" w14:textId="6E7B39AB" w:rsidR="000E5FB3" w:rsidRPr="00D42505" w:rsidRDefault="000E5FB3" w:rsidP="00437718">
            <w:pPr>
              <w:widowControl w:val="0"/>
              <w:jc w:val="left"/>
              <w:rPr>
                <w:rFonts w:ascii="Arial Narrow" w:eastAsiaTheme="majorEastAsia" w:hAnsi="Arial Narrow" w:cstheme="majorBidi"/>
                <w:bCs/>
                <w:sz w:val="20"/>
              </w:rPr>
            </w:pPr>
            <w:r w:rsidRPr="00D42505">
              <w:rPr>
                <w:rFonts w:ascii="Arial Narrow" w:eastAsiaTheme="majorEastAsia" w:hAnsi="Arial Narrow" w:cstheme="majorBidi"/>
                <w:bCs/>
                <w:sz w:val="20"/>
              </w:rPr>
              <w:t>Th</w:t>
            </w:r>
            <w:r w:rsidR="0042495F">
              <w:rPr>
                <w:rFonts w:ascii="Arial Narrow" w:eastAsiaTheme="majorEastAsia" w:hAnsi="Arial Narrow" w:cstheme="majorBidi"/>
                <w:bCs/>
                <w:sz w:val="20"/>
              </w:rPr>
              <w:t xml:space="preserve">e evaluators noted the fee for this item </w:t>
            </w:r>
            <w:r w:rsidR="00972D12">
              <w:rPr>
                <w:rFonts w:ascii="Arial Narrow" w:eastAsiaTheme="majorEastAsia" w:hAnsi="Arial Narrow" w:cstheme="majorBidi"/>
                <w:bCs/>
                <w:sz w:val="20"/>
              </w:rPr>
              <w:t>at the time of evaluation wa</w:t>
            </w:r>
            <w:r w:rsidR="00896C8E">
              <w:rPr>
                <w:rFonts w:ascii="Arial Narrow" w:eastAsiaTheme="majorEastAsia" w:hAnsi="Arial Narrow" w:cstheme="majorBidi"/>
                <w:bCs/>
                <w:sz w:val="20"/>
              </w:rPr>
              <w:t>s</w:t>
            </w:r>
            <w:r w:rsidR="00972D12">
              <w:rPr>
                <w:rFonts w:ascii="Arial Narrow" w:eastAsiaTheme="majorEastAsia" w:hAnsi="Arial Narrow" w:cstheme="majorBidi"/>
                <w:bCs/>
                <w:sz w:val="20"/>
              </w:rPr>
              <w:t xml:space="preserve"> $88.</w:t>
            </w:r>
            <w:r w:rsidR="00DE168C">
              <w:rPr>
                <w:rFonts w:ascii="Arial Narrow" w:eastAsiaTheme="majorEastAsia" w:hAnsi="Arial Narrow" w:cstheme="majorBidi"/>
                <w:bCs/>
                <w:sz w:val="20"/>
              </w:rPr>
              <w:t>90.</w:t>
            </w:r>
          </w:p>
        </w:tc>
      </w:tr>
    </w:tbl>
    <w:p w14:paraId="21F0D48D" w14:textId="70EA3797" w:rsidR="000E5FB3" w:rsidRPr="004F56D0" w:rsidRDefault="000E5FB3" w:rsidP="000E5FB3">
      <w:pPr>
        <w:pStyle w:val="TableFigureFooter"/>
        <w:rPr>
          <w:i/>
          <w:iCs/>
        </w:rPr>
      </w:pPr>
      <w:r w:rsidRPr="004F56D0">
        <w:t xml:space="preserve">Source: Table 4-26, pp334-335 of the submission; ‘Attachment 4.3 Financial impact </w:t>
      </w:r>
      <w:proofErr w:type="spellStart"/>
      <w:r w:rsidRPr="004F56D0">
        <w:t>nonEOS_nonAllergic</w:t>
      </w:r>
      <w:proofErr w:type="spellEnd"/>
      <w:r w:rsidRPr="004F56D0">
        <w:t xml:space="preserve"> SUA </w:t>
      </w:r>
      <w:proofErr w:type="spellStart"/>
      <w:r w:rsidRPr="004F56D0">
        <w:t>teze_July</w:t>
      </w:r>
      <w:proofErr w:type="spellEnd"/>
      <w:r w:rsidRPr="004F56D0">
        <w:t xml:space="preserve"> 2025’.</w:t>
      </w:r>
      <w:r w:rsidRPr="004F56D0">
        <w:rPr>
          <w:i/>
          <w:iCs/>
        </w:rPr>
        <w:t xml:space="preserve"> </w:t>
      </w:r>
      <w:r w:rsidRPr="004F56D0">
        <w:t xml:space="preserve">ABS= Australian Bureau of Statistics; AEMP = Approved ex-manufacturer price; AIHW= Australian Institute of Health and Welfare; DPMQ = Dispensed Price for Maximum Quantity; DUSC= drug utilisation sub-committee; ICS= Inhaled corticosteroids; LABA= Long Acting Beta Antagonists; MBS= Medicare Benefits Schedule; OCS = oral corticosteroids; PBS= Pharmaceutical Benefits Scheme; RCT = Randomised controlled trial; </w:t>
      </w:r>
      <w:bookmarkStart w:id="114" w:name="_Hlk206325365"/>
      <w:r w:rsidRPr="004F56D0">
        <w:t>RPBS = Repatriation Pharmaceutical Benefits Scheme; SUA= severe uncontrolled asthma.</w:t>
      </w:r>
      <w:bookmarkEnd w:id="114"/>
    </w:p>
    <w:p w14:paraId="2F16F7B8" w14:textId="77777777" w:rsidR="000E5FB3" w:rsidRPr="004F56D0" w:rsidRDefault="000E5FB3" w:rsidP="000E5FB3">
      <w:pPr>
        <w:pStyle w:val="TableFigureFooter"/>
      </w:pPr>
      <w:proofErr w:type="gramStart"/>
      <w:r w:rsidRPr="004F56D0" w:rsidDel="000108DF">
        <w:rPr>
          <w:vertAlign w:val="superscript"/>
        </w:rPr>
        <w:t xml:space="preserve">a </w:t>
      </w:r>
      <w:r w:rsidRPr="004F56D0">
        <w:rPr>
          <w:vertAlign w:val="superscript"/>
        </w:rPr>
        <w:t xml:space="preserve"> </w:t>
      </w:r>
      <w:r w:rsidRPr="004F56D0">
        <w:t>Table</w:t>
      </w:r>
      <w:proofErr w:type="gramEnd"/>
      <w:r w:rsidRPr="004F56D0">
        <w:t xml:space="preserve"> 10, p23, p26 of Public Release Document, Dupilumab, February 2024 DUSC meeting. </w:t>
      </w:r>
    </w:p>
    <w:p w14:paraId="1F2A2729" w14:textId="4F32F331" w:rsidR="000E5FB3" w:rsidRPr="004F56D0" w:rsidRDefault="00D42505" w:rsidP="000E5FB3">
      <w:pPr>
        <w:pStyle w:val="TableFigureFooter"/>
      </w:pPr>
      <w:r>
        <w:rPr>
          <w:vertAlign w:val="superscript"/>
        </w:rPr>
        <w:t>b</w:t>
      </w:r>
      <w:r w:rsidR="000E5FB3" w:rsidRPr="00150733">
        <w:rPr>
          <w:vertAlign w:val="superscript"/>
        </w:rPr>
        <w:t xml:space="preserve"> </w:t>
      </w:r>
      <w:r w:rsidR="000E5FB3" w:rsidRPr="00150733">
        <w:t>p20 of Public Release Document, dupilumab, February 2024 DUSC meeting.</w:t>
      </w:r>
      <w:r w:rsidR="000E5FB3" w:rsidRPr="004F56D0">
        <w:t xml:space="preserve"> </w:t>
      </w:r>
    </w:p>
    <w:p w14:paraId="2F2D1727" w14:textId="3D0ED1CB" w:rsidR="000E5FB3" w:rsidRPr="004F56D0" w:rsidRDefault="000E5FB3" w:rsidP="000E5FB3">
      <w:pPr>
        <w:pStyle w:val="COMESnumberedpara"/>
      </w:pPr>
      <w:r w:rsidRPr="004F56D0">
        <w:t xml:space="preserve">The estimated use and financial implications of listing </w:t>
      </w:r>
      <w:proofErr w:type="spellStart"/>
      <w:r w:rsidRPr="004F56D0">
        <w:t>tezepelumab</w:t>
      </w:r>
      <w:proofErr w:type="spellEnd"/>
      <w:r w:rsidRPr="004F56D0">
        <w:t xml:space="preserve"> for non-eosinophilic and non-allergic SUA are presented in </w:t>
      </w:r>
      <w:r w:rsidRPr="004F56D0">
        <w:fldChar w:fldCharType="begin"/>
      </w:r>
      <w:r w:rsidRPr="004F56D0">
        <w:instrText xml:space="preserve"> REF _Ref104805295 \h </w:instrText>
      </w:r>
      <w:r>
        <w:instrText xml:space="preserve"> \* MERGEFORMAT </w:instrText>
      </w:r>
      <w:r w:rsidRPr="004F56D0">
        <w:fldChar w:fldCharType="separate"/>
      </w:r>
      <w:r w:rsidR="0078760A" w:rsidRPr="0078760A">
        <w:t>Table 21</w:t>
      </w:r>
      <w:r w:rsidRPr="004F56D0">
        <w:fldChar w:fldCharType="end"/>
      </w:r>
      <w:r w:rsidRPr="004F56D0">
        <w:t xml:space="preserve">. </w:t>
      </w:r>
    </w:p>
    <w:p w14:paraId="6FDE030A" w14:textId="6DAD1593" w:rsidR="000E5FB3" w:rsidRPr="004F56D0" w:rsidRDefault="000E5FB3" w:rsidP="00476D05">
      <w:pPr>
        <w:pStyle w:val="TableFigureHeading"/>
        <w:keepLines/>
        <w:rPr>
          <w:szCs w:val="18"/>
        </w:rPr>
      </w:pPr>
      <w:bookmarkStart w:id="115" w:name="_Ref104805295"/>
      <w:r w:rsidRPr="004F56D0">
        <w:rPr>
          <w:szCs w:val="18"/>
        </w:rPr>
        <w:t xml:space="preserve">Table </w:t>
      </w:r>
      <w:r w:rsidRPr="004F56D0">
        <w:rPr>
          <w:szCs w:val="18"/>
        </w:rPr>
        <w:fldChar w:fldCharType="begin"/>
      </w:r>
      <w:r w:rsidRPr="004F56D0">
        <w:rPr>
          <w:szCs w:val="18"/>
        </w:rPr>
        <w:instrText xml:space="preserve"> SEQ Table \* ARABIC </w:instrText>
      </w:r>
      <w:r w:rsidRPr="004F56D0">
        <w:rPr>
          <w:szCs w:val="18"/>
        </w:rPr>
        <w:fldChar w:fldCharType="separate"/>
      </w:r>
      <w:r w:rsidR="0078760A">
        <w:rPr>
          <w:noProof/>
          <w:szCs w:val="18"/>
        </w:rPr>
        <w:t>21</w:t>
      </w:r>
      <w:r w:rsidRPr="004F56D0">
        <w:rPr>
          <w:noProof/>
          <w:szCs w:val="18"/>
        </w:rPr>
        <w:fldChar w:fldCharType="end"/>
      </w:r>
      <w:bookmarkEnd w:id="115"/>
      <w:r w:rsidRPr="004F56D0">
        <w:rPr>
          <w:szCs w:val="18"/>
        </w:rPr>
        <w:t>:</w:t>
      </w:r>
      <w:r w:rsidRPr="004F56D0">
        <w:t xml:space="preserve"> </w:t>
      </w:r>
      <w:bookmarkStart w:id="116" w:name="_Hlk206325936"/>
      <w:r w:rsidRPr="004F56D0">
        <w:t>Estimated use and financial implications (non-eosinophilic and non-allergic SUA).</w:t>
      </w:r>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use and financial implications (non-eosinophilic and non-allergic SUA)."/>
      </w:tblPr>
      <w:tblGrid>
        <w:gridCol w:w="2405"/>
        <w:gridCol w:w="1102"/>
        <w:gridCol w:w="1102"/>
        <w:gridCol w:w="1102"/>
        <w:gridCol w:w="1102"/>
        <w:gridCol w:w="1102"/>
        <w:gridCol w:w="1102"/>
      </w:tblGrid>
      <w:tr w:rsidR="000E5FB3" w:rsidRPr="004F56D0" w14:paraId="3A2DFFBA" w14:textId="77777777" w:rsidTr="000343C1">
        <w:trPr>
          <w:tblHeader/>
        </w:trPr>
        <w:tc>
          <w:tcPr>
            <w:tcW w:w="1334" w:type="pct"/>
            <w:vAlign w:val="center"/>
          </w:tcPr>
          <w:p w14:paraId="3327889A" w14:textId="77777777" w:rsidR="000E5FB3" w:rsidRPr="004F56D0" w:rsidRDefault="000E5FB3" w:rsidP="00476D05">
            <w:pPr>
              <w:keepNext/>
              <w:keepLines/>
              <w:widowControl w:val="0"/>
              <w:jc w:val="center"/>
              <w:rPr>
                <w:rFonts w:ascii="Arial Narrow" w:eastAsiaTheme="majorEastAsia" w:hAnsi="Arial Narrow" w:cs="Times New Roman"/>
                <w:b/>
                <w:sz w:val="20"/>
              </w:rPr>
            </w:pPr>
          </w:p>
        </w:tc>
        <w:tc>
          <w:tcPr>
            <w:tcW w:w="611" w:type="pct"/>
            <w:vAlign w:val="center"/>
          </w:tcPr>
          <w:p w14:paraId="0EB03A10" w14:textId="77777777" w:rsidR="000E5FB3" w:rsidRPr="004F56D0" w:rsidRDefault="000E5FB3" w:rsidP="00476D05">
            <w:pPr>
              <w:keepNext/>
              <w:keepLines/>
              <w:widowControl w:val="0"/>
              <w:jc w:val="center"/>
              <w:rPr>
                <w:rFonts w:ascii="Arial Narrow" w:eastAsiaTheme="majorEastAsia" w:hAnsi="Arial Narrow" w:cs="Times New Roman"/>
                <w:b/>
                <w:sz w:val="20"/>
              </w:rPr>
            </w:pPr>
            <w:r w:rsidRPr="004F56D0">
              <w:rPr>
                <w:rFonts w:ascii="Arial Narrow" w:eastAsiaTheme="majorEastAsia" w:hAnsi="Arial Narrow" w:cs="Times New Roman"/>
                <w:b/>
                <w:sz w:val="20"/>
              </w:rPr>
              <w:t>Year 1</w:t>
            </w:r>
          </w:p>
        </w:tc>
        <w:tc>
          <w:tcPr>
            <w:tcW w:w="611" w:type="pct"/>
            <w:vAlign w:val="center"/>
          </w:tcPr>
          <w:p w14:paraId="19B0418B" w14:textId="77777777" w:rsidR="000E5FB3" w:rsidRPr="004F56D0" w:rsidRDefault="000E5FB3" w:rsidP="00476D05">
            <w:pPr>
              <w:keepNext/>
              <w:keepLines/>
              <w:widowControl w:val="0"/>
              <w:jc w:val="center"/>
              <w:rPr>
                <w:rFonts w:ascii="Arial Narrow" w:eastAsiaTheme="majorEastAsia" w:hAnsi="Arial Narrow" w:cs="Times New Roman"/>
                <w:b/>
                <w:sz w:val="20"/>
              </w:rPr>
            </w:pPr>
            <w:r w:rsidRPr="004F56D0">
              <w:rPr>
                <w:rFonts w:ascii="Arial Narrow" w:eastAsiaTheme="majorEastAsia" w:hAnsi="Arial Narrow" w:cs="Times New Roman"/>
                <w:b/>
                <w:sz w:val="20"/>
              </w:rPr>
              <w:t>Year 2</w:t>
            </w:r>
          </w:p>
        </w:tc>
        <w:tc>
          <w:tcPr>
            <w:tcW w:w="611" w:type="pct"/>
            <w:vAlign w:val="center"/>
          </w:tcPr>
          <w:p w14:paraId="19CF4126" w14:textId="77777777" w:rsidR="000E5FB3" w:rsidRPr="004F56D0" w:rsidRDefault="000E5FB3" w:rsidP="00476D05">
            <w:pPr>
              <w:keepNext/>
              <w:keepLines/>
              <w:widowControl w:val="0"/>
              <w:jc w:val="center"/>
              <w:rPr>
                <w:rFonts w:ascii="Arial Narrow" w:eastAsiaTheme="majorEastAsia" w:hAnsi="Arial Narrow" w:cs="Times New Roman"/>
                <w:b/>
                <w:sz w:val="20"/>
              </w:rPr>
            </w:pPr>
            <w:r w:rsidRPr="004F56D0">
              <w:rPr>
                <w:rFonts w:ascii="Arial Narrow" w:eastAsiaTheme="majorEastAsia" w:hAnsi="Arial Narrow" w:cs="Times New Roman"/>
                <w:b/>
                <w:sz w:val="20"/>
              </w:rPr>
              <w:t>Year 3</w:t>
            </w:r>
          </w:p>
        </w:tc>
        <w:tc>
          <w:tcPr>
            <w:tcW w:w="611" w:type="pct"/>
            <w:vAlign w:val="center"/>
          </w:tcPr>
          <w:p w14:paraId="3F030581" w14:textId="77777777" w:rsidR="000E5FB3" w:rsidRPr="004F56D0" w:rsidRDefault="000E5FB3" w:rsidP="00476D05">
            <w:pPr>
              <w:keepNext/>
              <w:keepLines/>
              <w:widowControl w:val="0"/>
              <w:jc w:val="center"/>
              <w:rPr>
                <w:rFonts w:ascii="Arial Narrow" w:eastAsiaTheme="majorEastAsia" w:hAnsi="Arial Narrow" w:cs="Times New Roman"/>
                <w:b/>
                <w:sz w:val="20"/>
              </w:rPr>
            </w:pPr>
            <w:r w:rsidRPr="004F56D0">
              <w:rPr>
                <w:rFonts w:ascii="Arial Narrow" w:eastAsiaTheme="majorEastAsia" w:hAnsi="Arial Narrow" w:cs="Times New Roman"/>
                <w:b/>
                <w:sz w:val="20"/>
              </w:rPr>
              <w:t>Year 4</w:t>
            </w:r>
          </w:p>
        </w:tc>
        <w:tc>
          <w:tcPr>
            <w:tcW w:w="611" w:type="pct"/>
            <w:vAlign w:val="center"/>
          </w:tcPr>
          <w:p w14:paraId="71F6F044" w14:textId="77777777" w:rsidR="000E5FB3" w:rsidRPr="004F56D0" w:rsidRDefault="000E5FB3" w:rsidP="00476D05">
            <w:pPr>
              <w:keepNext/>
              <w:keepLines/>
              <w:widowControl w:val="0"/>
              <w:jc w:val="center"/>
              <w:rPr>
                <w:rFonts w:ascii="Arial Narrow" w:eastAsiaTheme="majorEastAsia" w:hAnsi="Arial Narrow" w:cs="Times New Roman"/>
                <w:b/>
                <w:sz w:val="20"/>
              </w:rPr>
            </w:pPr>
            <w:r w:rsidRPr="004F56D0">
              <w:rPr>
                <w:rFonts w:ascii="Arial Narrow" w:eastAsiaTheme="majorEastAsia" w:hAnsi="Arial Narrow" w:cs="Times New Roman"/>
                <w:b/>
                <w:sz w:val="20"/>
              </w:rPr>
              <w:t>Year 5</w:t>
            </w:r>
          </w:p>
        </w:tc>
        <w:tc>
          <w:tcPr>
            <w:tcW w:w="611" w:type="pct"/>
          </w:tcPr>
          <w:p w14:paraId="296C48B5" w14:textId="77777777" w:rsidR="000E5FB3" w:rsidRPr="004F56D0" w:rsidRDefault="000E5FB3" w:rsidP="00476D05">
            <w:pPr>
              <w:keepNext/>
              <w:keepLines/>
              <w:widowControl w:val="0"/>
              <w:jc w:val="center"/>
              <w:rPr>
                <w:rFonts w:ascii="Arial Narrow" w:eastAsiaTheme="majorEastAsia" w:hAnsi="Arial Narrow" w:cs="Times New Roman"/>
                <w:b/>
                <w:sz w:val="20"/>
              </w:rPr>
            </w:pPr>
            <w:r w:rsidRPr="004F56D0">
              <w:rPr>
                <w:rFonts w:ascii="Arial Narrow" w:eastAsiaTheme="majorEastAsia" w:hAnsi="Arial Narrow" w:cs="Times New Roman"/>
                <w:b/>
                <w:sz w:val="20"/>
              </w:rPr>
              <w:t>Year 6</w:t>
            </w:r>
          </w:p>
        </w:tc>
      </w:tr>
      <w:tr w:rsidR="000E5FB3" w:rsidRPr="004F56D0" w14:paraId="66EF2EA3" w14:textId="77777777" w:rsidTr="000343C1">
        <w:tc>
          <w:tcPr>
            <w:tcW w:w="5000" w:type="pct"/>
            <w:gridSpan w:val="7"/>
            <w:vAlign w:val="center"/>
          </w:tcPr>
          <w:p w14:paraId="11B85059" w14:textId="77777777" w:rsidR="000E5FB3" w:rsidRPr="004F56D0" w:rsidRDefault="000E5FB3" w:rsidP="00476D05">
            <w:pPr>
              <w:keepNext/>
              <w:keepLines/>
              <w:widowControl w:val="0"/>
              <w:jc w:val="left"/>
              <w:rPr>
                <w:rFonts w:ascii="Arial Narrow" w:eastAsiaTheme="majorEastAsia" w:hAnsi="Arial Narrow" w:cs="Times New Roman"/>
                <w:b/>
                <w:bCs/>
                <w:color w:val="000000"/>
                <w:sz w:val="20"/>
              </w:rPr>
            </w:pPr>
            <w:r w:rsidRPr="004F56D0">
              <w:rPr>
                <w:rFonts w:ascii="Arial Narrow" w:eastAsiaTheme="majorEastAsia" w:hAnsi="Arial Narrow" w:cs="Times New Roman"/>
                <w:b/>
                <w:bCs/>
                <w:color w:val="000000"/>
                <w:sz w:val="20"/>
              </w:rPr>
              <w:t>Estimated extent of use</w:t>
            </w:r>
          </w:p>
        </w:tc>
      </w:tr>
      <w:tr w:rsidR="000E5FB3" w:rsidRPr="004F56D0" w14:paraId="5D29EAEF" w14:textId="77777777" w:rsidTr="000343C1">
        <w:tc>
          <w:tcPr>
            <w:tcW w:w="1334" w:type="pct"/>
            <w:vAlign w:val="center"/>
          </w:tcPr>
          <w:p w14:paraId="00DD07EC" w14:textId="77777777" w:rsidR="000E5FB3" w:rsidRPr="004F56D0" w:rsidRDefault="000E5FB3" w:rsidP="00476D05">
            <w:pPr>
              <w:keepNext/>
              <w:keepLines/>
              <w:widowControl w:val="0"/>
              <w:jc w:val="left"/>
              <w:rPr>
                <w:rFonts w:ascii="Times" w:eastAsiaTheme="majorEastAsia" w:hAnsi="Times" w:cstheme="majorBidi"/>
                <w:bCs/>
                <w:sz w:val="20"/>
              </w:rPr>
            </w:pPr>
            <w:r w:rsidRPr="004F56D0">
              <w:rPr>
                <w:rFonts w:ascii="Arial Narrow" w:eastAsiaTheme="majorEastAsia" w:hAnsi="Arial Narrow" w:cstheme="majorBidi"/>
                <w:bCs/>
                <w:sz w:val="20"/>
              </w:rPr>
              <w:t>Number of patients treated</w:t>
            </w:r>
          </w:p>
        </w:tc>
        <w:tc>
          <w:tcPr>
            <w:tcW w:w="611" w:type="pct"/>
          </w:tcPr>
          <w:p w14:paraId="3A85A102" w14:textId="3B557568" w:rsidR="000E5FB3" w:rsidRPr="007350CB"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7350CB">
              <w:rPr>
                <w:rFonts w:ascii="Arial Narrow" w:eastAsiaTheme="majorEastAsia" w:hAnsi="Arial Narrow" w:cstheme="majorBidi"/>
                <w:bCs/>
                <w:sz w:val="20"/>
                <w:vertAlign w:val="superscript"/>
              </w:rPr>
              <w:t>1</w:t>
            </w:r>
          </w:p>
        </w:tc>
        <w:tc>
          <w:tcPr>
            <w:tcW w:w="611" w:type="pct"/>
          </w:tcPr>
          <w:p w14:paraId="337E8D04" w14:textId="22285B12" w:rsidR="000E5FB3" w:rsidRPr="007350CB"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7350CB">
              <w:rPr>
                <w:rFonts w:ascii="Arial Narrow" w:eastAsiaTheme="majorEastAsia" w:hAnsi="Arial Narrow" w:cstheme="majorBidi"/>
                <w:bCs/>
                <w:sz w:val="20"/>
                <w:vertAlign w:val="superscript"/>
              </w:rPr>
              <w:t>1</w:t>
            </w:r>
          </w:p>
        </w:tc>
        <w:tc>
          <w:tcPr>
            <w:tcW w:w="611" w:type="pct"/>
          </w:tcPr>
          <w:p w14:paraId="18F495BE" w14:textId="3C14FBB3" w:rsidR="000E5FB3" w:rsidRPr="007350CB"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7350CB">
              <w:rPr>
                <w:rFonts w:ascii="Arial Narrow" w:eastAsiaTheme="majorEastAsia" w:hAnsi="Arial Narrow" w:cstheme="majorBidi"/>
                <w:bCs/>
                <w:sz w:val="20"/>
                <w:vertAlign w:val="superscript"/>
              </w:rPr>
              <w:t>1</w:t>
            </w:r>
          </w:p>
        </w:tc>
        <w:tc>
          <w:tcPr>
            <w:tcW w:w="611" w:type="pct"/>
          </w:tcPr>
          <w:p w14:paraId="7A2151D7" w14:textId="4CE479E5" w:rsidR="000E5FB3" w:rsidRPr="007350CB"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7350CB">
              <w:rPr>
                <w:rFonts w:ascii="Arial Narrow" w:eastAsiaTheme="majorEastAsia" w:hAnsi="Arial Narrow" w:cstheme="majorBidi"/>
                <w:bCs/>
                <w:sz w:val="20"/>
                <w:vertAlign w:val="superscript"/>
              </w:rPr>
              <w:t>1</w:t>
            </w:r>
          </w:p>
        </w:tc>
        <w:tc>
          <w:tcPr>
            <w:tcW w:w="611" w:type="pct"/>
          </w:tcPr>
          <w:p w14:paraId="6B4DB1AB" w14:textId="4DF1B419" w:rsidR="000E5FB3" w:rsidRPr="00C31D0E"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C31D0E">
              <w:rPr>
                <w:rFonts w:ascii="Arial Narrow" w:eastAsiaTheme="majorEastAsia" w:hAnsi="Arial Narrow" w:cstheme="majorBidi"/>
                <w:bCs/>
                <w:sz w:val="20"/>
                <w:vertAlign w:val="superscript"/>
              </w:rPr>
              <w:t>2</w:t>
            </w:r>
          </w:p>
        </w:tc>
        <w:tc>
          <w:tcPr>
            <w:tcW w:w="611" w:type="pct"/>
          </w:tcPr>
          <w:p w14:paraId="1EA5E409" w14:textId="56C5432A" w:rsidR="000E5FB3" w:rsidRPr="00C31D0E"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C31D0E">
              <w:rPr>
                <w:rFonts w:ascii="Arial Narrow" w:eastAsiaTheme="majorEastAsia" w:hAnsi="Arial Narrow" w:cstheme="majorBidi"/>
                <w:bCs/>
                <w:sz w:val="20"/>
                <w:vertAlign w:val="superscript"/>
              </w:rPr>
              <w:t>2</w:t>
            </w:r>
          </w:p>
        </w:tc>
      </w:tr>
      <w:tr w:rsidR="000E5FB3" w:rsidRPr="004F56D0" w14:paraId="6C502CD4" w14:textId="77777777" w:rsidTr="000343C1">
        <w:tc>
          <w:tcPr>
            <w:tcW w:w="1334" w:type="pct"/>
            <w:vAlign w:val="center"/>
          </w:tcPr>
          <w:p w14:paraId="2C26BF79" w14:textId="77777777" w:rsidR="000E5FB3" w:rsidRPr="004F56D0" w:rsidRDefault="000E5FB3" w:rsidP="00476D05">
            <w:pPr>
              <w:keepNext/>
              <w:keepLines/>
              <w:widowControl w:val="0"/>
              <w:jc w:val="left"/>
              <w:rPr>
                <w:rFonts w:ascii="Times" w:eastAsiaTheme="majorEastAsia" w:hAnsi="Times" w:cstheme="majorBidi"/>
                <w:bCs/>
                <w:sz w:val="20"/>
              </w:rPr>
            </w:pPr>
            <w:r w:rsidRPr="004F56D0">
              <w:rPr>
                <w:rFonts w:ascii="Arial Narrow" w:eastAsiaTheme="majorEastAsia" w:hAnsi="Arial Narrow" w:cstheme="majorBidi"/>
                <w:bCs/>
                <w:sz w:val="20"/>
              </w:rPr>
              <w:t>Number of scripts dispensed</w:t>
            </w:r>
            <w:r>
              <w:rPr>
                <w:rFonts w:ascii="Arial Narrow" w:eastAsiaTheme="majorEastAsia" w:hAnsi="Arial Narrow" w:cstheme="majorBidi"/>
                <w:bCs/>
                <w:sz w:val="20"/>
              </w:rPr>
              <w:t xml:space="preserve"> </w:t>
            </w:r>
            <w:r w:rsidRPr="004F56D0">
              <w:rPr>
                <w:rFonts w:ascii="Arial Narrow" w:eastAsiaTheme="majorEastAsia" w:hAnsi="Arial Narrow" w:cstheme="majorBidi"/>
                <w:bCs/>
                <w:sz w:val="20"/>
                <w:vertAlign w:val="superscript"/>
              </w:rPr>
              <w:t>a</w:t>
            </w:r>
          </w:p>
        </w:tc>
        <w:tc>
          <w:tcPr>
            <w:tcW w:w="611" w:type="pct"/>
          </w:tcPr>
          <w:p w14:paraId="658C46F8" w14:textId="0B59C00C" w:rsidR="000E5FB3" w:rsidRPr="00C31D0E"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C31D0E">
              <w:rPr>
                <w:rFonts w:ascii="Arial Narrow" w:eastAsiaTheme="majorEastAsia" w:hAnsi="Arial Narrow" w:cstheme="majorBidi"/>
                <w:bCs/>
                <w:sz w:val="20"/>
                <w:vertAlign w:val="superscript"/>
              </w:rPr>
              <w:t>2</w:t>
            </w:r>
          </w:p>
        </w:tc>
        <w:tc>
          <w:tcPr>
            <w:tcW w:w="611" w:type="pct"/>
          </w:tcPr>
          <w:p w14:paraId="518B72E8" w14:textId="0351BD1B" w:rsidR="000E5FB3" w:rsidRPr="006F0301"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6F0301">
              <w:rPr>
                <w:rFonts w:ascii="Arial Narrow" w:eastAsiaTheme="majorEastAsia" w:hAnsi="Arial Narrow" w:cstheme="majorBidi"/>
                <w:bCs/>
                <w:sz w:val="20"/>
                <w:vertAlign w:val="superscript"/>
              </w:rPr>
              <w:t>3</w:t>
            </w:r>
          </w:p>
        </w:tc>
        <w:tc>
          <w:tcPr>
            <w:tcW w:w="611" w:type="pct"/>
          </w:tcPr>
          <w:p w14:paraId="6DC40DD0" w14:textId="64B33961" w:rsidR="000E5FB3" w:rsidRPr="006F0301"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6F0301">
              <w:rPr>
                <w:rFonts w:ascii="Arial Narrow" w:eastAsiaTheme="majorEastAsia" w:hAnsi="Arial Narrow" w:cstheme="majorBidi"/>
                <w:bCs/>
                <w:sz w:val="20"/>
                <w:vertAlign w:val="superscript"/>
              </w:rPr>
              <w:t>3</w:t>
            </w:r>
          </w:p>
        </w:tc>
        <w:tc>
          <w:tcPr>
            <w:tcW w:w="611" w:type="pct"/>
          </w:tcPr>
          <w:p w14:paraId="1552D51C" w14:textId="71195F8D" w:rsidR="000E5FB3" w:rsidRPr="00386B40"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386B40">
              <w:rPr>
                <w:rFonts w:ascii="Arial Narrow" w:eastAsiaTheme="majorEastAsia" w:hAnsi="Arial Narrow" w:cstheme="majorBidi"/>
                <w:bCs/>
                <w:sz w:val="20"/>
                <w:vertAlign w:val="superscript"/>
              </w:rPr>
              <w:t>4</w:t>
            </w:r>
          </w:p>
        </w:tc>
        <w:tc>
          <w:tcPr>
            <w:tcW w:w="611" w:type="pct"/>
          </w:tcPr>
          <w:p w14:paraId="25C6400E" w14:textId="6E3E94F3" w:rsidR="000E5FB3" w:rsidRPr="00E94E9C"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E94E9C">
              <w:rPr>
                <w:rFonts w:ascii="Arial Narrow" w:eastAsiaTheme="majorEastAsia" w:hAnsi="Arial Narrow" w:cstheme="majorBidi"/>
                <w:bCs/>
                <w:sz w:val="20"/>
                <w:vertAlign w:val="superscript"/>
              </w:rPr>
              <w:t>5</w:t>
            </w:r>
          </w:p>
        </w:tc>
        <w:tc>
          <w:tcPr>
            <w:tcW w:w="611" w:type="pct"/>
          </w:tcPr>
          <w:p w14:paraId="41942B5C" w14:textId="7CFEDB6A" w:rsidR="000E5FB3" w:rsidRPr="00E94E9C" w:rsidRDefault="00B14769" w:rsidP="00476D05">
            <w:pPr>
              <w:keepNext/>
              <w:keepLines/>
              <w:widowControl w:val="0"/>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E94E9C">
              <w:rPr>
                <w:rFonts w:ascii="Arial Narrow" w:eastAsiaTheme="majorEastAsia" w:hAnsi="Arial Narrow" w:cstheme="majorBidi"/>
                <w:bCs/>
                <w:sz w:val="20"/>
                <w:vertAlign w:val="superscript"/>
              </w:rPr>
              <w:t>5</w:t>
            </w:r>
          </w:p>
        </w:tc>
      </w:tr>
      <w:tr w:rsidR="000E5FB3" w:rsidRPr="004F56D0" w14:paraId="2E16BDC0" w14:textId="77777777" w:rsidTr="000343C1">
        <w:tc>
          <w:tcPr>
            <w:tcW w:w="5000" w:type="pct"/>
            <w:gridSpan w:val="7"/>
            <w:vAlign w:val="center"/>
          </w:tcPr>
          <w:p w14:paraId="5AD4BAFF" w14:textId="77777777" w:rsidR="000E5FB3" w:rsidRPr="004F56D0" w:rsidRDefault="000E5FB3" w:rsidP="00476D05">
            <w:pPr>
              <w:keepNext/>
              <w:keepLines/>
              <w:widowControl w:val="0"/>
              <w:jc w:val="left"/>
              <w:rPr>
                <w:rFonts w:ascii="Arial Narrow" w:eastAsiaTheme="majorEastAsia" w:hAnsi="Arial Narrow" w:cs="Times New Roman"/>
                <w:b/>
                <w:sz w:val="20"/>
              </w:rPr>
            </w:pPr>
            <w:r w:rsidRPr="004F56D0">
              <w:rPr>
                <w:rFonts w:ascii="Arial Narrow" w:eastAsiaTheme="majorEastAsia" w:hAnsi="Arial Narrow" w:cs="Times New Roman"/>
                <w:b/>
                <w:sz w:val="20"/>
              </w:rPr>
              <w:t xml:space="preserve">Estimated financial implications of </w:t>
            </w:r>
            <w:proofErr w:type="spellStart"/>
            <w:r w:rsidRPr="004F56D0">
              <w:rPr>
                <w:rFonts w:ascii="Arial Narrow" w:eastAsiaTheme="majorEastAsia" w:hAnsi="Arial Narrow" w:cs="Times New Roman"/>
                <w:b/>
                <w:sz w:val="20"/>
              </w:rPr>
              <w:t>tezepelumab</w:t>
            </w:r>
            <w:proofErr w:type="spellEnd"/>
            <w:r w:rsidRPr="004F56D0">
              <w:rPr>
                <w:rFonts w:ascii="Arial Narrow" w:eastAsiaTheme="majorEastAsia" w:hAnsi="Arial Narrow" w:cs="Times New Roman"/>
                <w:b/>
                <w:sz w:val="20"/>
              </w:rPr>
              <w:t xml:space="preserve"> </w:t>
            </w:r>
          </w:p>
        </w:tc>
      </w:tr>
      <w:tr w:rsidR="000E5FB3" w:rsidRPr="004F56D0" w14:paraId="69DEB890" w14:textId="77777777" w:rsidTr="000343C1">
        <w:tc>
          <w:tcPr>
            <w:tcW w:w="1334" w:type="pct"/>
            <w:vAlign w:val="center"/>
          </w:tcPr>
          <w:p w14:paraId="397A44EB" w14:textId="77777777" w:rsidR="000E5FB3" w:rsidRPr="004F56D0" w:rsidRDefault="000E5FB3" w:rsidP="00476D05">
            <w:pPr>
              <w:keepNext/>
              <w:keepLines/>
              <w:widowControl w:val="0"/>
              <w:jc w:val="left"/>
              <w:rPr>
                <w:rFonts w:ascii="Arial Narrow" w:eastAsiaTheme="majorEastAsia" w:hAnsi="Arial Narrow" w:cstheme="majorBidi"/>
                <w:bCs/>
                <w:sz w:val="19"/>
                <w:szCs w:val="19"/>
              </w:rPr>
            </w:pPr>
            <w:r w:rsidRPr="004F56D0">
              <w:rPr>
                <w:rFonts w:ascii="Arial Narrow" w:eastAsiaTheme="majorEastAsia" w:hAnsi="Arial Narrow" w:cstheme="majorBidi"/>
                <w:bCs/>
                <w:sz w:val="19"/>
                <w:szCs w:val="19"/>
              </w:rPr>
              <w:t>Cost to PBS/RPBS less copayments</w:t>
            </w:r>
            <w:r>
              <w:rPr>
                <w:rFonts w:ascii="Arial Narrow" w:eastAsiaTheme="majorEastAsia" w:hAnsi="Arial Narrow" w:cstheme="majorBidi"/>
                <w:bCs/>
                <w:sz w:val="19"/>
                <w:szCs w:val="19"/>
              </w:rPr>
              <w:t xml:space="preserve"> </w:t>
            </w:r>
            <w:r w:rsidRPr="004F56D0">
              <w:rPr>
                <w:rFonts w:ascii="Arial Narrow" w:eastAsiaTheme="majorEastAsia" w:hAnsi="Arial Narrow" w:cstheme="majorBidi"/>
                <w:bCs/>
                <w:sz w:val="19"/>
                <w:szCs w:val="19"/>
                <w:vertAlign w:val="superscript"/>
              </w:rPr>
              <w:t>b</w:t>
            </w:r>
          </w:p>
        </w:tc>
        <w:tc>
          <w:tcPr>
            <w:tcW w:w="611" w:type="pct"/>
            <w:vAlign w:val="center"/>
          </w:tcPr>
          <w:p w14:paraId="22B2C0DE" w14:textId="6E5FEBD8" w:rsidR="000E5FB3" w:rsidRPr="00C13D15"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C13D15">
              <w:rPr>
                <w:rFonts w:ascii="Arial Narrow" w:eastAsiaTheme="majorEastAsia" w:hAnsi="Arial Narrow" w:cstheme="majorBidi"/>
                <w:bCs/>
                <w:sz w:val="20"/>
                <w:vertAlign w:val="superscript"/>
              </w:rPr>
              <w:t>6</w:t>
            </w:r>
          </w:p>
        </w:tc>
        <w:tc>
          <w:tcPr>
            <w:tcW w:w="611" w:type="pct"/>
            <w:vAlign w:val="center"/>
          </w:tcPr>
          <w:p w14:paraId="3E9DC1CA" w14:textId="0539231A" w:rsidR="000E5FB3" w:rsidRPr="00060A47"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060A47">
              <w:rPr>
                <w:rFonts w:ascii="Arial Narrow" w:eastAsiaTheme="majorEastAsia" w:hAnsi="Arial Narrow" w:cstheme="majorBidi"/>
                <w:bCs/>
                <w:sz w:val="20"/>
                <w:vertAlign w:val="superscript"/>
              </w:rPr>
              <w:t>7</w:t>
            </w:r>
          </w:p>
        </w:tc>
        <w:tc>
          <w:tcPr>
            <w:tcW w:w="611" w:type="pct"/>
            <w:vAlign w:val="center"/>
          </w:tcPr>
          <w:p w14:paraId="4520449D" w14:textId="4A307CCA" w:rsidR="000E5FB3" w:rsidRPr="00060A47"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060A47">
              <w:rPr>
                <w:rFonts w:ascii="Arial Narrow" w:eastAsiaTheme="majorEastAsia" w:hAnsi="Arial Narrow" w:cstheme="majorBidi"/>
                <w:bCs/>
                <w:sz w:val="20"/>
                <w:vertAlign w:val="superscript"/>
              </w:rPr>
              <w:t>7</w:t>
            </w:r>
          </w:p>
        </w:tc>
        <w:tc>
          <w:tcPr>
            <w:tcW w:w="611" w:type="pct"/>
            <w:vAlign w:val="center"/>
          </w:tcPr>
          <w:p w14:paraId="01F519E6" w14:textId="6F6D0195" w:rsidR="000E5FB3" w:rsidRPr="00281774"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281774">
              <w:rPr>
                <w:rFonts w:ascii="Arial Narrow" w:eastAsiaTheme="majorEastAsia" w:hAnsi="Arial Narrow" w:cstheme="majorBidi"/>
                <w:bCs/>
                <w:sz w:val="20"/>
                <w:vertAlign w:val="superscript"/>
              </w:rPr>
              <w:t>8</w:t>
            </w:r>
          </w:p>
        </w:tc>
        <w:tc>
          <w:tcPr>
            <w:tcW w:w="611" w:type="pct"/>
            <w:vAlign w:val="center"/>
          </w:tcPr>
          <w:p w14:paraId="32EF3E62" w14:textId="6B8E920E" w:rsidR="000E5FB3" w:rsidRPr="00281774"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281774">
              <w:rPr>
                <w:rFonts w:ascii="Arial Narrow" w:eastAsiaTheme="majorEastAsia" w:hAnsi="Arial Narrow" w:cstheme="majorBidi"/>
                <w:bCs/>
                <w:sz w:val="20"/>
                <w:vertAlign w:val="superscript"/>
              </w:rPr>
              <w:t>8</w:t>
            </w:r>
          </w:p>
        </w:tc>
        <w:tc>
          <w:tcPr>
            <w:tcW w:w="611" w:type="pct"/>
            <w:vAlign w:val="center"/>
          </w:tcPr>
          <w:p w14:paraId="1F39076E" w14:textId="4B89B328" w:rsidR="000E5FB3" w:rsidRPr="00AF2947"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AF2947">
              <w:rPr>
                <w:rFonts w:ascii="Arial Narrow" w:eastAsiaTheme="majorEastAsia" w:hAnsi="Arial Narrow" w:cstheme="majorBidi"/>
                <w:bCs/>
                <w:sz w:val="20"/>
                <w:vertAlign w:val="superscript"/>
              </w:rPr>
              <w:t>9</w:t>
            </w:r>
          </w:p>
        </w:tc>
      </w:tr>
      <w:tr w:rsidR="000E5FB3" w:rsidRPr="004F56D0" w14:paraId="6A09478B" w14:textId="77777777" w:rsidTr="000343C1">
        <w:tc>
          <w:tcPr>
            <w:tcW w:w="5000" w:type="pct"/>
            <w:gridSpan w:val="7"/>
            <w:vAlign w:val="center"/>
          </w:tcPr>
          <w:p w14:paraId="205B4F98" w14:textId="77777777" w:rsidR="000E5FB3" w:rsidRPr="004F56D0" w:rsidRDefault="000E5FB3" w:rsidP="00476D05">
            <w:pPr>
              <w:keepNext/>
              <w:keepLines/>
              <w:widowControl w:val="0"/>
              <w:jc w:val="left"/>
              <w:rPr>
                <w:rFonts w:ascii="Arial Narrow" w:eastAsiaTheme="majorEastAsia" w:hAnsi="Arial Narrow" w:cstheme="majorBidi"/>
                <w:b/>
                <w:sz w:val="20"/>
              </w:rPr>
            </w:pPr>
            <w:r w:rsidRPr="004F56D0">
              <w:rPr>
                <w:rFonts w:ascii="Arial Narrow" w:eastAsiaTheme="majorEastAsia" w:hAnsi="Arial Narrow" w:cstheme="majorBidi"/>
                <w:b/>
                <w:sz w:val="20"/>
              </w:rPr>
              <w:t>Estimated financial implications for standard of care</w:t>
            </w:r>
          </w:p>
        </w:tc>
      </w:tr>
      <w:tr w:rsidR="000E5FB3" w:rsidRPr="004F56D0" w14:paraId="1BE384C4" w14:textId="77777777" w:rsidTr="000343C1">
        <w:tc>
          <w:tcPr>
            <w:tcW w:w="1334" w:type="pct"/>
            <w:vAlign w:val="center"/>
          </w:tcPr>
          <w:p w14:paraId="010A8AB9" w14:textId="77777777" w:rsidR="000E5FB3" w:rsidRPr="004F56D0" w:rsidRDefault="000E5FB3" w:rsidP="00476D05">
            <w:pPr>
              <w:keepNext/>
              <w:keepLines/>
              <w:widowControl w:val="0"/>
              <w:jc w:val="left"/>
              <w:rPr>
                <w:rFonts w:ascii="Arial Narrow" w:eastAsiaTheme="majorEastAsia" w:hAnsi="Arial Narrow" w:cstheme="majorBidi"/>
                <w:bCs/>
                <w:sz w:val="19"/>
                <w:szCs w:val="19"/>
              </w:rPr>
            </w:pPr>
            <w:r w:rsidRPr="004F56D0">
              <w:rPr>
                <w:rFonts w:ascii="Arial Narrow" w:eastAsiaTheme="majorEastAsia" w:hAnsi="Arial Narrow" w:cstheme="majorBidi"/>
                <w:bCs/>
                <w:sz w:val="19"/>
                <w:szCs w:val="19"/>
              </w:rPr>
              <w:t>Cost to PBS/RPBS less copayments</w:t>
            </w:r>
          </w:p>
        </w:tc>
        <w:tc>
          <w:tcPr>
            <w:tcW w:w="611" w:type="pct"/>
            <w:vAlign w:val="center"/>
          </w:tcPr>
          <w:p w14:paraId="0C788BEA" w14:textId="77777777" w:rsidR="000E5FB3" w:rsidRPr="004F56D0" w:rsidRDefault="000E5FB3" w:rsidP="00476D05">
            <w:pPr>
              <w:keepNext/>
              <w:keepLines/>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$0</w:t>
            </w:r>
          </w:p>
        </w:tc>
        <w:tc>
          <w:tcPr>
            <w:tcW w:w="611" w:type="pct"/>
            <w:vAlign w:val="center"/>
          </w:tcPr>
          <w:p w14:paraId="079C4609" w14:textId="77777777" w:rsidR="000E5FB3" w:rsidRPr="004F56D0" w:rsidRDefault="000E5FB3" w:rsidP="00476D05">
            <w:pPr>
              <w:keepNext/>
              <w:keepLines/>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$0</w:t>
            </w:r>
          </w:p>
        </w:tc>
        <w:tc>
          <w:tcPr>
            <w:tcW w:w="611" w:type="pct"/>
            <w:vAlign w:val="center"/>
          </w:tcPr>
          <w:p w14:paraId="113784D4" w14:textId="77777777" w:rsidR="000E5FB3" w:rsidRPr="004F56D0" w:rsidRDefault="000E5FB3" w:rsidP="00476D05">
            <w:pPr>
              <w:keepNext/>
              <w:keepLines/>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$0</w:t>
            </w:r>
          </w:p>
        </w:tc>
        <w:tc>
          <w:tcPr>
            <w:tcW w:w="611" w:type="pct"/>
            <w:vAlign w:val="center"/>
          </w:tcPr>
          <w:p w14:paraId="19EF61AB" w14:textId="77777777" w:rsidR="000E5FB3" w:rsidRPr="004F56D0" w:rsidRDefault="000E5FB3" w:rsidP="00476D05">
            <w:pPr>
              <w:keepNext/>
              <w:keepLines/>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$0</w:t>
            </w:r>
          </w:p>
        </w:tc>
        <w:tc>
          <w:tcPr>
            <w:tcW w:w="611" w:type="pct"/>
            <w:vAlign w:val="center"/>
          </w:tcPr>
          <w:p w14:paraId="0F829223" w14:textId="77777777" w:rsidR="000E5FB3" w:rsidRPr="004F56D0" w:rsidRDefault="000E5FB3" w:rsidP="00476D05">
            <w:pPr>
              <w:keepNext/>
              <w:keepLines/>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$0</w:t>
            </w:r>
          </w:p>
        </w:tc>
        <w:tc>
          <w:tcPr>
            <w:tcW w:w="611" w:type="pct"/>
            <w:vAlign w:val="center"/>
          </w:tcPr>
          <w:p w14:paraId="1F2CFC9B" w14:textId="77777777" w:rsidR="000E5FB3" w:rsidRPr="004F56D0" w:rsidRDefault="000E5FB3" w:rsidP="00476D05">
            <w:pPr>
              <w:keepNext/>
              <w:keepLines/>
              <w:widowControl w:val="0"/>
              <w:jc w:val="center"/>
              <w:rPr>
                <w:rFonts w:ascii="Arial Narrow" w:eastAsiaTheme="majorEastAsia" w:hAnsi="Arial Narrow" w:cstheme="majorBidi"/>
                <w:bCs/>
                <w:sz w:val="20"/>
              </w:rPr>
            </w:pPr>
            <w:r w:rsidRPr="004F56D0">
              <w:rPr>
                <w:rFonts w:ascii="Arial Narrow" w:eastAsiaTheme="majorEastAsia" w:hAnsi="Arial Narrow" w:cstheme="majorBidi"/>
                <w:bCs/>
                <w:sz w:val="20"/>
              </w:rPr>
              <w:t>$0</w:t>
            </w:r>
          </w:p>
        </w:tc>
      </w:tr>
      <w:tr w:rsidR="000E5FB3" w:rsidRPr="004F56D0" w14:paraId="119B29AD" w14:textId="77777777" w:rsidTr="000343C1">
        <w:tc>
          <w:tcPr>
            <w:tcW w:w="5000" w:type="pct"/>
            <w:gridSpan w:val="7"/>
            <w:vAlign w:val="center"/>
          </w:tcPr>
          <w:p w14:paraId="026902C0" w14:textId="77777777" w:rsidR="000E5FB3" w:rsidRPr="004F56D0" w:rsidRDefault="000E5FB3" w:rsidP="00476D05">
            <w:pPr>
              <w:keepNext/>
              <w:keepLines/>
              <w:widowControl w:val="0"/>
              <w:jc w:val="left"/>
              <w:rPr>
                <w:rFonts w:ascii="Arial Narrow" w:eastAsiaTheme="majorEastAsia" w:hAnsi="Arial Narrow" w:cs="Times New Roman"/>
                <w:b/>
                <w:sz w:val="20"/>
              </w:rPr>
            </w:pPr>
            <w:r w:rsidRPr="004F56D0">
              <w:rPr>
                <w:rFonts w:ascii="Arial Narrow" w:eastAsiaTheme="majorEastAsia" w:hAnsi="Arial Narrow" w:cs="Times New Roman"/>
                <w:b/>
                <w:sz w:val="20"/>
              </w:rPr>
              <w:t>Net financial implications</w:t>
            </w:r>
            <w:r w:rsidRPr="004F56D0">
              <w:rPr>
                <w:rFonts w:ascii="Arial Narrow" w:eastAsiaTheme="majorEastAsia" w:hAnsi="Arial Narrow" w:cs="Times New Roman"/>
                <w:b/>
                <w:color w:val="4BACC6" w:themeColor="accent5"/>
                <w:sz w:val="20"/>
              </w:rPr>
              <w:t xml:space="preserve"> </w:t>
            </w:r>
          </w:p>
        </w:tc>
      </w:tr>
      <w:tr w:rsidR="000E5FB3" w:rsidRPr="004F56D0" w14:paraId="0599607B" w14:textId="77777777" w:rsidTr="000343C1">
        <w:tc>
          <w:tcPr>
            <w:tcW w:w="1334" w:type="pct"/>
            <w:vAlign w:val="center"/>
          </w:tcPr>
          <w:p w14:paraId="089A8A3D" w14:textId="77777777" w:rsidR="000E5FB3" w:rsidRPr="004F56D0" w:rsidRDefault="000E5FB3" w:rsidP="00476D05">
            <w:pPr>
              <w:keepNext/>
              <w:keepLines/>
              <w:widowControl w:val="0"/>
              <w:jc w:val="left"/>
              <w:rPr>
                <w:rFonts w:ascii="Arial Narrow" w:eastAsiaTheme="majorEastAsia" w:hAnsi="Arial Narrow" w:cstheme="majorBidi"/>
                <w:bCs/>
                <w:sz w:val="19"/>
                <w:szCs w:val="19"/>
              </w:rPr>
            </w:pPr>
            <w:r w:rsidRPr="004F56D0">
              <w:rPr>
                <w:rFonts w:ascii="Arial Narrow" w:eastAsiaTheme="majorEastAsia" w:hAnsi="Arial Narrow" w:cstheme="majorBidi"/>
                <w:bCs/>
                <w:sz w:val="19"/>
                <w:szCs w:val="19"/>
              </w:rPr>
              <w:t>Net cost to PBS/RPBS</w:t>
            </w:r>
          </w:p>
        </w:tc>
        <w:tc>
          <w:tcPr>
            <w:tcW w:w="611" w:type="pct"/>
          </w:tcPr>
          <w:p w14:paraId="2BB5F15C" w14:textId="416ABB24" w:rsidR="000E5FB3" w:rsidRPr="00C13D15"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C13D15">
              <w:rPr>
                <w:rFonts w:ascii="Arial Narrow" w:eastAsiaTheme="majorEastAsia" w:hAnsi="Arial Narrow" w:cstheme="majorBidi"/>
                <w:bCs/>
                <w:sz w:val="20"/>
                <w:vertAlign w:val="superscript"/>
              </w:rPr>
              <w:t>6</w:t>
            </w:r>
          </w:p>
        </w:tc>
        <w:tc>
          <w:tcPr>
            <w:tcW w:w="611" w:type="pct"/>
          </w:tcPr>
          <w:p w14:paraId="7DF9122C" w14:textId="556190B6" w:rsidR="000E5FB3" w:rsidRPr="00060A47"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060A47">
              <w:rPr>
                <w:rFonts w:ascii="Arial Narrow" w:eastAsiaTheme="majorEastAsia" w:hAnsi="Arial Narrow" w:cstheme="majorBidi"/>
                <w:bCs/>
                <w:sz w:val="20"/>
                <w:vertAlign w:val="superscript"/>
              </w:rPr>
              <w:t>7</w:t>
            </w:r>
          </w:p>
        </w:tc>
        <w:tc>
          <w:tcPr>
            <w:tcW w:w="611" w:type="pct"/>
          </w:tcPr>
          <w:p w14:paraId="573B2FEF" w14:textId="71B2B45C" w:rsidR="000E5FB3" w:rsidRPr="00060A47"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060A47">
              <w:rPr>
                <w:rFonts w:ascii="Arial Narrow" w:eastAsiaTheme="majorEastAsia" w:hAnsi="Arial Narrow" w:cstheme="majorBidi"/>
                <w:bCs/>
                <w:sz w:val="20"/>
                <w:vertAlign w:val="superscript"/>
              </w:rPr>
              <w:t>7</w:t>
            </w:r>
          </w:p>
        </w:tc>
        <w:tc>
          <w:tcPr>
            <w:tcW w:w="611" w:type="pct"/>
          </w:tcPr>
          <w:p w14:paraId="14AAD57E" w14:textId="6A121119" w:rsidR="000E5FB3" w:rsidRPr="00281774"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281774">
              <w:rPr>
                <w:rFonts w:ascii="Arial Narrow" w:eastAsiaTheme="majorEastAsia" w:hAnsi="Arial Narrow" w:cstheme="majorBidi"/>
                <w:bCs/>
                <w:sz w:val="20"/>
                <w:vertAlign w:val="superscript"/>
              </w:rPr>
              <w:t>8</w:t>
            </w:r>
          </w:p>
        </w:tc>
        <w:tc>
          <w:tcPr>
            <w:tcW w:w="611" w:type="pct"/>
          </w:tcPr>
          <w:p w14:paraId="78CD0B4D" w14:textId="39BF4424" w:rsidR="000E5FB3" w:rsidRPr="00281774"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281774">
              <w:rPr>
                <w:rFonts w:ascii="Arial Narrow" w:eastAsiaTheme="majorEastAsia" w:hAnsi="Arial Narrow" w:cstheme="majorBidi"/>
                <w:bCs/>
                <w:sz w:val="20"/>
                <w:vertAlign w:val="superscript"/>
              </w:rPr>
              <w:t>8</w:t>
            </w:r>
          </w:p>
        </w:tc>
        <w:tc>
          <w:tcPr>
            <w:tcW w:w="611" w:type="pct"/>
          </w:tcPr>
          <w:p w14:paraId="6D378294" w14:textId="6DFD77B2" w:rsidR="000E5FB3" w:rsidRPr="00AF2947" w:rsidRDefault="000E5FB3" w:rsidP="00476D05">
            <w:pPr>
              <w:keepNext/>
              <w:keepLines/>
              <w:widowControl w:val="0"/>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AF2947">
              <w:rPr>
                <w:rFonts w:ascii="Arial Narrow" w:eastAsiaTheme="majorEastAsia" w:hAnsi="Arial Narrow" w:cstheme="majorBidi"/>
                <w:bCs/>
                <w:sz w:val="20"/>
                <w:vertAlign w:val="superscript"/>
              </w:rPr>
              <w:t>9</w:t>
            </w:r>
          </w:p>
        </w:tc>
      </w:tr>
      <w:tr w:rsidR="000E5FB3" w:rsidRPr="004F56D0" w14:paraId="573C5088" w14:textId="77777777" w:rsidTr="000343C1">
        <w:tc>
          <w:tcPr>
            <w:tcW w:w="1334" w:type="pct"/>
            <w:vAlign w:val="center"/>
          </w:tcPr>
          <w:p w14:paraId="6816F3C5" w14:textId="77777777" w:rsidR="000E5FB3" w:rsidRPr="00BC7D3B" w:rsidRDefault="000E5FB3" w:rsidP="00476D05">
            <w:pPr>
              <w:keepNext/>
              <w:keepLines/>
              <w:widowControl w:val="0"/>
              <w:jc w:val="left"/>
              <w:rPr>
                <w:rFonts w:ascii="Times" w:eastAsiaTheme="majorEastAsia" w:hAnsi="Times" w:cstheme="majorBidi"/>
                <w:bCs/>
                <w:sz w:val="20"/>
              </w:rPr>
            </w:pPr>
            <w:r w:rsidRPr="00BC7D3B">
              <w:rPr>
                <w:rFonts w:ascii="Arial Narrow" w:eastAsiaTheme="majorEastAsia" w:hAnsi="Arial Narrow" w:cstheme="majorBidi"/>
                <w:bCs/>
                <w:sz w:val="19"/>
                <w:szCs w:val="19"/>
              </w:rPr>
              <w:t>Net cost to MBS/</w:t>
            </w:r>
            <w:r w:rsidRPr="00BC7D3B" w:rsidDel="00D244B6">
              <w:rPr>
                <w:rFonts w:ascii="Arial Narrow" w:eastAsiaTheme="majorEastAsia" w:hAnsi="Arial Narrow" w:cstheme="majorBidi"/>
                <w:bCs/>
                <w:sz w:val="19"/>
                <w:szCs w:val="19"/>
              </w:rPr>
              <w:t xml:space="preserve"> </w:t>
            </w:r>
            <w:r w:rsidRPr="00BC7D3B">
              <w:rPr>
                <w:rFonts w:ascii="Arial Narrow" w:eastAsiaTheme="majorEastAsia" w:hAnsi="Arial Narrow" w:cstheme="majorBidi"/>
                <w:bCs/>
                <w:sz w:val="19"/>
                <w:szCs w:val="19"/>
              </w:rPr>
              <w:t xml:space="preserve">Services </w:t>
            </w:r>
            <w:r w:rsidRPr="00BC7D3B">
              <w:rPr>
                <w:rFonts w:ascii="Arial Narrow" w:eastAsiaTheme="majorEastAsia" w:hAnsi="Arial Narrow" w:cstheme="majorBidi"/>
                <w:bCs/>
                <w:sz w:val="19"/>
                <w:szCs w:val="19"/>
                <w:vertAlign w:val="superscript"/>
              </w:rPr>
              <w:t>b</w:t>
            </w:r>
          </w:p>
        </w:tc>
        <w:tc>
          <w:tcPr>
            <w:tcW w:w="611" w:type="pct"/>
          </w:tcPr>
          <w:p w14:paraId="5392C965" w14:textId="212E0AB5" w:rsidR="000E5FB3" w:rsidRPr="00C13D15"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C13D15">
              <w:rPr>
                <w:rFonts w:ascii="Arial Narrow" w:eastAsiaTheme="majorEastAsia" w:hAnsi="Arial Narrow" w:cstheme="majorBidi"/>
                <w:bCs/>
                <w:sz w:val="20"/>
                <w:vertAlign w:val="superscript"/>
              </w:rPr>
              <w:t>6</w:t>
            </w:r>
          </w:p>
        </w:tc>
        <w:tc>
          <w:tcPr>
            <w:tcW w:w="611" w:type="pct"/>
          </w:tcPr>
          <w:p w14:paraId="4145190F" w14:textId="679A0E3A" w:rsidR="000E5FB3" w:rsidRPr="00C13D15"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C13D15">
              <w:rPr>
                <w:rFonts w:ascii="Arial Narrow" w:eastAsiaTheme="majorEastAsia" w:hAnsi="Arial Narrow" w:cstheme="majorBidi"/>
                <w:bCs/>
                <w:sz w:val="20"/>
                <w:vertAlign w:val="superscript"/>
              </w:rPr>
              <w:t>6</w:t>
            </w:r>
          </w:p>
        </w:tc>
        <w:tc>
          <w:tcPr>
            <w:tcW w:w="611" w:type="pct"/>
          </w:tcPr>
          <w:p w14:paraId="12DF2779" w14:textId="2C3F8B81" w:rsidR="000E5FB3" w:rsidRPr="00C13D15"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C13D15">
              <w:rPr>
                <w:rFonts w:ascii="Arial Narrow" w:eastAsiaTheme="majorEastAsia" w:hAnsi="Arial Narrow" w:cstheme="majorBidi"/>
                <w:bCs/>
                <w:sz w:val="20"/>
                <w:vertAlign w:val="superscript"/>
              </w:rPr>
              <w:t>6</w:t>
            </w:r>
          </w:p>
        </w:tc>
        <w:tc>
          <w:tcPr>
            <w:tcW w:w="611" w:type="pct"/>
          </w:tcPr>
          <w:p w14:paraId="15FA0A54" w14:textId="19522283" w:rsidR="000E5FB3" w:rsidRPr="00C13D15"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C13D15">
              <w:rPr>
                <w:rFonts w:ascii="Arial Narrow" w:eastAsiaTheme="majorEastAsia" w:hAnsi="Arial Narrow" w:cstheme="majorBidi"/>
                <w:bCs/>
                <w:sz w:val="20"/>
                <w:vertAlign w:val="superscript"/>
              </w:rPr>
              <w:t>6</w:t>
            </w:r>
          </w:p>
        </w:tc>
        <w:tc>
          <w:tcPr>
            <w:tcW w:w="611" w:type="pct"/>
          </w:tcPr>
          <w:p w14:paraId="346AE2ED" w14:textId="2908028D" w:rsidR="000E5FB3" w:rsidRPr="00C13D15"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C13D15">
              <w:rPr>
                <w:rFonts w:ascii="Arial Narrow" w:eastAsiaTheme="majorEastAsia" w:hAnsi="Arial Narrow" w:cstheme="majorBidi"/>
                <w:bCs/>
                <w:sz w:val="20"/>
                <w:vertAlign w:val="superscript"/>
              </w:rPr>
              <w:t>6</w:t>
            </w:r>
          </w:p>
        </w:tc>
        <w:tc>
          <w:tcPr>
            <w:tcW w:w="611" w:type="pct"/>
          </w:tcPr>
          <w:p w14:paraId="03907099" w14:textId="1DBB1786" w:rsidR="000E5FB3" w:rsidRPr="00C13D15"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C13D15">
              <w:rPr>
                <w:rFonts w:ascii="Arial Narrow" w:eastAsiaTheme="majorEastAsia" w:hAnsi="Arial Narrow" w:cstheme="majorBidi"/>
                <w:bCs/>
                <w:sz w:val="20"/>
                <w:vertAlign w:val="superscript"/>
              </w:rPr>
              <w:t>6</w:t>
            </w:r>
          </w:p>
        </w:tc>
      </w:tr>
      <w:tr w:rsidR="000E5FB3" w:rsidRPr="004F56D0" w14:paraId="06330572" w14:textId="77777777" w:rsidTr="000343C1">
        <w:tc>
          <w:tcPr>
            <w:tcW w:w="1334" w:type="pct"/>
            <w:vAlign w:val="center"/>
          </w:tcPr>
          <w:p w14:paraId="3FEA5F07" w14:textId="77777777" w:rsidR="000E5FB3" w:rsidRPr="00BC7D3B" w:rsidRDefault="000E5FB3" w:rsidP="00476D05">
            <w:pPr>
              <w:keepNext/>
              <w:keepLines/>
              <w:widowControl w:val="0"/>
              <w:jc w:val="left"/>
              <w:rPr>
                <w:rFonts w:ascii="Arial Narrow" w:eastAsiaTheme="majorEastAsia" w:hAnsi="Arial Narrow" w:cstheme="majorBidi"/>
                <w:bCs/>
                <w:sz w:val="19"/>
                <w:szCs w:val="19"/>
              </w:rPr>
            </w:pPr>
            <w:r w:rsidRPr="00BC7D3B">
              <w:rPr>
                <w:rFonts w:ascii="Arial Narrow" w:eastAsiaTheme="majorEastAsia" w:hAnsi="Arial Narrow" w:cstheme="majorBidi"/>
                <w:bCs/>
                <w:sz w:val="19"/>
                <w:szCs w:val="19"/>
              </w:rPr>
              <w:t xml:space="preserve">Net cost to PBS/RPBS/MBS </w:t>
            </w:r>
            <w:r w:rsidRPr="00BC7D3B">
              <w:rPr>
                <w:rFonts w:ascii="Arial Narrow" w:eastAsiaTheme="majorEastAsia" w:hAnsi="Arial Narrow" w:cstheme="majorBidi"/>
                <w:bCs/>
                <w:sz w:val="19"/>
                <w:szCs w:val="19"/>
                <w:vertAlign w:val="superscript"/>
              </w:rPr>
              <w:t>b</w:t>
            </w:r>
          </w:p>
        </w:tc>
        <w:tc>
          <w:tcPr>
            <w:tcW w:w="611" w:type="pct"/>
          </w:tcPr>
          <w:p w14:paraId="1D4C5F6B" w14:textId="78F8143F" w:rsidR="000E5FB3" w:rsidRPr="00C13D15"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C13D15">
              <w:rPr>
                <w:rFonts w:ascii="Arial Narrow" w:eastAsiaTheme="majorEastAsia" w:hAnsi="Arial Narrow" w:cstheme="majorBidi"/>
                <w:bCs/>
                <w:sz w:val="20"/>
                <w:vertAlign w:val="superscript"/>
              </w:rPr>
              <w:t>6</w:t>
            </w:r>
          </w:p>
        </w:tc>
        <w:tc>
          <w:tcPr>
            <w:tcW w:w="611" w:type="pct"/>
          </w:tcPr>
          <w:p w14:paraId="15F5577A" w14:textId="529A9B58" w:rsidR="000E5FB3" w:rsidRPr="00060A47"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060A47">
              <w:rPr>
                <w:rFonts w:ascii="Arial Narrow" w:eastAsiaTheme="majorEastAsia" w:hAnsi="Arial Narrow" w:cstheme="majorBidi"/>
                <w:bCs/>
                <w:sz w:val="20"/>
                <w:vertAlign w:val="superscript"/>
              </w:rPr>
              <w:t>7</w:t>
            </w:r>
          </w:p>
        </w:tc>
        <w:tc>
          <w:tcPr>
            <w:tcW w:w="611" w:type="pct"/>
          </w:tcPr>
          <w:p w14:paraId="0029A15D" w14:textId="79814410" w:rsidR="000E5FB3" w:rsidRPr="00060A47"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060A47">
              <w:rPr>
                <w:rFonts w:ascii="Arial Narrow" w:eastAsiaTheme="majorEastAsia" w:hAnsi="Arial Narrow" w:cstheme="majorBidi"/>
                <w:bCs/>
                <w:sz w:val="20"/>
                <w:vertAlign w:val="superscript"/>
              </w:rPr>
              <w:t>7</w:t>
            </w:r>
          </w:p>
        </w:tc>
        <w:tc>
          <w:tcPr>
            <w:tcW w:w="611" w:type="pct"/>
          </w:tcPr>
          <w:p w14:paraId="58202F8C" w14:textId="473762C2" w:rsidR="000E5FB3" w:rsidRPr="00281774"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281774">
              <w:rPr>
                <w:rFonts w:ascii="Arial Narrow" w:eastAsiaTheme="majorEastAsia" w:hAnsi="Arial Narrow" w:cstheme="majorBidi"/>
                <w:bCs/>
                <w:sz w:val="20"/>
                <w:vertAlign w:val="superscript"/>
              </w:rPr>
              <w:t>8</w:t>
            </w:r>
          </w:p>
        </w:tc>
        <w:tc>
          <w:tcPr>
            <w:tcW w:w="611" w:type="pct"/>
          </w:tcPr>
          <w:p w14:paraId="65CCE1A1" w14:textId="1FA1928C" w:rsidR="000E5FB3" w:rsidRPr="00281774"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281774">
              <w:rPr>
                <w:rFonts w:ascii="Arial Narrow" w:eastAsiaTheme="majorEastAsia" w:hAnsi="Arial Narrow" w:cstheme="majorBidi"/>
                <w:bCs/>
                <w:sz w:val="20"/>
                <w:vertAlign w:val="superscript"/>
              </w:rPr>
              <w:t>8</w:t>
            </w:r>
          </w:p>
        </w:tc>
        <w:tc>
          <w:tcPr>
            <w:tcW w:w="611" w:type="pct"/>
          </w:tcPr>
          <w:p w14:paraId="7FF8C88F" w14:textId="042E3D24" w:rsidR="000E5FB3" w:rsidRPr="00AF2947" w:rsidRDefault="000E5FB3" w:rsidP="00476D05">
            <w:pPr>
              <w:keepNext/>
              <w:keepLines/>
              <w:widowControl w:val="0"/>
              <w:jc w:val="center"/>
              <w:rPr>
                <w:rFonts w:ascii="Arial Narrow" w:eastAsiaTheme="majorEastAsia" w:hAnsi="Arial Narrow" w:cstheme="majorBidi"/>
                <w:bCs/>
                <w:sz w:val="20"/>
                <w:vertAlign w:val="superscript"/>
              </w:rPr>
            </w:pPr>
            <w:r w:rsidRPr="00BC7D3B">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AF2947">
              <w:rPr>
                <w:rFonts w:ascii="Arial Narrow" w:eastAsiaTheme="majorEastAsia" w:hAnsi="Arial Narrow" w:cstheme="majorBidi"/>
                <w:bCs/>
                <w:sz w:val="20"/>
                <w:vertAlign w:val="superscript"/>
              </w:rPr>
              <w:t>9</w:t>
            </w:r>
          </w:p>
        </w:tc>
      </w:tr>
    </w:tbl>
    <w:p w14:paraId="7D4A2191" w14:textId="77777777" w:rsidR="00CC131C" w:rsidRDefault="000E5FB3" w:rsidP="00476D05">
      <w:pPr>
        <w:pStyle w:val="TableFigureFooter"/>
        <w:keepNext/>
        <w:rPr>
          <w:i/>
          <w:szCs w:val="18"/>
        </w:rPr>
      </w:pPr>
      <w:r w:rsidRPr="004F56D0">
        <w:t xml:space="preserve">Source: Developed during the evaluation from Table 4-44, p348 of the submission; Attachment 4.3 Financial impact </w:t>
      </w:r>
      <w:proofErr w:type="spellStart"/>
      <w:r w:rsidRPr="004F56D0">
        <w:t>nonEOS_nonAllergic</w:t>
      </w:r>
      <w:proofErr w:type="spellEnd"/>
      <w:r w:rsidRPr="004F56D0">
        <w:t xml:space="preserve"> SUA </w:t>
      </w:r>
      <w:proofErr w:type="spellStart"/>
      <w:r w:rsidRPr="004F56D0">
        <w:t>teze_July</w:t>
      </w:r>
      <w:proofErr w:type="spellEnd"/>
      <w:r w:rsidRPr="004F56D0">
        <w:t xml:space="preserve"> 2025’, Sheet ‘7. Net changes - MBS’. </w:t>
      </w:r>
      <w:r w:rsidRPr="004F56D0">
        <w:br/>
        <w:t>DPMQ = dispensed price for maximum quantity; MBS= Medicare Beneficiary Services; PBS= Pharmaceutical Benefits Scheme; RPBS = Repatriation Pharmaceutical Benefits Scheme.</w:t>
      </w:r>
      <w:r w:rsidRPr="004F56D0">
        <w:br/>
      </w:r>
      <w:r w:rsidRPr="004F56D0">
        <w:rPr>
          <w:vertAlign w:val="superscript"/>
        </w:rPr>
        <w:t>a</w:t>
      </w:r>
      <w:r w:rsidRPr="004F56D0">
        <w:t xml:space="preserve"> Assuming 12.09 scripts per year as estimated by the submission: 7.44 scripts in initiators and 4.65 scripts for those continuing beyond 32 weeks.</w:t>
      </w:r>
      <w:r w:rsidRPr="004F56D0">
        <w:br/>
      </w:r>
      <w:r w:rsidRPr="004F56D0">
        <w:rPr>
          <w:vertAlign w:val="superscript"/>
        </w:rPr>
        <w:t xml:space="preserve">b </w:t>
      </w:r>
      <w:r w:rsidRPr="004F56D0">
        <w:t>Cost obtained using updated MBS item fee for MBS item 82215 and using patients as a unit of analysis as opposed to patient years (submission base case).</w:t>
      </w:r>
    </w:p>
    <w:p w14:paraId="4C1E6EA8" w14:textId="7902D8F5" w:rsidR="00CC131C" w:rsidRPr="00CC131C" w:rsidRDefault="00CC131C" w:rsidP="00476D05">
      <w:pPr>
        <w:pStyle w:val="TableFigureFooter"/>
        <w:keepNext/>
        <w:rPr>
          <w:i/>
        </w:rPr>
      </w:pPr>
      <w:r w:rsidRPr="00CC131C">
        <w:rPr>
          <w:i/>
        </w:rPr>
        <w:t xml:space="preserve">The redacted values correspond to the following ranges: </w:t>
      </w:r>
    </w:p>
    <w:p w14:paraId="4687FAC6" w14:textId="202A441B" w:rsidR="00CC131C" w:rsidRPr="00CC131C" w:rsidRDefault="00CC131C" w:rsidP="00476D05">
      <w:pPr>
        <w:pStyle w:val="TableFigureFooter"/>
        <w:keepNext/>
        <w:rPr>
          <w:i/>
        </w:rPr>
      </w:pPr>
      <w:r w:rsidRPr="00CC131C">
        <w:rPr>
          <w:i/>
          <w:vertAlign w:val="superscript"/>
        </w:rPr>
        <w:t>1</w:t>
      </w:r>
      <w:r w:rsidRPr="00CC131C">
        <w:rPr>
          <w:i/>
        </w:rPr>
        <w:t xml:space="preserve"> </w:t>
      </w:r>
      <w:bookmarkStart w:id="117" w:name="_Hlk219218691"/>
      <w:r w:rsidR="007350CB" w:rsidRPr="007350CB">
        <w:rPr>
          <w:i/>
        </w:rPr>
        <w:t>500 to &lt; 5,000</w:t>
      </w:r>
      <w:bookmarkEnd w:id="117"/>
    </w:p>
    <w:p w14:paraId="69AC4C4D" w14:textId="1023EE4F" w:rsidR="00CC131C" w:rsidRPr="00CC131C" w:rsidRDefault="00CC131C" w:rsidP="00476D05">
      <w:pPr>
        <w:pStyle w:val="TableFigureFooter"/>
        <w:keepNext/>
        <w:rPr>
          <w:i/>
        </w:rPr>
      </w:pPr>
      <w:r w:rsidRPr="00CC131C">
        <w:rPr>
          <w:i/>
          <w:vertAlign w:val="superscript"/>
        </w:rPr>
        <w:t>2</w:t>
      </w:r>
      <w:r w:rsidRPr="00CC131C">
        <w:rPr>
          <w:i/>
        </w:rPr>
        <w:t xml:space="preserve"> </w:t>
      </w:r>
      <w:bookmarkStart w:id="118" w:name="_Hlk219218988"/>
      <w:r w:rsidR="00C31D0E" w:rsidRPr="00C31D0E">
        <w:rPr>
          <w:i/>
        </w:rPr>
        <w:t>5,000 to &lt; 10,000</w:t>
      </w:r>
      <w:bookmarkEnd w:id="118"/>
    </w:p>
    <w:p w14:paraId="11F82607" w14:textId="42127B48" w:rsidR="00CC131C" w:rsidRPr="00CC131C" w:rsidRDefault="00CC131C" w:rsidP="00476D05">
      <w:pPr>
        <w:pStyle w:val="TableFigureFooter"/>
        <w:keepNext/>
        <w:rPr>
          <w:i/>
        </w:rPr>
      </w:pPr>
      <w:r w:rsidRPr="00CC131C">
        <w:rPr>
          <w:i/>
          <w:vertAlign w:val="superscript"/>
        </w:rPr>
        <w:t>3</w:t>
      </w:r>
      <w:r w:rsidRPr="00CC131C">
        <w:rPr>
          <w:i/>
        </w:rPr>
        <w:t xml:space="preserve"> </w:t>
      </w:r>
      <w:r w:rsidR="006F0301" w:rsidRPr="006F0301">
        <w:rPr>
          <w:i/>
        </w:rPr>
        <w:t>10,000 to &lt; 20,000</w:t>
      </w:r>
    </w:p>
    <w:p w14:paraId="77D79E46" w14:textId="1E2BFC77" w:rsidR="00CC131C" w:rsidRPr="00CC131C" w:rsidRDefault="00CC131C" w:rsidP="00476D05">
      <w:pPr>
        <w:pStyle w:val="TableFigureFooter"/>
        <w:keepNext/>
        <w:rPr>
          <w:i/>
        </w:rPr>
      </w:pPr>
      <w:r w:rsidRPr="00CC131C">
        <w:rPr>
          <w:i/>
          <w:vertAlign w:val="superscript"/>
        </w:rPr>
        <w:t>4</w:t>
      </w:r>
      <w:r w:rsidRPr="00CC131C">
        <w:rPr>
          <w:i/>
        </w:rPr>
        <w:t xml:space="preserve"> </w:t>
      </w:r>
      <w:bookmarkStart w:id="119" w:name="_Hlk219218941"/>
      <w:r w:rsidR="00386B40" w:rsidRPr="00386B40">
        <w:rPr>
          <w:i/>
        </w:rPr>
        <w:t>20,000 to &lt; 30,000</w:t>
      </w:r>
      <w:bookmarkEnd w:id="119"/>
    </w:p>
    <w:p w14:paraId="25DFEB6D" w14:textId="0D0EDB49" w:rsidR="00CC131C" w:rsidRPr="00CC131C" w:rsidRDefault="00CC131C" w:rsidP="00476D05">
      <w:pPr>
        <w:pStyle w:val="TableFigureFooter"/>
        <w:keepNext/>
        <w:rPr>
          <w:i/>
        </w:rPr>
      </w:pPr>
      <w:r w:rsidRPr="00CC131C">
        <w:rPr>
          <w:i/>
          <w:vertAlign w:val="superscript"/>
        </w:rPr>
        <w:t>5</w:t>
      </w:r>
      <w:r w:rsidRPr="00CC131C">
        <w:rPr>
          <w:i/>
        </w:rPr>
        <w:t xml:space="preserve"> </w:t>
      </w:r>
      <w:bookmarkStart w:id="120" w:name="_Hlk219219078"/>
      <w:r w:rsidR="00E94E9C" w:rsidRPr="00E94E9C">
        <w:rPr>
          <w:i/>
        </w:rPr>
        <w:t>30,000 to &lt; 40,000</w:t>
      </w:r>
      <w:bookmarkEnd w:id="120"/>
    </w:p>
    <w:p w14:paraId="15BE0CBE" w14:textId="77777777" w:rsidR="00C13D15" w:rsidRPr="00C13D15" w:rsidRDefault="00CC131C" w:rsidP="00476D05">
      <w:pPr>
        <w:pStyle w:val="TableFigureFooter"/>
        <w:keepNext/>
        <w:rPr>
          <w:i/>
        </w:rPr>
      </w:pPr>
      <w:r w:rsidRPr="00CC131C">
        <w:rPr>
          <w:i/>
          <w:vertAlign w:val="superscript"/>
        </w:rPr>
        <w:t>6</w:t>
      </w:r>
      <w:r w:rsidRPr="00CC131C">
        <w:rPr>
          <w:i/>
        </w:rPr>
        <w:t xml:space="preserve"> </w:t>
      </w:r>
      <w:bookmarkStart w:id="121" w:name="_Hlk219302762"/>
      <w:bookmarkStart w:id="122" w:name="_Hlk219219367"/>
      <w:r w:rsidR="00C13D15" w:rsidRPr="00C13D15">
        <w:rPr>
          <w:i/>
        </w:rPr>
        <w:t>$0 to &lt; $10 million</w:t>
      </w:r>
      <w:bookmarkEnd w:id="121"/>
    </w:p>
    <w:bookmarkEnd w:id="122"/>
    <w:p w14:paraId="4B970173" w14:textId="77777777" w:rsidR="00A2580F" w:rsidRDefault="00C13D15" w:rsidP="00476D05">
      <w:pPr>
        <w:pStyle w:val="TableFigureFooter"/>
        <w:keepNext/>
        <w:rPr>
          <w:i/>
        </w:rPr>
      </w:pPr>
      <w:r>
        <w:rPr>
          <w:i/>
          <w:vertAlign w:val="superscript"/>
        </w:rPr>
        <w:t>7</w:t>
      </w:r>
      <w:r>
        <w:rPr>
          <w:i/>
        </w:rPr>
        <w:t xml:space="preserve"> </w:t>
      </w:r>
      <w:r w:rsidR="00A2580F" w:rsidRPr="00A2580F">
        <w:rPr>
          <w:i/>
        </w:rPr>
        <w:t>$10 million to &lt; $20 million</w:t>
      </w:r>
    </w:p>
    <w:p w14:paraId="61E7A59B" w14:textId="77777777" w:rsidR="00281774" w:rsidRDefault="00A2580F" w:rsidP="00476D05">
      <w:pPr>
        <w:pStyle w:val="TableFigureFooter"/>
        <w:keepNext/>
        <w:rPr>
          <w:i/>
        </w:rPr>
      </w:pPr>
      <w:r>
        <w:rPr>
          <w:i/>
          <w:vertAlign w:val="superscript"/>
        </w:rPr>
        <w:t>8</w:t>
      </w:r>
      <w:bookmarkStart w:id="123" w:name="_Hlk219219402"/>
      <w:r w:rsidR="00281774">
        <w:rPr>
          <w:i/>
          <w:vertAlign w:val="superscript"/>
        </w:rPr>
        <w:t xml:space="preserve"> </w:t>
      </w:r>
      <w:r w:rsidR="00281774" w:rsidRPr="00281774">
        <w:rPr>
          <w:i/>
        </w:rPr>
        <w:t>$20 million to &lt; $30 million</w:t>
      </w:r>
      <w:bookmarkEnd w:id="123"/>
    </w:p>
    <w:p w14:paraId="1027B047" w14:textId="3351B50E" w:rsidR="00A2580F" w:rsidRPr="00CC131C" w:rsidRDefault="00281774" w:rsidP="00476D05">
      <w:pPr>
        <w:pStyle w:val="TableFigureFooter"/>
        <w:keepNext/>
        <w:rPr>
          <w:i/>
          <w:vertAlign w:val="superscript"/>
        </w:rPr>
      </w:pPr>
      <w:r>
        <w:rPr>
          <w:i/>
          <w:vertAlign w:val="superscript"/>
        </w:rPr>
        <w:t>9</w:t>
      </w:r>
      <w:bookmarkStart w:id="124" w:name="_Hlk219219455"/>
      <w:r w:rsidR="00AF2947">
        <w:rPr>
          <w:i/>
          <w:vertAlign w:val="superscript"/>
        </w:rPr>
        <w:t xml:space="preserve"> </w:t>
      </w:r>
      <w:r w:rsidR="00AF2947" w:rsidRPr="007253DD">
        <w:rPr>
          <w:i/>
        </w:rPr>
        <w:t>$30 million to &lt; $40 million</w:t>
      </w:r>
      <w:bookmarkEnd w:id="124"/>
    </w:p>
    <w:p w14:paraId="6E64A4AD" w14:textId="2A28C592" w:rsidR="000E5FB3" w:rsidRPr="004F56D0" w:rsidRDefault="000E5FB3" w:rsidP="000E5FB3">
      <w:pPr>
        <w:pStyle w:val="TableFigureFooter"/>
      </w:pPr>
    </w:p>
    <w:p w14:paraId="260E7EE1" w14:textId="4520A80A" w:rsidR="000E5FB3" w:rsidRPr="004F56D0" w:rsidRDefault="000E5FB3" w:rsidP="000E5FB3">
      <w:pPr>
        <w:pStyle w:val="COMESnumberedpara"/>
      </w:pPr>
      <w:r w:rsidRPr="004F56D0">
        <w:t xml:space="preserve">The total cost to the PBS/RPBS of listing </w:t>
      </w:r>
      <w:proofErr w:type="spellStart"/>
      <w:r w:rsidRPr="004F56D0">
        <w:t>tezepelumab</w:t>
      </w:r>
      <w:proofErr w:type="spellEnd"/>
      <w:r w:rsidRPr="004F56D0">
        <w:t xml:space="preserve"> was estimated to be </w:t>
      </w:r>
      <w:r w:rsidR="00C73276" w:rsidRPr="00C73276">
        <w:t xml:space="preserve">$30 million to &lt; $40 </w:t>
      </w:r>
      <w:proofErr w:type="gramStart"/>
      <w:r w:rsidR="00C73276" w:rsidRPr="00C73276">
        <w:t>million</w:t>
      </w:r>
      <w:r w:rsidR="00C73276" w:rsidRPr="00C73276" w:rsidDel="00C73276">
        <w:t xml:space="preserve"> </w:t>
      </w:r>
      <w:r w:rsidR="00C73276">
        <w:t xml:space="preserve"> </w:t>
      </w:r>
      <w:r w:rsidRPr="004F56D0">
        <w:t>in</w:t>
      </w:r>
      <w:proofErr w:type="gramEnd"/>
      <w:r w:rsidRPr="004F56D0">
        <w:t xml:space="preserve"> Year 6, and a total of </w:t>
      </w:r>
      <w:r w:rsidR="00594413" w:rsidRPr="00594413">
        <w:t>$100 million to &lt; $200 million</w:t>
      </w:r>
      <w:r w:rsidRPr="004F56D0">
        <w:t xml:space="preserve"> in the first 6 years of listing</w:t>
      </w:r>
      <w:r w:rsidRPr="004F56D0">
        <w:rPr>
          <w:color w:val="3366FF"/>
        </w:rPr>
        <w:t>.</w:t>
      </w:r>
    </w:p>
    <w:p w14:paraId="1526454C" w14:textId="77777777" w:rsidR="000E5FB3" w:rsidRPr="004F56D0" w:rsidRDefault="000E5FB3" w:rsidP="000E5FB3">
      <w:pPr>
        <w:pStyle w:val="COMESnumberedpara"/>
      </w:pPr>
      <w:r w:rsidRPr="004F56D0">
        <w:t xml:space="preserve">The total cost to the Government was most sensitive to plausible variations in the proportion of difficult-to-control asthma patients on high-dose ICS/LABA, the proportion of patients who were not currently eligible for biologics based on biomarker status and expected uptake rates. </w:t>
      </w:r>
    </w:p>
    <w:p w14:paraId="783D39FD" w14:textId="3096142D" w:rsidR="000E5FB3" w:rsidRDefault="000E5FB3" w:rsidP="000E5FB3">
      <w:pPr>
        <w:pStyle w:val="COMESnumberedpara"/>
      </w:pPr>
      <w:r w:rsidRPr="004F56D0">
        <w:t>Tezepelumab is proposed to be prescribed as first-line treatment for non-eosinophilic and non-allergic SUA for patients on high-dose ICS, who currently are not eligible for PBS-listed biologics. Based on high uptake of dupilumab in a market as the 4</w:t>
      </w:r>
      <w:r w:rsidRPr="004F56D0">
        <w:rPr>
          <w:vertAlign w:val="superscript"/>
        </w:rPr>
        <w:t>th</w:t>
      </w:r>
      <w:r w:rsidRPr="004F56D0">
        <w:t xml:space="preserve"> biologic for the eosinophilic/allergic subgroup, the uptake of </w:t>
      </w:r>
      <w:proofErr w:type="spellStart"/>
      <w:r w:rsidRPr="004F56D0">
        <w:t>tezepelumab</w:t>
      </w:r>
      <w:proofErr w:type="spellEnd"/>
      <w:r w:rsidRPr="004F56D0">
        <w:t xml:space="preserve"> as the first biologic for this population would likely be higher. Consequently, the estimates of total financial implications to the PBS/RPBS may be higher than estimated in the submission. </w:t>
      </w:r>
    </w:p>
    <w:p w14:paraId="7CD011AA" w14:textId="77777777" w:rsidR="00BE50B3" w:rsidRPr="00BE50B3" w:rsidRDefault="00BE50B3" w:rsidP="00BE50B3">
      <w:pPr>
        <w:pStyle w:val="COMESnumberedpara"/>
      </w:pPr>
      <w:r w:rsidRPr="00BE50B3">
        <w:t>DUSC considers the estimates presented in the submission to be potentially highly underestimated for the</w:t>
      </w:r>
      <w:r>
        <w:t xml:space="preserve"> </w:t>
      </w:r>
      <w:r w:rsidRPr="00BE50B3">
        <w:t>non-eosinophilic and non-allergic SUA population. The main issues are:</w:t>
      </w:r>
    </w:p>
    <w:p w14:paraId="5542A550" w14:textId="77777777" w:rsidR="00BE50B3" w:rsidRPr="002B7636" w:rsidRDefault="00BE50B3" w:rsidP="00CE57AF">
      <w:pPr>
        <w:pStyle w:val="ListParagraph"/>
        <w:numPr>
          <w:ilvl w:val="0"/>
          <w:numId w:val="4"/>
        </w:numPr>
        <w:ind w:left="1134"/>
        <w:jc w:val="both"/>
      </w:pPr>
      <w:r w:rsidRPr="002B7636">
        <w:t xml:space="preserve">DUSC considered the first in class uptake rate for the non-eosinophilic and non-allergic SUA population to be underestimated, particularly in the first few years. </w:t>
      </w:r>
      <w:r w:rsidRPr="00F276A0">
        <w:t xml:space="preserve">Based on high uptake of dupilumab in a market as the 4th biologic for the eosinophilic or allergic subgroup, the uptake of </w:t>
      </w:r>
      <w:proofErr w:type="spellStart"/>
      <w:r w:rsidRPr="00F276A0">
        <w:t>tezepelumab</w:t>
      </w:r>
      <w:proofErr w:type="spellEnd"/>
      <w:r w:rsidRPr="00F276A0">
        <w:t xml:space="preserve"> as the first biologic for this population would likely be higher.</w:t>
      </w:r>
      <w:r w:rsidRPr="00DF58F7">
        <w:t xml:space="preserve"> </w:t>
      </w:r>
      <w:r w:rsidRPr="002B7636">
        <w:t xml:space="preserve">  </w:t>
      </w:r>
    </w:p>
    <w:p w14:paraId="644D923B" w14:textId="593898C2" w:rsidR="00D220A1" w:rsidRPr="00715238" w:rsidRDefault="00BE50B3" w:rsidP="009F3FB3">
      <w:pPr>
        <w:pStyle w:val="ListParagraph"/>
        <w:numPr>
          <w:ilvl w:val="0"/>
          <w:numId w:val="4"/>
        </w:numPr>
        <w:ind w:left="1134"/>
        <w:jc w:val="both"/>
      </w:pPr>
      <w:r w:rsidRPr="002B7636">
        <w:t xml:space="preserve">DUSC noted the </w:t>
      </w:r>
      <w:r w:rsidRPr="00BE50B3">
        <w:t>prevalence of</w:t>
      </w:r>
      <w:r w:rsidR="002C596A">
        <w:t xml:space="preserve"> difficult to treat</w:t>
      </w:r>
      <w:r w:rsidR="00606F1B">
        <w:t>/control asthma</w:t>
      </w:r>
      <w:r w:rsidRPr="00BE50B3">
        <w:t xml:space="preserve"> was likely underestimated and there was potential for leakage due to the low bar to qualify for treatment. </w:t>
      </w:r>
      <w:r w:rsidR="00B8151B">
        <w:t>The pre-PBAC response argued that the D</w:t>
      </w:r>
      <w:r w:rsidR="00945D78">
        <w:t xml:space="preserve">avis et al. (2024) study remained the most reliable and current source for Australia. </w:t>
      </w:r>
      <w:r w:rsidR="00843D4E">
        <w:t xml:space="preserve">The pre-PBAC response </w:t>
      </w:r>
      <w:r w:rsidR="00945D78">
        <w:t xml:space="preserve">also </w:t>
      </w:r>
      <w:r w:rsidR="00895B99">
        <w:t xml:space="preserve">did not agree that the proposed PBS restriction for non-eosinophilic/non-allergic SUA patients </w:t>
      </w:r>
      <w:r w:rsidR="00247D0C">
        <w:t xml:space="preserve">- aligned with exiting biologic access criteria – constituted a “low bar”. </w:t>
      </w:r>
      <w:r w:rsidR="006B2147">
        <w:t xml:space="preserve">The pre-PBAC response argued that in practice </w:t>
      </w:r>
      <w:r w:rsidR="008B43EF">
        <w:t>current SUA restrictions are highl</w:t>
      </w:r>
      <w:r w:rsidR="00F0272C">
        <w:t>y</w:t>
      </w:r>
      <w:r w:rsidR="008B43EF">
        <w:t xml:space="preserve"> stringent with stakeholders </w:t>
      </w:r>
      <w:r w:rsidR="00AC1458">
        <w:t>having previously sought to reduce their complexity with limited success.</w:t>
      </w:r>
      <w:r w:rsidR="004B54C9">
        <w:rPr>
          <w:rStyle w:val="FootnoteReference"/>
        </w:rPr>
        <w:footnoteReference w:id="12"/>
      </w:r>
      <w:r w:rsidR="00602ABC">
        <w:t xml:space="preserve"> </w:t>
      </w:r>
    </w:p>
    <w:p w14:paraId="5FE6A6C1" w14:textId="77777777" w:rsidR="000E5FB3" w:rsidRPr="004F56D0" w:rsidRDefault="000E5FB3" w:rsidP="000E5FB3">
      <w:pPr>
        <w:keepNext/>
        <w:keepLines/>
        <w:spacing w:before="40"/>
        <w:outlineLvl w:val="2"/>
        <w:rPr>
          <w:rFonts w:asciiTheme="minorHAnsi" w:eastAsiaTheme="majorEastAsia" w:hAnsiTheme="minorHAnsi" w:cstheme="majorBidi"/>
          <w:b/>
          <w:color w:val="000000" w:themeColor="text1"/>
        </w:rPr>
      </w:pPr>
      <w:bookmarkStart w:id="125" w:name="_Toc206426974"/>
      <w:bookmarkStart w:id="126" w:name="_Toc206428385"/>
      <w:r w:rsidRPr="004F56D0">
        <w:rPr>
          <w:rFonts w:asciiTheme="minorHAnsi" w:eastAsiaTheme="majorEastAsia" w:hAnsiTheme="minorHAnsi" w:cstheme="majorBidi"/>
          <w:b/>
          <w:color w:val="000000" w:themeColor="text1"/>
        </w:rPr>
        <w:t xml:space="preserve">Eosinophilic or allergic </w:t>
      </w:r>
      <w:bookmarkEnd w:id="125"/>
      <w:bookmarkEnd w:id="126"/>
      <w:r w:rsidRPr="004F56D0">
        <w:rPr>
          <w:rFonts w:asciiTheme="minorHAnsi" w:eastAsiaTheme="majorEastAsia" w:hAnsiTheme="minorHAnsi" w:cstheme="majorBidi"/>
          <w:b/>
          <w:color w:val="000000" w:themeColor="text1"/>
        </w:rPr>
        <w:t>SUA</w:t>
      </w:r>
    </w:p>
    <w:p w14:paraId="2E982018" w14:textId="156B8EF5" w:rsidR="000E5FB3" w:rsidRPr="004F56D0" w:rsidRDefault="000E5FB3" w:rsidP="000E5FB3">
      <w:pPr>
        <w:pStyle w:val="COMESnumberedpara"/>
      </w:pPr>
      <w:r w:rsidRPr="004F56D0">
        <w:t xml:space="preserve">A market share approach was used for the eosinophilic or allergic SUA population. </w:t>
      </w:r>
      <w:r w:rsidR="008B0A04">
        <w:t>The evaluation considered this</w:t>
      </w:r>
      <w:r w:rsidRPr="004F56D0">
        <w:rPr>
          <w:i/>
          <w:iCs/>
        </w:rPr>
        <w:t xml:space="preserve"> </w:t>
      </w:r>
      <w:r w:rsidRPr="008B0A04">
        <w:t>was reasonable.</w:t>
      </w:r>
      <w:r w:rsidRPr="004F56D0">
        <w:rPr>
          <w:i/>
          <w:iCs/>
        </w:rPr>
        <w:t xml:space="preserve"> </w:t>
      </w:r>
    </w:p>
    <w:p w14:paraId="32542BDF" w14:textId="564C1060" w:rsidR="00F0196F" w:rsidRPr="004F56D0" w:rsidRDefault="000E5FB3" w:rsidP="00ED0B2A">
      <w:pPr>
        <w:pStyle w:val="COMESnumberedpara"/>
      </w:pPr>
      <w:r w:rsidRPr="004F56D0">
        <w:fldChar w:fldCharType="begin"/>
      </w:r>
      <w:r w:rsidRPr="004F56D0">
        <w:instrText xml:space="preserve"> REF _Ref206331942 \h  \* MERGEFORMAT </w:instrText>
      </w:r>
      <w:r w:rsidRPr="004F56D0">
        <w:fldChar w:fldCharType="separate"/>
      </w:r>
      <w:r w:rsidR="0078760A" w:rsidRPr="0078760A">
        <w:t>Table 22</w:t>
      </w:r>
      <w:r w:rsidRPr="004F56D0">
        <w:fldChar w:fldCharType="end"/>
      </w:r>
      <w:r w:rsidRPr="004F56D0">
        <w:t xml:space="preserve"> presents the key inputs used for the financial estimates.</w:t>
      </w:r>
    </w:p>
    <w:p w14:paraId="21925DBE" w14:textId="0FF5493C" w:rsidR="000E5FB3" w:rsidRPr="004F56D0" w:rsidRDefault="000E5FB3" w:rsidP="000E5FB3">
      <w:pPr>
        <w:pStyle w:val="TableFigureHeading"/>
      </w:pPr>
      <w:bookmarkStart w:id="127" w:name="_Ref206331942"/>
      <w:r w:rsidRPr="004F56D0">
        <w:rPr>
          <w:szCs w:val="18"/>
        </w:rPr>
        <w:t xml:space="preserve">Table </w:t>
      </w:r>
      <w:r w:rsidRPr="004F56D0">
        <w:rPr>
          <w:szCs w:val="18"/>
        </w:rPr>
        <w:fldChar w:fldCharType="begin"/>
      </w:r>
      <w:r w:rsidRPr="004F56D0">
        <w:rPr>
          <w:szCs w:val="18"/>
        </w:rPr>
        <w:instrText xml:space="preserve"> SEQ Table \* ARABIC </w:instrText>
      </w:r>
      <w:r w:rsidRPr="004F56D0">
        <w:rPr>
          <w:szCs w:val="18"/>
        </w:rPr>
        <w:fldChar w:fldCharType="separate"/>
      </w:r>
      <w:r w:rsidR="0078760A">
        <w:rPr>
          <w:noProof/>
          <w:szCs w:val="18"/>
        </w:rPr>
        <w:t>22</w:t>
      </w:r>
      <w:r w:rsidRPr="004F56D0">
        <w:rPr>
          <w:noProof/>
          <w:szCs w:val="18"/>
        </w:rPr>
        <w:fldChar w:fldCharType="end"/>
      </w:r>
      <w:bookmarkEnd w:id="127"/>
      <w:r w:rsidRPr="004F56D0">
        <w:rPr>
          <w:szCs w:val="18"/>
        </w:rPr>
        <w:t>:</w:t>
      </w:r>
      <w:r w:rsidRPr="004F56D0">
        <w:t xml:space="preserve"> Key inputs for financial estimates (eosinophilic or allergic SUA)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Key inputs for financial estimates (eosinophilic or allergic SUA)"/>
      </w:tblPr>
      <w:tblGrid>
        <w:gridCol w:w="1696"/>
        <w:gridCol w:w="426"/>
        <w:gridCol w:w="2976"/>
        <w:gridCol w:w="1134"/>
        <w:gridCol w:w="2948"/>
      </w:tblGrid>
      <w:tr w:rsidR="000E5FB3" w:rsidRPr="004F56D0" w14:paraId="79C8D418" w14:textId="77777777" w:rsidTr="1EBF75D8">
        <w:trPr>
          <w:tblHeader/>
        </w:trPr>
        <w:tc>
          <w:tcPr>
            <w:tcW w:w="1696" w:type="dxa"/>
          </w:tcPr>
          <w:p w14:paraId="07230038" w14:textId="77777777" w:rsidR="000E5FB3" w:rsidRPr="004F56D0" w:rsidRDefault="000E5FB3" w:rsidP="000343C1">
            <w:pPr>
              <w:keepLines/>
              <w:jc w:val="center"/>
              <w:rPr>
                <w:rFonts w:ascii="Arial Narrow" w:eastAsiaTheme="majorEastAsia" w:hAnsi="Arial Narrow" w:cs="Times New Roman"/>
                <w:b/>
                <w:sz w:val="20"/>
              </w:rPr>
            </w:pPr>
            <w:r w:rsidRPr="004F56D0">
              <w:rPr>
                <w:rFonts w:ascii="Arial Narrow" w:eastAsiaTheme="majorEastAsia" w:hAnsi="Arial Narrow" w:cs="Times New Roman"/>
                <w:b/>
                <w:sz w:val="20"/>
              </w:rPr>
              <w:t>Data</w:t>
            </w:r>
          </w:p>
        </w:tc>
        <w:tc>
          <w:tcPr>
            <w:tcW w:w="3402" w:type="dxa"/>
            <w:gridSpan w:val="2"/>
          </w:tcPr>
          <w:p w14:paraId="64CC0EAD" w14:textId="77777777" w:rsidR="000E5FB3" w:rsidRPr="004F56D0" w:rsidRDefault="000E5FB3" w:rsidP="000343C1">
            <w:pPr>
              <w:keepLines/>
              <w:jc w:val="center"/>
              <w:rPr>
                <w:rFonts w:ascii="Arial Narrow" w:eastAsiaTheme="majorEastAsia" w:hAnsi="Arial Narrow" w:cs="Times New Roman"/>
                <w:b/>
                <w:sz w:val="20"/>
              </w:rPr>
            </w:pPr>
            <w:r w:rsidRPr="004F56D0">
              <w:rPr>
                <w:rFonts w:ascii="Arial Narrow" w:eastAsiaTheme="majorEastAsia" w:hAnsi="Arial Narrow" w:cs="Times New Roman"/>
                <w:b/>
                <w:sz w:val="20"/>
              </w:rPr>
              <w:t>Value</w:t>
            </w:r>
          </w:p>
        </w:tc>
        <w:tc>
          <w:tcPr>
            <w:tcW w:w="4082" w:type="dxa"/>
            <w:gridSpan w:val="2"/>
          </w:tcPr>
          <w:p w14:paraId="035BF4BE" w14:textId="77777777" w:rsidR="000E5FB3" w:rsidRPr="004F56D0" w:rsidRDefault="000E5FB3" w:rsidP="000343C1">
            <w:pPr>
              <w:keepLines/>
              <w:jc w:val="center"/>
              <w:rPr>
                <w:rFonts w:ascii="Arial Narrow" w:eastAsiaTheme="majorEastAsia" w:hAnsi="Arial Narrow" w:cs="Times New Roman"/>
                <w:b/>
                <w:sz w:val="20"/>
              </w:rPr>
            </w:pPr>
            <w:r w:rsidRPr="004F56D0">
              <w:rPr>
                <w:rFonts w:ascii="Arial Narrow" w:eastAsiaTheme="majorEastAsia" w:hAnsi="Arial Narrow" w:cs="Times New Roman"/>
                <w:b/>
                <w:sz w:val="20"/>
              </w:rPr>
              <w:t>Source and comment</w:t>
            </w:r>
          </w:p>
        </w:tc>
      </w:tr>
      <w:tr w:rsidR="000E5FB3" w:rsidRPr="004F56D0" w14:paraId="73229C46" w14:textId="77777777" w:rsidTr="1EBF75D8">
        <w:tc>
          <w:tcPr>
            <w:tcW w:w="9180" w:type="dxa"/>
            <w:gridSpan w:val="5"/>
          </w:tcPr>
          <w:p w14:paraId="287D89F7" w14:textId="77777777" w:rsidR="000E5FB3" w:rsidRPr="004F56D0" w:rsidRDefault="000E5FB3" w:rsidP="000343C1">
            <w:pPr>
              <w:keepLines/>
              <w:jc w:val="left"/>
              <w:rPr>
                <w:rFonts w:ascii="Arial Narrow" w:eastAsiaTheme="majorEastAsia" w:hAnsi="Arial Narrow" w:cstheme="majorBidi"/>
                <w:b/>
                <w:bCs/>
                <w:sz w:val="20"/>
              </w:rPr>
            </w:pPr>
            <w:r w:rsidRPr="004F56D0">
              <w:rPr>
                <w:rFonts w:ascii="Arial Narrow" w:eastAsiaTheme="majorEastAsia" w:hAnsi="Arial Narrow" w:cstheme="majorBidi"/>
                <w:b/>
                <w:bCs/>
                <w:sz w:val="20"/>
              </w:rPr>
              <w:t>Market growth</w:t>
            </w:r>
          </w:p>
        </w:tc>
      </w:tr>
      <w:tr w:rsidR="000E5FB3" w:rsidRPr="004F56D0" w14:paraId="3A165A6F" w14:textId="77777777" w:rsidTr="1EBF75D8">
        <w:tc>
          <w:tcPr>
            <w:tcW w:w="1696" w:type="dxa"/>
          </w:tcPr>
          <w:p w14:paraId="11D21794"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Annual market growth (patient years of treatment)</w:t>
            </w:r>
          </w:p>
        </w:tc>
        <w:tc>
          <w:tcPr>
            <w:tcW w:w="3402" w:type="dxa"/>
            <w:gridSpan w:val="2"/>
          </w:tcPr>
          <w:p w14:paraId="43DF3CD7"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Assumed a growth in the market of 1,414 patient years of treatment each year across Year 1 to Year 6.</w:t>
            </w:r>
          </w:p>
          <w:p w14:paraId="662DE729"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Assumed no additional market growth due to </w:t>
            </w:r>
            <w:proofErr w:type="spellStart"/>
            <w:r w:rsidRPr="004F56D0">
              <w:rPr>
                <w:rFonts w:ascii="Arial Narrow" w:eastAsiaTheme="majorEastAsia" w:hAnsi="Arial Narrow" w:cstheme="majorBidi"/>
                <w:bCs/>
                <w:sz w:val="20"/>
              </w:rPr>
              <w:t>tezepelumab</w:t>
            </w:r>
            <w:proofErr w:type="spellEnd"/>
            <w:r w:rsidRPr="004F56D0">
              <w:rPr>
                <w:rFonts w:ascii="Arial Narrow" w:eastAsiaTheme="majorEastAsia" w:hAnsi="Arial Narrow" w:cstheme="majorBidi"/>
                <w:bCs/>
                <w:sz w:val="20"/>
              </w:rPr>
              <w:t xml:space="preserve"> listing</w:t>
            </w:r>
          </w:p>
        </w:tc>
        <w:tc>
          <w:tcPr>
            <w:tcW w:w="4082" w:type="dxa"/>
            <w:gridSpan w:val="2"/>
          </w:tcPr>
          <w:p w14:paraId="0A09EEAF" w14:textId="5AC27C00"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Continued linear market growth assumed over the analysis period based on PBS item statistics from 2020-2024. </w:t>
            </w:r>
            <w:r w:rsidR="00113792" w:rsidRPr="00113792">
              <w:rPr>
                <w:rFonts w:ascii="Arial Narrow" w:eastAsia="Arial Narrow" w:hAnsi="Arial Narrow" w:cs="Arial Narrow"/>
                <w:sz w:val="20"/>
                <w:szCs w:val="20"/>
              </w:rPr>
              <w:t xml:space="preserve">DUSC considered this assumption was underestimated given the likelihood </w:t>
            </w:r>
            <w:proofErr w:type="spellStart"/>
            <w:r w:rsidR="00113792" w:rsidRPr="00113792">
              <w:rPr>
                <w:rFonts w:ascii="Arial Narrow" w:eastAsia="Arial Narrow" w:hAnsi="Arial Narrow" w:cs="Arial Narrow"/>
                <w:sz w:val="20"/>
                <w:szCs w:val="20"/>
              </w:rPr>
              <w:t>tezepelumab</w:t>
            </w:r>
            <w:proofErr w:type="spellEnd"/>
            <w:r w:rsidR="00113792" w:rsidRPr="00113792">
              <w:rPr>
                <w:rFonts w:ascii="Arial Narrow" w:eastAsia="Arial Narrow" w:hAnsi="Arial Narrow" w:cs="Arial Narrow"/>
                <w:sz w:val="20"/>
                <w:szCs w:val="20"/>
              </w:rPr>
              <w:t xml:space="preserve"> </w:t>
            </w:r>
            <w:r w:rsidR="00113792" w:rsidRPr="00637721">
              <w:rPr>
                <w:rFonts w:ascii="Arial Narrow" w:eastAsia="Arial Narrow" w:hAnsi="Arial Narrow" w:cs="Arial Narrow"/>
                <w:sz w:val="20"/>
                <w:szCs w:val="20"/>
              </w:rPr>
              <w:t>will</w:t>
            </w:r>
            <w:r w:rsidR="00113792" w:rsidRPr="00113792">
              <w:rPr>
                <w:rFonts w:ascii="Arial Narrow" w:eastAsia="Arial Narrow" w:hAnsi="Arial Narrow" w:cs="Arial Narrow"/>
                <w:sz w:val="20"/>
                <w:szCs w:val="20"/>
              </w:rPr>
              <w:t xml:space="preserve"> grow the market. DUSC commented this was due to the monthly dosing advantage over dupilumab’s fortnightly dosing, the different mode of action, and </w:t>
            </w:r>
            <w:r w:rsidR="00113792" w:rsidRPr="00113792">
              <w:rPr>
                <w:rFonts w:ascii="Arial Narrow" w:eastAsia="Arial Narrow" w:hAnsi="Arial Narrow" w:cs="Arial Narrow"/>
                <w:sz w:val="20"/>
                <w:szCs w:val="20"/>
                <w:lang w:val="en-US"/>
              </w:rPr>
              <w:t>patients’ total time on biologic therapy for SUA would likely be extended.</w:t>
            </w:r>
          </w:p>
        </w:tc>
      </w:tr>
      <w:tr w:rsidR="000E5FB3" w:rsidRPr="004F56D0" w14:paraId="3454A7E1" w14:textId="77777777" w:rsidTr="1EBF75D8">
        <w:tc>
          <w:tcPr>
            <w:tcW w:w="1696" w:type="dxa"/>
            <w:vAlign w:val="center"/>
          </w:tcPr>
          <w:p w14:paraId="06982A45"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Base year to source historical PBS utilisation data </w:t>
            </w:r>
          </w:p>
        </w:tc>
        <w:tc>
          <w:tcPr>
            <w:tcW w:w="3402" w:type="dxa"/>
            <w:gridSpan w:val="2"/>
            <w:vAlign w:val="center"/>
          </w:tcPr>
          <w:p w14:paraId="169A59A8" w14:textId="77777777" w:rsidR="000E5FB3" w:rsidRPr="004F56D0" w:rsidRDefault="000E5FB3" w:rsidP="000343C1">
            <w:pPr>
              <w:keepLines/>
              <w:jc w:val="center"/>
              <w:rPr>
                <w:rFonts w:ascii="Arial Narrow" w:eastAsiaTheme="majorEastAsia" w:hAnsi="Arial Narrow" w:cstheme="majorBidi"/>
                <w:bCs/>
                <w:sz w:val="20"/>
              </w:rPr>
            </w:pPr>
            <w:r w:rsidRPr="004F56D0">
              <w:rPr>
                <w:rFonts w:ascii="Arial Narrow" w:eastAsiaTheme="majorEastAsia" w:hAnsi="Arial Narrow" w:cstheme="majorBidi"/>
                <w:bCs/>
                <w:sz w:val="20"/>
              </w:rPr>
              <w:t>2020-2024</w:t>
            </w:r>
          </w:p>
        </w:tc>
        <w:tc>
          <w:tcPr>
            <w:tcW w:w="4082" w:type="dxa"/>
            <w:gridSpan w:val="2"/>
            <w:vAlign w:val="center"/>
          </w:tcPr>
          <w:p w14:paraId="3A6E4B89" w14:textId="112DBF8F" w:rsidR="000E5FB3" w:rsidRPr="004F56D0" w:rsidRDefault="000E5FB3" w:rsidP="000343C1">
            <w:pPr>
              <w:keepNext/>
              <w:keepLines/>
              <w:jc w:val="left"/>
              <w:rPr>
                <w:rFonts w:ascii="Arial Narrow" w:eastAsiaTheme="majorEastAsia" w:hAnsi="Arial Narrow" w:cstheme="majorBidi"/>
                <w:bCs/>
                <w:i/>
                <w:iCs/>
                <w:sz w:val="20"/>
              </w:rPr>
            </w:pPr>
            <w:r w:rsidRPr="004F56D0">
              <w:rPr>
                <w:rFonts w:ascii="Arial Narrow" w:eastAsiaTheme="majorEastAsia" w:hAnsi="Arial Narrow" w:cstheme="majorBidi"/>
                <w:bCs/>
                <w:sz w:val="20"/>
              </w:rPr>
              <w:t>PBS item statistics. The submission used utilisation data from 2020-2024 and applied the annual market growth rates and displacement rates of comparator drugs to estimate the predicted utilisation for the first 6 years of listing (2026-2031</w:t>
            </w:r>
            <w:r w:rsidRPr="004F56D0">
              <w:rPr>
                <w:rFonts w:ascii="Arial Narrow" w:eastAsiaTheme="majorEastAsia" w:hAnsi="Arial Narrow" w:cstheme="majorBidi"/>
                <w:bCs/>
                <w:i/>
                <w:sz w:val="20"/>
              </w:rPr>
              <w:t xml:space="preserve">). </w:t>
            </w:r>
            <w:r w:rsidR="006B6AE6">
              <w:rPr>
                <w:rFonts w:ascii="Arial Narrow" w:eastAsiaTheme="majorEastAsia" w:hAnsi="Arial Narrow" w:cstheme="majorBidi"/>
                <w:bCs/>
                <w:iCs/>
                <w:sz w:val="20"/>
              </w:rPr>
              <w:t>DUSC considered t</w:t>
            </w:r>
            <w:r w:rsidRPr="006B6AE6">
              <w:rPr>
                <w:rFonts w:ascii="Arial Narrow" w:eastAsiaTheme="majorEastAsia" w:hAnsi="Arial Narrow" w:cstheme="majorBidi"/>
                <w:sz w:val="20"/>
              </w:rPr>
              <w:t>his was reasonable.</w:t>
            </w:r>
          </w:p>
        </w:tc>
      </w:tr>
      <w:tr w:rsidR="000E5FB3" w:rsidRPr="004F56D0" w14:paraId="6E7E4676" w14:textId="77777777" w:rsidTr="1EBF75D8">
        <w:tc>
          <w:tcPr>
            <w:tcW w:w="1696" w:type="dxa"/>
            <w:vAlign w:val="center"/>
          </w:tcPr>
          <w:p w14:paraId="2EB925CD"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Market growth rates for comparator drugs</w:t>
            </w:r>
          </w:p>
        </w:tc>
        <w:tc>
          <w:tcPr>
            <w:tcW w:w="3402" w:type="dxa"/>
            <w:gridSpan w:val="2"/>
            <w:vAlign w:val="center"/>
          </w:tcPr>
          <w:p w14:paraId="0FEBF2C1"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Dupilumab: 21.3% in Yr 1 to 7.7% in Yr 6.</w:t>
            </w:r>
            <w:r w:rsidRPr="004F56D0">
              <w:rPr>
                <w:rFonts w:ascii="Arial Narrow" w:eastAsiaTheme="majorEastAsia" w:hAnsi="Arial Narrow" w:cstheme="majorBidi"/>
                <w:bCs/>
                <w:sz w:val="20"/>
              </w:rPr>
              <w:br/>
            </w:r>
            <w:proofErr w:type="spellStart"/>
            <w:r w:rsidRPr="004F56D0">
              <w:rPr>
                <w:rFonts w:ascii="Arial Narrow" w:eastAsiaTheme="majorEastAsia" w:hAnsi="Arial Narrow" w:cstheme="majorBidi"/>
                <w:bCs/>
                <w:sz w:val="20"/>
              </w:rPr>
              <w:t>Benralizumab</w:t>
            </w:r>
            <w:proofErr w:type="spellEnd"/>
            <w:r w:rsidRPr="004F56D0">
              <w:rPr>
                <w:rFonts w:ascii="Arial Narrow" w:eastAsiaTheme="majorEastAsia" w:hAnsi="Arial Narrow" w:cstheme="majorBidi"/>
                <w:bCs/>
                <w:sz w:val="20"/>
              </w:rPr>
              <w:t>: 8.5% in Yr 1 to 7.7% in Yr 6.</w:t>
            </w:r>
          </w:p>
          <w:p w14:paraId="69CCA250"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Mepolizumab: 8.5% in Yr 1 to 7.7% in Yr 6.</w:t>
            </w:r>
            <w:r w:rsidRPr="004F56D0">
              <w:rPr>
                <w:rFonts w:ascii="Arial Narrow" w:eastAsiaTheme="majorEastAsia" w:hAnsi="Arial Narrow" w:cstheme="majorBidi"/>
                <w:bCs/>
                <w:sz w:val="20"/>
              </w:rPr>
              <w:br/>
              <w:t>Omalizumab: 8.5% in Yr 1 to 7.7% in Yr 6.</w:t>
            </w:r>
          </w:p>
        </w:tc>
        <w:tc>
          <w:tcPr>
            <w:tcW w:w="4082" w:type="dxa"/>
            <w:gridSpan w:val="2"/>
            <w:vAlign w:val="center"/>
          </w:tcPr>
          <w:p w14:paraId="2A6E8F5A" w14:textId="0113C066" w:rsidR="000E5FB3" w:rsidRPr="006B6AE6" w:rsidRDefault="000E5FB3" w:rsidP="000343C1">
            <w:pPr>
              <w:keepLines/>
              <w:jc w:val="left"/>
              <w:rPr>
                <w:rFonts w:ascii="Arial Narrow" w:eastAsiaTheme="majorEastAsia" w:hAnsi="Arial Narrow" w:cstheme="majorBidi"/>
                <w:sz w:val="20"/>
              </w:rPr>
            </w:pPr>
            <w:r w:rsidRPr="004F56D0">
              <w:rPr>
                <w:rFonts w:ascii="Arial Narrow" w:eastAsiaTheme="majorEastAsia" w:hAnsi="Arial Narrow" w:cstheme="majorBidi"/>
                <w:bCs/>
                <w:sz w:val="20"/>
              </w:rPr>
              <w:t xml:space="preserve">Assumption by submission. </w:t>
            </w:r>
            <w:r w:rsidR="001B64FC" w:rsidRPr="00210B14">
              <w:rPr>
                <w:rFonts w:ascii="Arial Narrow" w:eastAsia="Arial Narrow" w:hAnsi="Arial Narrow" w:cs="Arial Narrow"/>
                <w:sz w:val="20"/>
                <w:szCs w:val="20"/>
              </w:rPr>
              <w:t>DUSC considered this assumption to be reasonable and noted dupilumab would likely reach 35% based on prior trends</w:t>
            </w:r>
            <w:r w:rsidR="007921D0" w:rsidRPr="00210B14">
              <w:rPr>
                <w:rFonts w:ascii="Arial Narrow" w:eastAsia="Arial Narrow" w:hAnsi="Arial Narrow" w:cs="Arial Narrow"/>
                <w:sz w:val="20"/>
                <w:szCs w:val="20"/>
              </w:rPr>
              <w:t>.</w:t>
            </w:r>
            <w:r w:rsidR="001B64FC">
              <w:rPr>
                <w:rFonts w:ascii="Arial Narrow" w:eastAsia="Arial Narrow" w:hAnsi="Arial Narrow" w:cs="Arial Narrow"/>
                <w:i/>
                <w:iCs/>
                <w:sz w:val="20"/>
                <w:szCs w:val="20"/>
              </w:rPr>
              <w:t xml:space="preserve"> </w:t>
            </w:r>
          </w:p>
        </w:tc>
      </w:tr>
      <w:tr w:rsidR="000E5FB3" w:rsidRPr="004F56D0" w14:paraId="34367900" w14:textId="77777777" w:rsidTr="1EBF75D8">
        <w:tc>
          <w:tcPr>
            <w:tcW w:w="9180" w:type="dxa"/>
            <w:gridSpan w:val="5"/>
          </w:tcPr>
          <w:p w14:paraId="7D6203BE" w14:textId="77777777" w:rsidR="000E5FB3" w:rsidRPr="004F56D0" w:rsidRDefault="000E5FB3" w:rsidP="000343C1">
            <w:pPr>
              <w:keepLines/>
              <w:jc w:val="left"/>
              <w:rPr>
                <w:rFonts w:ascii="Arial Narrow" w:eastAsiaTheme="majorEastAsia" w:hAnsi="Arial Narrow" w:cstheme="majorBidi"/>
                <w:b/>
                <w:i/>
                <w:iCs/>
                <w:sz w:val="20"/>
              </w:rPr>
            </w:pPr>
            <w:r w:rsidRPr="004F56D0">
              <w:rPr>
                <w:rFonts w:ascii="Arial Narrow" w:eastAsiaTheme="majorEastAsia" w:hAnsi="Arial Narrow" w:cstheme="majorBidi"/>
                <w:b/>
                <w:sz w:val="20"/>
              </w:rPr>
              <w:t>Uptake/displacement rate</w:t>
            </w:r>
          </w:p>
        </w:tc>
      </w:tr>
      <w:tr w:rsidR="000E5FB3" w:rsidRPr="004F56D0" w14:paraId="45AEE7DD" w14:textId="77777777" w:rsidTr="1EBF75D8">
        <w:tc>
          <w:tcPr>
            <w:tcW w:w="1696" w:type="dxa"/>
            <w:vAlign w:val="center"/>
          </w:tcPr>
          <w:p w14:paraId="28CCBAE9"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Uptake rate of </w:t>
            </w:r>
            <w:proofErr w:type="spellStart"/>
            <w:r w:rsidRPr="004F56D0">
              <w:rPr>
                <w:rFonts w:ascii="Arial Narrow" w:eastAsiaTheme="majorEastAsia" w:hAnsi="Arial Narrow" w:cstheme="majorBidi"/>
                <w:bCs/>
                <w:sz w:val="20"/>
              </w:rPr>
              <w:t>tezepelumab</w:t>
            </w:r>
            <w:proofErr w:type="spellEnd"/>
          </w:p>
        </w:tc>
        <w:tc>
          <w:tcPr>
            <w:tcW w:w="3402" w:type="dxa"/>
            <w:gridSpan w:val="2"/>
            <w:vAlign w:val="center"/>
          </w:tcPr>
          <w:p w14:paraId="512B422D" w14:textId="442E66F3" w:rsidR="000E5FB3" w:rsidRPr="004F56D0" w:rsidRDefault="00B14769" w:rsidP="000343C1">
            <w:pPr>
              <w:keepLines/>
              <w:jc w:val="left"/>
              <w:rPr>
                <w:rFonts w:ascii="Arial Narrow" w:eastAsiaTheme="majorEastAsia" w:hAnsi="Arial Narrow" w:cstheme="majorBidi"/>
                <w:bCs/>
                <w:sz w:val="20"/>
              </w:rPr>
            </w:pPr>
            <w:r w:rsidRPr="00B14769">
              <w:rPr>
                <w:rFonts w:ascii="Arial Narrow" w:eastAsiaTheme="majorEastAsia" w:hAnsi="Arial Narrow" w:cstheme="majorBidi"/>
                <w:bCs/>
                <w:sz w:val="20"/>
                <w:highlight w:val="black"/>
              </w:rPr>
              <w:t>&amp;&amp;&amp;&amp;</w:t>
            </w:r>
            <w:r w:rsidR="000E5FB3" w:rsidRPr="004F56D0">
              <w:rPr>
                <w:rFonts w:ascii="Arial Narrow" w:eastAsiaTheme="majorEastAsia" w:hAnsi="Arial Narrow" w:cstheme="majorBidi"/>
                <w:bCs/>
                <w:sz w:val="20"/>
              </w:rPr>
              <w:t xml:space="preserve">% in Yr 1 to </w:t>
            </w:r>
            <w:r w:rsidRPr="00B14769">
              <w:rPr>
                <w:rFonts w:ascii="Arial Narrow" w:eastAsiaTheme="majorEastAsia" w:hAnsi="Arial Narrow" w:cstheme="majorBidi"/>
                <w:bCs/>
                <w:sz w:val="20"/>
                <w:highlight w:val="black"/>
              </w:rPr>
              <w:t>&amp;&amp;&amp;&amp;</w:t>
            </w:r>
            <w:r w:rsidR="000E5FB3" w:rsidRPr="004F56D0">
              <w:rPr>
                <w:rFonts w:ascii="Arial Narrow" w:eastAsiaTheme="majorEastAsia" w:hAnsi="Arial Narrow" w:cstheme="majorBidi"/>
                <w:bCs/>
                <w:sz w:val="20"/>
              </w:rPr>
              <w:t>% in Yr 6.</w:t>
            </w:r>
          </w:p>
        </w:tc>
        <w:tc>
          <w:tcPr>
            <w:tcW w:w="4082" w:type="dxa"/>
            <w:gridSpan w:val="2"/>
            <w:vAlign w:val="center"/>
          </w:tcPr>
          <w:p w14:paraId="0396A7C5" w14:textId="7FAC5E7A" w:rsidR="000E5FB3" w:rsidRPr="004F56D0" w:rsidRDefault="000E5FB3" w:rsidP="000343C1">
            <w:pPr>
              <w:keepLines/>
              <w:jc w:val="left"/>
              <w:rPr>
                <w:rFonts w:ascii="Arial Narrow" w:eastAsiaTheme="majorEastAsia" w:hAnsi="Arial Narrow" w:cstheme="majorBidi"/>
                <w:bCs/>
                <w:i/>
                <w:iCs/>
                <w:sz w:val="20"/>
              </w:rPr>
            </w:pPr>
            <w:r w:rsidRPr="004F56D0">
              <w:rPr>
                <w:rFonts w:ascii="Arial Narrow" w:eastAsiaTheme="majorEastAsia" w:hAnsi="Arial Narrow" w:cstheme="majorBidi"/>
                <w:bCs/>
                <w:sz w:val="20"/>
              </w:rPr>
              <w:t xml:space="preserve">Assumed by the submission. </w:t>
            </w:r>
            <w:r w:rsidR="000D00D6" w:rsidRPr="000D00D6">
              <w:rPr>
                <w:rFonts w:ascii="Arial Narrow" w:eastAsia="Arial Narrow" w:hAnsi="Arial Narrow" w:cs="Arial Narrow"/>
                <w:sz w:val="20"/>
                <w:szCs w:val="20"/>
              </w:rPr>
              <w:t xml:space="preserve">DUSC considered the </w:t>
            </w:r>
            <w:r w:rsidR="00B14769" w:rsidRPr="00B14769">
              <w:rPr>
                <w:rFonts w:ascii="Arial Narrow" w:eastAsia="Arial Narrow" w:hAnsi="Arial Narrow" w:cs="Arial Narrow"/>
                <w:sz w:val="20"/>
                <w:szCs w:val="20"/>
                <w:highlight w:val="black"/>
              </w:rPr>
              <w:t>&amp;&amp;&amp;&amp;</w:t>
            </w:r>
            <w:r w:rsidR="000D00D6" w:rsidRPr="000D00D6">
              <w:rPr>
                <w:rFonts w:ascii="Arial Narrow" w:eastAsia="Arial Narrow" w:hAnsi="Arial Narrow" w:cs="Arial Narrow"/>
                <w:sz w:val="20"/>
                <w:szCs w:val="20"/>
              </w:rPr>
              <w:t xml:space="preserve">% uptake rate in Yr 1 was likely underestimated, however reaching </w:t>
            </w:r>
            <w:r w:rsidR="00B14769" w:rsidRPr="00B14769">
              <w:rPr>
                <w:rFonts w:ascii="Arial Narrow" w:eastAsia="Arial Narrow" w:hAnsi="Arial Narrow" w:cs="Arial Narrow"/>
                <w:sz w:val="20"/>
                <w:szCs w:val="20"/>
                <w:highlight w:val="black"/>
              </w:rPr>
              <w:t>&amp;&amp;&amp;&amp;</w:t>
            </w:r>
            <w:r w:rsidR="000D00D6" w:rsidRPr="000D00D6">
              <w:rPr>
                <w:rFonts w:ascii="Arial Narrow" w:eastAsia="Arial Narrow" w:hAnsi="Arial Narrow" w:cs="Arial Narrow"/>
                <w:sz w:val="20"/>
                <w:szCs w:val="20"/>
              </w:rPr>
              <w:t>% by Yr 5 was reasonable.</w:t>
            </w:r>
          </w:p>
        </w:tc>
      </w:tr>
      <w:tr w:rsidR="000E5FB3" w:rsidRPr="004F56D0" w14:paraId="06995B5E" w14:textId="77777777" w:rsidTr="1EBF75D8">
        <w:tc>
          <w:tcPr>
            <w:tcW w:w="1696" w:type="dxa"/>
            <w:tcBorders>
              <w:right w:val="nil"/>
            </w:tcBorders>
          </w:tcPr>
          <w:p w14:paraId="6201E512" w14:textId="77777777" w:rsidR="000E5FB3" w:rsidRPr="004F56D0" w:rsidRDefault="000E5FB3" w:rsidP="000343C1">
            <w:pPr>
              <w:keepLines/>
              <w:jc w:val="left"/>
              <w:rPr>
                <w:rFonts w:ascii="Arial Narrow" w:eastAsiaTheme="majorEastAsia" w:hAnsi="Arial Narrow" w:cstheme="majorBidi"/>
                <w:b/>
                <w:sz w:val="20"/>
              </w:rPr>
            </w:pPr>
            <w:r w:rsidRPr="004F56D0">
              <w:rPr>
                <w:rFonts w:ascii="Arial Narrow" w:eastAsiaTheme="majorEastAsia" w:hAnsi="Arial Narrow" w:cstheme="majorBidi"/>
                <w:b/>
                <w:sz w:val="20"/>
              </w:rPr>
              <w:t>Unit equivalence</w:t>
            </w:r>
          </w:p>
        </w:tc>
        <w:tc>
          <w:tcPr>
            <w:tcW w:w="3402" w:type="dxa"/>
            <w:gridSpan w:val="2"/>
            <w:tcBorders>
              <w:left w:val="nil"/>
              <w:right w:val="nil"/>
            </w:tcBorders>
          </w:tcPr>
          <w:p w14:paraId="7DBDD0EE" w14:textId="77777777" w:rsidR="000E5FB3" w:rsidRPr="004F56D0" w:rsidRDefault="000E5FB3" w:rsidP="000343C1">
            <w:pPr>
              <w:keepLines/>
              <w:jc w:val="left"/>
              <w:rPr>
                <w:rFonts w:ascii="Arial Narrow" w:eastAsiaTheme="majorEastAsia" w:hAnsi="Arial Narrow" w:cstheme="majorBidi"/>
                <w:b/>
                <w:sz w:val="20"/>
              </w:rPr>
            </w:pPr>
          </w:p>
        </w:tc>
        <w:tc>
          <w:tcPr>
            <w:tcW w:w="1134" w:type="dxa"/>
            <w:tcBorders>
              <w:left w:val="nil"/>
              <w:right w:val="nil"/>
            </w:tcBorders>
          </w:tcPr>
          <w:p w14:paraId="76054227" w14:textId="77777777" w:rsidR="000E5FB3" w:rsidRPr="004F56D0" w:rsidRDefault="000E5FB3" w:rsidP="000343C1">
            <w:pPr>
              <w:keepLines/>
              <w:jc w:val="left"/>
              <w:rPr>
                <w:rFonts w:ascii="Arial Narrow" w:eastAsiaTheme="majorEastAsia" w:hAnsi="Arial Narrow" w:cstheme="majorBidi"/>
                <w:b/>
                <w:sz w:val="20"/>
              </w:rPr>
            </w:pPr>
          </w:p>
        </w:tc>
        <w:tc>
          <w:tcPr>
            <w:tcW w:w="2948" w:type="dxa"/>
            <w:tcBorders>
              <w:left w:val="nil"/>
            </w:tcBorders>
          </w:tcPr>
          <w:p w14:paraId="42C7D092" w14:textId="77777777" w:rsidR="000E5FB3" w:rsidRPr="004F56D0" w:rsidRDefault="000E5FB3" w:rsidP="000343C1">
            <w:pPr>
              <w:keepLines/>
              <w:jc w:val="left"/>
              <w:rPr>
                <w:rFonts w:ascii="Arial Narrow" w:eastAsiaTheme="majorEastAsia" w:hAnsi="Arial Narrow" w:cstheme="majorBidi"/>
                <w:b/>
                <w:i/>
                <w:iCs/>
                <w:sz w:val="20"/>
              </w:rPr>
            </w:pPr>
          </w:p>
        </w:tc>
      </w:tr>
      <w:tr w:rsidR="000E5FB3" w:rsidRPr="004F56D0" w14:paraId="35BC3521" w14:textId="77777777" w:rsidTr="1EBF75D8">
        <w:tc>
          <w:tcPr>
            <w:tcW w:w="1696" w:type="dxa"/>
            <w:vAlign w:val="center"/>
          </w:tcPr>
          <w:p w14:paraId="4452CEF5"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Unit equivalence</w:t>
            </w:r>
          </w:p>
        </w:tc>
        <w:tc>
          <w:tcPr>
            <w:tcW w:w="3402" w:type="dxa"/>
            <w:gridSpan w:val="2"/>
            <w:vAlign w:val="center"/>
          </w:tcPr>
          <w:p w14:paraId="37DA747B"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Dupilumab: 1:0.89 for initiating scripts, 1:1 for continuing scripts</w:t>
            </w:r>
          </w:p>
          <w:p w14:paraId="52B3669A" w14:textId="77777777" w:rsidR="000E5FB3" w:rsidRPr="004F56D0" w:rsidRDefault="000E5FB3" w:rsidP="000343C1">
            <w:pPr>
              <w:keepNext/>
              <w:keepLines/>
              <w:jc w:val="left"/>
              <w:rPr>
                <w:rFonts w:ascii="Arial Narrow" w:eastAsiaTheme="majorEastAsia" w:hAnsi="Arial Narrow" w:cstheme="majorBidi"/>
                <w:bCs/>
                <w:sz w:val="20"/>
              </w:rPr>
            </w:pPr>
            <w:proofErr w:type="spellStart"/>
            <w:r w:rsidRPr="004F56D0">
              <w:rPr>
                <w:rFonts w:ascii="Arial Narrow" w:eastAsiaTheme="majorEastAsia" w:hAnsi="Arial Narrow" w:cstheme="majorBidi"/>
                <w:bCs/>
                <w:sz w:val="20"/>
              </w:rPr>
              <w:t>Benralizumab</w:t>
            </w:r>
            <w:proofErr w:type="spellEnd"/>
            <w:r w:rsidRPr="004F56D0">
              <w:rPr>
                <w:rFonts w:ascii="Arial Narrow" w:eastAsiaTheme="majorEastAsia" w:hAnsi="Arial Narrow" w:cstheme="majorBidi"/>
                <w:bCs/>
                <w:sz w:val="20"/>
              </w:rPr>
              <w:t>: 1:1.6 for initiating scripts</w:t>
            </w:r>
          </w:p>
          <w:p w14:paraId="47740C91"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1:2 for continuing scripts</w:t>
            </w:r>
          </w:p>
          <w:p w14:paraId="4A1302B9"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Mepolizumab: 1:1</w:t>
            </w:r>
          </w:p>
          <w:p w14:paraId="565C4A33"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Omalizumab 75 mg: 1:0.26</w:t>
            </w:r>
          </w:p>
          <w:p w14:paraId="2D975BF2"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Omalizumab 150 mg: 1:1.02</w:t>
            </w:r>
          </w:p>
        </w:tc>
        <w:tc>
          <w:tcPr>
            <w:tcW w:w="4082" w:type="dxa"/>
            <w:gridSpan w:val="2"/>
            <w:vAlign w:val="center"/>
          </w:tcPr>
          <w:p w14:paraId="08E69621" w14:textId="77777777" w:rsidR="000E5FB3" w:rsidRDefault="000E5FB3">
            <w:pPr>
              <w:keepLines/>
              <w:jc w:val="left"/>
              <w:rPr>
                <w:rFonts w:ascii="Arial Narrow" w:eastAsiaTheme="majorEastAsia" w:hAnsi="Arial Narrow" w:cstheme="majorBidi"/>
                <w:bCs/>
                <w:sz w:val="20"/>
              </w:rPr>
            </w:pPr>
            <w:r w:rsidRPr="00DC394C">
              <w:rPr>
                <w:rFonts w:ascii="Arial Narrow" w:eastAsiaTheme="majorEastAsia" w:hAnsi="Arial Narrow" w:cstheme="majorBidi"/>
                <w:bCs/>
                <w:sz w:val="20"/>
              </w:rPr>
              <w:t xml:space="preserve">The </w:t>
            </w:r>
            <w:r w:rsidR="002428F5">
              <w:rPr>
                <w:rFonts w:ascii="Arial Narrow" w:eastAsiaTheme="majorEastAsia" w:hAnsi="Arial Narrow" w:cstheme="majorBidi"/>
                <w:bCs/>
                <w:sz w:val="20"/>
              </w:rPr>
              <w:t>evaluation noted the</w:t>
            </w:r>
            <w:r w:rsidRPr="00DC394C">
              <w:rPr>
                <w:rFonts w:ascii="Arial Narrow" w:eastAsiaTheme="majorEastAsia" w:hAnsi="Arial Narrow" w:cstheme="majorBidi"/>
                <w:sz w:val="20"/>
              </w:rPr>
              <w:t xml:space="preserve"> submission used the dupilumab PSD to derive an average dose of omalizumab (593 mg) that is substituted by </w:t>
            </w:r>
            <w:proofErr w:type="spellStart"/>
            <w:r w:rsidRPr="00DC394C">
              <w:rPr>
                <w:rFonts w:ascii="Arial Narrow" w:eastAsiaTheme="majorEastAsia" w:hAnsi="Arial Narrow" w:cstheme="majorBidi"/>
                <w:sz w:val="20"/>
              </w:rPr>
              <w:t>tezepelumab</w:t>
            </w:r>
            <w:proofErr w:type="spellEnd"/>
            <w:r w:rsidRPr="00DC394C">
              <w:rPr>
                <w:rFonts w:ascii="Arial Narrow" w:eastAsiaTheme="majorEastAsia" w:hAnsi="Arial Narrow" w:cstheme="majorBidi"/>
                <w:sz w:val="20"/>
              </w:rPr>
              <w:t xml:space="preserve">. This was greater than the proposed </w:t>
            </w:r>
            <w:proofErr w:type="spellStart"/>
            <w:r w:rsidRPr="00DC394C">
              <w:rPr>
                <w:rFonts w:ascii="Arial Narrow" w:eastAsiaTheme="majorEastAsia" w:hAnsi="Arial Narrow" w:cstheme="majorBidi"/>
                <w:sz w:val="20"/>
              </w:rPr>
              <w:t>equi</w:t>
            </w:r>
            <w:proofErr w:type="spellEnd"/>
            <w:r w:rsidRPr="00DC394C">
              <w:rPr>
                <w:rFonts w:ascii="Arial Narrow" w:eastAsiaTheme="majorEastAsia" w:hAnsi="Arial Narrow" w:cstheme="majorBidi"/>
                <w:sz w:val="20"/>
              </w:rPr>
              <w:t xml:space="preserve">-effective dose (398 mg). </w:t>
            </w:r>
            <w:r w:rsidR="002428F5">
              <w:rPr>
                <w:rFonts w:ascii="Arial Narrow" w:eastAsiaTheme="majorEastAsia" w:hAnsi="Arial Narrow" w:cstheme="majorBidi"/>
                <w:bCs/>
                <w:sz w:val="20"/>
              </w:rPr>
              <w:t>The evaluati</w:t>
            </w:r>
            <w:r w:rsidR="0055575D">
              <w:rPr>
                <w:rFonts w:ascii="Arial Narrow" w:eastAsiaTheme="majorEastAsia" w:hAnsi="Arial Narrow" w:cstheme="majorBidi"/>
                <w:bCs/>
                <w:sz w:val="20"/>
              </w:rPr>
              <w:t xml:space="preserve">on noted that </w:t>
            </w:r>
            <w:r w:rsidR="003451C0">
              <w:rPr>
                <w:rFonts w:ascii="Arial Narrow" w:eastAsiaTheme="majorEastAsia" w:hAnsi="Arial Narrow" w:cstheme="majorBidi"/>
                <w:bCs/>
                <w:sz w:val="20"/>
              </w:rPr>
              <w:t xml:space="preserve">correction of this input </w:t>
            </w:r>
            <w:r w:rsidR="00E867D5">
              <w:rPr>
                <w:rFonts w:ascii="Arial Narrow" w:eastAsiaTheme="majorEastAsia" w:hAnsi="Arial Narrow" w:cstheme="majorBidi"/>
                <w:bCs/>
                <w:sz w:val="20"/>
              </w:rPr>
              <w:t>i</w:t>
            </w:r>
            <w:r w:rsidRPr="00DC394C">
              <w:rPr>
                <w:rFonts w:ascii="Arial Narrow" w:eastAsiaTheme="majorEastAsia" w:hAnsi="Arial Narrow" w:cstheme="majorBidi"/>
                <w:bCs/>
                <w:sz w:val="20"/>
              </w:rPr>
              <w:t xml:space="preserve">n </w:t>
            </w:r>
            <w:r w:rsidR="003451C0">
              <w:rPr>
                <w:rFonts w:ascii="Arial Narrow" w:eastAsiaTheme="majorEastAsia" w:hAnsi="Arial Narrow" w:cstheme="majorBidi"/>
                <w:bCs/>
                <w:sz w:val="20"/>
              </w:rPr>
              <w:t>a</w:t>
            </w:r>
            <w:r w:rsidRPr="00DC394C">
              <w:rPr>
                <w:rFonts w:ascii="Arial Narrow" w:eastAsiaTheme="majorEastAsia" w:hAnsi="Arial Narrow" w:cstheme="majorBidi"/>
                <w:sz w:val="20"/>
              </w:rPr>
              <w:t xml:space="preserve"> sensitivity analysis did not significantly impact the net result.</w:t>
            </w:r>
          </w:p>
          <w:p w14:paraId="22AF2F74" w14:textId="0AFDFAFB" w:rsidR="000E5FB3" w:rsidRPr="00DC394C" w:rsidRDefault="3531B372" w:rsidP="1EBF75D8">
            <w:pPr>
              <w:keepLines/>
              <w:jc w:val="left"/>
              <w:rPr>
                <w:rFonts w:ascii="Arial Narrow" w:eastAsiaTheme="majorEastAsia" w:hAnsi="Arial Narrow" w:cstheme="majorBidi"/>
                <w:sz w:val="20"/>
                <w:szCs w:val="20"/>
              </w:rPr>
            </w:pPr>
            <w:r w:rsidRPr="1EBF75D8">
              <w:rPr>
                <w:rFonts w:ascii="Arial Narrow" w:eastAsiaTheme="majorEastAsia" w:hAnsi="Arial Narrow" w:cstheme="majorBidi"/>
                <w:sz w:val="20"/>
                <w:szCs w:val="20"/>
              </w:rPr>
              <w:t xml:space="preserve">DUSC noted the calculations in the </w:t>
            </w:r>
            <w:r w:rsidR="49E6F2E6" w:rsidRPr="1EBF75D8">
              <w:rPr>
                <w:rFonts w:ascii="Arial Narrow" w:eastAsiaTheme="majorEastAsia" w:hAnsi="Arial Narrow" w:cstheme="majorBidi"/>
                <w:sz w:val="20"/>
                <w:szCs w:val="20"/>
              </w:rPr>
              <w:t>financial model</w:t>
            </w:r>
            <w:r w:rsidRPr="1EBF75D8">
              <w:rPr>
                <w:rFonts w:ascii="Arial Narrow" w:eastAsiaTheme="majorEastAsia" w:hAnsi="Arial Narrow" w:cstheme="majorBidi"/>
                <w:sz w:val="20"/>
                <w:szCs w:val="20"/>
              </w:rPr>
              <w:t xml:space="preserve"> were done incorrectly </w:t>
            </w:r>
            <w:r w:rsidR="4AEB5DDF" w:rsidRPr="1EBF75D8">
              <w:rPr>
                <w:rFonts w:ascii="Arial Narrow" w:eastAsiaTheme="majorEastAsia" w:hAnsi="Arial Narrow" w:cstheme="majorBidi"/>
                <w:sz w:val="20"/>
                <w:szCs w:val="20"/>
              </w:rPr>
              <w:t xml:space="preserve">for </w:t>
            </w:r>
            <w:r w:rsidR="6C818F50" w:rsidRPr="1EBF75D8">
              <w:rPr>
                <w:rFonts w:ascii="Arial Narrow" w:eastAsiaTheme="majorEastAsia" w:hAnsi="Arial Narrow" w:cstheme="majorBidi"/>
                <w:sz w:val="20"/>
                <w:szCs w:val="20"/>
              </w:rPr>
              <w:t xml:space="preserve">omalizumab </w:t>
            </w:r>
            <w:r w:rsidRPr="1EBF75D8">
              <w:rPr>
                <w:rFonts w:ascii="Arial Narrow" w:eastAsiaTheme="majorEastAsia" w:hAnsi="Arial Narrow" w:cstheme="majorBidi"/>
                <w:sz w:val="20"/>
                <w:szCs w:val="20"/>
              </w:rPr>
              <w:t xml:space="preserve">and favoured </w:t>
            </w:r>
            <w:proofErr w:type="spellStart"/>
            <w:r w:rsidRPr="1EBF75D8">
              <w:rPr>
                <w:rFonts w:ascii="Arial Narrow" w:eastAsiaTheme="majorEastAsia" w:hAnsi="Arial Narrow" w:cstheme="majorBidi"/>
                <w:sz w:val="20"/>
                <w:szCs w:val="20"/>
              </w:rPr>
              <w:t>tezepelumab</w:t>
            </w:r>
            <w:proofErr w:type="spellEnd"/>
            <w:r w:rsidRPr="1EBF75D8">
              <w:rPr>
                <w:rFonts w:ascii="Arial Narrow" w:eastAsiaTheme="majorEastAsia" w:hAnsi="Arial Narrow" w:cstheme="majorBidi"/>
                <w:sz w:val="20"/>
                <w:szCs w:val="20"/>
              </w:rPr>
              <w:t xml:space="preserve">. DUSC noted that it is </w:t>
            </w:r>
            <w:r w:rsidR="1A846A88" w:rsidRPr="1EBF75D8">
              <w:rPr>
                <w:rFonts w:ascii="Arial Narrow" w:eastAsiaTheme="majorEastAsia" w:hAnsi="Arial Narrow" w:cstheme="majorBidi"/>
                <w:sz w:val="20"/>
                <w:szCs w:val="20"/>
              </w:rPr>
              <w:t>not appropriate to use the average number of Medicare s</w:t>
            </w:r>
            <w:r w:rsidR="47A4F5C7" w:rsidRPr="1EBF75D8">
              <w:rPr>
                <w:rFonts w:ascii="Arial Narrow" w:eastAsiaTheme="majorEastAsia" w:hAnsi="Arial Narrow" w:cstheme="majorBidi"/>
                <w:sz w:val="20"/>
                <w:szCs w:val="20"/>
              </w:rPr>
              <w:t xml:space="preserve">ervices and benefits and that script equivalences should be calculated based on the total amount of </w:t>
            </w:r>
            <w:r w:rsidR="1A846A88" w:rsidRPr="1EBF75D8">
              <w:rPr>
                <w:rFonts w:ascii="Arial Narrow" w:eastAsiaTheme="majorEastAsia" w:hAnsi="Arial Narrow" w:cstheme="majorBidi"/>
                <w:sz w:val="20"/>
                <w:szCs w:val="20"/>
              </w:rPr>
              <w:t xml:space="preserve">scripts </w:t>
            </w:r>
            <w:r w:rsidR="47A4F5C7" w:rsidRPr="1EBF75D8">
              <w:rPr>
                <w:rFonts w:ascii="Arial Narrow" w:eastAsiaTheme="majorEastAsia" w:hAnsi="Arial Narrow" w:cstheme="majorBidi"/>
                <w:sz w:val="20"/>
                <w:szCs w:val="20"/>
              </w:rPr>
              <w:t>required. This method would also result in a 1:1 substi</w:t>
            </w:r>
            <w:r w:rsidR="49945AFB" w:rsidRPr="1EBF75D8">
              <w:rPr>
                <w:rFonts w:ascii="Arial Narrow" w:eastAsiaTheme="majorEastAsia" w:hAnsi="Arial Narrow" w:cstheme="majorBidi"/>
                <w:sz w:val="20"/>
                <w:szCs w:val="20"/>
              </w:rPr>
              <w:t>tution rate with omalizumab which would be more appropriate</w:t>
            </w:r>
            <w:r w:rsidR="4673A800" w:rsidRPr="1EBF75D8">
              <w:rPr>
                <w:rFonts w:ascii="Arial Narrow" w:eastAsiaTheme="majorEastAsia" w:hAnsi="Arial Narrow" w:cstheme="majorBidi"/>
                <w:sz w:val="20"/>
                <w:szCs w:val="20"/>
              </w:rPr>
              <w:t xml:space="preserve">. </w:t>
            </w:r>
          </w:p>
        </w:tc>
      </w:tr>
      <w:tr w:rsidR="000E5FB3" w:rsidRPr="004F56D0" w14:paraId="18D87937" w14:textId="77777777" w:rsidTr="1EBF75D8">
        <w:tc>
          <w:tcPr>
            <w:tcW w:w="1696" w:type="dxa"/>
            <w:tcBorders>
              <w:bottom w:val="single" w:sz="4" w:space="0" w:color="auto"/>
            </w:tcBorders>
            <w:vAlign w:val="center"/>
          </w:tcPr>
          <w:p w14:paraId="104F117A"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Use in public vs. private hospital</w:t>
            </w:r>
          </w:p>
        </w:tc>
        <w:tc>
          <w:tcPr>
            <w:tcW w:w="3402" w:type="dxa"/>
            <w:gridSpan w:val="2"/>
            <w:vAlign w:val="center"/>
          </w:tcPr>
          <w:p w14:paraId="445E2AAB"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Public: 65.3%</w:t>
            </w:r>
          </w:p>
          <w:p w14:paraId="6B97C88C" w14:textId="77777777" w:rsidR="000E5FB3" w:rsidRPr="004F56D0" w:rsidRDefault="000E5FB3" w:rsidP="000343C1">
            <w:pPr>
              <w:keepNext/>
              <w:keepLines/>
              <w:jc w:val="left"/>
              <w:rPr>
                <w:rFonts w:ascii="Arial Narrow" w:eastAsiaTheme="majorEastAsia" w:hAnsi="Arial Narrow" w:cstheme="majorBidi"/>
                <w:bCs/>
                <w:i/>
                <w:iCs/>
                <w:sz w:val="20"/>
              </w:rPr>
            </w:pPr>
            <w:r w:rsidRPr="004F56D0">
              <w:rPr>
                <w:rFonts w:ascii="Arial Narrow" w:eastAsiaTheme="majorEastAsia" w:hAnsi="Arial Narrow" w:cstheme="majorBidi"/>
                <w:bCs/>
                <w:sz w:val="20"/>
              </w:rPr>
              <w:t>Private: 34.7%</w:t>
            </w:r>
          </w:p>
        </w:tc>
        <w:tc>
          <w:tcPr>
            <w:tcW w:w="4082" w:type="dxa"/>
            <w:gridSpan w:val="2"/>
            <w:vAlign w:val="center"/>
          </w:tcPr>
          <w:p w14:paraId="3E7B3CCE" w14:textId="0EF89E7A" w:rsidR="000E5FB3" w:rsidRPr="00B7729C" w:rsidRDefault="000E5FB3" w:rsidP="000343C1">
            <w:pPr>
              <w:keepNext/>
              <w:keepLines/>
              <w:jc w:val="left"/>
              <w:rPr>
                <w:rFonts w:ascii="Arial Narrow" w:eastAsiaTheme="majorEastAsia" w:hAnsi="Arial Narrow" w:cstheme="majorBidi"/>
                <w:sz w:val="20"/>
              </w:rPr>
            </w:pPr>
            <w:r w:rsidRPr="004F56D0">
              <w:rPr>
                <w:rFonts w:ascii="Arial Narrow" w:eastAsiaTheme="majorEastAsia" w:hAnsi="Arial Narrow" w:cstheme="majorBidi"/>
                <w:bCs/>
                <w:sz w:val="20"/>
              </w:rPr>
              <w:t xml:space="preserve">This split was used to estimate the service use of </w:t>
            </w:r>
            <w:proofErr w:type="spellStart"/>
            <w:r w:rsidRPr="004F56D0">
              <w:rPr>
                <w:rFonts w:ascii="Arial Narrow" w:eastAsiaTheme="majorEastAsia" w:hAnsi="Arial Narrow" w:cstheme="majorBidi"/>
                <w:bCs/>
                <w:sz w:val="20"/>
              </w:rPr>
              <w:t>tezepelumab</w:t>
            </w:r>
            <w:proofErr w:type="spellEnd"/>
            <w:r w:rsidRPr="004F56D0">
              <w:rPr>
                <w:rFonts w:ascii="Arial Narrow" w:eastAsiaTheme="majorEastAsia" w:hAnsi="Arial Narrow" w:cstheme="majorBidi"/>
                <w:bCs/>
                <w:sz w:val="20"/>
              </w:rPr>
              <w:t xml:space="preserve">. For the comparators, the submission used prices adjusted for packs dispensed using 2024 PBS/RPBS data and published DPMQs for respective item numbers. </w:t>
            </w:r>
            <w:r w:rsidRPr="00F22F38">
              <w:rPr>
                <w:rFonts w:ascii="Arial Narrow" w:eastAsiaTheme="majorEastAsia" w:hAnsi="Arial Narrow" w:cstheme="majorBidi"/>
                <w:bCs/>
                <w:sz w:val="20"/>
              </w:rPr>
              <w:t>T</w:t>
            </w:r>
            <w:r w:rsidR="0068338C">
              <w:rPr>
                <w:rFonts w:ascii="Arial Narrow" w:eastAsiaTheme="majorEastAsia" w:hAnsi="Arial Narrow" w:cstheme="majorBidi"/>
                <w:bCs/>
                <w:sz w:val="20"/>
              </w:rPr>
              <w:t>he evaluation considered t</w:t>
            </w:r>
            <w:r w:rsidRPr="00F22F38">
              <w:rPr>
                <w:rFonts w:ascii="Arial Narrow" w:eastAsiaTheme="majorEastAsia" w:hAnsi="Arial Narrow" w:cstheme="majorBidi"/>
                <w:bCs/>
                <w:sz w:val="20"/>
              </w:rPr>
              <w:t>his was reasonable.</w:t>
            </w:r>
          </w:p>
        </w:tc>
      </w:tr>
      <w:tr w:rsidR="000E5FB3" w:rsidRPr="004F56D0" w14:paraId="27C62870" w14:textId="77777777" w:rsidTr="1EBF75D8">
        <w:tc>
          <w:tcPr>
            <w:tcW w:w="9180" w:type="dxa"/>
            <w:gridSpan w:val="5"/>
          </w:tcPr>
          <w:p w14:paraId="43AEE64E" w14:textId="77777777" w:rsidR="000E5FB3" w:rsidRPr="004F56D0" w:rsidRDefault="000E5FB3" w:rsidP="000343C1">
            <w:pPr>
              <w:keepLines/>
              <w:jc w:val="left"/>
              <w:rPr>
                <w:rFonts w:ascii="Arial Narrow" w:eastAsiaTheme="majorEastAsia" w:hAnsi="Arial Narrow" w:cstheme="majorBidi"/>
                <w:b/>
                <w:bCs/>
                <w:sz w:val="20"/>
              </w:rPr>
            </w:pPr>
            <w:r w:rsidRPr="004F56D0">
              <w:rPr>
                <w:rFonts w:ascii="Arial Narrow" w:eastAsiaTheme="majorEastAsia" w:hAnsi="Arial Narrow" w:cstheme="majorBidi"/>
                <w:b/>
                <w:bCs/>
                <w:sz w:val="20"/>
              </w:rPr>
              <w:t>COSTS</w:t>
            </w:r>
          </w:p>
        </w:tc>
      </w:tr>
      <w:tr w:rsidR="000E5FB3" w:rsidRPr="004F56D0" w14:paraId="3479837B" w14:textId="77777777" w:rsidTr="1EBF75D8">
        <w:tc>
          <w:tcPr>
            <w:tcW w:w="9180" w:type="dxa"/>
            <w:gridSpan w:val="5"/>
          </w:tcPr>
          <w:p w14:paraId="780A0BF4" w14:textId="77777777" w:rsidR="000E5FB3" w:rsidRPr="004F56D0" w:rsidRDefault="000E5FB3" w:rsidP="000343C1">
            <w:pPr>
              <w:keepLines/>
              <w:jc w:val="left"/>
              <w:rPr>
                <w:rFonts w:ascii="Arial Narrow" w:eastAsiaTheme="majorEastAsia" w:hAnsi="Arial Narrow" w:cstheme="majorBidi"/>
                <w:b/>
                <w:bCs/>
                <w:sz w:val="20"/>
              </w:rPr>
            </w:pPr>
            <w:r w:rsidRPr="004F56D0">
              <w:rPr>
                <w:rFonts w:ascii="Arial Narrow" w:eastAsiaTheme="majorEastAsia" w:hAnsi="Arial Narrow" w:cstheme="majorBidi"/>
                <w:b/>
                <w:bCs/>
                <w:sz w:val="20"/>
              </w:rPr>
              <w:t>PBS costs</w:t>
            </w:r>
          </w:p>
        </w:tc>
      </w:tr>
      <w:tr w:rsidR="000E5FB3" w:rsidRPr="004F56D0" w14:paraId="37B14F26" w14:textId="77777777" w:rsidTr="1EBF75D8">
        <w:tc>
          <w:tcPr>
            <w:tcW w:w="1696" w:type="dxa"/>
            <w:tcBorders>
              <w:bottom w:val="single" w:sz="4" w:space="0" w:color="auto"/>
            </w:tcBorders>
            <w:vAlign w:val="center"/>
          </w:tcPr>
          <w:p w14:paraId="34B5D8A1" w14:textId="5CF123C9"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Tezepelumab </w:t>
            </w:r>
            <w:r w:rsidR="00164EFB">
              <w:rPr>
                <w:rFonts w:ascii="Arial Narrow" w:eastAsiaTheme="majorEastAsia" w:hAnsi="Arial Narrow" w:cstheme="majorBidi"/>
                <w:bCs/>
                <w:sz w:val="20"/>
              </w:rPr>
              <w:br/>
            </w:r>
            <w:r w:rsidRPr="004F56D0">
              <w:rPr>
                <w:rFonts w:ascii="Arial Narrow" w:eastAsiaTheme="majorEastAsia" w:hAnsi="Arial Narrow" w:cstheme="majorBidi"/>
                <w:bCs/>
                <w:sz w:val="20"/>
              </w:rPr>
              <w:t>210 mg</w:t>
            </w:r>
          </w:p>
        </w:tc>
        <w:tc>
          <w:tcPr>
            <w:tcW w:w="3402" w:type="dxa"/>
            <w:gridSpan w:val="2"/>
            <w:vAlign w:val="center"/>
          </w:tcPr>
          <w:p w14:paraId="3F447540" w14:textId="77777777" w:rsidR="000E5FB3" w:rsidRPr="004F56D0" w:rsidRDefault="000E5FB3" w:rsidP="00C5311A">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$1,688.68</w:t>
            </w:r>
          </w:p>
        </w:tc>
        <w:tc>
          <w:tcPr>
            <w:tcW w:w="4082" w:type="dxa"/>
            <w:gridSpan w:val="2"/>
            <w:vAlign w:val="center"/>
          </w:tcPr>
          <w:p w14:paraId="4052ED25"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Weighted DPMQ based on public/ private service split: $1,688.68 (=$1,671.78 x 65.3% + $1,720.45 x 34.7%).</w:t>
            </w:r>
          </w:p>
          <w:p w14:paraId="48607690"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Proposed published price.</w:t>
            </w:r>
          </w:p>
        </w:tc>
      </w:tr>
      <w:tr w:rsidR="000E5FB3" w:rsidRPr="004F56D0" w14:paraId="19E88D5F" w14:textId="77777777" w:rsidTr="1EBF75D8">
        <w:tc>
          <w:tcPr>
            <w:tcW w:w="1696" w:type="dxa"/>
            <w:tcBorders>
              <w:bottom w:val="single" w:sz="4" w:space="0" w:color="auto"/>
            </w:tcBorders>
            <w:vAlign w:val="center"/>
          </w:tcPr>
          <w:p w14:paraId="283640AB"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Dupilumab </w:t>
            </w:r>
          </w:p>
          <w:p w14:paraId="445BAE1F"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200 mg/300 mg </w:t>
            </w:r>
          </w:p>
        </w:tc>
        <w:tc>
          <w:tcPr>
            <w:tcW w:w="3402" w:type="dxa"/>
            <w:gridSpan w:val="2"/>
            <w:vAlign w:val="center"/>
          </w:tcPr>
          <w:p w14:paraId="0C33B87A" w14:textId="77777777" w:rsidR="000E5FB3" w:rsidRPr="004F56D0" w:rsidRDefault="000E5FB3" w:rsidP="000343C1">
            <w:pPr>
              <w:keepNext/>
              <w:keepLines/>
              <w:ind w:right="-106"/>
              <w:jc w:val="left"/>
              <w:rPr>
                <w:rFonts w:ascii="Arial Narrow" w:eastAsiaTheme="majorEastAsia" w:hAnsi="Arial Narrow" w:cstheme="majorBidi"/>
                <w:bCs/>
                <w:sz w:val="20"/>
              </w:rPr>
            </w:pPr>
            <w:r w:rsidRPr="004F56D0">
              <w:rPr>
                <w:rFonts w:ascii="Arial Narrow" w:eastAsiaTheme="majorEastAsia" w:hAnsi="Arial Narrow" w:cstheme="majorBidi"/>
                <w:bCs/>
                <w:sz w:val="20"/>
              </w:rPr>
              <w:t>Public DPMQ= $1,609.86</w:t>
            </w:r>
            <w:r w:rsidRPr="004F56D0">
              <w:rPr>
                <w:rFonts w:ascii="Arial Narrow" w:eastAsiaTheme="majorEastAsia" w:hAnsi="Arial Narrow" w:cstheme="majorBidi"/>
                <w:bCs/>
                <w:sz w:val="20"/>
              </w:rPr>
              <w:br/>
              <w:t>Private DPMQ=$1,658.53</w:t>
            </w:r>
          </w:p>
        </w:tc>
        <w:tc>
          <w:tcPr>
            <w:tcW w:w="4082" w:type="dxa"/>
            <w:gridSpan w:val="2"/>
            <w:vAlign w:val="center"/>
          </w:tcPr>
          <w:p w14:paraId="3738D24C" w14:textId="206C022B" w:rsidR="000E5FB3" w:rsidRPr="004F56D0" w:rsidRDefault="000E5FB3" w:rsidP="000343C1">
            <w:pPr>
              <w:keepNext/>
              <w:keepLines/>
              <w:jc w:val="left"/>
              <w:rPr>
                <w:rFonts w:ascii="Arial Narrow" w:eastAsiaTheme="majorEastAsia" w:hAnsi="Arial Narrow" w:cstheme="majorBidi"/>
                <w:bCs/>
                <w:i/>
                <w:iCs/>
                <w:sz w:val="20"/>
              </w:rPr>
            </w:pPr>
            <w:r w:rsidRPr="004F56D0">
              <w:rPr>
                <w:rFonts w:ascii="Arial Narrow" w:eastAsiaTheme="majorEastAsia" w:hAnsi="Arial Narrow" w:cstheme="majorBidi"/>
                <w:bCs/>
                <w:sz w:val="20"/>
              </w:rPr>
              <w:t xml:space="preserve">Based on PBS published DPMQs (Date not specified). Adjusted for packs dispensed per service=1.0. </w:t>
            </w:r>
            <w:r w:rsidR="004952BC">
              <w:rPr>
                <w:rFonts w:ascii="Arial Narrow" w:eastAsiaTheme="majorEastAsia" w:hAnsi="Arial Narrow" w:cstheme="majorBidi"/>
                <w:bCs/>
                <w:sz w:val="20"/>
              </w:rPr>
              <w:t xml:space="preserve">The evaluation considered this </w:t>
            </w:r>
            <w:r w:rsidR="00505546">
              <w:rPr>
                <w:rFonts w:ascii="Arial Narrow" w:eastAsiaTheme="majorEastAsia" w:hAnsi="Arial Narrow" w:cstheme="majorBidi"/>
                <w:bCs/>
                <w:sz w:val="20"/>
              </w:rPr>
              <w:t>approach was r</w:t>
            </w:r>
            <w:r w:rsidRPr="004952BC">
              <w:rPr>
                <w:rFonts w:ascii="Arial Narrow" w:eastAsiaTheme="majorEastAsia" w:hAnsi="Arial Narrow" w:cstheme="majorBidi"/>
                <w:bCs/>
                <w:sz w:val="20"/>
              </w:rPr>
              <w:t>easonable.</w:t>
            </w:r>
          </w:p>
        </w:tc>
      </w:tr>
      <w:tr w:rsidR="000E5FB3" w:rsidRPr="004F56D0" w14:paraId="37D27414" w14:textId="77777777" w:rsidTr="1EBF75D8">
        <w:tc>
          <w:tcPr>
            <w:tcW w:w="1696" w:type="dxa"/>
            <w:tcBorders>
              <w:bottom w:val="single" w:sz="4" w:space="0" w:color="auto"/>
            </w:tcBorders>
            <w:vAlign w:val="center"/>
          </w:tcPr>
          <w:p w14:paraId="09842E3C" w14:textId="79EA63E4" w:rsidR="000E5FB3" w:rsidRPr="004F56D0" w:rsidRDefault="000E5FB3" w:rsidP="000343C1">
            <w:pPr>
              <w:keepLines/>
              <w:jc w:val="left"/>
              <w:rPr>
                <w:rFonts w:ascii="Arial Narrow" w:eastAsiaTheme="majorEastAsia" w:hAnsi="Arial Narrow" w:cstheme="majorBidi"/>
                <w:bCs/>
                <w:sz w:val="20"/>
              </w:rPr>
            </w:pPr>
            <w:proofErr w:type="spellStart"/>
            <w:r w:rsidRPr="004F56D0">
              <w:rPr>
                <w:rFonts w:ascii="Arial Narrow" w:eastAsiaTheme="majorEastAsia" w:hAnsi="Arial Narrow" w:cstheme="majorBidi"/>
                <w:bCs/>
                <w:sz w:val="20"/>
              </w:rPr>
              <w:t>Benralizumab</w:t>
            </w:r>
            <w:proofErr w:type="spellEnd"/>
            <w:r w:rsidRPr="004F56D0">
              <w:rPr>
                <w:rFonts w:ascii="Arial Narrow" w:eastAsiaTheme="majorEastAsia" w:hAnsi="Arial Narrow" w:cstheme="majorBidi"/>
                <w:bCs/>
                <w:sz w:val="20"/>
              </w:rPr>
              <w:t xml:space="preserve"> </w:t>
            </w:r>
            <w:r w:rsidR="00164EFB">
              <w:rPr>
                <w:rFonts w:ascii="Arial Narrow" w:eastAsiaTheme="majorEastAsia" w:hAnsi="Arial Narrow" w:cstheme="majorBidi"/>
                <w:bCs/>
                <w:sz w:val="20"/>
              </w:rPr>
              <w:br/>
            </w:r>
            <w:r w:rsidRPr="004F56D0">
              <w:rPr>
                <w:rFonts w:ascii="Arial Narrow" w:eastAsiaTheme="majorEastAsia" w:hAnsi="Arial Narrow" w:cstheme="majorBidi"/>
                <w:bCs/>
                <w:sz w:val="20"/>
              </w:rPr>
              <w:t>30 mg</w:t>
            </w:r>
          </w:p>
        </w:tc>
        <w:tc>
          <w:tcPr>
            <w:tcW w:w="3402" w:type="dxa"/>
            <w:gridSpan w:val="2"/>
            <w:vAlign w:val="center"/>
          </w:tcPr>
          <w:p w14:paraId="2EEE7A88" w14:textId="77777777" w:rsidR="000E5FB3" w:rsidRPr="004F56D0" w:rsidRDefault="000E5FB3" w:rsidP="000343C1">
            <w:pPr>
              <w:keepNext/>
              <w:keepLines/>
              <w:ind w:right="-109"/>
              <w:jc w:val="left"/>
              <w:rPr>
                <w:rFonts w:ascii="Arial Narrow" w:eastAsiaTheme="majorEastAsia" w:hAnsi="Arial Narrow" w:cstheme="majorBidi"/>
                <w:bCs/>
                <w:sz w:val="20"/>
              </w:rPr>
            </w:pPr>
            <w:r w:rsidRPr="004F56D0">
              <w:rPr>
                <w:rFonts w:ascii="Arial Narrow" w:eastAsiaTheme="majorEastAsia" w:hAnsi="Arial Narrow" w:cstheme="majorBidi"/>
                <w:bCs/>
                <w:sz w:val="20"/>
              </w:rPr>
              <w:t>Public DPMQ= $3,145.45</w:t>
            </w:r>
            <w:r w:rsidRPr="004F56D0">
              <w:rPr>
                <w:rFonts w:ascii="Arial Narrow" w:eastAsiaTheme="majorEastAsia" w:hAnsi="Arial Narrow" w:cstheme="majorBidi"/>
                <w:bCs/>
                <w:sz w:val="20"/>
              </w:rPr>
              <w:br/>
              <w:t>Private DPMQ=$3,145.45</w:t>
            </w:r>
          </w:p>
        </w:tc>
        <w:tc>
          <w:tcPr>
            <w:tcW w:w="4082" w:type="dxa"/>
            <w:gridSpan w:val="2"/>
            <w:vAlign w:val="center"/>
          </w:tcPr>
          <w:p w14:paraId="0DDF78DE"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Based on PBS published DPMQs (Date not specified). Adjusted for packs dispensed per service=1.0. </w:t>
            </w:r>
          </w:p>
          <w:p w14:paraId="512C9EBC" w14:textId="77777777" w:rsidR="000E5FB3" w:rsidRPr="00505546" w:rsidRDefault="000E5FB3" w:rsidP="000343C1">
            <w:pPr>
              <w:keepLines/>
              <w:jc w:val="left"/>
              <w:rPr>
                <w:rFonts w:ascii="Arial Narrow" w:eastAsiaTheme="majorEastAsia" w:hAnsi="Arial Narrow" w:cstheme="majorBidi"/>
                <w:sz w:val="20"/>
              </w:rPr>
            </w:pPr>
            <w:r w:rsidRPr="00505546">
              <w:rPr>
                <w:rFonts w:ascii="Arial Narrow" w:eastAsiaTheme="majorEastAsia" w:hAnsi="Arial Narrow" w:cstheme="majorBidi"/>
                <w:sz w:val="20"/>
              </w:rPr>
              <w:t>Private DPMQ</w:t>
            </w:r>
            <w:r w:rsidRPr="004F56D0">
              <w:rPr>
                <w:rFonts w:ascii="Arial Narrow" w:eastAsiaTheme="majorEastAsia" w:hAnsi="Arial Narrow" w:cstheme="majorBidi"/>
                <w:bCs/>
                <w:sz w:val="20"/>
              </w:rPr>
              <w:t>=</w:t>
            </w:r>
            <w:r w:rsidRPr="00505546">
              <w:rPr>
                <w:rFonts w:ascii="Arial Narrow" w:eastAsiaTheme="majorEastAsia" w:hAnsi="Arial Narrow" w:cstheme="majorBidi"/>
                <w:sz w:val="20"/>
              </w:rPr>
              <w:t>$3,194.33 (As of August 2025). It did not have any impact on the net financial implications.</w:t>
            </w:r>
          </w:p>
        </w:tc>
      </w:tr>
      <w:tr w:rsidR="000E5FB3" w:rsidRPr="004F56D0" w14:paraId="7919D962" w14:textId="77777777" w:rsidTr="1EBF75D8">
        <w:trPr>
          <w:trHeight w:val="846"/>
        </w:trPr>
        <w:tc>
          <w:tcPr>
            <w:tcW w:w="1696" w:type="dxa"/>
            <w:tcBorders>
              <w:bottom w:val="single" w:sz="4" w:space="0" w:color="auto"/>
            </w:tcBorders>
            <w:vAlign w:val="center"/>
          </w:tcPr>
          <w:p w14:paraId="1FBBFEAE" w14:textId="30070DBA"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Mepolizumab </w:t>
            </w:r>
            <w:r w:rsidR="00164EFB">
              <w:rPr>
                <w:rFonts w:ascii="Arial Narrow" w:eastAsiaTheme="majorEastAsia" w:hAnsi="Arial Narrow" w:cstheme="majorBidi"/>
                <w:bCs/>
                <w:sz w:val="20"/>
              </w:rPr>
              <w:br/>
            </w:r>
            <w:r w:rsidRPr="004F56D0">
              <w:rPr>
                <w:rFonts w:ascii="Arial Narrow" w:eastAsiaTheme="majorEastAsia" w:hAnsi="Arial Narrow" w:cstheme="majorBidi"/>
                <w:bCs/>
                <w:sz w:val="20"/>
              </w:rPr>
              <w:t>100 mg</w:t>
            </w:r>
          </w:p>
        </w:tc>
        <w:tc>
          <w:tcPr>
            <w:tcW w:w="3402" w:type="dxa"/>
            <w:gridSpan w:val="2"/>
            <w:tcBorders>
              <w:bottom w:val="single" w:sz="4" w:space="0" w:color="auto"/>
            </w:tcBorders>
            <w:vAlign w:val="center"/>
          </w:tcPr>
          <w:p w14:paraId="0A2623C5"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Public DPMQ= $1,556.10</w:t>
            </w:r>
            <w:r w:rsidRPr="004F56D0">
              <w:rPr>
                <w:rFonts w:ascii="Arial Narrow" w:eastAsiaTheme="majorEastAsia" w:hAnsi="Arial Narrow" w:cstheme="majorBidi"/>
                <w:bCs/>
                <w:sz w:val="20"/>
              </w:rPr>
              <w:br/>
              <w:t>Private DPMQ=$1,604.77</w:t>
            </w:r>
          </w:p>
        </w:tc>
        <w:tc>
          <w:tcPr>
            <w:tcW w:w="4082" w:type="dxa"/>
            <w:gridSpan w:val="2"/>
            <w:tcBorders>
              <w:bottom w:val="single" w:sz="4" w:space="0" w:color="auto"/>
            </w:tcBorders>
            <w:vAlign w:val="center"/>
          </w:tcPr>
          <w:p w14:paraId="7436E5C6" w14:textId="77777777" w:rsidR="000E5FB3" w:rsidRPr="004F56D0" w:rsidRDefault="000E5FB3" w:rsidP="000343C1">
            <w:pPr>
              <w:keepNext/>
              <w:keepLines/>
              <w:jc w:val="left"/>
              <w:rPr>
                <w:rFonts w:ascii="Arial Narrow" w:eastAsiaTheme="majorEastAsia" w:hAnsi="Arial Narrow" w:cstheme="majorBidi"/>
                <w:bCs/>
                <w:i/>
                <w:iCs/>
                <w:sz w:val="20"/>
              </w:rPr>
            </w:pPr>
            <w:r w:rsidRPr="004F56D0">
              <w:rPr>
                <w:rFonts w:ascii="Arial Narrow" w:eastAsiaTheme="majorEastAsia" w:hAnsi="Arial Narrow" w:cstheme="majorBidi"/>
                <w:bCs/>
                <w:sz w:val="20"/>
              </w:rPr>
              <w:t xml:space="preserve">Based on PBS published DPMQs (Date not specified). Adjusted for packs dispensed per service=1.0. </w:t>
            </w:r>
            <w:r w:rsidRPr="00505546">
              <w:rPr>
                <w:rFonts w:ascii="Arial Narrow" w:eastAsiaTheme="majorEastAsia" w:hAnsi="Arial Narrow" w:cstheme="majorBidi"/>
                <w:sz w:val="20"/>
              </w:rPr>
              <w:t>Private DPMQ</w:t>
            </w:r>
            <w:r w:rsidRPr="004F56D0">
              <w:rPr>
                <w:rFonts w:ascii="Arial Narrow" w:eastAsiaTheme="majorEastAsia" w:hAnsi="Arial Narrow" w:cstheme="majorBidi"/>
                <w:bCs/>
                <w:sz w:val="20"/>
              </w:rPr>
              <w:t>=</w:t>
            </w:r>
            <w:r w:rsidRPr="00505546">
              <w:rPr>
                <w:rFonts w:ascii="Arial Narrow" w:eastAsiaTheme="majorEastAsia" w:hAnsi="Arial Narrow" w:cstheme="majorBidi"/>
                <w:sz w:val="20"/>
              </w:rPr>
              <w:t>$1,604.98 (As of August 2025), which is not significantly different from the submission’s estimate.</w:t>
            </w:r>
          </w:p>
        </w:tc>
      </w:tr>
      <w:tr w:rsidR="000E5FB3" w:rsidRPr="004F56D0" w14:paraId="2361BECB" w14:textId="77777777" w:rsidTr="1EBF75D8">
        <w:trPr>
          <w:trHeight w:val="1606"/>
        </w:trPr>
        <w:tc>
          <w:tcPr>
            <w:tcW w:w="1696" w:type="dxa"/>
            <w:tcBorders>
              <w:top w:val="single" w:sz="4" w:space="0" w:color="auto"/>
            </w:tcBorders>
            <w:vAlign w:val="center"/>
          </w:tcPr>
          <w:p w14:paraId="1EFC14CA" w14:textId="77777777" w:rsidR="00164EFB" w:rsidRDefault="000E5FB3">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Omalizumab</w:t>
            </w:r>
          </w:p>
          <w:p w14:paraId="2C7C1D9E" w14:textId="77777777" w:rsidR="00164EFB" w:rsidRDefault="00164EFB">
            <w:pPr>
              <w:keepLines/>
              <w:jc w:val="left"/>
              <w:rPr>
                <w:rFonts w:ascii="Arial Narrow" w:eastAsiaTheme="majorEastAsia" w:hAnsi="Arial Narrow" w:cstheme="majorBidi"/>
                <w:bCs/>
                <w:sz w:val="20"/>
              </w:rPr>
            </w:pPr>
            <w:r>
              <w:rPr>
                <w:rFonts w:ascii="Arial Narrow" w:eastAsiaTheme="majorEastAsia" w:hAnsi="Arial Narrow" w:cstheme="majorBidi"/>
                <w:bCs/>
                <w:sz w:val="20"/>
              </w:rPr>
              <w:t>75 mg</w:t>
            </w:r>
          </w:p>
          <w:p w14:paraId="6FB57990" w14:textId="75E2BE28" w:rsidR="000E5FB3" w:rsidRPr="004F56D0" w:rsidRDefault="00164EFB" w:rsidP="000343C1">
            <w:pPr>
              <w:keepLines/>
              <w:jc w:val="left"/>
              <w:rPr>
                <w:rFonts w:ascii="Arial Narrow" w:eastAsiaTheme="majorEastAsia" w:hAnsi="Arial Narrow" w:cstheme="majorBidi"/>
                <w:bCs/>
                <w:sz w:val="20"/>
              </w:rPr>
            </w:pPr>
            <w:r>
              <w:rPr>
                <w:rFonts w:ascii="Arial Narrow" w:eastAsiaTheme="majorEastAsia" w:hAnsi="Arial Narrow" w:cstheme="majorBidi"/>
                <w:bCs/>
                <w:sz w:val="20"/>
              </w:rPr>
              <w:t>150 mg</w:t>
            </w:r>
            <w:r w:rsidR="000E5FB3" w:rsidRPr="004F56D0">
              <w:rPr>
                <w:rFonts w:ascii="Arial Narrow" w:eastAsiaTheme="majorEastAsia" w:hAnsi="Arial Narrow" w:cstheme="majorBidi"/>
                <w:bCs/>
                <w:sz w:val="20"/>
              </w:rPr>
              <w:t xml:space="preserve"> </w:t>
            </w:r>
          </w:p>
        </w:tc>
        <w:tc>
          <w:tcPr>
            <w:tcW w:w="3402" w:type="dxa"/>
            <w:gridSpan w:val="2"/>
            <w:tcBorders>
              <w:top w:val="single" w:sz="4" w:space="0" w:color="auto"/>
            </w:tcBorders>
            <w:vAlign w:val="center"/>
          </w:tcPr>
          <w:p w14:paraId="200577FC"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75 mg dose:</w:t>
            </w:r>
          </w:p>
          <w:p w14:paraId="0CD8BCF7"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Public dispensing price= $204.44</w:t>
            </w:r>
            <w:r w:rsidRPr="004F56D0">
              <w:rPr>
                <w:rFonts w:ascii="Arial Narrow" w:eastAsiaTheme="majorEastAsia" w:hAnsi="Arial Narrow" w:cstheme="majorBidi"/>
                <w:bCs/>
                <w:sz w:val="20"/>
              </w:rPr>
              <w:br/>
              <w:t xml:space="preserve">Private dispensing price =$220.99 </w:t>
            </w:r>
          </w:p>
          <w:p w14:paraId="71D60EF8" w14:textId="77777777" w:rsidR="000E5FB3" w:rsidRPr="00164EFB" w:rsidRDefault="000E5FB3" w:rsidP="000343C1">
            <w:pPr>
              <w:keepNext/>
              <w:keepLines/>
              <w:jc w:val="left"/>
              <w:rPr>
                <w:rFonts w:ascii="Arial Narrow" w:eastAsiaTheme="majorEastAsia" w:hAnsi="Arial Narrow" w:cstheme="majorBidi"/>
                <w:sz w:val="20"/>
              </w:rPr>
            </w:pPr>
            <w:r w:rsidRPr="00164EFB">
              <w:rPr>
                <w:rFonts w:ascii="Arial Narrow" w:eastAsiaTheme="majorEastAsia" w:hAnsi="Arial Narrow" w:cstheme="majorBidi"/>
                <w:sz w:val="20"/>
              </w:rPr>
              <w:t>150 mg dose:</w:t>
            </w:r>
          </w:p>
          <w:p w14:paraId="3C09259F" w14:textId="77777777" w:rsidR="000E5FB3" w:rsidRPr="004F56D0" w:rsidRDefault="000E5FB3" w:rsidP="000343C1">
            <w:pPr>
              <w:keepNext/>
              <w:keepLines/>
              <w:jc w:val="left"/>
              <w:rPr>
                <w:rFonts w:ascii="Arial Narrow" w:eastAsiaTheme="majorEastAsia" w:hAnsi="Arial Narrow" w:cstheme="majorBidi"/>
                <w:bCs/>
                <w:i/>
                <w:iCs/>
                <w:sz w:val="20"/>
                <w:highlight w:val="green"/>
              </w:rPr>
            </w:pPr>
            <w:r w:rsidRPr="004F56D0">
              <w:rPr>
                <w:rFonts w:ascii="Arial Narrow" w:eastAsiaTheme="majorEastAsia" w:hAnsi="Arial Narrow" w:cstheme="majorBidi"/>
                <w:bCs/>
                <w:sz w:val="20"/>
              </w:rPr>
              <w:t>Public dispensing price= $796.20</w:t>
            </w:r>
            <w:r w:rsidRPr="004F56D0">
              <w:rPr>
                <w:rFonts w:ascii="Arial Narrow" w:eastAsiaTheme="majorEastAsia" w:hAnsi="Arial Narrow" w:cstheme="majorBidi"/>
                <w:bCs/>
                <w:sz w:val="20"/>
              </w:rPr>
              <w:br/>
              <w:t>Private dispensing price =$836.42</w:t>
            </w:r>
          </w:p>
        </w:tc>
        <w:tc>
          <w:tcPr>
            <w:tcW w:w="4082" w:type="dxa"/>
            <w:gridSpan w:val="2"/>
            <w:tcBorders>
              <w:top w:val="single" w:sz="4" w:space="0" w:color="auto"/>
            </w:tcBorders>
            <w:vAlign w:val="center"/>
          </w:tcPr>
          <w:p w14:paraId="45F52365"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Based on PBS published DPMQs (Date not specified). Adjusted for packs dispensed per service=1.9 for 75 mg dose and 3.7 for 150 mg dose.</w:t>
            </w:r>
          </w:p>
          <w:p w14:paraId="685BC357" w14:textId="77777777" w:rsidR="000E5FB3" w:rsidRPr="00C008BC" w:rsidRDefault="000E5FB3" w:rsidP="000343C1">
            <w:pPr>
              <w:keepNext/>
              <w:keepLines/>
              <w:jc w:val="left"/>
              <w:rPr>
                <w:rFonts w:ascii="Arial Narrow" w:eastAsiaTheme="majorEastAsia" w:hAnsi="Arial Narrow" w:cstheme="majorBidi"/>
                <w:sz w:val="20"/>
                <w:highlight w:val="green"/>
              </w:rPr>
            </w:pPr>
            <w:r w:rsidRPr="00C008BC">
              <w:rPr>
                <w:rFonts w:ascii="Arial Narrow" w:eastAsiaTheme="majorEastAsia" w:hAnsi="Arial Narrow" w:cstheme="majorBidi"/>
                <w:sz w:val="20"/>
              </w:rPr>
              <w:t>Submission did not use DPMQ of omalizumab as of August 2025: Resulting estimates did not significantly impact the net budget.</w:t>
            </w:r>
          </w:p>
        </w:tc>
      </w:tr>
      <w:tr w:rsidR="000E5FB3" w:rsidRPr="004F56D0" w14:paraId="64AEDB02" w14:textId="77777777" w:rsidTr="1EBF75D8">
        <w:tc>
          <w:tcPr>
            <w:tcW w:w="2122" w:type="dxa"/>
            <w:gridSpan w:val="2"/>
            <w:tcBorders>
              <w:right w:val="nil"/>
            </w:tcBorders>
          </w:tcPr>
          <w:p w14:paraId="77E13195" w14:textId="77777777" w:rsidR="000E5FB3" w:rsidRPr="004F56D0" w:rsidRDefault="000E5FB3" w:rsidP="000343C1">
            <w:pPr>
              <w:keepLines/>
              <w:jc w:val="left"/>
              <w:rPr>
                <w:rFonts w:ascii="Arial Narrow" w:eastAsiaTheme="majorEastAsia" w:hAnsi="Arial Narrow" w:cstheme="majorBidi"/>
                <w:b/>
                <w:sz w:val="20"/>
              </w:rPr>
            </w:pPr>
            <w:r w:rsidRPr="004F56D0">
              <w:rPr>
                <w:rFonts w:ascii="Arial Narrow" w:eastAsiaTheme="majorEastAsia" w:hAnsi="Arial Narrow" w:cstheme="majorBidi"/>
                <w:b/>
                <w:sz w:val="20"/>
              </w:rPr>
              <w:t>Medical service costs</w:t>
            </w:r>
          </w:p>
        </w:tc>
        <w:tc>
          <w:tcPr>
            <w:tcW w:w="2976" w:type="dxa"/>
            <w:tcBorders>
              <w:left w:val="nil"/>
              <w:right w:val="nil"/>
            </w:tcBorders>
          </w:tcPr>
          <w:p w14:paraId="1538180B" w14:textId="77777777" w:rsidR="000E5FB3" w:rsidRPr="004F56D0" w:rsidRDefault="000E5FB3" w:rsidP="000343C1">
            <w:pPr>
              <w:keepLines/>
              <w:jc w:val="left"/>
              <w:rPr>
                <w:rFonts w:ascii="Arial Narrow" w:eastAsiaTheme="majorEastAsia" w:hAnsi="Arial Narrow" w:cstheme="majorBidi"/>
                <w:b/>
                <w:sz w:val="20"/>
              </w:rPr>
            </w:pPr>
          </w:p>
        </w:tc>
        <w:tc>
          <w:tcPr>
            <w:tcW w:w="1134" w:type="dxa"/>
            <w:tcBorders>
              <w:left w:val="nil"/>
              <w:right w:val="nil"/>
            </w:tcBorders>
          </w:tcPr>
          <w:p w14:paraId="23FF1BAA" w14:textId="77777777" w:rsidR="000E5FB3" w:rsidRPr="004F56D0" w:rsidRDefault="000E5FB3" w:rsidP="000343C1">
            <w:pPr>
              <w:keepLines/>
              <w:jc w:val="left"/>
              <w:rPr>
                <w:rFonts w:ascii="Arial Narrow" w:eastAsiaTheme="majorEastAsia" w:hAnsi="Arial Narrow" w:cstheme="majorBidi"/>
                <w:b/>
                <w:sz w:val="20"/>
              </w:rPr>
            </w:pPr>
          </w:p>
        </w:tc>
        <w:tc>
          <w:tcPr>
            <w:tcW w:w="2948" w:type="dxa"/>
            <w:tcBorders>
              <w:left w:val="nil"/>
            </w:tcBorders>
          </w:tcPr>
          <w:p w14:paraId="0CD50F0B" w14:textId="77777777" w:rsidR="000E5FB3" w:rsidRPr="004F56D0" w:rsidRDefault="000E5FB3" w:rsidP="000343C1">
            <w:pPr>
              <w:keepLines/>
              <w:jc w:val="left"/>
              <w:rPr>
                <w:rFonts w:ascii="Arial Narrow" w:eastAsiaTheme="majorEastAsia" w:hAnsi="Arial Narrow" w:cstheme="majorBidi"/>
                <w:b/>
                <w:i/>
                <w:iCs/>
                <w:sz w:val="20"/>
              </w:rPr>
            </w:pPr>
          </w:p>
        </w:tc>
      </w:tr>
      <w:tr w:rsidR="000E5FB3" w:rsidRPr="004F56D0" w14:paraId="502AC1CF" w14:textId="77777777" w:rsidTr="1EBF75D8">
        <w:tc>
          <w:tcPr>
            <w:tcW w:w="1696" w:type="dxa"/>
            <w:vAlign w:val="center"/>
          </w:tcPr>
          <w:p w14:paraId="2314B68B"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Subcutaneous injection</w:t>
            </w:r>
          </w:p>
        </w:tc>
        <w:tc>
          <w:tcPr>
            <w:tcW w:w="3402" w:type="dxa"/>
            <w:gridSpan w:val="2"/>
            <w:vAlign w:val="center"/>
          </w:tcPr>
          <w:p w14:paraId="6CABABAA" w14:textId="14017996" w:rsidR="000E5FB3" w:rsidRPr="004F56D0" w:rsidRDefault="000E5FB3" w:rsidP="000343C1">
            <w:pPr>
              <w:keepLines/>
              <w:jc w:val="center"/>
              <w:rPr>
                <w:rFonts w:ascii="Arial Narrow" w:eastAsiaTheme="majorEastAsia" w:hAnsi="Arial Narrow" w:cstheme="majorBidi"/>
                <w:bCs/>
                <w:sz w:val="20"/>
              </w:rPr>
            </w:pPr>
            <w:r w:rsidRPr="004F56D0">
              <w:rPr>
                <w:rFonts w:ascii="Arial Narrow" w:eastAsiaTheme="majorEastAsia" w:hAnsi="Arial Narrow" w:cstheme="majorBidi"/>
                <w:bCs/>
                <w:sz w:val="20"/>
              </w:rPr>
              <w:t>$14.20</w:t>
            </w:r>
            <w:r w:rsidRPr="004F56D0">
              <w:rPr>
                <w:rFonts w:ascii="Arial Narrow" w:eastAsiaTheme="majorEastAsia" w:hAnsi="Arial Narrow" w:cstheme="majorBidi"/>
                <w:bCs/>
                <w:sz w:val="20"/>
              </w:rPr>
              <w:br/>
            </w:r>
          </w:p>
        </w:tc>
        <w:tc>
          <w:tcPr>
            <w:tcW w:w="4082" w:type="dxa"/>
            <w:gridSpan w:val="2"/>
          </w:tcPr>
          <w:p w14:paraId="10E5894E"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MBS item 82200 (July 2025).</w:t>
            </w:r>
          </w:p>
          <w:p w14:paraId="50D12238" w14:textId="72F854D8" w:rsidR="000E5FB3" w:rsidRPr="004A770D" w:rsidRDefault="000E5FB3" w:rsidP="1EBF75D8">
            <w:pPr>
              <w:keepLines/>
              <w:jc w:val="left"/>
              <w:rPr>
                <w:rFonts w:ascii="Arial Narrow" w:eastAsiaTheme="majorEastAsia" w:hAnsi="Arial Narrow" w:cstheme="majorBidi"/>
                <w:sz w:val="20"/>
                <w:szCs w:val="20"/>
              </w:rPr>
            </w:pPr>
            <w:r w:rsidRPr="1EBF75D8">
              <w:rPr>
                <w:rFonts w:ascii="Arial Narrow" w:eastAsiaTheme="majorEastAsia" w:hAnsi="Arial Narrow" w:cstheme="majorBidi"/>
                <w:sz w:val="20"/>
                <w:szCs w:val="20"/>
              </w:rPr>
              <w:t>Applied to all omalizumab scripts</w:t>
            </w:r>
            <w:r w:rsidRPr="1EBF75D8">
              <w:rPr>
                <w:rFonts w:ascii="Arial Narrow" w:eastAsiaTheme="majorEastAsia" w:hAnsi="Arial Narrow" w:cstheme="majorBidi"/>
                <w:i/>
                <w:iCs/>
                <w:sz w:val="20"/>
                <w:szCs w:val="20"/>
              </w:rPr>
              <w:t xml:space="preserve">. </w:t>
            </w:r>
            <w:r w:rsidRPr="1EBF75D8">
              <w:rPr>
                <w:rFonts w:ascii="Arial Narrow" w:eastAsiaTheme="majorEastAsia" w:hAnsi="Arial Narrow" w:cstheme="majorBidi"/>
                <w:sz w:val="20"/>
                <w:szCs w:val="20"/>
              </w:rPr>
              <w:t>T</w:t>
            </w:r>
            <w:r w:rsidR="746BEF9D" w:rsidRPr="1EBF75D8">
              <w:rPr>
                <w:rFonts w:ascii="Arial Narrow" w:eastAsiaTheme="majorEastAsia" w:hAnsi="Arial Narrow" w:cstheme="majorBidi"/>
                <w:sz w:val="20"/>
                <w:szCs w:val="20"/>
              </w:rPr>
              <w:t>he evaluation considered t</w:t>
            </w:r>
            <w:r w:rsidRPr="1EBF75D8">
              <w:rPr>
                <w:rFonts w:ascii="Arial Narrow" w:eastAsiaTheme="majorEastAsia" w:hAnsi="Arial Narrow" w:cstheme="majorBidi"/>
                <w:sz w:val="20"/>
                <w:szCs w:val="20"/>
              </w:rPr>
              <w:t>his was not appropriate</w:t>
            </w:r>
            <w:r w:rsidR="746BEF9D" w:rsidRPr="1EBF75D8">
              <w:rPr>
                <w:rFonts w:ascii="Arial Narrow" w:eastAsiaTheme="majorEastAsia" w:hAnsi="Arial Narrow" w:cstheme="majorBidi"/>
                <w:sz w:val="20"/>
                <w:szCs w:val="20"/>
              </w:rPr>
              <w:t xml:space="preserve"> as</w:t>
            </w:r>
            <w:r w:rsidRPr="1EBF75D8">
              <w:rPr>
                <w:rFonts w:ascii="Arial Narrow" w:eastAsiaTheme="majorEastAsia" w:hAnsi="Arial Narrow" w:cstheme="majorBidi"/>
                <w:sz w:val="20"/>
                <w:szCs w:val="20"/>
              </w:rPr>
              <w:t xml:space="preserve"> the Product Information of omalizumab recommends that the first 3 doses be administered under the supervision of a healthcare professional. The PBAC previously considered it appropriate for the </w:t>
            </w:r>
            <w:r w:rsidR="20FABAF3" w:rsidRPr="1EBF75D8">
              <w:rPr>
                <w:rFonts w:ascii="Arial Narrow" w:eastAsiaTheme="majorEastAsia" w:hAnsi="Arial Narrow" w:cstheme="majorBidi"/>
                <w:sz w:val="20"/>
                <w:szCs w:val="20"/>
              </w:rPr>
              <w:t>subcutaneous</w:t>
            </w:r>
            <w:r w:rsidRPr="1EBF75D8">
              <w:rPr>
                <w:rFonts w:ascii="Arial Narrow" w:eastAsiaTheme="majorEastAsia" w:hAnsi="Arial Narrow" w:cstheme="majorBidi"/>
                <w:sz w:val="20"/>
                <w:szCs w:val="20"/>
              </w:rPr>
              <w:t xml:space="preserve"> injection administration cost-offsets and the costs for post-administration monitoring of anaphylaxis be included for the first three doses of omalizumab (para. 7.10, dupilumab PSD, November 2020 PBAC Meeting). </w:t>
            </w:r>
            <w:r w:rsidR="6C5AE36C" w:rsidRPr="1EBF75D8">
              <w:rPr>
                <w:rFonts w:ascii="Arial Narrow" w:eastAsiaTheme="majorEastAsia" w:hAnsi="Arial Narrow" w:cstheme="majorBidi"/>
                <w:sz w:val="20"/>
                <w:szCs w:val="20"/>
              </w:rPr>
              <w:t>DUSC agreed with the evaluation that t</w:t>
            </w:r>
            <w:r w:rsidRPr="1EBF75D8">
              <w:rPr>
                <w:rFonts w:ascii="Arial Narrow" w:eastAsiaTheme="majorEastAsia" w:hAnsi="Arial Narrow" w:cstheme="majorBidi"/>
                <w:sz w:val="20"/>
                <w:szCs w:val="20"/>
              </w:rPr>
              <w:t xml:space="preserve">he injection administration cost should be </w:t>
            </w:r>
            <w:r w:rsidR="00645CAA">
              <w:rPr>
                <w:rFonts w:ascii="Arial Narrow" w:eastAsiaTheme="majorEastAsia" w:hAnsi="Arial Narrow" w:cstheme="majorBidi"/>
                <w:sz w:val="20"/>
                <w:szCs w:val="20"/>
              </w:rPr>
              <w:t>included for the first three doses of omalizumab only</w:t>
            </w:r>
            <w:r w:rsidRPr="1EBF75D8">
              <w:rPr>
                <w:rFonts w:ascii="Arial Narrow" w:eastAsiaTheme="majorEastAsia" w:hAnsi="Arial Narrow" w:cstheme="majorBidi"/>
                <w:sz w:val="20"/>
                <w:szCs w:val="20"/>
              </w:rPr>
              <w:t xml:space="preserve">. </w:t>
            </w:r>
          </w:p>
          <w:p w14:paraId="021A909E" w14:textId="39C21C92" w:rsidR="000E5FB3" w:rsidRPr="006C6957" w:rsidRDefault="000E5FB3" w:rsidP="000343C1">
            <w:pPr>
              <w:keepLines/>
              <w:jc w:val="left"/>
              <w:rPr>
                <w:rFonts w:ascii="Arial Narrow" w:eastAsiaTheme="majorEastAsia" w:hAnsi="Arial Narrow" w:cstheme="majorBidi"/>
                <w:sz w:val="20"/>
              </w:rPr>
            </w:pPr>
            <w:r w:rsidRPr="004A770D">
              <w:rPr>
                <w:rFonts w:ascii="Arial Narrow" w:eastAsiaTheme="majorEastAsia" w:hAnsi="Arial Narrow" w:cstheme="majorBidi"/>
                <w:sz w:val="20"/>
              </w:rPr>
              <w:t>August 2025 MBS item fee= $14.55</w:t>
            </w:r>
            <w:r w:rsidRPr="004A770D">
              <w:rPr>
                <w:rFonts w:ascii="Arial Narrow" w:eastAsiaTheme="majorEastAsia" w:hAnsi="Arial Narrow" w:cstheme="majorBidi"/>
                <w:bCs/>
                <w:sz w:val="20"/>
              </w:rPr>
              <w:t>.</w:t>
            </w:r>
          </w:p>
        </w:tc>
      </w:tr>
      <w:tr w:rsidR="000E5FB3" w:rsidRPr="004F56D0" w14:paraId="1D918113" w14:textId="77777777" w:rsidTr="1EBF75D8">
        <w:tc>
          <w:tcPr>
            <w:tcW w:w="1696" w:type="dxa"/>
            <w:vAlign w:val="center"/>
          </w:tcPr>
          <w:p w14:paraId="1359F5D3"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Monitoring of anaphylaxis events</w:t>
            </w:r>
          </w:p>
        </w:tc>
        <w:tc>
          <w:tcPr>
            <w:tcW w:w="3402" w:type="dxa"/>
            <w:gridSpan w:val="2"/>
            <w:vAlign w:val="center"/>
          </w:tcPr>
          <w:p w14:paraId="7D385F0A" w14:textId="4AF80506" w:rsidR="000E5FB3" w:rsidRPr="004F56D0" w:rsidRDefault="000E5FB3" w:rsidP="000343C1">
            <w:pPr>
              <w:keepLines/>
              <w:jc w:val="center"/>
              <w:rPr>
                <w:rFonts w:ascii="Arial Narrow" w:eastAsiaTheme="majorEastAsia" w:hAnsi="Arial Narrow" w:cstheme="majorBidi"/>
                <w:bCs/>
                <w:sz w:val="20"/>
              </w:rPr>
            </w:pPr>
            <w:r w:rsidRPr="004F56D0">
              <w:rPr>
                <w:rFonts w:ascii="Arial Narrow" w:eastAsiaTheme="majorEastAsia" w:hAnsi="Arial Narrow" w:cstheme="majorBidi"/>
                <w:bCs/>
                <w:sz w:val="20"/>
              </w:rPr>
              <w:t>$58.85</w:t>
            </w:r>
          </w:p>
        </w:tc>
        <w:tc>
          <w:tcPr>
            <w:tcW w:w="4082" w:type="dxa"/>
            <w:gridSpan w:val="2"/>
          </w:tcPr>
          <w:p w14:paraId="76A2F618" w14:textId="77777777" w:rsidR="000E5FB3" w:rsidRPr="004F56D0" w:rsidRDefault="000E5FB3" w:rsidP="000343C1">
            <w:pPr>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MBS item 82210 (July 2025).</w:t>
            </w:r>
          </w:p>
          <w:p w14:paraId="64C7F379" w14:textId="5BF2590A" w:rsidR="000E5FB3" w:rsidRPr="00840219" w:rsidRDefault="000E5FB3" w:rsidP="000343C1">
            <w:pPr>
              <w:keepLines/>
              <w:jc w:val="left"/>
              <w:rPr>
                <w:rFonts w:ascii="Arial Narrow" w:eastAsiaTheme="majorEastAsia" w:hAnsi="Arial Narrow" w:cstheme="majorBidi"/>
                <w:sz w:val="20"/>
              </w:rPr>
            </w:pPr>
            <w:r w:rsidRPr="00840219">
              <w:rPr>
                <w:rFonts w:ascii="Arial Narrow" w:eastAsiaTheme="majorEastAsia" w:hAnsi="Arial Narrow" w:cstheme="majorBidi"/>
                <w:sz w:val="20"/>
              </w:rPr>
              <w:t xml:space="preserve">Applied to all omalizumab scripts. </w:t>
            </w:r>
            <w:r w:rsidR="006C6957">
              <w:rPr>
                <w:rFonts w:ascii="Arial Narrow" w:eastAsiaTheme="majorEastAsia" w:hAnsi="Arial Narrow" w:cstheme="majorBidi"/>
                <w:bCs/>
                <w:sz w:val="20"/>
              </w:rPr>
              <w:t>DUSC agreed with the evaluation that the costs for post-administration monitoring of anaphylaxis should be included for the first three doses of omalizumab</w:t>
            </w:r>
            <w:r w:rsidR="00841E7E">
              <w:rPr>
                <w:rFonts w:ascii="Arial Narrow" w:eastAsiaTheme="majorEastAsia" w:hAnsi="Arial Narrow" w:cstheme="majorBidi"/>
                <w:bCs/>
                <w:sz w:val="20"/>
              </w:rPr>
              <w:t xml:space="preserve"> only.</w:t>
            </w:r>
          </w:p>
          <w:p w14:paraId="65D4536E" w14:textId="77777777" w:rsidR="000E5FB3" w:rsidRPr="004F56D0" w:rsidRDefault="000E5FB3" w:rsidP="000343C1">
            <w:pPr>
              <w:keepLines/>
              <w:jc w:val="left"/>
              <w:rPr>
                <w:rFonts w:ascii="Arial Narrow" w:eastAsiaTheme="majorEastAsia" w:hAnsi="Arial Narrow" w:cstheme="majorBidi"/>
                <w:bCs/>
                <w:i/>
                <w:iCs/>
                <w:sz w:val="20"/>
              </w:rPr>
            </w:pPr>
            <w:r w:rsidRPr="00840219">
              <w:rPr>
                <w:rFonts w:ascii="Arial Narrow" w:eastAsiaTheme="majorEastAsia" w:hAnsi="Arial Narrow" w:cstheme="majorBidi"/>
                <w:sz w:val="20"/>
              </w:rPr>
              <w:t>August 2025 MBS item fee= $60.25.</w:t>
            </w:r>
          </w:p>
        </w:tc>
      </w:tr>
    </w:tbl>
    <w:p w14:paraId="72116EC5" w14:textId="27E59B6F" w:rsidR="000E5FB3" w:rsidRPr="004F56D0" w:rsidRDefault="000E5FB3" w:rsidP="000E5FB3">
      <w:pPr>
        <w:pStyle w:val="TableFigureFooter"/>
      </w:pPr>
      <w:r w:rsidRPr="004F56D0">
        <w:t xml:space="preserve">Sources: Table 4-5, p317; Table 4-6, p318; Table 4-17, p327 of the submission; ‘Attachment 4.1 financial impact </w:t>
      </w:r>
      <w:proofErr w:type="spellStart"/>
      <w:r w:rsidRPr="004F56D0">
        <w:t>EOS_Allergic</w:t>
      </w:r>
      <w:proofErr w:type="spellEnd"/>
      <w:r w:rsidRPr="004F56D0">
        <w:t xml:space="preserve"> SUA Tezepelumab July 2025’, Sheet ‘2e. Scripts- market’ of the submission. </w:t>
      </w:r>
    </w:p>
    <w:p w14:paraId="21D3769A" w14:textId="77777777" w:rsidR="000E5FB3" w:rsidRPr="004F56D0" w:rsidRDefault="000E5FB3" w:rsidP="000E5FB3">
      <w:pPr>
        <w:pStyle w:val="TableFigureFooter"/>
      </w:pPr>
      <w:r w:rsidRPr="004F56D0">
        <w:t>AEMP = Approved ex-manufacturer price; DPMQ = Dispensed Price for Maximum Quantity; MBS = Medicare Benefits Schedule; PBAC = Pharmaceutical Benefits Advisory Committee; PBS = Pharmaceutical Benefits Scheme; PSD = Public Summary Document.</w:t>
      </w:r>
    </w:p>
    <w:p w14:paraId="4879AF50" w14:textId="2AAAAA00" w:rsidR="000E5FB3" w:rsidRPr="004F56D0" w:rsidRDefault="000E5FB3" w:rsidP="000E5FB3">
      <w:pPr>
        <w:pStyle w:val="COMESnumberedpara"/>
      </w:pPr>
      <w:r w:rsidRPr="00625E83">
        <w:rPr>
          <w:rFonts w:cstheme="minorHAnsi"/>
          <w:szCs w:val="24"/>
        </w:rPr>
        <w:fldChar w:fldCharType="begin"/>
      </w:r>
      <w:r w:rsidRPr="00625E83">
        <w:rPr>
          <w:rFonts w:cstheme="minorHAnsi"/>
          <w:szCs w:val="24"/>
        </w:rPr>
        <w:instrText xml:space="preserve"> REF _Ref209010334 \h  \* MERGEFORMAT </w:instrText>
      </w:r>
      <w:r w:rsidRPr="00625E83">
        <w:rPr>
          <w:rFonts w:cstheme="minorHAnsi"/>
          <w:szCs w:val="24"/>
        </w:rPr>
      </w:r>
      <w:r w:rsidRPr="00625E83">
        <w:rPr>
          <w:rFonts w:cstheme="minorHAnsi"/>
          <w:szCs w:val="24"/>
        </w:rPr>
        <w:fldChar w:fldCharType="separate"/>
      </w:r>
      <w:r w:rsidR="0078760A" w:rsidRPr="0078760A">
        <w:rPr>
          <w:rFonts w:cstheme="minorHAnsi"/>
          <w:szCs w:val="24"/>
        </w:rPr>
        <w:t xml:space="preserve">Table </w:t>
      </w:r>
      <w:r w:rsidR="0078760A" w:rsidRPr="0078760A">
        <w:rPr>
          <w:rFonts w:cstheme="minorHAnsi"/>
          <w:noProof/>
          <w:szCs w:val="24"/>
        </w:rPr>
        <w:t>23</w:t>
      </w:r>
      <w:r w:rsidRPr="00625E83">
        <w:rPr>
          <w:rFonts w:cstheme="minorHAnsi"/>
          <w:szCs w:val="24"/>
        </w:rPr>
        <w:fldChar w:fldCharType="end"/>
      </w:r>
      <w:r w:rsidRPr="00FD2679">
        <w:rPr>
          <w:rFonts w:cstheme="minorHAnsi"/>
          <w:szCs w:val="24"/>
        </w:rPr>
        <w:t xml:space="preserve"> presents</w:t>
      </w:r>
      <w:r w:rsidRPr="004F56D0">
        <w:t xml:space="preserve"> the estimated use and financial implications of listing </w:t>
      </w:r>
      <w:proofErr w:type="spellStart"/>
      <w:r w:rsidRPr="004F56D0">
        <w:t>tezepelumab</w:t>
      </w:r>
      <w:proofErr w:type="spellEnd"/>
      <w:r w:rsidRPr="004F56D0">
        <w:t xml:space="preserve"> for patients with eosinophilic</w:t>
      </w:r>
      <w:r>
        <w:t xml:space="preserve"> or </w:t>
      </w:r>
      <w:r w:rsidRPr="004F56D0">
        <w:t xml:space="preserve">allergic SUA based on published prices. </w:t>
      </w:r>
    </w:p>
    <w:p w14:paraId="7F4760D5" w14:textId="76C9E567" w:rsidR="000E5FB3" w:rsidRPr="004F56D0" w:rsidRDefault="000E5FB3" w:rsidP="000E5FB3">
      <w:pPr>
        <w:pStyle w:val="TableFigureHeading"/>
      </w:pPr>
      <w:bookmarkStart w:id="128" w:name="_Ref209010334"/>
      <w:bookmarkStart w:id="129" w:name="_Hlk206257600"/>
      <w:r w:rsidRPr="004F56D0">
        <w:rPr>
          <w:szCs w:val="18"/>
        </w:rPr>
        <w:t xml:space="preserve">Table </w:t>
      </w:r>
      <w:r w:rsidRPr="004F56D0">
        <w:rPr>
          <w:szCs w:val="18"/>
        </w:rPr>
        <w:fldChar w:fldCharType="begin"/>
      </w:r>
      <w:r w:rsidRPr="004F56D0">
        <w:rPr>
          <w:szCs w:val="18"/>
        </w:rPr>
        <w:instrText xml:space="preserve"> SEQ Table \* ARABIC </w:instrText>
      </w:r>
      <w:r w:rsidRPr="004F56D0">
        <w:rPr>
          <w:szCs w:val="18"/>
        </w:rPr>
        <w:fldChar w:fldCharType="separate"/>
      </w:r>
      <w:r w:rsidR="0078760A">
        <w:rPr>
          <w:noProof/>
          <w:szCs w:val="18"/>
        </w:rPr>
        <w:t>23</w:t>
      </w:r>
      <w:r w:rsidRPr="004F56D0">
        <w:rPr>
          <w:noProof/>
          <w:szCs w:val="18"/>
        </w:rPr>
        <w:fldChar w:fldCharType="end"/>
      </w:r>
      <w:bookmarkEnd w:id="128"/>
      <w:r w:rsidRPr="004F56D0">
        <w:rPr>
          <w:szCs w:val="18"/>
        </w:rPr>
        <w:t>:</w:t>
      </w:r>
      <w:r w:rsidRPr="004F56D0">
        <w:t xml:space="preserve"> Estimated use and financial implications (eosinophilic or allergic SUA) – based on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eosinophilic or allergic SUA) – based on published prices"/>
      </w:tblPr>
      <w:tblGrid>
        <w:gridCol w:w="2251"/>
        <w:gridCol w:w="1129"/>
        <w:gridCol w:w="1127"/>
        <w:gridCol w:w="1127"/>
        <w:gridCol w:w="1127"/>
        <w:gridCol w:w="1127"/>
        <w:gridCol w:w="1129"/>
      </w:tblGrid>
      <w:tr w:rsidR="000E5FB3" w:rsidRPr="004F56D0" w14:paraId="45366BF7" w14:textId="77777777" w:rsidTr="000343C1">
        <w:trPr>
          <w:tblHeader/>
        </w:trPr>
        <w:tc>
          <w:tcPr>
            <w:tcW w:w="1248" w:type="pct"/>
            <w:vAlign w:val="center"/>
          </w:tcPr>
          <w:p w14:paraId="705AC43C" w14:textId="77777777" w:rsidR="000E5FB3" w:rsidRPr="004F56D0" w:rsidRDefault="000E5FB3" w:rsidP="000343C1">
            <w:pPr>
              <w:keepNext/>
              <w:jc w:val="left"/>
              <w:rPr>
                <w:rFonts w:ascii="Arial Narrow" w:eastAsiaTheme="majorEastAsia" w:hAnsi="Arial Narrow" w:cstheme="majorBidi"/>
                <w:b/>
                <w:bCs/>
                <w:sz w:val="20"/>
              </w:rPr>
            </w:pPr>
          </w:p>
        </w:tc>
        <w:tc>
          <w:tcPr>
            <w:tcW w:w="626" w:type="pct"/>
            <w:vAlign w:val="center"/>
          </w:tcPr>
          <w:p w14:paraId="6527318C" w14:textId="77777777" w:rsidR="000E5FB3" w:rsidRPr="004F56D0" w:rsidRDefault="000E5FB3" w:rsidP="000343C1">
            <w:pPr>
              <w:keepNext/>
              <w:jc w:val="center"/>
              <w:rPr>
                <w:rFonts w:ascii="Arial Narrow" w:eastAsiaTheme="majorEastAsia" w:hAnsi="Arial Narrow" w:cstheme="majorBidi"/>
                <w:b/>
                <w:bCs/>
                <w:sz w:val="20"/>
              </w:rPr>
            </w:pPr>
            <w:r w:rsidRPr="004F56D0">
              <w:rPr>
                <w:rFonts w:ascii="Arial Narrow" w:eastAsiaTheme="majorEastAsia" w:hAnsi="Arial Narrow" w:cstheme="majorBidi"/>
                <w:b/>
                <w:bCs/>
                <w:sz w:val="20"/>
              </w:rPr>
              <w:t>Year 1</w:t>
            </w:r>
          </w:p>
        </w:tc>
        <w:tc>
          <w:tcPr>
            <w:tcW w:w="625" w:type="pct"/>
            <w:vAlign w:val="center"/>
          </w:tcPr>
          <w:p w14:paraId="2BA4BC86" w14:textId="77777777" w:rsidR="000E5FB3" w:rsidRPr="004F56D0" w:rsidRDefault="000E5FB3" w:rsidP="000343C1">
            <w:pPr>
              <w:keepNext/>
              <w:jc w:val="center"/>
              <w:rPr>
                <w:rFonts w:ascii="Arial Narrow" w:eastAsiaTheme="majorEastAsia" w:hAnsi="Arial Narrow" w:cstheme="majorBidi"/>
                <w:b/>
                <w:bCs/>
                <w:sz w:val="20"/>
              </w:rPr>
            </w:pPr>
            <w:r w:rsidRPr="004F56D0">
              <w:rPr>
                <w:rFonts w:ascii="Arial Narrow" w:eastAsiaTheme="majorEastAsia" w:hAnsi="Arial Narrow" w:cstheme="majorBidi"/>
                <w:b/>
                <w:bCs/>
                <w:sz w:val="20"/>
              </w:rPr>
              <w:t>Year 2</w:t>
            </w:r>
          </w:p>
        </w:tc>
        <w:tc>
          <w:tcPr>
            <w:tcW w:w="625" w:type="pct"/>
            <w:vAlign w:val="center"/>
          </w:tcPr>
          <w:p w14:paraId="69E13366" w14:textId="77777777" w:rsidR="000E5FB3" w:rsidRPr="004F56D0" w:rsidRDefault="000E5FB3" w:rsidP="000343C1">
            <w:pPr>
              <w:keepNext/>
              <w:jc w:val="center"/>
              <w:rPr>
                <w:rFonts w:ascii="Arial Narrow" w:eastAsiaTheme="majorEastAsia" w:hAnsi="Arial Narrow" w:cstheme="majorBidi"/>
                <w:b/>
                <w:bCs/>
                <w:sz w:val="20"/>
              </w:rPr>
            </w:pPr>
            <w:r w:rsidRPr="004F56D0">
              <w:rPr>
                <w:rFonts w:ascii="Arial Narrow" w:eastAsiaTheme="majorEastAsia" w:hAnsi="Arial Narrow" w:cstheme="majorBidi"/>
                <w:b/>
                <w:bCs/>
                <w:sz w:val="20"/>
              </w:rPr>
              <w:t>Year 3</w:t>
            </w:r>
          </w:p>
        </w:tc>
        <w:tc>
          <w:tcPr>
            <w:tcW w:w="625" w:type="pct"/>
            <w:vAlign w:val="center"/>
          </w:tcPr>
          <w:p w14:paraId="7F7DBE45" w14:textId="77777777" w:rsidR="000E5FB3" w:rsidRPr="004F56D0" w:rsidRDefault="000E5FB3" w:rsidP="000343C1">
            <w:pPr>
              <w:keepNext/>
              <w:jc w:val="center"/>
              <w:rPr>
                <w:rFonts w:ascii="Arial Narrow" w:eastAsiaTheme="majorEastAsia" w:hAnsi="Arial Narrow" w:cstheme="majorBidi"/>
                <w:b/>
                <w:bCs/>
                <w:sz w:val="20"/>
              </w:rPr>
            </w:pPr>
            <w:r w:rsidRPr="004F56D0">
              <w:rPr>
                <w:rFonts w:ascii="Arial Narrow" w:eastAsiaTheme="majorEastAsia" w:hAnsi="Arial Narrow" w:cstheme="majorBidi"/>
                <w:b/>
                <w:bCs/>
                <w:sz w:val="20"/>
              </w:rPr>
              <w:t>Year 4</w:t>
            </w:r>
          </w:p>
        </w:tc>
        <w:tc>
          <w:tcPr>
            <w:tcW w:w="625" w:type="pct"/>
            <w:vAlign w:val="center"/>
          </w:tcPr>
          <w:p w14:paraId="15F964B1" w14:textId="77777777" w:rsidR="000E5FB3" w:rsidRPr="004F56D0" w:rsidRDefault="000E5FB3" w:rsidP="000343C1">
            <w:pPr>
              <w:keepNext/>
              <w:jc w:val="center"/>
              <w:rPr>
                <w:rFonts w:ascii="Arial Narrow" w:eastAsiaTheme="majorEastAsia" w:hAnsi="Arial Narrow" w:cstheme="majorBidi"/>
                <w:b/>
                <w:bCs/>
                <w:sz w:val="20"/>
              </w:rPr>
            </w:pPr>
            <w:r w:rsidRPr="004F56D0">
              <w:rPr>
                <w:rFonts w:ascii="Arial Narrow" w:eastAsiaTheme="majorEastAsia" w:hAnsi="Arial Narrow" w:cstheme="majorBidi"/>
                <w:b/>
                <w:bCs/>
                <w:sz w:val="20"/>
              </w:rPr>
              <w:t>Year 5</w:t>
            </w:r>
          </w:p>
        </w:tc>
        <w:tc>
          <w:tcPr>
            <w:tcW w:w="626" w:type="pct"/>
            <w:vAlign w:val="center"/>
          </w:tcPr>
          <w:p w14:paraId="1B988516" w14:textId="77777777" w:rsidR="000E5FB3" w:rsidRPr="004F56D0" w:rsidRDefault="000E5FB3" w:rsidP="000343C1">
            <w:pPr>
              <w:keepNext/>
              <w:jc w:val="center"/>
              <w:rPr>
                <w:rFonts w:ascii="Arial Narrow" w:eastAsiaTheme="majorEastAsia" w:hAnsi="Arial Narrow" w:cstheme="majorBidi"/>
                <w:b/>
                <w:bCs/>
                <w:sz w:val="20"/>
              </w:rPr>
            </w:pPr>
            <w:r w:rsidRPr="004F56D0">
              <w:rPr>
                <w:rFonts w:ascii="Arial Narrow" w:eastAsiaTheme="majorEastAsia" w:hAnsi="Arial Narrow" w:cstheme="majorBidi"/>
                <w:b/>
                <w:bCs/>
                <w:sz w:val="20"/>
              </w:rPr>
              <w:t>Year 6</w:t>
            </w:r>
          </w:p>
        </w:tc>
      </w:tr>
      <w:tr w:rsidR="000E5FB3" w:rsidRPr="004F56D0" w14:paraId="3F5C20F7" w14:textId="77777777" w:rsidTr="000343C1">
        <w:tc>
          <w:tcPr>
            <w:tcW w:w="5000" w:type="pct"/>
            <w:gridSpan w:val="7"/>
            <w:vAlign w:val="center"/>
          </w:tcPr>
          <w:p w14:paraId="53D8CDCD" w14:textId="77777777" w:rsidR="000E5FB3" w:rsidRPr="004F56D0" w:rsidRDefault="000E5FB3" w:rsidP="000343C1">
            <w:pPr>
              <w:keepNext/>
              <w:jc w:val="left"/>
              <w:rPr>
                <w:rFonts w:ascii="Arial Narrow" w:eastAsiaTheme="majorEastAsia" w:hAnsi="Arial Narrow" w:cstheme="majorBidi"/>
                <w:b/>
                <w:bCs/>
                <w:color w:val="000000"/>
                <w:sz w:val="20"/>
              </w:rPr>
            </w:pPr>
            <w:r w:rsidRPr="004F56D0">
              <w:rPr>
                <w:rFonts w:ascii="Arial Narrow" w:eastAsiaTheme="majorEastAsia" w:hAnsi="Arial Narrow" w:cstheme="majorBidi"/>
                <w:b/>
                <w:bCs/>
                <w:color w:val="000000"/>
                <w:sz w:val="20"/>
              </w:rPr>
              <w:t>Estimated extent of use</w:t>
            </w:r>
          </w:p>
        </w:tc>
      </w:tr>
      <w:tr w:rsidR="000E5FB3" w:rsidRPr="004F56D0" w14:paraId="7E6F3732" w14:textId="77777777" w:rsidTr="000343C1">
        <w:tc>
          <w:tcPr>
            <w:tcW w:w="1248" w:type="pct"/>
            <w:tcBorders>
              <w:bottom w:val="single" w:sz="4" w:space="0" w:color="auto"/>
            </w:tcBorders>
            <w:vAlign w:val="center"/>
          </w:tcPr>
          <w:p w14:paraId="4C69885C" w14:textId="77777777" w:rsidR="000E5FB3" w:rsidRPr="004F56D0" w:rsidRDefault="000E5FB3" w:rsidP="000343C1">
            <w:pPr>
              <w:keepNext/>
              <w:keepLines/>
              <w:jc w:val="left"/>
              <w:rPr>
                <w:rFonts w:ascii="Times" w:eastAsiaTheme="majorEastAsia" w:hAnsi="Times" w:cstheme="majorBidi"/>
                <w:bCs/>
                <w:sz w:val="20"/>
              </w:rPr>
            </w:pPr>
            <w:r w:rsidRPr="004F56D0">
              <w:rPr>
                <w:rFonts w:ascii="Arial Narrow" w:eastAsiaTheme="majorEastAsia" w:hAnsi="Arial Narrow" w:cstheme="majorBidi"/>
                <w:bCs/>
                <w:sz w:val="20"/>
              </w:rPr>
              <w:t xml:space="preserve">Number of scripts of </w:t>
            </w:r>
            <w:proofErr w:type="spellStart"/>
            <w:r w:rsidRPr="004F56D0">
              <w:rPr>
                <w:rFonts w:ascii="Arial Narrow" w:eastAsiaTheme="majorEastAsia" w:hAnsi="Arial Narrow" w:cstheme="majorBidi"/>
                <w:bCs/>
                <w:sz w:val="20"/>
              </w:rPr>
              <w:t>tezepelumab</w:t>
            </w:r>
            <w:proofErr w:type="spellEnd"/>
            <w:r w:rsidRPr="004F56D0">
              <w:rPr>
                <w:rFonts w:ascii="Arial Narrow" w:eastAsiaTheme="majorEastAsia" w:hAnsi="Arial Narrow" w:cstheme="majorBidi"/>
                <w:bCs/>
                <w:sz w:val="20"/>
              </w:rPr>
              <w:t xml:space="preserve"> dispensed</w:t>
            </w:r>
          </w:p>
        </w:tc>
        <w:tc>
          <w:tcPr>
            <w:tcW w:w="626" w:type="pct"/>
            <w:tcBorders>
              <w:bottom w:val="single" w:sz="4" w:space="0" w:color="auto"/>
            </w:tcBorders>
            <w:vAlign w:val="center"/>
          </w:tcPr>
          <w:p w14:paraId="07A10917" w14:textId="3C9C1469" w:rsidR="000E5FB3" w:rsidRPr="00B363A6" w:rsidRDefault="00B14769" w:rsidP="000343C1">
            <w:pPr>
              <w:keepNext/>
              <w:keepLines/>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B363A6">
              <w:rPr>
                <w:rFonts w:ascii="Arial Narrow" w:eastAsiaTheme="majorEastAsia" w:hAnsi="Arial Narrow" w:cstheme="majorBidi"/>
                <w:bCs/>
                <w:sz w:val="20"/>
                <w:vertAlign w:val="superscript"/>
              </w:rPr>
              <w:t>1</w:t>
            </w:r>
          </w:p>
        </w:tc>
        <w:tc>
          <w:tcPr>
            <w:tcW w:w="625" w:type="pct"/>
            <w:tcBorders>
              <w:bottom w:val="single" w:sz="4" w:space="0" w:color="auto"/>
            </w:tcBorders>
            <w:vAlign w:val="center"/>
          </w:tcPr>
          <w:p w14:paraId="47E67EC3" w14:textId="6D30EAAD" w:rsidR="000E5FB3" w:rsidRPr="00395C67" w:rsidRDefault="00B14769" w:rsidP="000343C1">
            <w:pPr>
              <w:keepNext/>
              <w:keepLines/>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395C67">
              <w:rPr>
                <w:rFonts w:ascii="Arial Narrow" w:eastAsiaTheme="majorEastAsia" w:hAnsi="Arial Narrow" w:cstheme="majorBidi"/>
                <w:bCs/>
                <w:sz w:val="20"/>
                <w:vertAlign w:val="superscript"/>
              </w:rPr>
              <w:t>2</w:t>
            </w:r>
          </w:p>
        </w:tc>
        <w:tc>
          <w:tcPr>
            <w:tcW w:w="625" w:type="pct"/>
            <w:tcBorders>
              <w:bottom w:val="single" w:sz="4" w:space="0" w:color="auto"/>
            </w:tcBorders>
            <w:vAlign w:val="center"/>
          </w:tcPr>
          <w:p w14:paraId="7099DCA6" w14:textId="2D42BAC7" w:rsidR="000E5FB3" w:rsidRPr="009135F1" w:rsidRDefault="00B14769" w:rsidP="000343C1">
            <w:pPr>
              <w:keepNext/>
              <w:keepLines/>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9135F1">
              <w:rPr>
                <w:rFonts w:ascii="Arial Narrow" w:eastAsiaTheme="majorEastAsia" w:hAnsi="Arial Narrow" w:cstheme="majorBidi"/>
                <w:bCs/>
                <w:sz w:val="20"/>
                <w:vertAlign w:val="superscript"/>
              </w:rPr>
              <w:t>3</w:t>
            </w:r>
          </w:p>
        </w:tc>
        <w:tc>
          <w:tcPr>
            <w:tcW w:w="625" w:type="pct"/>
            <w:tcBorders>
              <w:bottom w:val="single" w:sz="4" w:space="0" w:color="auto"/>
            </w:tcBorders>
            <w:vAlign w:val="center"/>
          </w:tcPr>
          <w:p w14:paraId="59B2B607" w14:textId="62070D91" w:rsidR="000E5FB3" w:rsidRPr="009135F1" w:rsidRDefault="00B14769" w:rsidP="000343C1">
            <w:pPr>
              <w:keepNext/>
              <w:keepLines/>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9135F1">
              <w:rPr>
                <w:rFonts w:ascii="Arial Narrow" w:eastAsiaTheme="majorEastAsia" w:hAnsi="Arial Narrow" w:cstheme="majorBidi"/>
                <w:bCs/>
                <w:sz w:val="20"/>
                <w:vertAlign w:val="superscript"/>
              </w:rPr>
              <w:t>4</w:t>
            </w:r>
          </w:p>
        </w:tc>
        <w:tc>
          <w:tcPr>
            <w:tcW w:w="625" w:type="pct"/>
            <w:tcBorders>
              <w:bottom w:val="single" w:sz="4" w:space="0" w:color="auto"/>
            </w:tcBorders>
            <w:vAlign w:val="center"/>
          </w:tcPr>
          <w:p w14:paraId="37FE0FC6" w14:textId="777FD5FC" w:rsidR="000E5FB3" w:rsidRPr="005A74C0" w:rsidRDefault="00B14769" w:rsidP="000343C1">
            <w:pPr>
              <w:keepNext/>
              <w:keepLines/>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5A74C0">
              <w:rPr>
                <w:rFonts w:ascii="Arial Narrow" w:eastAsiaTheme="majorEastAsia" w:hAnsi="Arial Narrow" w:cstheme="majorBidi"/>
                <w:bCs/>
                <w:sz w:val="20"/>
                <w:vertAlign w:val="superscript"/>
              </w:rPr>
              <w:t>5</w:t>
            </w:r>
          </w:p>
        </w:tc>
        <w:tc>
          <w:tcPr>
            <w:tcW w:w="626" w:type="pct"/>
            <w:tcBorders>
              <w:bottom w:val="single" w:sz="4" w:space="0" w:color="auto"/>
            </w:tcBorders>
            <w:vAlign w:val="center"/>
          </w:tcPr>
          <w:p w14:paraId="28AFE19E" w14:textId="22E9B9FC" w:rsidR="000E5FB3" w:rsidRPr="00991CF6" w:rsidRDefault="00B14769" w:rsidP="000343C1">
            <w:pPr>
              <w:keepNext/>
              <w:keepLines/>
              <w:jc w:val="center"/>
              <w:rPr>
                <w:rFonts w:ascii="Arial Narrow" w:eastAsiaTheme="majorEastAsia" w:hAnsi="Arial Narrow" w:cstheme="majorBidi"/>
                <w:bCs/>
                <w:color w:val="000000"/>
                <w:sz w:val="20"/>
                <w:vertAlign w:val="superscript"/>
              </w:rPr>
            </w:pPr>
            <w:r w:rsidRPr="00B14769">
              <w:rPr>
                <w:rFonts w:ascii="Arial Narrow" w:eastAsiaTheme="majorEastAsia" w:hAnsi="Arial Narrow" w:cstheme="majorBidi"/>
                <w:bCs/>
                <w:sz w:val="20"/>
                <w:highlight w:val="black"/>
              </w:rPr>
              <w:t>&amp;&amp;&amp;&amp;</w:t>
            </w:r>
            <w:r w:rsidR="00991CF6">
              <w:rPr>
                <w:rFonts w:ascii="Arial Narrow" w:eastAsiaTheme="majorEastAsia" w:hAnsi="Arial Narrow" w:cstheme="majorBidi"/>
                <w:bCs/>
                <w:sz w:val="20"/>
                <w:vertAlign w:val="superscript"/>
              </w:rPr>
              <w:t>6</w:t>
            </w:r>
          </w:p>
        </w:tc>
      </w:tr>
      <w:tr w:rsidR="000E5FB3" w:rsidRPr="004F56D0" w14:paraId="60A8F5F7" w14:textId="77777777" w:rsidTr="000343C1">
        <w:tc>
          <w:tcPr>
            <w:tcW w:w="1248" w:type="pct"/>
            <w:tcBorders>
              <w:right w:val="nil"/>
            </w:tcBorders>
            <w:vAlign w:val="center"/>
          </w:tcPr>
          <w:p w14:paraId="0BA58057" w14:textId="77777777" w:rsidR="000E5FB3" w:rsidRPr="004F56D0" w:rsidRDefault="000E5FB3" w:rsidP="000343C1">
            <w:pPr>
              <w:keepNext/>
              <w:keepLines/>
              <w:jc w:val="left"/>
              <w:rPr>
                <w:rFonts w:ascii="Arial Narrow" w:eastAsiaTheme="majorEastAsia" w:hAnsi="Arial Narrow" w:cstheme="majorBidi"/>
                <w:b/>
                <w:sz w:val="20"/>
              </w:rPr>
            </w:pPr>
            <w:r w:rsidRPr="004F56D0">
              <w:rPr>
                <w:rFonts w:ascii="Arial Narrow" w:eastAsiaTheme="majorEastAsia" w:hAnsi="Arial Narrow" w:cstheme="majorBidi"/>
                <w:b/>
                <w:sz w:val="20"/>
              </w:rPr>
              <w:t xml:space="preserve">From replacing </w:t>
            </w:r>
            <w:r w:rsidRPr="004F56D0">
              <w:rPr>
                <w:rFonts w:ascii="Arial Narrow" w:eastAsiaTheme="majorEastAsia" w:hAnsi="Arial Narrow" w:cstheme="majorBidi"/>
                <w:b/>
                <w:sz w:val="20"/>
                <w:vertAlign w:val="superscript"/>
              </w:rPr>
              <w:t>a</w:t>
            </w:r>
            <w:r w:rsidRPr="004F56D0">
              <w:rPr>
                <w:rFonts w:ascii="Arial Narrow" w:eastAsiaTheme="majorEastAsia" w:hAnsi="Arial Narrow" w:cstheme="majorBidi"/>
                <w:b/>
                <w:sz w:val="20"/>
              </w:rPr>
              <w:t>:</w:t>
            </w:r>
          </w:p>
        </w:tc>
        <w:tc>
          <w:tcPr>
            <w:tcW w:w="626" w:type="pct"/>
            <w:tcBorders>
              <w:left w:val="nil"/>
              <w:right w:val="nil"/>
            </w:tcBorders>
            <w:vAlign w:val="center"/>
          </w:tcPr>
          <w:p w14:paraId="673930CA" w14:textId="77777777" w:rsidR="000E5FB3" w:rsidRPr="004F56D0" w:rsidRDefault="000E5FB3" w:rsidP="000343C1">
            <w:pPr>
              <w:keepNext/>
              <w:keepLines/>
              <w:jc w:val="center"/>
              <w:rPr>
                <w:rFonts w:ascii="Arial Narrow" w:eastAsiaTheme="majorEastAsia" w:hAnsi="Arial Narrow" w:cstheme="majorBidi"/>
                <w:b/>
                <w:color w:val="000000"/>
                <w:sz w:val="20"/>
              </w:rPr>
            </w:pPr>
          </w:p>
        </w:tc>
        <w:tc>
          <w:tcPr>
            <w:tcW w:w="625" w:type="pct"/>
            <w:tcBorders>
              <w:left w:val="nil"/>
              <w:right w:val="nil"/>
            </w:tcBorders>
            <w:vAlign w:val="center"/>
          </w:tcPr>
          <w:p w14:paraId="1811B583" w14:textId="77777777" w:rsidR="000E5FB3" w:rsidRPr="004F56D0" w:rsidRDefault="000E5FB3" w:rsidP="000343C1">
            <w:pPr>
              <w:keepNext/>
              <w:keepLines/>
              <w:jc w:val="center"/>
              <w:rPr>
                <w:rFonts w:ascii="Arial Narrow" w:eastAsiaTheme="majorEastAsia" w:hAnsi="Arial Narrow" w:cstheme="majorBidi"/>
                <w:b/>
                <w:color w:val="000000"/>
                <w:sz w:val="20"/>
              </w:rPr>
            </w:pPr>
          </w:p>
        </w:tc>
        <w:tc>
          <w:tcPr>
            <w:tcW w:w="625" w:type="pct"/>
            <w:tcBorders>
              <w:left w:val="nil"/>
              <w:right w:val="nil"/>
            </w:tcBorders>
            <w:vAlign w:val="center"/>
          </w:tcPr>
          <w:p w14:paraId="7A6D2D4A" w14:textId="77777777" w:rsidR="000E5FB3" w:rsidRPr="004F56D0" w:rsidRDefault="000E5FB3" w:rsidP="000343C1">
            <w:pPr>
              <w:keepNext/>
              <w:keepLines/>
              <w:jc w:val="center"/>
              <w:rPr>
                <w:rFonts w:ascii="Arial Narrow" w:eastAsiaTheme="majorEastAsia" w:hAnsi="Arial Narrow" w:cstheme="majorBidi"/>
                <w:b/>
                <w:color w:val="000000"/>
                <w:sz w:val="20"/>
              </w:rPr>
            </w:pPr>
          </w:p>
        </w:tc>
        <w:tc>
          <w:tcPr>
            <w:tcW w:w="625" w:type="pct"/>
            <w:tcBorders>
              <w:left w:val="nil"/>
              <w:right w:val="nil"/>
            </w:tcBorders>
            <w:vAlign w:val="center"/>
          </w:tcPr>
          <w:p w14:paraId="496F73C2" w14:textId="77777777" w:rsidR="000E5FB3" w:rsidRPr="004F56D0" w:rsidRDefault="000E5FB3" w:rsidP="000343C1">
            <w:pPr>
              <w:keepNext/>
              <w:keepLines/>
              <w:jc w:val="center"/>
              <w:rPr>
                <w:rFonts w:ascii="Arial Narrow" w:eastAsiaTheme="majorEastAsia" w:hAnsi="Arial Narrow" w:cstheme="majorBidi"/>
                <w:b/>
                <w:color w:val="000000"/>
                <w:sz w:val="20"/>
              </w:rPr>
            </w:pPr>
          </w:p>
        </w:tc>
        <w:tc>
          <w:tcPr>
            <w:tcW w:w="625" w:type="pct"/>
            <w:tcBorders>
              <w:left w:val="nil"/>
              <w:right w:val="nil"/>
            </w:tcBorders>
            <w:vAlign w:val="center"/>
          </w:tcPr>
          <w:p w14:paraId="53B8A754" w14:textId="77777777" w:rsidR="000E5FB3" w:rsidRPr="004F56D0" w:rsidRDefault="000E5FB3" w:rsidP="000343C1">
            <w:pPr>
              <w:keepNext/>
              <w:keepLines/>
              <w:jc w:val="center"/>
              <w:rPr>
                <w:rFonts w:ascii="Arial Narrow" w:eastAsiaTheme="majorEastAsia" w:hAnsi="Arial Narrow" w:cstheme="majorBidi"/>
                <w:b/>
                <w:color w:val="000000"/>
                <w:sz w:val="20"/>
              </w:rPr>
            </w:pPr>
          </w:p>
        </w:tc>
        <w:tc>
          <w:tcPr>
            <w:tcW w:w="626" w:type="pct"/>
            <w:tcBorders>
              <w:left w:val="nil"/>
            </w:tcBorders>
            <w:vAlign w:val="center"/>
          </w:tcPr>
          <w:p w14:paraId="6DF810CA" w14:textId="77777777" w:rsidR="000E5FB3" w:rsidRPr="004F56D0" w:rsidRDefault="000E5FB3" w:rsidP="000343C1">
            <w:pPr>
              <w:keepNext/>
              <w:keepLines/>
              <w:jc w:val="center"/>
              <w:rPr>
                <w:rFonts w:ascii="Arial Narrow" w:eastAsiaTheme="majorEastAsia" w:hAnsi="Arial Narrow" w:cstheme="majorBidi"/>
                <w:b/>
                <w:color w:val="000000"/>
                <w:sz w:val="20"/>
              </w:rPr>
            </w:pPr>
          </w:p>
        </w:tc>
      </w:tr>
      <w:tr w:rsidR="000E5FB3" w:rsidRPr="004F56D0" w14:paraId="2FAAC600" w14:textId="77777777" w:rsidTr="000343C1">
        <w:tc>
          <w:tcPr>
            <w:tcW w:w="1248" w:type="pct"/>
            <w:vAlign w:val="center"/>
          </w:tcPr>
          <w:p w14:paraId="4CF0E3D0"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Dupilumab</w:t>
            </w:r>
          </w:p>
        </w:tc>
        <w:tc>
          <w:tcPr>
            <w:tcW w:w="626" w:type="pct"/>
          </w:tcPr>
          <w:p w14:paraId="50608FA8" w14:textId="794F2666"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6F0221">
              <w:rPr>
                <w:rFonts w:ascii="Arial Narrow" w:eastAsiaTheme="majorEastAsia" w:hAnsi="Arial Narrow" w:cstheme="majorBidi"/>
                <w:bCs/>
                <w:sz w:val="20"/>
                <w:vertAlign w:val="superscript"/>
              </w:rPr>
              <w:t>7</w:t>
            </w:r>
            <w:r w:rsidR="000E5FB3" w:rsidRPr="004F56D0">
              <w:rPr>
                <w:rFonts w:ascii="Arial Narrow" w:eastAsiaTheme="majorEastAsia" w:hAnsi="Arial Narrow" w:cstheme="majorBidi"/>
                <w:bCs/>
                <w:sz w:val="20"/>
              </w:rPr>
              <w:t xml:space="preserve"> </w:t>
            </w:r>
          </w:p>
        </w:tc>
        <w:tc>
          <w:tcPr>
            <w:tcW w:w="625" w:type="pct"/>
          </w:tcPr>
          <w:p w14:paraId="23740BDB" w14:textId="2E5D9C9F"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B363A6">
              <w:rPr>
                <w:rFonts w:ascii="Arial Narrow" w:eastAsiaTheme="majorEastAsia" w:hAnsi="Arial Narrow" w:cstheme="majorBidi"/>
                <w:bCs/>
                <w:sz w:val="20"/>
                <w:vertAlign w:val="superscript"/>
              </w:rPr>
              <w:t>1</w:t>
            </w:r>
            <w:r w:rsidR="000E5FB3" w:rsidRPr="004F56D0">
              <w:rPr>
                <w:rFonts w:ascii="Arial Narrow" w:eastAsiaTheme="majorEastAsia" w:hAnsi="Arial Narrow" w:cstheme="majorBidi"/>
                <w:bCs/>
                <w:sz w:val="20"/>
              </w:rPr>
              <w:t xml:space="preserve"> </w:t>
            </w:r>
          </w:p>
        </w:tc>
        <w:tc>
          <w:tcPr>
            <w:tcW w:w="625" w:type="pct"/>
          </w:tcPr>
          <w:p w14:paraId="35F792A5" w14:textId="5120B6FF"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395C67">
              <w:rPr>
                <w:rFonts w:ascii="Arial Narrow" w:eastAsiaTheme="majorEastAsia" w:hAnsi="Arial Narrow" w:cstheme="majorBidi"/>
                <w:bCs/>
                <w:sz w:val="20"/>
                <w:vertAlign w:val="superscript"/>
              </w:rPr>
              <w:t>2</w:t>
            </w:r>
            <w:r w:rsidR="000E5FB3" w:rsidRPr="004F56D0">
              <w:rPr>
                <w:rFonts w:ascii="Arial Narrow" w:eastAsiaTheme="majorEastAsia" w:hAnsi="Arial Narrow" w:cstheme="majorBidi"/>
                <w:bCs/>
                <w:sz w:val="20"/>
              </w:rPr>
              <w:t xml:space="preserve"> </w:t>
            </w:r>
          </w:p>
        </w:tc>
        <w:tc>
          <w:tcPr>
            <w:tcW w:w="625" w:type="pct"/>
          </w:tcPr>
          <w:p w14:paraId="75C1A5B8" w14:textId="33FC1149"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395C67">
              <w:rPr>
                <w:rFonts w:ascii="Arial Narrow" w:eastAsiaTheme="majorEastAsia" w:hAnsi="Arial Narrow" w:cstheme="majorBidi"/>
                <w:bCs/>
                <w:sz w:val="20"/>
                <w:vertAlign w:val="superscript"/>
              </w:rPr>
              <w:t>2</w:t>
            </w:r>
            <w:r w:rsidR="000E5FB3" w:rsidRPr="004F56D0">
              <w:rPr>
                <w:rFonts w:ascii="Arial Narrow" w:eastAsiaTheme="majorEastAsia" w:hAnsi="Arial Narrow" w:cstheme="majorBidi"/>
                <w:bCs/>
                <w:sz w:val="20"/>
              </w:rPr>
              <w:t xml:space="preserve"> </w:t>
            </w:r>
          </w:p>
        </w:tc>
        <w:tc>
          <w:tcPr>
            <w:tcW w:w="625" w:type="pct"/>
          </w:tcPr>
          <w:p w14:paraId="20FF859F" w14:textId="138D51F5"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86024A">
              <w:rPr>
                <w:rFonts w:ascii="Arial Narrow" w:eastAsiaTheme="majorEastAsia" w:hAnsi="Arial Narrow" w:cstheme="majorBidi"/>
                <w:bCs/>
                <w:sz w:val="20"/>
                <w:vertAlign w:val="superscript"/>
              </w:rPr>
              <w:t>8</w:t>
            </w:r>
            <w:r w:rsidR="000E5FB3" w:rsidRPr="004F56D0">
              <w:rPr>
                <w:rFonts w:ascii="Arial Narrow" w:eastAsiaTheme="majorEastAsia" w:hAnsi="Arial Narrow" w:cstheme="majorBidi"/>
                <w:bCs/>
                <w:sz w:val="20"/>
              </w:rPr>
              <w:t xml:space="preserve"> </w:t>
            </w:r>
          </w:p>
        </w:tc>
        <w:tc>
          <w:tcPr>
            <w:tcW w:w="626" w:type="pct"/>
          </w:tcPr>
          <w:p w14:paraId="05B5EF52" w14:textId="72BAF6E2"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86024A">
              <w:rPr>
                <w:rFonts w:ascii="Arial Narrow" w:eastAsiaTheme="majorEastAsia" w:hAnsi="Arial Narrow" w:cstheme="majorBidi"/>
                <w:bCs/>
                <w:sz w:val="20"/>
                <w:vertAlign w:val="superscript"/>
              </w:rPr>
              <w:t>8</w:t>
            </w:r>
            <w:r w:rsidR="000E5FB3" w:rsidRPr="004F56D0">
              <w:rPr>
                <w:rFonts w:ascii="Arial Narrow" w:eastAsiaTheme="majorEastAsia" w:hAnsi="Arial Narrow" w:cstheme="majorBidi"/>
                <w:bCs/>
                <w:sz w:val="20"/>
              </w:rPr>
              <w:t xml:space="preserve"> </w:t>
            </w:r>
          </w:p>
        </w:tc>
      </w:tr>
      <w:tr w:rsidR="000E5FB3" w:rsidRPr="004F56D0" w14:paraId="221E3BE4" w14:textId="77777777" w:rsidTr="000343C1">
        <w:tc>
          <w:tcPr>
            <w:tcW w:w="1248" w:type="pct"/>
            <w:vAlign w:val="center"/>
          </w:tcPr>
          <w:p w14:paraId="457AC418"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Mepolizumab</w:t>
            </w:r>
          </w:p>
        </w:tc>
        <w:tc>
          <w:tcPr>
            <w:tcW w:w="626" w:type="pct"/>
          </w:tcPr>
          <w:p w14:paraId="11C19B3F" w14:textId="14BBE243"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6F0221">
              <w:rPr>
                <w:rFonts w:ascii="Arial Narrow" w:eastAsiaTheme="majorEastAsia" w:hAnsi="Arial Narrow" w:cstheme="majorBidi"/>
                <w:bCs/>
                <w:sz w:val="20"/>
                <w:vertAlign w:val="superscript"/>
              </w:rPr>
              <w:t>7</w:t>
            </w:r>
            <w:r w:rsidR="000E5FB3" w:rsidRPr="004F56D0">
              <w:rPr>
                <w:rFonts w:ascii="Arial Narrow" w:eastAsiaTheme="majorEastAsia" w:hAnsi="Arial Narrow" w:cstheme="majorBidi"/>
                <w:bCs/>
                <w:sz w:val="20"/>
              </w:rPr>
              <w:t xml:space="preserve"> </w:t>
            </w:r>
          </w:p>
        </w:tc>
        <w:tc>
          <w:tcPr>
            <w:tcW w:w="625" w:type="pct"/>
          </w:tcPr>
          <w:p w14:paraId="4B6D8126" w14:textId="6D70E361"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6F0221">
              <w:rPr>
                <w:rFonts w:ascii="Arial Narrow" w:eastAsiaTheme="majorEastAsia" w:hAnsi="Arial Narrow" w:cstheme="majorBidi"/>
                <w:bCs/>
                <w:sz w:val="20"/>
                <w:vertAlign w:val="superscript"/>
              </w:rPr>
              <w:t>7</w:t>
            </w:r>
            <w:r w:rsidR="000E5FB3" w:rsidRPr="004F56D0">
              <w:rPr>
                <w:rFonts w:ascii="Arial Narrow" w:eastAsiaTheme="majorEastAsia" w:hAnsi="Arial Narrow" w:cstheme="majorBidi"/>
                <w:bCs/>
                <w:sz w:val="20"/>
              </w:rPr>
              <w:t xml:space="preserve"> </w:t>
            </w:r>
          </w:p>
        </w:tc>
        <w:tc>
          <w:tcPr>
            <w:tcW w:w="625" w:type="pct"/>
          </w:tcPr>
          <w:p w14:paraId="430070A9" w14:textId="2C77232E" w:rsidR="000E5FB3" w:rsidRPr="00C5311A" w:rsidRDefault="00B14769" w:rsidP="000343C1">
            <w:pPr>
              <w:keepNext/>
              <w:keepLines/>
              <w:jc w:val="center"/>
              <w:rPr>
                <w:rFonts w:ascii="Arial Narrow" w:eastAsiaTheme="majorEastAsia" w:hAnsi="Arial Narrow" w:cstheme="majorBidi"/>
                <w:bCs/>
                <w:color w:val="000000"/>
                <w:sz w:val="20"/>
                <w:highlight w:val="darkGray"/>
              </w:rPr>
            </w:pPr>
            <w:r w:rsidRPr="00B14769">
              <w:rPr>
                <w:rFonts w:ascii="Arial Narrow" w:eastAsiaTheme="majorEastAsia" w:hAnsi="Arial Narrow" w:cstheme="majorBidi"/>
                <w:bCs/>
                <w:sz w:val="20"/>
                <w:highlight w:val="black"/>
              </w:rPr>
              <w:t>&amp;&amp;&amp;&amp;</w:t>
            </w:r>
            <w:r w:rsidR="00BD2157" w:rsidRPr="00BD2157">
              <w:rPr>
                <w:rFonts w:ascii="Arial Narrow" w:eastAsiaTheme="majorEastAsia" w:hAnsi="Arial Narrow" w:cstheme="majorBidi"/>
                <w:bCs/>
                <w:sz w:val="20"/>
                <w:vertAlign w:val="superscript"/>
              </w:rPr>
              <w:t>1</w:t>
            </w:r>
            <w:r w:rsidR="000E5FB3" w:rsidRPr="00BD2157">
              <w:rPr>
                <w:rFonts w:ascii="Arial Narrow" w:eastAsiaTheme="majorEastAsia" w:hAnsi="Arial Narrow" w:cstheme="majorBidi"/>
                <w:bCs/>
                <w:sz w:val="20"/>
              </w:rPr>
              <w:t xml:space="preserve"> </w:t>
            </w:r>
          </w:p>
        </w:tc>
        <w:tc>
          <w:tcPr>
            <w:tcW w:w="625" w:type="pct"/>
          </w:tcPr>
          <w:p w14:paraId="02EEE5C8" w14:textId="5B0E91F4" w:rsidR="000E5FB3" w:rsidRPr="00C5311A" w:rsidRDefault="00B14769" w:rsidP="000343C1">
            <w:pPr>
              <w:keepNext/>
              <w:keepLines/>
              <w:jc w:val="center"/>
              <w:rPr>
                <w:rFonts w:ascii="Arial Narrow" w:eastAsiaTheme="majorEastAsia" w:hAnsi="Arial Narrow" w:cstheme="majorBidi"/>
                <w:bCs/>
                <w:color w:val="000000"/>
                <w:sz w:val="20"/>
                <w:highlight w:val="darkGray"/>
              </w:rPr>
            </w:pPr>
            <w:r w:rsidRPr="00B14769">
              <w:rPr>
                <w:rFonts w:ascii="Arial Narrow" w:eastAsiaTheme="majorEastAsia" w:hAnsi="Arial Narrow" w:cstheme="majorBidi"/>
                <w:bCs/>
                <w:sz w:val="20"/>
                <w:highlight w:val="black"/>
              </w:rPr>
              <w:t>&amp;&amp;&amp;&amp;</w:t>
            </w:r>
            <w:r w:rsidR="00B363A6" w:rsidRPr="00B363A6">
              <w:rPr>
                <w:rFonts w:ascii="Arial Narrow" w:eastAsiaTheme="majorEastAsia" w:hAnsi="Arial Narrow" w:cstheme="majorBidi"/>
                <w:bCs/>
                <w:sz w:val="20"/>
                <w:vertAlign w:val="superscript"/>
              </w:rPr>
              <w:t>1</w:t>
            </w:r>
            <w:r w:rsidR="000E5FB3" w:rsidRPr="00B363A6">
              <w:rPr>
                <w:rFonts w:ascii="Arial Narrow" w:eastAsiaTheme="majorEastAsia" w:hAnsi="Arial Narrow" w:cstheme="majorBidi"/>
                <w:bCs/>
                <w:sz w:val="20"/>
              </w:rPr>
              <w:t xml:space="preserve"> </w:t>
            </w:r>
          </w:p>
        </w:tc>
        <w:tc>
          <w:tcPr>
            <w:tcW w:w="625" w:type="pct"/>
          </w:tcPr>
          <w:p w14:paraId="21F1C9BA" w14:textId="42794244"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395C67">
              <w:rPr>
                <w:rFonts w:ascii="Arial Narrow" w:eastAsiaTheme="majorEastAsia" w:hAnsi="Arial Narrow" w:cstheme="majorBidi"/>
                <w:bCs/>
                <w:sz w:val="20"/>
                <w:vertAlign w:val="superscript"/>
              </w:rPr>
              <w:t>2</w:t>
            </w:r>
            <w:r w:rsidR="000E5FB3" w:rsidRPr="004F56D0">
              <w:rPr>
                <w:rFonts w:ascii="Arial Narrow" w:eastAsiaTheme="majorEastAsia" w:hAnsi="Arial Narrow" w:cstheme="majorBidi"/>
                <w:bCs/>
                <w:sz w:val="20"/>
              </w:rPr>
              <w:t xml:space="preserve"> </w:t>
            </w:r>
          </w:p>
        </w:tc>
        <w:tc>
          <w:tcPr>
            <w:tcW w:w="626" w:type="pct"/>
          </w:tcPr>
          <w:p w14:paraId="53D4B485" w14:textId="53C59057"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395C67">
              <w:rPr>
                <w:rFonts w:ascii="Arial Narrow" w:eastAsiaTheme="majorEastAsia" w:hAnsi="Arial Narrow" w:cstheme="majorBidi"/>
                <w:bCs/>
                <w:sz w:val="20"/>
                <w:vertAlign w:val="superscript"/>
              </w:rPr>
              <w:t>2</w:t>
            </w:r>
            <w:r w:rsidR="000E5FB3" w:rsidRPr="004F56D0">
              <w:rPr>
                <w:rFonts w:ascii="Arial Narrow" w:eastAsiaTheme="majorEastAsia" w:hAnsi="Arial Narrow" w:cstheme="majorBidi"/>
                <w:bCs/>
                <w:sz w:val="20"/>
              </w:rPr>
              <w:t xml:space="preserve"> </w:t>
            </w:r>
          </w:p>
        </w:tc>
      </w:tr>
      <w:tr w:rsidR="000E5FB3" w:rsidRPr="004F56D0" w14:paraId="4EC90E08" w14:textId="77777777" w:rsidTr="000343C1">
        <w:tc>
          <w:tcPr>
            <w:tcW w:w="1248" w:type="pct"/>
            <w:vAlign w:val="center"/>
          </w:tcPr>
          <w:p w14:paraId="7CEC710B" w14:textId="77777777" w:rsidR="000E5FB3" w:rsidRPr="004F56D0" w:rsidRDefault="000E5FB3" w:rsidP="000343C1">
            <w:pPr>
              <w:keepNext/>
              <w:keepLines/>
              <w:jc w:val="left"/>
              <w:rPr>
                <w:rFonts w:ascii="Arial Narrow" w:eastAsiaTheme="majorEastAsia" w:hAnsi="Arial Narrow" w:cstheme="majorBidi"/>
                <w:bCs/>
                <w:sz w:val="20"/>
              </w:rPr>
            </w:pPr>
            <w:proofErr w:type="spellStart"/>
            <w:r w:rsidRPr="004F56D0">
              <w:rPr>
                <w:rFonts w:ascii="Arial Narrow" w:eastAsiaTheme="majorEastAsia" w:hAnsi="Arial Narrow" w:cstheme="majorBidi"/>
                <w:bCs/>
                <w:sz w:val="20"/>
              </w:rPr>
              <w:t>Benralizumab</w:t>
            </w:r>
            <w:proofErr w:type="spellEnd"/>
          </w:p>
        </w:tc>
        <w:tc>
          <w:tcPr>
            <w:tcW w:w="626" w:type="pct"/>
          </w:tcPr>
          <w:p w14:paraId="15B99D52" w14:textId="5BA2B9B9"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6F0221">
              <w:rPr>
                <w:rFonts w:ascii="Arial Narrow" w:eastAsiaTheme="majorEastAsia" w:hAnsi="Arial Narrow" w:cstheme="majorBidi"/>
                <w:bCs/>
                <w:sz w:val="20"/>
                <w:vertAlign w:val="superscript"/>
              </w:rPr>
              <w:t>7</w:t>
            </w:r>
            <w:r w:rsidR="000E5FB3" w:rsidRPr="004F56D0">
              <w:rPr>
                <w:rFonts w:ascii="Arial Narrow" w:eastAsiaTheme="majorEastAsia" w:hAnsi="Arial Narrow" w:cstheme="majorBidi"/>
                <w:bCs/>
                <w:sz w:val="20"/>
              </w:rPr>
              <w:t xml:space="preserve"> </w:t>
            </w:r>
          </w:p>
        </w:tc>
        <w:tc>
          <w:tcPr>
            <w:tcW w:w="625" w:type="pct"/>
          </w:tcPr>
          <w:p w14:paraId="0CD5230A" w14:textId="1EBC1A95"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6F0221">
              <w:rPr>
                <w:rFonts w:ascii="Arial Narrow" w:eastAsiaTheme="majorEastAsia" w:hAnsi="Arial Narrow" w:cstheme="majorBidi"/>
                <w:bCs/>
                <w:sz w:val="20"/>
                <w:vertAlign w:val="superscript"/>
              </w:rPr>
              <w:t>7</w:t>
            </w:r>
            <w:r w:rsidR="000E5FB3" w:rsidRPr="004F56D0">
              <w:rPr>
                <w:rFonts w:ascii="Arial Narrow" w:eastAsiaTheme="majorEastAsia" w:hAnsi="Arial Narrow" w:cstheme="majorBidi"/>
                <w:bCs/>
                <w:sz w:val="20"/>
              </w:rPr>
              <w:t xml:space="preserve"> </w:t>
            </w:r>
          </w:p>
        </w:tc>
        <w:tc>
          <w:tcPr>
            <w:tcW w:w="625" w:type="pct"/>
          </w:tcPr>
          <w:p w14:paraId="67ADFEB6" w14:textId="102EC7F8"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B363A6">
              <w:rPr>
                <w:rFonts w:ascii="Arial Narrow" w:eastAsiaTheme="majorEastAsia" w:hAnsi="Arial Narrow" w:cstheme="majorBidi"/>
                <w:bCs/>
                <w:sz w:val="20"/>
                <w:vertAlign w:val="superscript"/>
              </w:rPr>
              <w:t>1</w:t>
            </w:r>
            <w:r w:rsidR="000E5FB3" w:rsidRPr="004F56D0">
              <w:rPr>
                <w:rFonts w:ascii="Arial Narrow" w:eastAsiaTheme="majorEastAsia" w:hAnsi="Arial Narrow" w:cstheme="majorBidi"/>
                <w:bCs/>
                <w:sz w:val="20"/>
              </w:rPr>
              <w:t xml:space="preserve"> </w:t>
            </w:r>
          </w:p>
        </w:tc>
        <w:tc>
          <w:tcPr>
            <w:tcW w:w="625" w:type="pct"/>
          </w:tcPr>
          <w:p w14:paraId="19118248" w14:textId="187CC8AE"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B363A6">
              <w:rPr>
                <w:rFonts w:ascii="Arial Narrow" w:eastAsiaTheme="majorEastAsia" w:hAnsi="Arial Narrow" w:cstheme="majorBidi"/>
                <w:bCs/>
                <w:sz w:val="20"/>
                <w:vertAlign w:val="superscript"/>
              </w:rPr>
              <w:t>1</w:t>
            </w:r>
            <w:r w:rsidR="000E5FB3" w:rsidRPr="004F56D0">
              <w:rPr>
                <w:rFonts w:ascii="Arial Narrow" w:eastAsiaTheme="majorEastAsia" w:hAnsi="Arial Narrow" w:cstheme="majorBidi"/>
                <w:bCs/>
                <w:sz w:val="20"/>
              </w:rPr>
              <w:t xml:space="preserve"> </w:t>
            </w:r>
          </w:p>
        </w:tc>
        <w:tc>
          <w:tcPr>
            <w:tcW w:w="625" w:type="pct"/>
          </w:tcPr>
          <w:p w14:paraId="4FBFC8CA" w14:textId="4EAC004B"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395C67">
              <w:rPr>
                <w:rFonts w:ascii="Arial Narrow" w:eastAsiaTheme="majorEastAsia" w:hAnsi="Arial Narrow" w:cstheme="majorBidi"/>
                <w:bCs/>
                <w:sz w:val="20"/>
                <w:vertAlign w:val="superscript"/>
              </w:rPr>
              <w:t>2</w:t>
            </w:r>
            <w:r w:rsidR="000E5FB3" w:rsidRPr="004F56D0">
              <w:rPr>
                <w:rFonts w:ascii="Arial Narrow" w:eastAsiaTheme="majorEastAsia" w:hAnsi="Arial Narrow" w:cstheme="majorBidi"/>
                <w:bCs/>
                <w:sz w:val="20"/>
              </w:rPr>
              <w:t xml:space="preserve"> </w:t>
            </w:r>
          </w:p>
        </w:tc>
        <w:tc>
          <w:tcPr>
            <w:tcW w:w="626" w:type="pct"/>
          </w:tcPr>
          <w:p w14:paraId="0B86D5E9" w14:textId="492F22AE"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395C67">
              <w:rPr>
                <w:rFonts w:ascii="Arial Narrow" w:eastAsiaTheme="majorEastAsia" w:hAnsi="Arial Narrow" w:cstheme="majorBidi"/>
                <w:bCs/>
                <w:sz w:val="20"/>
                <w:vertAlign w:val="superscript"/>
              </w:rPr>
              <w:t>2</w:t>
            </w:r>
            <w:r w:rsidR="000E5FB3" w:rsidRPr="004F56D0">
              <w:rPr>
                <w:rFonts w:ascii="Arial Narrow" w:eastAsiaTheme="majorEastAsia" w:hAnsi="Arial Narrow" w:cstheme="majorBidi"/>
                <w:bCs/>
                <w:sz w:val="20"/>
              </w:rPr>
              <w:t xml:space="preserve"> </w:t>
            </w:r>
          </w:p>
        </w:tc>
      </w:tr>
      <w:tr w:rsidR="000E5FB3" w:rsidRPr="004F56D0" w14:paraId="74B300AF" w14:textId="77777777" w:rsidTr="000343C1">
        <w:tc>
          <w:tcPr>
            <w:tcW w:w="1248" w:type="pct"/>
            <w:vAlign w:val="center"/>
          </w:tcPr>
          <w:p w14:paraId="122C2033"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Omalizumab</w:t>
            </w:r>
          </w:p>
        </w:tc>
        <w:tc>
          <w:tcPr>
            <w:tcW w:w="626" w:type="pct"/>
          </w:tcPr>
          <w:p w14:paraId="41DC0F75" w14:textId="5DEA2180"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6F0221">
              <w:rPr>
                <w:rFonts w:ascii="Arial Narrow" w:eastAsiaTheme="majorEastAsia" w:hAnsi="Arial Narrow" w:cstheme="majorBidi"/>
                <w:bCs/>
                <w:sz w:val="20"/>
                <w:vertAlign w:val="superscript"/>
              </w:rPr>
              <w:t>7</w:t>
            </w:r>
            <w:r w:rsidR="000E5FB3" w:rsidRPr="004F56D0">
              <w:rPr>
                <w:rFonts w:ascii="Arial Narrow" w:eastAsiaTheme="majorEastAsia" w:hAnsi="Arial Narrow" w:cstheme="majorBidi"/>
                <w:bCs/>
                <w:sz w:val="20"/>
              </w:rPr>
              <w:t xml:space="preserve"> </w:t>
            </w:r>
          </w:p>
        </w:tc>
        <w:tc>
          <w:tcPr>
            <w:tcW w:w="625" w:type="pct"/>
          </w:tcPr>
          <w:p w14:paraId="3249C78F" w14:textId="6D45EA77"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6F0221">
              <w:rPr>
                <w:rFonts w:ascii="Arial Narrow" w:eastAsiaTheme="majorEastAsia" w:hAnsi="Arial Narrow" w:cstheme="majorBidi"/>
                <w:bCs/>
                <w:sz w:val="20"/>
                <w:vertAlign w:val="superscript"/>
              </w:rPr>
              <w:t>7</w:t>
            </w:r>
            <w:r w:rsidR="000E5FB3" w:rsidRPr="004F56D0">
              <w:rPr>
                <w:rFonts w:ascii="Arial Narrow" w:eastAsiaTheme="majorEastAsia" w:hAnsi="Arial Narrow" w:cstheme="majorBidi"/>
                <w:bCs/>
                <w:sz w:val="20"/>
              </w:rPr>
              <w:t xml:space="preserve"> </w:t>
            </w:r>
          </w:p>
        </w:tc>
        <w:tc>
          <w:tcPr>
            <w:tcW w:w="625" w:type="pct"/>
          </w:tcPr>
          <w:p w14:paraId="53797A70" w14:textId="059EB138" w:rsidR="000E5FB3" w:rsidRPr="00C5311A" w:rsidRDefault="00B14769" w:rsidP="000343C1">
            <w:pPr>
              <w:keepNext/>
              <w:keepLines/>
              <w:jc w:val="center"/>
              <w:rPr>
                <w:rFonts w:ascii="Arial Narrow" w:eastAsiaTheme="majorEastAsia" w:hAnsi="Arial Narrow" w:cstheme="majorBidi"/>
                <w:bCs/>
                <w:color w:val="000000"/>
                <w:sz w:val="20"/>
                <w:highlight w:val="darkGray"/>
              </w:rPr>
            </w:pPr>
            <w:r w:rsidRPr="00B14769">
              <w:rPr>
                <w:rFonts w:ascii="Arial Narrow" w:eastAsiaTheme="majorEastAsia" w:hAnsi="Arial Narrow" w:cstheme="majorBidi"/>
                <w:bCs/>
                <w:sz w:val="20"/>
                <w:highlight w:val="black"/>
              </w:rPr>
              <w:t>&amp;&amp;&amp;&amp;</w:t>
            </w:r>
            <w:r w:rsidR="006F0221" w:rsidRPr="00B14769">
              <w:rPr>
                <w:rFonts w:ascii="Arial Narrow" w:eastAsiaTheme="majorEastAsia" w:hAnsi="Arial Narrow" w:cstheme="majorBidi"/>
                <w:bCs/>
                <w:sz w:val="20"/>
                <w:vertAlign w:val="superscript"/>
              </w:rPr>
              <w:t>7</w:t>
            </w:r>
            <w:r w:rsidR="002D3467" w:rsidRPr="002D3467">
              <w:rPr>
                <w:rFonts w:ascii="Arial Narrow" w:eastAsiaTheme="majorEastAsia" w:hAnsi="Arial Narrow" w:cstheme="majorBidi"/>
                <w:bCs/>
                <w:sz w:val="20"/>
              </w:rPr>
              <w:t xml:space="preserve"> </w:t>
            </w:r>
          </w:p>
        </w:tc>
        <w:tc>
          <w:tcPr>
            <w:tcW w:w="625" w:type="pct"/>
          </w:tcPr>
          <w:p w14:paraId="765AEB15" w14:textId="31D0DD21"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B363A6">
              <w:rPr>
                <w:rFonts w:ascii="Arial Narrow" w:eastAsiaTheme="majorEastAsia" w:hAnsi="Arial Narrow" w:cstheme="majorBidi"/>
                <w:bCs/>
                <w:sz w:val="20"/>
                <w:vertAlign w:val="superscript"/>
              </w:rPr>
              <w:t>1</w:t>
            </w:r>
            <w:r w:rsidR="000E5FB3" w:rsidRPr="004F56D0">
              <w:rPr>
                <w:rFonts w:ascii="Arial Narrow" w:eastAsiaTheme="majorEastAsia" w:hAnsi="Arial Narrow" w:cstheme="majorBidi"/>
                <w:bCs/>
                <w:sz w:val="20"/>
              </w:rPr>
              <w:t xml:space="preserve"> </w:t>
            </w:r>
          </w:p>
        </w:tc>
        <w:tc>
          <w:tcPr>
            <w:tcW w:w="625" w:type="pct"/>
          </w:tcPr>
          <w:p w14:paraId="18F98103" w14:textId="4736C2D6"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B363A6">
              <w:rPr>
                <w:rFonts w:ascii="Arial Narrow" w:eastAsiaTheme="majorEastAsia" w:hAnsi="Arial Narrow" w:cstheme="majorBidi"/>
                <w:bCs/>
                <w:sz w:val="20"/>
                <w:vertAlign w:val="superscript"/>
              </w:rPr>
              <w:t>1</w:t>
            </w:r>
            <w:r w:rsidR="000E5FB3" w:rsidRPr="004F56D0">
              <w:rPr>
                <w:rFonts w:ascii="Arial Narrow" w:eastAsiaTheme="majorEastAsia" w:hAnsi="Arial Narrow" w:cstheme="majorBidi"/>
                <w:bCs/>
                <w:sz w:val="20"/>
              </w:rPr>
              <w:t xml:space="preserve"> </w:t>
            </w:r>
          </w:p>
        </w:tc>
        <w:tc>
          <w:tcPr>
            <w:tcW w:w="626" w:type="pct"/>
          </w:tcPr>
          <w:p w14:paraId="36D717A6" w14:textId="392786F8" w:rsidR="000E5FB3" w:rsidRPr="004F56D0" w:rsidRDefault="00B14769" w:rsidP="000343C1">
            <w:pPr>
              <w:keepNext/>
              <w:keepLines/>
              <w:jc w:val="center"/>
              <w:rPr>
                <w:rFonts w:ascii="Arial Narrow" w:eastAsiaTheme="majorEastAsia" w:hAnsi="Arial Narrow" w:cstheme="majorBidi"/>
                <w:bCs/>
                <w:color w:val="000000"/>
                <w:sz w:val="20"/>
              </w:rPr>
            </w:pPr>
            <w:r w:rsidRPr="00B14769">
              <w:rPr>
                <w:rFonts w:ascii="Arial Narrow" w:eastAsiaTheme="majorEastAsia" w:hAnsi="Arial Narrow" w:cstheme="majorBidi"/>
                <w:bCs/>
                <w:sz w:val="20"/>
                <w:highlight w:val="black"/>
              </w:rPr>
              <w:t>&amp;&amp;&amp;&amp;</w:t>
            </w:r>
            <w:r w:rsidR="00B363A6">
              <w:rPr>
                <w:rFonts w:ascii="Arial Narrow" w:eastAsiaTheme="majorEastAsia" w:hAnsi="Arial Narrow" w:cstheme="majorBidi"/>
                <w:bCs/>
                <w:sz w:val="20"/>
                <w:vertAlign w:val="superscript"/>
              </w:rPr>
              <w:t>1</w:t>
            </w:r>
            <w:r w:rsidR="000E5FB3" w:rsidRPr="004F56D0">
              <w:rPr>
                <w:rFonts w:ascii="Arial Narrow" w:eastAsiaTheme="majorEastAsia" w:hAnsi="Arial Narrow" w:cstheme="majorBidi"/>
                <w:bCs/>
                <w:sz w:val="20"/>
              </w:rPr>
              <w:t xml:space="preserve"> </w:t>
            </w:r>
          </w:p>
        </w:tc>
      </w:tr>
      <w:tr w:rsidR="000E5FB3" w:rsidRPr="004F56D0" w14:paraId="13908BDA" w14:textId="77777777" w:rsidTr="000343C1">
        <w:tc>
          <w:tcPr>
            <w:tcW w:w="5000" w:type="pct"/>
            <w:gridSpan w:val="7"/>
            <w:vAlign w:val="center"/>
          </w:tcPr>
          <w:p w14:paraId="122E416C" w14:textId="77777777" w:rsidR="000E5FB3" w:rsidRPr="004F56D0" w:rsidRDefault="000E5FB3" w:rsidP="000343C1">
            <w:pPr>
              <w:keepNext/>
              <w:keepLines/>
              <w:jc w:val="left"/>
              <w:rPr>
                <w:rFonts w:ascii="Arial Narrow" w:eastAsiaTheme="majorEastAsia" w:hAnsi="Arial Narrow" w:cstheme="majorBidi"/>
                <w:b/>
                <w:sz w:val="20"/>
              </w:rPr>
            </w:pPr>
            <w:r w:rsidRPr="004F56D0">
              <w:rPr>
                <w:rFonts w:ascii="Arial Narrow" w:eastAsiaTheme="majorEastAsia" w:hAnsi="Arial Narrow" w:cstheme="majorBidi"/>
                <w:b/>
                <w:sz w:val="20"/>
              </w:rPr>
              <w:t xml:space="preserve">Estimated financial implications of </w:t>
            </w:r>
            <w:proofErr w:type="spellStart"/>
            <w:r w:rsidRPr="004F56D0">
              <w:rPr>
                <w:rFonts w:ascii="Arial Narrow" w:eastAsiaTheme="majorEastAsia" w:hAnsi="Arial Narrow" w:cstheme="majorBidi"/>
                <w:b/>
                <w:sz w:val="20"/>
              </w:rPr>
              <w:t>tezepelumab</w:t>
            </w:r>
            <w:proofErr w:type="spellEnd"/>
            <w:r w:rsidRPr="004F56D0">
              <w:rPr>
                <w:rFonts w:ascii="Arial Narrow" w:eastAsiaTheme="majorEastAsia" w:hAnsi="Arial Narrow" w:cstheme="majorBidi"/>
                <w:b/>
                <w:sz w:val="20"/>
              </w:rPr>
              <w:t xml:space="preserve"> to PBS/RPBS</w:t>
            </w:r>
          </w:p>
        </w:tc>
      </w:tr>
      <w:tr w:rsidR="000E5FB3" w:rsidRPr="004F56D0" w14:paraId="134FCFD2" w14:textId="77777777" w:rsidTr="000343C1">
        <w:tc>
          <w:tcPr>
            <w:tcW w:w="1248" w:type="pct"/>
          </w:tcPr>
          <w:p w14:paraId="2B51E5D7"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 xml:space="preserve">Cost of </w:t>
            </w:r>
            <w:proofErr w:type="spellStart"/>
            <w:r w:rsidRPr="004F56D0">
              <w:rPr>
                <w:rFonts w:ascii="Arial Narrow" w:eastAsiaTheme="majorEastAsia" w:hAnsi="Arial Narrow" w:cstheme="majorBidi"/>
                <w:bCs/>
                <w:sz w:val="20"/>
              </w:rPr>
              <w:t>tezepelumab</w:t>
            </w:r>
            <w:proofErr w:type="spellEnd"/>
            <w:r w:rsidRPr="004F56D0">
              <w:rPr>
                <w:rFonts w:ascii="Arial Narrow" w:eastAsiaTheme="majorEastAsia" w:hAnsi="Arial Narrow" w:cstheme="majorBidi"/>
                <w:bCs/>
                <w:sz w:val="20"/>
              </w:rPr>
              <w:t xml:space="preserve"> to PBS/RPBS (less co-payment)</w:t>
            </w:r>
          </w:p>
        </w:tc>
        <w:tc>
          <w:tcPr>
            <w:tcW w:w="626" w:type="pct"/>
            <w:vAlign w:val="center"/>
          </w:tcPr>
          <w:p w14:paraId="7FEB330E" w14:textId="6D687629" w:rsidR="000E5FB3" w:rsidRPr="00994638"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994638">
              <w:rPr>
                <w:rFonts w:ascii="Arial Narrow" w:eastAsiaTheme="majorEastAsia" w:hAnsi="Arial Narrow" w:cstheme="majorBidi"/>
                <w:bCs/>
                <w:sz w:val="20"/>
                <w:vertAlign w:val="superscript"/>
              </w:rPr>
              <w:t>9</w:t>
            </w:r>
          </w:p>
        </w:tc>
        <w:tc>
          <w:tcPr>
            <w:tcW w:w="625" w:type="pct"/>
            <w:vAlign w:val="center"/>
          </w:tcPr>
          <w:p w14:paraId="7D12AB00" w14:textId="5943C0CA" w:rsidR="000E5FB3" w:rsidRPr="003E1C89"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3E1C89">
              <w:rPr>
                <w:rFonts w:ascii="Arial Narrow" w:eastAsiaTheme="majorEastAsia" w:hAnsi="Arial Narrow" w:cstheme="majorBidi"/>
                <w:bCs/>
                <w:sz w:val="20"/>
                <w:vertAlign w:val="superscript"/>
              </w:rPr>
              <w:t>10</w:t>
            </w:r>
          </w:p>
        </w:tc>
        <w:tc>
          <w:tcPr>
            <w:tcW w:w="625" w:type="pct"/>
            <w:vAlign w:val="center"/>
          </w:tcPr>
          <w:p w14:paraId="50371636" w14:textId="3DD7E206" w:rsidR="000E5FB3" w:rsidRPr="005363DF"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5363DF">
              <w:rPr>
                <w:rFonts w:ascii="Arial Narrow" w:eastAsiaTheme="majorEastAsia" w:hAnsi="Arial Narrow" w:cstheme="majorBidi"/>
                <w:bCs/>
                <w:sz w:val="20"/>
                <w:vertAlign w:val="superscript"/>
              </w:rPr>
              <w:t>11</w:t>
            </w:r>
          </w:p>
        </w:tc>
        <w:tc>
          <w:tcPr>
            <w:tcW w:w="625" w:type="pct"/>
            <w:vAlign w:val="center"/>
          </w:tcPr>
          <w:p w14:paraId="6C5BEF27" w14:textId="059F3DBF" w:rsidR="000E5FB3" w:rsidRPr="003D547F"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3D547F">
              <w:rPr>
                <w:rFonts w:ascii="Arial Narrow" w:eastAsiaTheme="majorEastAsia" w:hAnsi="Arial Narrow" w:cstheme="majorBidi"/>
                <w:bCs/>
                <w:sz w:val="20"/>
                <w:vertAlign w:val="superscript"/>
              </w:rPr>
              <w:t>12</w:t>
            </w:r>
          </w:p>
        </w:tc>
        <w:tc>
          <w:tcPr>
            <w:tcW w:w="625" w:type="pct"/>
            <w:vAlign w:val="center"/>
          </w:tcPr>
          <w:p w14:paraId="1DF2ADB2" w14:textId="173ECC8A" w:rsidR="000E5FB3" w:rsidRPr="00917D60"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917D60">
              <w:rPr>
                <w:rFonts w:ascii="Arial Narrow" w:eastAsiaTheme="majorEastAsia" w:hAnsi="Arial Narrow" w:cstheme="majorBidi"/>
                <w:bCs/>
                <w:sz w:val="20"/>
                <w:vertAlign w:val="superscript"/>
              </w:rPr>
              <w:t>13</w:t>
            </w:r>
          </w:p>
        </w:tc>
        <w:tc>
          <w:tcPr>
            <w:tcW w:w="626" w:type="pct"/>
            <w:vAlign w:val="center"/>
          </w:tcPr>
          <w:p w14:paraId="01FE4954" w14:textId="3D1E69A0" w:rsidR="000E5FB3" w:rsidRPr="00FB0127"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r w:rsidR="00FB0127">
              <w:rPr>
                <w:rFonts w:ascii="Arial Narrow" w:eastAsiaTheme="majorEastAsia" w:hAnsi="Arial Narrow" w:cstheme="majorBidi"/>
                <w:bCs/>
                <w:sz w:val="20"/>
                <w:vertAlign w:val="superscript"/>
              </w:rPr>
              <w:t>14</w:t>
            </w:r>
          </w:p>
        </w:tc>
      </w:tr>
      <w:tr w:rsidR="000E5FB3" w:rsidRPr="004F56D0" w14:paraId="0DD83C1B" w14:textId="77777777" w:rsidTr="000343C1">
        <w:tc>
          <w:tcPr>
            <w:tcW w:w="5000" w:type="pct"/>
            <w:gridSpan w:val="7"/>
            <w:vAlign w:val="center"/>
          </w:tcPr>
          <w:p w14:paraId="77E45686" w14:textId="77777777" w:rsidR="000E5FB3" w:rsidRPr="004F56D0" w:rsidRDefault="000E5FB3" w:rsidP="000343C1">
            <w:pPr>
              <w:keepNext/>
              <w:keepLines/>
              <w:jc w:val="left"/>
              <w:rPr>
                <w:rFonts w:ascii="Arial Narrow" w:eastAsiaTheme="majorEastAsia" w:hAnsi="Arial Narrow" w:cstheme="majorBidi"/>
                <w:b/>
                <w:bCs/>
                <w:sz w:val="20"/>
              </w:rPr>
            </w:pPr>
            <w:r w:rsidRPr="004F56D0">
              <w:rPr>
                <w:rFonts w:ascii="Arial Narrow" w:eastAsiaTheme="majorEastAsia" w:hAnsi="Arial Narrow" w:cstheme="majorBidi"/>
                <w:b/>
                <w:bCs/>
                <w:sz w:val="20"/>
              </w:rPr>
              <w:t>Estimated financial implications for other medicines to PBS/RPBS</w:t>
            </w:r>
          </w:p>
        </w:tc>
      </w:tr>
      <w:tr w:rsidR="000E5FB3" w:rsidRPr="004F56D0" w14:paraId="34565EF1" w14:textId="77777777" w:rsidTr="000343C1">
        <w:tc>
          <w:tcPr>
            <w:tcW w:w="1248" w:type="pct"/>
          </w:tcPr>
          <w:p w14:paraId="3B86A12A" w14:textId="77777777" w:rsidR="000E5FB3" w:rsidRPr="004F56D0" w:rsidRDefault="000E5FB3" w:rsidP="000343C1">
            <w:pPr>
              <w:keepNext/>
              <w:keepLines/>
              <w:jc w:val="left"/>
              <w:rPr>
                <w:rFonts w:ascii="Arial Narrow" w:eastAsiaTheme="majorEastAsia" w:hAnsi="Arial Narrow" w:cstheme="majorBidi"/>
                <w:bCs/>
                <w:sz w:val="20"/>
              </w:rPr>
            </w:pPr>
            <w:r w:rsidRPr="004F56D0">
              <w:rPr>
                <w:rFonts w:ascii="Arial Narrow" w:eastAsiaTheme="majorEastAsia" w:hAnsi="Arial Narrow" w:cstheme="majorBidi"/>
                <w:bCs/>
                <w:sz w:val="20"/>
              </w:rPr>
              <w:t>Cost from substitution of other medicines to PBS/RPBS (less co-payment)</w:t>
            </w:r>
          </w:p>
        </w:tc>
        <w:tc>
          <w:tcPr>
            <w:tcW w:w="626" w:type="pct"/>
            <w:vAlign w:val="center"/>
          </w:tcPr>
          <w:p w14:paraId="33D3E865" w14:textId="37D97B6D" w:rsidR="00CD3B7F" w:rsidRDefault="000E5FB3" w:rsidP="000343C1">
            <w:pPr>
              <w:keepNext/>
              <w:keepLines/>
              <w:jc w:val="center"/>
              <w:rPr>
                <w:rFonts w:ascii="Arial Narrow" w:eastAsiaTheme="majorEastAsia" w:hAnsi="Arial Narrow" w:cstheme="majorBidi"/>
                <w:bCs/>
                <w:sz w:val="20"/>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p w14:paraId="36E19B6E" w14:textId="6184844A" w:rsidR="000E5FB3" w:rsidRPr="00994638" w:rsidRDefault="00994638" w:rsidP="000343C1">
            <w:pPr>
              <w:keepNext/>
              <w:keepLines/>
              <w:jc w:val="center"/>
              <w:rPr>
                <w:rFonts w:ascii="Arial Narrow" w:eastAsiaTheme="majorEastAsia" w:hAnsi="Arial Narrow" w:cstheme="majorBidi"/>
                <w:b/>
                <w:sz w:val="20"/>
                <w:vertAlign w:val="superscript"/>
              </w:rPr>
            </w:pPr>
            <w:r>
              <w:rPr>
                <w:rFonts w:ascii="Arial Narrow" w:eastAsiaTheme="majorEastAsia" w:hAnsi="Arial Narrow" w:cstheme="majorBidi"/>
                <w:bCs/>
                <w:sz w:val="20"/>
                <w:vertAlign w:val="superscript"/>
              </w:rPr>
              <w:t>9</w:t>
            </w:r>
          </w:p>
        </w:tc>
        <w:tc>
          <w:tcPr>
            <w:tcW w:w="625" w:type="pct"/>
            <w:vAlign w:val="center"/>
          </w:tcPr>
          <w:p w14:paraId="2B2F5AD0" w14:textId="78959C9B" w:rsidR="00CD3B7F" w:rsidRDefault="000E5FB3" w:rsidP="000343C1">
            <w:pPr>
              <w:keepNext/>
              <w:keepLines/>
              <w:jc w:val="center"/>
              <w:rPr>
                <w:rFonts w:ascii="Arial Narrow" w:eastAsiaTheme="majorEastAsia" w:hAnsi="Arial Narrow" w:cstheme="majorBidi"/>
                <w:bCs/>
                <w:sz w:val="20"/>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p w14:paraId="08149645" w14:textId="221C1A72" w:rsidR="000E5FB3" w:rsidRPr="00CD3B7F" w:rsidRDefault="00CD3B7F" w:rsidP="000343C1">
            <w:pPr>
              <w:keepNext/>
              <w:keepLines/>
              <w:jc w:val="center"/>
              <w:rPr>
                <w:rFonts w:ascii="Arial Narrow" w:eastAsiaTheme="majorEastAsia" w:hAnsi="Arial Narrow" w:cstheme="majorBidi"/>
                <w:b/>
                <w:sz w:val="20"/>
                <w:vertAlign w:val="superscript"/>
              </w:rPr>
            </w:pPr>
            <w:r>
              <w:rPr>
                <w:rFonts w:ascii="Arial Narrow" w:eastAsiaTheme="majorEastAsia" w:hAnsi="Arial Narrow" w:cstheme="majorBidi"/>
                <w:bCs/>
                <w:sz w:val="20"/>
                <w:vertAlign w:val="superscript"/>
              </w:rPr>
              <w:t>15</w:t>
            </w:r>
          </w:p>
        </w:tc>
        <w:tc>
          <w:tcPr>
            <w:tcW w:w="625" w:type="pct"/>
            <w:vAlign w:val="center"/>
          </w:tcPr>
          <w:p w14:paraId="7CB204A0" w14:textId="5CCE29D1" w:rsidR="002A5F04" w:rsidRDefault="000E5FB3" w:rsidP="000343C1">
            <w:pPr>
              <w:keepNext/>
              <w:keepLines/>
              <w:jc w:val="center"/>
              <w:rPr>
                <w:rFonts w:ascii="Arial Narrow" w:eastAsiaTheme="majorEastAsia" w:hAnsi="Arial Narrow" w:cstheme="majorBidi"/>
                <w:bCs/>
                <w:sz w:val="20"/>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p w14:paraId="18D5773D" w14:textId="0AAF2884" w:rsidR="000E5FB3" w:rsidRPr="002A5F04" w:rsidRDefault="002A5F04" w:rsidP="000343C1">
            <w:pPr>
              <w:keepNext/>
              <w:keepLines/>
              <w:jc w:val="center"/>
              <w:rPr>
                <w:rFonts w:ascii="Arial Narrow" w:eastAsiaTheme="majorEastAsia" w:hAnsi="Arial Narrow" w:cstheme="majorBidi"/>
                <w:b/>
                <w:sz w:val="20"/>
                <w:vertAlign w:val="superscript"/>
              </w:rPr>
            </w:pPr>
            <w:r>
              <w:rPr>
                <w:rFonts w:ascii="Arial Narrow" w:eastAsiaTheme="majorEastAsia" w:hAnsi="Arial Narrow" w:cstheme="majorBidi"/>
                <w:bCs/>
                <w:sz w:val="20"/>
                <w:vertAlign w:val="superscript"/>
              </w:rPr>
              <w:t>16</w:t>
            </w:r>
          </w:p>
        </w:tc>
        <w:tc>
          <w:tcPr>
            <w:tcW w:w="625" w:type="pct"/>
            <w:vAlign w:val="center"/>
          </w:tcPr>
          <w:p w14:paraId="1734FDE9" w14:textId="33A68AC3" w:rsidR="000E5FB3" w:rsidRDefault="000E5FB3" w:rsidP="000343C1">
            <w:pPr>
              <w:keepNext/>
              <w:keepLines/>
              <w:jc w:val="center"/>
              <w:rPr>
                <w:rFonts w:ascii="Arial Narrow" w:eastAsiaTheme="majorEastAsia" w:hAnsi="Arial Narrow" w:cstheme="majorBidi"/>
                <w:bCs/>
                <w:sz w:val="20"/>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p w14:paraId="504C0C0B" w14:textId="36CC8C10" w:rsidR="002A5F04" w:rsidRPr="002A5F04" w:rsidRDefault="002A5F04" w:rsidP="000343C1">
            <w:pPr>
              <w:keepNext/>
              <w:keepLines/>
              <w:jc w:val="center"/>
              <w:rPr>
                <w:rFonts w:ascii="Arial Narrow" w:eastAsiaTheme="majorEastAsia" w:hAnsi="Arial Narrow" w:cstheme="majorBidi"/>
                <w:b/>
                <w:sz w:val="20"/>
                <w:vertAlign w:val="superscript"/>
              </w:rPr>
            </w:pPr>
            <w:r>
              <w:rPr>
                <w:rFonts w:ascii="Arial Narrow" w:eastAsiaTheme="majorEastAsia" w:hAnsi="Arial Narrow" w:cstheme="majorBidi"/>
                <w:b/>
                <w:bCs/>
                <w:sz w:val="20"/>
                <w:vertAlign w:val="superscript"/>
              </w:rPr>
              <w:t>17</w:t>
            </w:r>
          </w:p>
        </w:tc>
        <w:tc>
          <w:tcPr>
            <w:tcW w:w="625" w:type="pct"/>
            <w:vAlign w:val="center"/>
          </w:tcPr>
          <w:p w14:paraId="667552A8" w14:textId="2D9221F9" w:rsidR="002558B4" w:rsidRDefault="000E5FB3" w:rsidP="000343C1">
            <w:pPr>
              <w:keepNext/>
              <w:keepLines/>
              <w:jc w:val="center"/>
              <w:rPr>
                <w:rFonts w:ascii="Arial Narrow" w:eastAsiaTheme="majorEastAsia" w:hAnsi="Arial Narrow" w:cstheme="majorBidi"/>
                <w:bCs/>
                <w:sz w:val="20"/>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p w14:paraId="1076D445" w14:textId="4294EDD8" w:rsidR="000E5FB3" w:rsidRPr="002558B4" w:rsidRDefault="002558B4" w:rsidP="000343C1">
            <w:pPr>
              <w:keepNext/>
              <w:keepLines/>
              <w:jc w:val="center"/>
              <w:rPr>
                <w:rFonts w:ascii="Arial Narrow" w:eastAsiaTheme="majorEastAsia" w:hAnsi="Arial Narrow" w:cstheme="majorBidi"/>
                <w:b/>
                <w:sz w:val="20"/>
                <w:vertAlign w:val="superscript"/>
              </w:rPr>
            </w:pPr>
            <w:r>
              <w:rPr>
                <w:rFonts w:ascii="Arial Narrow" w:eastAsiaTheme="majorEastAsia" w:hAnsi="Arial Narrow" w:cstheme="majorBidi"/>
                <w:bCs/>
                <w:sz w:val="20"/>
                <w:vertAlign w:val="superscript"/>
              </w:rPr>
              <w:t>13</w:t>
            </w:r>
          </w:p>
        </w:tc>
        <w:tc>
          <w:tcPr>
            <w:tcW w:w="626" w:type="pct"/>
            <w:vAlign w:val="center"/>
          </w:tcPr>
          <w:p w14:paraId="17DB4695" w14:textId="36A96BAA" w:rsidR="00FB0127" w:rsidRDefault="000E5FB3" w:rsidP="000343C1">
            <w:pPr>
              <w:keepNext/>
              <w:keepLines/>
              <w:jc w:val="center"/>
              <w:rPr>
                <w:rFonts w:ascii="Arial Narrow" w:eastAsiaTheme="majorEastAsia" w:hAnsi="Arial Narrow" w:cstheme="majorBidi"/>
                <w:bCs/>
                <w:sz w:val="20"/>
              </w:rPr>
            </w:pPr>
            <w:r w:rsidRPr="004F56D0">
              <w:rPr>
                <w:rFonts w:ascii="Arial Narrow" w:eastAsiaTheme="majorEastAsia" w:hAnsi="Arial Narrow" w:cstheme="majorBidi"/>
                <w:bCs/>
                <w:sz w:val="20"/>
              </w:rPr>
              <w:t>-$</w:t>
            </w:r>
            <w:r w:rsidR="00B14769" w:rsidRPr="00B14769">
              <w:rPr>
                <w:rFonts w:ascii="Arial Narrow" w:eastAsiaTheme="majorEastAsia" w:hAnsi="Arial Narrow" w:cstheme="majorBidi"/>
                <w:bCs/>
                <w:sz w:val="20"/>
                <w:highlight w:val="black"/>
              </w:rPr>
              <w:t>&amp;&amp;&amp;&amp;</w:t>
            </w:r>
          </w:p>
          <w:p w14:paraId="39BA1F7A" w14:textId="4BD3CFE4" w:rsidR="000E5FB3" w:rsidRPr="00FB0127" w:rsidRDefault="00FB0127" w:rsidP="000343C1">
            <w:pPr>
              <w:keepNext/>
              <w:keepLines/>
              <w:jc w:val="center"/>
              <w:rPr>
                <w:rFonts w:ascii="Arial Narrow" w:eastAsiaTheme="majorEastAsia" w:hAnsi="Arial Narrow" w:cstheme="majorBidi"/>
                <w:b/>
                <w:sz w:val="20"/>
                <w:vertAlign w:val="superscript"/>
              </w:rPr>
            </w:pPr>
            <w:r>
              <w:rPr>
                <w:rFonts w:ascii="Arial Narrow" w:eastAsiaTheme="majorEastAsia" w:hAnsi="Arial Narrow" w:cstheme="majorBidi"/>
                <w:bCs/>
                <w:sz w:val="20"/>
                <w:vertAlign w:val="superscript"/>
              </w:rPr>
              <w:t>13</w:t>
            </w:r>
          </w:p>
        </w:tc>
      </w:tr>
      <w:tr w:rsidR="000E5FB3" w:rsidRPr="004F56D0" w14:paraId="0AA9FFCE" w14:textId="77777777" w:rsidTr="000343C1">
        <w:tc>
          <w:tcPr>
            <w:tcW w:w="1248" w:type="pct"/>
          </w:tcPr>
          <w:p w14:paraId="7085124C" w14:textId="77777777" w:rsidR="000E5FB3" w:rsidRPr="004F56D0" w:rsidRDefault="000E5FB3" w:rsidP="000343C1">
            <w:pPr>
              <w:keepNext/>
              <w:keepLines/>
              <w:jc w:val="left"/>
              <w:rPr>
                <w:rFonts w:ascii="Arial Narrow" w:eastAsiaTheme="majorEastAsia" w:hAnsi="Arial Narrow" w:cstheme="majorBidi"/>
                <w:b/>
                <w:sz w:val="20"/>
              </w:rPr>
            </w:pPr>
            <w:r w:rsidRPr="004F56D0">
              <w:rPr>
                <w:rFonts w:ascii="Arial Narrow" w:eastAsiaTheme="majorEastAsia" w:hAnsi="Arial Narrow" w:cstheme="majorBidi"/>
                <w:b/>
                <w:sz w:val="20"/>
              </w:rPr>
              <w:t>Net cost to PBS/RPBS</w:t>
            </w:r>
          </w:p>
        </w:tc>
        <w:tc>
          <w:tcPr>
            <w:tcW w:w="626" w:type="pct"/>
          </w:tcPr>
          <w:p w14:paraId="3C1BEA24" w14:textId="792FCE3D" w:rsidR="000E5FB3" w:rsidRPr="004403C4" w:rsidRDefault="000E5FB3" w:rsidP="000343C1">
            <w:pPr>
              <w:keepNext/>
              <w:keepLines/>
              <w:jc w:val="center"/>
              <w:rPr>
                <w:rFonts w:ascii="Arial Narrow" w:eastAsiaTheme="majorEastAsia" w:hAnsi="Arial Narrow" w:cstheme="majorBidi"/>
                <w:b/>
                <w:sz w:val="20"/>
                <w:vertAlign w:val="superscript"/>
              </w:rPr>
            </w:pPr>
            <w:r w:rsidRPr="004F56D0">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4403C4" w:rsidRPr="004403C4">
              <w:rPr>
                <w:rFonts w:ascii="Arial Narrow" w:eastAsiaTheme="majorEastAsia" w:hAnsi="Arial Narrow" w:cstheme="majorBidi"/>
                <w:bCs/>
                <w:sz w:val="20"/>
                <w:vertAlign w:val="superscript"/>
              </w:rPr>
              <w:t>18</w:t>
            </w:r>
          </w:p>
        </w:tc>
        <w:tc>
          <w:tcPr>
            <w:tcW w:w="625" w:type="pct"/>
          </w:tcPr>
          <w:p w14:paraId="15F23CB9" w14:textId="5D7326AC" w:rsidR="000E5FB3" w:rsidRPr="001F142E"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Cs/>
                <w:sz w:val="20"/>
                <w:vertAlign w:val="superscript"/>
              </w:rPr>
              <w:t>18</w:t>
            </w:r>
          </w:p>
        </w:tc>
        <w:tc>
          <w:tcPr>
            <w:tcW w:w="625" w:type="pct"/>
          </w:tcPr>
          <w:p w14:paraId="0910504A" w14:textId="70BCD34C" w:rsidR="000E5FB3" w:rsidRPr="001F142E"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Cs/>
                <w:sz w:val="20"/>
                <w:vertAlign w:val="superscript"/>
              </w:rPr>
              <w:t>18</w:t>
            </w:r>
          </w:p>
        </w:tc>
        <w:tc>
          <w:tcPr>
            <w:tcW w:w="625" w:type="pct"/>
          </w:tcPr>
          <w:p w14:paraId="51E4DA82" w14:textId="66533251" w:rsidR="000E5FB3" w:rsidRPr="001F142E"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Cs/>
                <w:sz w:val="20"/>
                <w:vertAlign w:val="superscript"/>
              </w:rPr>
              <w:t>18</w:t>
            </w:r>
          </w:p>
        </w:tc>
        <w:tc>
          <w:tcPr>
            <w:tcW w:w="625" w:type="pct"/>
          </w:tcPr>
          <w:p w14:paraId="539F8CD6" w14:textId="3C5F3192" w:rsidR="000E5FB3" w:rsidRPr="001F142E"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Cs/>
                <w:sz w:val="20"/>
                <w:vertAlign w:val="superscript"/>
              </w:rPr>
              <w:t>18</w:t>
            </w:r>
          </w:p>
        </w:tc>
        <w:tc>
          <w:tcPr>
            <w:tcW w:w="626" w:type="pct"/>
          </w:tcPr>
          <w:p w14:paraId="2AEABEE4" w14:textId="5AB47B86" w:rsidR="000E5FB3" w:rsidRPr="001F142E" w:rsidRDefault="000E5FB3" w:rsidP="000343C1">
            <w:pPr>
              <w:keepNext/>
              <w:keepLines/>
              <w:jc w:val="center"/>
              <w:rPr>
                <w:rFonts w:ascii="Arial Narrow" w:eastAsiaTheme="majorEastAsia" w:hAnsi="Arial Narrow" w:cstheme="majorBidi"/>
                <w:bCs/>
                <w:sz w:val="20"/>
                <w:vertAlign w:val="superscript"/>
              </w:rPr>
            </w:pPr>
            <w:r w:rsidRPr="004F56D0">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Cs/>
                <w:sz w:val="20"/>
                <w:vertAlign w:val="superscript"/>
              </w:rPr>
              <w:t>18</w:t>
            </w:r>
          </w:p>
        </w:tc>
      </w:tr>
      <w:tr w:rsidR="000E5FB3" w:rsidRPr="004F56D0" w14:paraId="15EA31FE" w14:textId="77777777" w:rsidTr="000343C1">
        <w:tc>
          <w:tcPr>
            <w:tcW w:w="5000" w:type="pct"/>
            <w:gridSpan w:val="7"/>
            <w:vAlign w:val="center"/>
          </w:tcPr>
          <w:p w14:paraId="36C7468C" w14:textId="77777777" w:rsidR="000E5FB3" w:rsidRPr="004F56D0" w:rsidRDefault="000E5FB3" w:rsidP="000343C1">
            <w:pPr>
              <w:keepNext/>
              <w:keepLines/>
              <w:jc w:val="left"/>
              <w:rPr>
                <w:rFonts w:ascii="Arial Narrow" w:eastAsiaTheme="majorEastAsia" w:hAnsi="Arial Narrow" w:cstheme="majorBidi"/>
                <w:b/>
                <w:bCs/>
                <w:sz w:val="20"/>
              </w:rPr>
            </w:pPr>
            <w:r w:rsidRPr="004F56D0">
              <w:rPr>
                <w:rFonts w:ascii="Arial Narrow" w:eastAsiaTheme="majorEastAsia" w:hAnsi="Arial Narrow" w:cstheme="majorBidi"/>
                <w:b/>
                <w:bCs/>
                <w:sz w:val="20"/>
              </w:rPr>
              <w:t>Estimated financial implications to MBS</w:t>
            </w:r>
          </w:p>
        </w:tc>
      </w:tr>
      <w:tr w:rsidR="000E5FB3" w:rsidRPr="004F56D0" w14:paraId="713AFBF8" w14:textId="77777777" w:rsidTr="000343C1">
        <w:tc>
          <w:tcPr>
            <w:tcW w:w="1248" w:type="pct"/>
          </w:tcPr>
          <w:p w14:paraId="548C9B8A" w14:textId="3C2E2F8D" w:rsidR="000E5FB3" w:rsidRPr="001F4B6D" w:rsidRDefault="000E5FB3" w:rsidP="000343C1">
            <w:pPr>
              <w:keepNext/>
              <w:keepLines/>
              <w:jc w:val="left"/>
              <w:rPr>
                <w:rFonts w:ascii="Arial Narrow" w:eastAsiaTheme="majorEastAsia" w:hAnsi="Arial Narrow" w:cstheme="majorBidi"/>
                <w:sz w:val="20"/>
                <w:vertAlign w:val="superscript"/>
              </w:rPr>
            </w:pPr>
            <w:r w:rsidRPr="004F56D0">
              <w:rPr>
                <w:rFonts w:ascii="Arial Narrow" w:eastAsiaTheme="majorEastAsia" w:hAnsi="Arial Narrow" w:cstheme="majorBidi"/>
                <w:bCs/>
                <w:sz w:val="19"/>
                <w:szCs w:val="19"/>
              </w:rPr>
              <w:t>Net cost to MBS</w:t>
            </w:r>
            <w:r w:rsidR="001F4B6D">
              <w:rPr>
                <w:rFonts w:ascii="Arial Narrow" w:eastAsiaTheme="majorEastAsia" w:hAnsi="Arial Narrow" w:cstheme="majorBidi"/>
                <w:bCs/>
                <w:sz w:val="19"/>
                <w:szCs w:val="19"/>
              </w:rPr>
              <w:t xml:space="preserve"> </w:t>
            </w:r>
            <w:r w:rsidR="001F4B6D">
              <w:rPr>
                <w:rFonts w:ascii="Arial Narrow" w:eastAsiaTheme="majorEastAsia" w:hAnsi="Arial Narrow" w:cstheme="majorBidi"/>
                <w:bCs/>
                <w:sz w:val="19"/>
                <w:szCs w:val="19"/>
                <w:vertAlign w:val="superscript"/>
              </w:rPr>
              <w:t>b</w:t>
            </w:r>
          </w:p>
        </w:tc>
        <w:tc>
          <w:tcPr>
            <w:tcW w:w="626" w:type="pct"/>
          </w:tcPr>
          <w:p w14:paraId="3137D4CD" w14:textId="14566FD8" w:rsidR="000E5FB3" w:rsidRPr="001F142E" w:rsidRDefault="000E5FB3" w:rsidP="000343C1">
            <w:pPr>
              <w:keepNext/>
              <w:keepLines/>
              <w:jc w:val="center"/>
              <w:rPr>
                <w:rFonts w:ascii="Arial Narrow" w:eastAsiaTheme="majorEastAsia" w:hAnsi="Arial Narrow" w:cstheme="majorBidi"/>
                <w:sz w:val="20"/>
                <w:vertAlign w:val="superscript"/>
              </w:rPr>
            </w:pPr>
            <w:r w:rsidRPr="005C6B68">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r w:rsidR="001F142E">
              <w:rPr>
                <w:rFonts w:ascii="Arial Narrow" w:eastAsiaTheme="majorEastAsia" w:hAnsi="Arial Narrow" w:cstheme="majorBidi"/>
                <w:sz w:val="20"/>
                <w:vertAlign w:val="superscript"/>
              </w:rPr>
              <w:t>18</w:t>
            </w:r>
          </w:p>
        </w:tc>
        <w:tc>
          <w:tcPr>
            <w:tcW w:w="625" w:type="pct"/>
          </w:tcPr>
          <w:p w14:paraId="45EB83E1" w14:textId="47D19C73" w:rsidR="000E5FB3" w:rsidRPr="001F142E" w:rsidRDefault="000E5FB3" w:rsidP="000343C1">
            <w:pPr>
              <w:keepNext/>
              <w:keepLines/>
              <w:jc w:val="center"/>
              <w:rPr>
                <w:rFonts w:ascii="Arial Narrow" w:eastAsiaTheme="majorEastAsia" w:hAnsi="Arial Narrow" w:cstheme="majorBidi"/>
                <w:sz w:val="20"/>
                <w:vertAlign w:val="superscript"/>
              </w:rPr>
            </w:pPr>
            <w:r w:rsidRPr="005C6B68">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r w:rsidR="001F142E">
              <w:rPr>
                <w:rFonts w:ascii="Arial Narrow" w:eastAsiaTheme="majorEastAsia" w:hAnsi="Arial Narrow" w:cstheme="majorBidi"/>
                <w:sz w:val="20"/>
                <w:vertAlign w:val="superscript"/>
              </w:rPr>
              <w:t>18</w:t>
            </w:r>
          </w:p>
        </w:tc>
        <w:tc>
          <w:tcPr>
            <w:tcW w:w="625" w:type="pct"/>
          </w:tcPr>
          <w:p w14:paraId="772F2C8C" w14:textId="76CC9B17" w:rsidR="000E5FB3" w:rsidRPr="001F142E" w:rsidRDefault="000E5FB3" w:rsidP="000343C1">
            <w:pPr>
              <w:keepNext/>
              <w:keepLines/>
              <w:jc w:val="center"/>
              <w:rPr>
                <w:rFonts w:ascii="Arial Narrow" w:eastAsiaTheme="majorEastAsia" w:hAnsi="Arial Narrow" w:cstheme="majorBidi"/>
                <w:sz w:val="20"/>
                <w:vertAlign w:val="superscript"/>
              </w:rPr>
            </w:pPr>
            <w:r w:rsidRPr="005C6B68">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r w:rsidR="001F142E">
              <w:rPr>
                <w:rFonts w:ascii="Arial Narrow" w:eastAsiaTheme="majorEastAsia" w:hAnsi="Arial Narrow" w:cstheme="majorBidi"/>
                <w:sz w:val="20"/>
                <w:vertAlign w:val="superscript"/>
              </w:rPr>
              <w:t>18</w:t>
            </w:r>
          </w:p>
        </w:tc>
        <w:tc>
          <w:tcPr>
            <w:tcW w:w="625" w:type="pct"/>
          </w:tcPr>
          <w:p w14:paraId="67CCE095" w14:textId="58C95764" w:rsidR="000E5FB3" w:rsidRPr="001F142E" w:rsidRDefault="000E5FB3" w:rsidP="000343C1">
            <w:pPr>
              <w:keepNext/>
              <w:keepLines/>
              <w:jc w:val="center"/>
              <w:rPr>
                <w:rFonts w:ascii="Arial Narrow" w:eastAsiaTheme="majorEastAsia" w:hAnsi="Arial Narrow" w:cstheme="majorBidi"/>
                <w:sz w:val="20"/>
                <w:vertAlign w:val="superscript"/>
              </w:rPr>
            </w:pPr>
            <w:r w:rsidRPr="005C6B68">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r w:rsidR="001F142E">
              <w:rPr>
                <w:rFonts w:ascii="Arial Narrow" w:eastAsiaTheme="majorEastAsia" w:hAnsi="Arial Narrow" w:cstheme="majorBidi"/>
                <w:sz w:val="20"/>
                <w:vertAlign w:val="superscript"/>
              </w:rPr>
              <w:t>18</w:t>
            </w:r>
          </w:p>
        </w:tc>
        <w:tc>
          <w:tcPr>
            <w:tcW w:w="625" w:type="pct"/>
          </w:tcPr>
          <w:p w14:paraId="39D0995C" w14:textId="5B8EE16B" w:rsidR="000E5FB3" w:rsidRPr="001F142E" w:rsidRDefault="000E5FB3" w:rsidP="000343C1">
            <w:pPr>
              <w:keepNext/>
              <w:keepLines/>
              <w:jc w:val="center"/>
              <w:rPr>
                <w:rFonts w:ascii="Arial Narrow" w:eastAsiaTheme="majorEastAsia" w:hAnsi="Arial Narrow" w:cstheme="majorBidi"/>
                <w:sz w:val="20"/>
                <w:vertAlign w:val="superscript"/>
              </w:rPr>
            </w:pPr>
            <w:r w:rsidRPr="005C6B68">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r w:rsidR="001F142E">
              <w:rPr>
                <w:rFonts w:ascii="Arial Narrow" w:eastAsiaTheme="majorEastAsia" w:hAnsi="Arial Narrow" w:cstheme="majorBidi"/>
                <w:sz w:val="20"/>
                <w:vertAlign w:val="superscript"/>
              </w:rPr>
              <w:t>18</w:t>
            </w:r>
          </w:p>
        </w:tc>
        <w:tc>
          <w:tcPr>
            <w:tcW w:w="626" w:type="pct"/>
          </w:tcPr>
          <w:p w14:paraId="1298211C" w14:textId="002410C3" w:rsidR="000E5FB3" w:rsidRPr="001F142E" w:rsidRDefault="000E5FB3" w:rsidP="000343C1">
            <w:pPr>
              <w:keepNext/>
              <w:keepLines/>
              <w:jc w:val="center"/>
              <w:rPr>
                <w:rFonts w:ascii="Arial Narrow" w:eastAsiaTheme="majorEastAsia" w:hAnsi="Arial Narrow" w:cstheme="majorBidi"/>
                <w:sz w:val="20"/>
                <w:vertAlign w:val="superscript"/>
              </w:rPr>
            </w:pPr>
            <w:r w:rsidRPr="005C6B68">
              <w:rPr>
                <w:rFonts w:ascii="Arial Narrow" w:eastAsiaTheme="majorEastAsia" w:hAnsi="Arial Narrow" w:cstheme="majorBidi"/>
                <w:sz w:val="20"/>
              </w:rPr>
              <w:t>-$</w:t>
            </w:r>
            <w:r w:rsidR="00B14769" w:rsidRPr="00B14769">
              <w:rPr>
                <w:rFonts w:ascii="Arial Narrow" w:eastAsiaTheme="majorEastAsia" w:hAnsi="Arial Narrow" w:cstheme="majorBidi"/>
                <w:sz w:val="20"/>
                <w:highlight w:val="black"/>
              </w:rPr>
              <w:t>&amp;&amp;&amp;&amp;</w:t>
            </w:r>
            <w:r w:rsidR="001F142E">
              <w:rPr>
                <w:rFonts w:ascii="Arial Narrow" w:eastAsiaTheme="majorEastAsia" w:hAnsi="Arial Narrow" w:cstheme="majorBidi"/>
                <w:sz w:val="20"/>
                <w:vertAlign w:val="superscript"/>
              </w:rPr>
              <w:t>18</w:t>
            </w:r>
          </w:p>
        </w:tc>
      </w:tr>
      <w:tr w:rsidR="000E5FB3" w:rsidRPr="004F56D0" w14:paraId="2736DE41" w14:textId="77777777" w:rsidTr="000343C1">
        <w:tc>
          <w:tcPr>
            <w:tcW w:w="5000" w:type="pct"/>
            <w:gridSpan w:val="7"/>
            <w:vAlign w:val="center"/>
          </w:tcPr>
          <w:p w14:paraId="7EE16043" w14:textId="77777777" w:rsidR="000E5FB3" w:rsidRPr="004F56D0" w:rsidRDefault="000E5FB3" w:rsidP="000343C1">
            <w:pPr>
              <w:keepNext/>
              <w:keepLines/>
              <w:jc w:val="left"/>
              <w:rPr>
                <w:rFonts w:ascii="Arial Narrow" w:eastAsiaTheme="majorEastAsia" w:hAnsi="Arial Narrow" w:cstheme="majorBidi"/>
                <w:b/>
                <w:sz w:val="20"/>
              </w:rPr>
            </w:pPr>
            <w:r w:rsidRPr="004F56D0">
              <w:rPr>
                <w:rFonts w:ascii="Arial Narrow" w:eastAsiaTheme="majorEastAsia" w:hAnsi="Arial Narrow" w:cstheme="majorBidi"/>
                <w:b/>
                <w:sz w:val="20"/>
              </w:rPr>
              <w:t>Net financial implications</w:t>
            </w:r>
          </w:p>
        </w:tc>
      </w:tr>
      <w:tr w:rsidR="000E5FB3" w:rsidRPr="004F56D0" w14:paraId="0D2589BD" w14:textId="77777777" w:rsidTr="000343C1">
        <w:tc>
          <w:tcPr>
            <w:tcW w:w="1248" w:type="pct"/>
            <w:vAlign w:val="center"/>
          </w:tcPr>
          <w:p w14:paraId="7EF93D73" w14:textId="435E53B3" w:rsidR="000E5FB3" w:rsidRPr="005C6B68" w:rsidRDefault="000E5FB3" w:rsidP="000343C1">
            <w:pPr>
              <w:keepNext/>
              <w:keepLines/>
              <w:jc w:val="left"/>
              <w:rPr>
                <w:rFonts w:ascii="Arial Narrow" w:eastAsiaTheme="majorEastAsia" w:hAnsi="Arial Narrow" w:cstheme="majorBidi"/>
                <w:b/>
                <w:sz w:val="19"/>
                <w:szCs w:val="19"/>
                <w:vertAlign w:val="superscript"/>
              </w:rPr>
            </w:pPr>
            <w:r w:rsidRPr="004F56D0">
              <w:rPr>
                <w:rFonts w:ascii="Arial Narrow" w:eastAsiaTheme="majorEastAsia" w:hAnsi="Arial Narrow" w:cstheme="majorBidi"/>
                <w:b/>
                <w:sz w:val="19"/>
                <w:szCs w:val="19"/>
              </w:rPr>
              <w:t>Net cost to PBS/RPBS/MBS</w:t>
            </w:r>
            <w:r w:rsidR="001F4B6D">
              <w:rPr>
                <w:rFonts w:ascii="Arial Narrow" w:eastAsiaTheme="majorEastAsia" w:hAnsi="Arial Narrow" w:cstheme="majorBidi"/>
                <w:b/>
                <w:sz w:val="19"/>
                <w:szCs w:val="19"/>
              </w:rPr>
              <w:t xml:space="preserve"> </w:t>
            </w:r>
            <w:r w:rsidR="001F4B6D">
              <w:rPr>
                <w:rFonts w:ascii="Arial Narrow" w:eastAsiaTheme="majorEastAsia" w:hAnsi="Arial Narrow" w:cstheme="majorBidi"/>
                <w:b/>
                <w:sz w:val="19"/>
                <w:szCs w:val="19"/>
                <w:vertAlign w:val="superscript"/>
              </w:rPr>
              <w:t>b</w:t>
            </w:r>
          </w:p>
        </w:tc>
        <w:tc>
          <w:tcPr>
            <w:tcW w:w="626" w:type="pct"/>
            <w:vAlign w:val="center"/>
          </w:tcPr>
          <w:p w14:paraId="3AB75CD0" w14:textId="5EEC5C0E" w:rsidR="000E5FB3" w:rsidRPr="001F142E" w:rsidRDefault="000E5FB3" w:rsidP="000343C1">
            <w:pPr>
              <w:keepNext/>
              <w:keepLines/>
              <w:jc w:val="center"/>
              <w:rPr>
                <w:rFonts w:ascii="Arial Narrow" w:eastAsiaTheme="majorEastAsia" w:hAnsi="Arial Narrow" w:cstheme="majorBidi"/>
                <w:b/>
                <w:sz w:val="20"/>
                <w:vertAlign w:val="superscript"/>
              </w:rPr>
            </w:pPr>
            <w:r w:rsidRPr="005C6B68">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
                <w:sz w:val="20"/>
                <w:vertAlign w:val="superscript"/>
              </w:rPr>
              <w:t>18</w:t>
            </w:r>
          </w:p>
        </w:tc>
        <w:tc>
          <w:tcPr>
            <w:tcW w:w="625" w:type="pct"/>
            <w:vAlign w:val="center"/>
          </w:tcPr>
          <w:p w14:paraId="2770711B" w14:textId="5409DD3E" w:rsidR="000E5FB3" w:rsidRPr="001F142E" w:rsidRDefault="000E5FB3" w:rsidP="000343C1">
            <w:pPr>
              <w:keepNext/>
              <w:keepLines/>
              <w:jc w:val="center"/>
              <w:rPr>
                <w:rFonts w:ascii="Arial Narrow" w:eastAsiaTheme="majorEastAsia" w:hAnsi="Arial Narrow" w:cstheme="majorBidi"/>
                <w:bCs/>
                <w:sz w:val="20"/>
                <w:vertAlign w:val="superscript"/>
              </w:rPr>
            </w:pPr>
            <w:r w:rsidRPr="005C6B68">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Cs/>
                <w:sz w:val="20"/>
                <w:vertAlign w:val="superscript"/>
              </w:rPr>
              <w:t>18</w:t>
            </w:r>
          </w:p>
        </w:tc>
        <w:tc>
          <w:tcPr>
            <w:tcW w:w="625" w:type="pct"/>
            <w:vAlign w:val="center"/>
          </w:tcPr>
          <w:p w14:paraId="1FAFCE9C" w14:textId="65E6321B" w:rsidR="000E5FB3" w:rsidRPr="001F142E" w:rsidRDefault="000E5FB3" w:rsidP="000343C1">
            <w:pPr>
              <w:keepNext/>
              <w:keepLines/>
              <w:jc w:val="center"/>
              <w:rPr>
                <w:rFonts w:ascii="Arial Narrow" w:eastAsiaTheme="majorEastAsia" w:hAnsi="Arial Narrow" w:cstheme="majorBidi"/>
                <w:bCs/>
                <w:sz w:val="20"/>
                <w:vertAlign w:val="superscript"/>
              </w:rPr>
            </w:pPr>
            <w:r w:rsidRPr="005C6B68">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Cs/>
                <w:sz w:val="20"/>
                <w:vertAlign w:val="superscript"/>
              </w:rPr>
              <w:t>18</w:t>
            </w:r>
          </w:p>
        </w:tc>
        <w:tc>
          <w:tcPr>
            <w:tcW w:w="625" w:type="pct"/>
            <w:vAlign w:val="center"/>
          </w:tcPr>
          <w:p w14:paraId="3695FA2F" w14:textId="37A5C5AE" w:rsidR="000E5FB3" w:rsidRPr="001F142E" w:rsidRDefault="000E5FB3" w:rsidP="000343C1">
            <w:pPr>
              <w:keepNext/>
              <w:keepLines/>
              <w:jc w:val="center"/>
              <w:rPr>
                <w:rFonts w:ascii="Arial Narrow" w:eastAsiaTheme="majorEastAsia" w:hAnsi="Arial Narrow" w:cstheme="majorBidi"/>
                <w:bCs/>
                <w:sz w:val="20"/>
                <w:vertAlign w:val="superscript"/>
              </w:rPr>
            </w:pPr>
            <w:r w:rsidRPr="005C6B68">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Cs/>
                <w:sz w:val="20"/>
                <w:vertAlign w:val="superscript"/>
              </w:rPr>
              <w:t>18</w:t>
            </w:r>
          </w:p>
        </w:tc>
        <w:tc>
          <w:tcPr>
            <w:tcW w:w="625" w:type="pct"/>
            <w:vAlign w:val="center"/>
          </w:tcPr>
          <w:p w14:paraId="32ABA9CD" w14:textId="4DEE0AE9" w:rsidR="000E5FB3" w:rsidRPr="001F142E" w:rsidRDefault="000E5FB3" w:rsidP="000343C1">
            <w:pPr>
              <w:keepNext/>
              <w:keepLines/>
              <w:jc w:val="center"/>
              <w:rPr>
                <w:rFonts w:ascii="Arial Narrow" w:eastAsiaTheme="majorEastAsia" w:hAnsi="Arial Narrow" w:cstheme="majorBidi"/>
                <w:bCs/>
                <w:sz w:val="20"/>
                <w:vertAlign w:val="superscript"/>
              </w:rPr>
            </w:pPr>
            <w:r w:rsidRPr="005C6B68">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Cs/>
                <w:sz w:val="20"/>
                <w:vertAlign w:val="superscript"/>
              </w:rPr>
              <w:t>18</w:t>
            </w:r>
          </w:p>
        </w:tc>
        <w:tc>
          <w:tcPr>
            <w:tcW w:w="626" w:type="pct"/>
            <w:vAlign w:val="center"/>
          </w:tcPr>
          <w:p w14:paraId="7E9DF74F" w14:textId="784658C8" w:rsidR="000E5FB3" w:rsidRPr="001F142E" w:rsidRDefault="000E5FB3" w:rsidP="000343C1">
            <w:pPr>
              <w:keepNext/>
              <w:keepLines/>
              <w:jc w:val="center"/>
              <w:rPr>
                <w:rFonts w:ascii="Arial Narrow" w:eastAsiaTheme="majorEastAsia" w:hAnsi="Arial Narrow" w:cstheme="majorBidi"/>
                <w:bCs/>
                <w:sz w:val="20"/>
                <w:vertAlign w:val="superscript"/>
              </w:rPr>
            </w:pPr>
            <w:r w:rsidRPr="005C6B68">
              <w:rPr>
                <w:rFonts w:ascii="Arial Narrow" w:eastAsiaTheme="majorEastAsia" w:hAnsi="Arial Narrow" w:cstheme="majorBidi"/>
                <w:b/>
                <w:sz w:val="20"/>
              </w:rPr>
              <w:t>$</w:t>
            </w:r>
            <w:r w:rsidR="00B14769" w:rsidRPr="00B14769">
              <w:rPr>
                <w:rFonts w:ascii="Arial Narrow" w:eastAsiaTheme="majorEastAsia" w:hAnsi="Arial Narrow" w:cstheme="majorBidi"/>
                <w:b/>
                <w:sz w:val="20"/>
                <w:highlight w:val="black"/>
              </w:rPr>
              <w:t>&amp;&amp;&amp;&amp;</w:t>
            </w:r>
            <w:r w:rsidR="001F142E">
              <w:rPr>
                <w:rFonts w:ascii="Arial Narrow" w:eastAsiaTheme="majorEastAsia" w:hAnsi="Arial Narrow" w:cstheme="majorBidi"/>
                <w:bCs/>
                <w:sz w:val="20"/>
                <w:vertAlign w:val="superscript"/>
              </w:rPr>
              <w:t>18</w:t>
            </w:r>
          </w:p>
        </w:tc>
      </w:tr>
    </w:tbl>
    <w:bookmarkEnd w:id="129"/>
    <w:p w14:paraId="7421CAD5" w14:textId="6378C54D" w:rsidR="000E5FB3" w:rsidRPr="004F56D0" w:rsidRDefault="000E5FB3" w:rsidP="000E5FB3">
      <w:pPr>
        <w:pStyle w:val="TableFigureFooter"/>
      </w:pPr>
      <w:r w:rsidRPr="004F56D0">
        <w:t xml:space="preserve">Source: Table 4-23, Table 4-24 pp330-331; Attachment 4.1 financial impact </w:t>
      </w:r>
      <w:proofErr w:type="spellStart"/>
      <w:r w:rsidRPr="004F56D0">
        <w:t>EOS_Allergic</w:t>
      </w:r>
      <w:proofErr w:type="spellEnd"/>
      <w:r w:rsidRPr="004F56D0">
        <w:t xml:space="preserve"> SUA Tezepelumab July 2025’, Sheet ‘7. Net Changes- MBS’ of the submission.</w:t>
      </w:r>
      <w:r w:rsidRPr="004F56D0">
        <w:rPr>
          <w:i/>
          <w:iCs/>
        </w:rPr>
        <w:t xml:space="preserve"> </w:t>
      </w:r>
      <w:r w:rsidRPr="004F56D0">
        <w:rPr>
          <w:i/>
          <w:iCs/>
        </w:rPr>
        <w:br/>
      </w:r>
      <w:r w:rsidRPr="004F56D0">
        <w:t>MBS = Medicare Benefits Schedule; PBS = Pharmaceutical Benefits Scheme; RPBS = Repatriation Pharmaceutical Benefits Scheme.</w:t>
      </w:r>
    </w:p>
    <w:p w14:paraId="4F6F4FE7" w14:textId="77777777" w:rsidR="000E5FB3" w:rsidRDefault="000E5FB3" w:rsidP="000E5FB3">
      <w:pPr>
        <w:pStyle w:val="TableFigureFooter"/>
      </w:pPr>
      <w:r w:rsidRPr="004F56D0">
        <w:rPr>
          <w:vertAlign w:val="superscript"/>
        </w:rPr>
        <w:t xml:space="preserve">a </w:t>
      </w:r>
      <w:r w:rsidRPr="004F56D0">
        <w:t xml:space="preserve">Projected number of scripts displaced by </w:t>
      </w:r>
      <w:proofErr w:type="spellStart"/>
      <w:r w:rsidRPr="004F56D0">
        <w:t>tezepelumab</w:t>
      </w:r>
      <w:proofErr w:type="spellEnd"/>
      <w:r w:rsidRPr="004F56D0">
        <w:t xml:space="preserve"> listing. This was calculated as the number of scripts estimated in the year based on 2024 PBS/RPBS utilisation data, multiplied by the displacement rate of </w:t>
      </w:r>
      <w:proofErr w:type="spellStart"/>
      <w:r w:rsidRPr="004F56D0">
        <w:t>tezepelumab</w:t>
      </w:r>
      <w:proofErr w:type="spellEnd"/>
      <w:r w:rsidRPr="004F56D0">
        <w:t xml:space="preserve"> and the annual market growth rate. To ascertain </w:t>
      </w:r>
      <w:proofErr w:type="spellStart"/>
      <w:r w:rsidRPr="004F56D0">
        <w:t>tezepelumab</w:t>
      </w:r>
      <w:proofErr w:type="spellEnd"/>
      <w:r w:rsidRPr="004F56D0">
        <w:t xml:space="preserve"> script numbers, this number was further multiplied by dose equivalence rates (not presented in this table).</w:t>
      </w:r>
    </w:p>
    <w:p w14:paraId="10161194" w14:textId="77777777" w:rsidR="00DB0733" w:rsidRDefault="001F4B6D" w:rsidP="00DB0733">
      <w:pPr>
        <w:pStyle w:val="TableFigureFooter"/>
        <w:rPr>
          <w:i/>
          <w:szCs w:val="18"/>
        </w:rPr>
      </w:pPr>
      <w:r>
        <w:rPr>
          <w:vertAlign w:val="superscript"/>
        </w:rPr>
        <w:t xml:space="preserve">b </w:t>
      </w:r>
      <w:r w:rsidR="00DD704D">
        <w:t xml:space="preserve">Updated during the evaluation using </w:t>
      </w:r>
      <w:r w:rsidR="000159B6">
        <w:t>MBS item fees as of 15 August 2025</w:t>
      </w:r>
    </w:p>
    <w:p w14:paraId="4E2D832F" w14:textId="793F6517" w:rsidR="00DB0733" w:rsidRPr="00DB0733" w:rsidRDefault="00DB0733" w:rsidP="00DB0733">
      <w:pPr>
        <w:pStyle w:val="TableFigureFooter"/>
        <w:rPr>
          <w:i/>
        </w:rPr>
      </w:pPr>
      <w:r w:rsidRPr="00DB0733">
        <w:rPr>
          <w:i/>
        </w:rPr>
        <w:t xml:space="preserve">The redacted values correspond to the following ranges: </w:t>
      </w:r>
    </w:p>
    <w:p w14:paraId="430E7638" w14:textId="2E2AA29A" w:rsidR="00DB0733" w:rsidRPr="00DB0733" w:rsidRDefault="00DB0733" w:rsidP="00DB0733">
      <w:pPr>
        <w:pStyle w:val="TableFigureFooter"/>
        <w:rPr>
          <w:i/>
        </w:rPr>
      </w:pPr>
      <w:r w:rsidRPr="00DB0733">
        <w:rPr>
          <w:i/>
          <w:vertAlign w:val="superscript"/>
        </w:rPr>
        <w:t>1</w:t>
      </w:r>
      <w:r w:rsidRPr="00DB0733">
        <w:rPr>
          <w:i/>
        </w:rPr>
        <w:t xml:space="preserve"> </w:t>
      </w:r>
      <w:r w:rsidR="00B363A6" w:rsidRPr="00B363A6">
        <w:rPr>
          <w:i/>
        </w:rPr>
        <w:t>5,000 to &lt; 10,000</w:t>
      </w:r>
    </w:p>
    <w:p w14:paraId="1CDA1B83" w14:textId="6F722834" w:rsidR="00DB0733" w:rsidRPr="00DB0733" w:rsidRDefault="00DB0733" w:rsidP="00DB0733">
      <w:pPr>
        <w:pStyle w:val="TableFigureFooter"/>
        <w:rPr>
          <w:i/>
        </w:rPr>
      </w:pPr>
      <w:r w:rsidRPr="00DB0733">
        <w:rPr>
          <w:i/>
          <w:vertAlign w:val="superscript"/>
        </w:rPr>
        <w:t>2</w:t>
      </w:r>
      <w:r w:rsidRPr="00DB0733">
        <w:rPr>
          <w:i/>
        </w:rPr>
        <w:t xml:space="preserve"> </w:t>
      </w:r>
      <w:bookmarkStart w:id="130" w:name="_Hlk219314535"/>
      <w:r w:rsidR="00395C67" w:rsidRPr="00395C67">
        <w:rPr>
          <w:i/>
        </w:rPr>
        <w:t>10,000 to &lt; 20,000</w:t>
      </w:r>
      <w:bookmarkEnd w:id="130"/>
    </w:p>
    <w:p w14:paraId="765E29E8" w14:textId="592732E0" w:rsidR="00DB0733" w:rsidRPr="00DB0733" w:rsidRDefault="00DB0733" w:rsidP="00DB0733">
      <w:pPr>
        <w:pStyle w:val="TableFigureFooter"/>
        <w:rPr>
          <w:i/>
        </w:rPr>
      </w:pPr>
      <w:r w:rsidRPr="00DB0733">
        <w:rPr>
          <w:i/>
          <w:vertAlign w:val="superscript"/>
        </w:rPr>
        <w:t>3</w:t>
      </w:r>
      <w:r w:rsidRPr="00DB0733">
        <w:rPr>
          <w:i/>
        </w:rPr>
        <w:t xml:space="preserve"> </w:t>
      </w:r>
      <w:r w:rsidR="009135F1" w:rsidRPr="009135F1">
        <w:rPr>
          <w:i/>
        </w:rPr>
        <w:t>30,000 to &lt; 40,000</w:t>
      </w:r>
    </w:p>
    <w:p w14:paraId="157AA7C3" w14:textId="72121FD8" w:rsidR="00DB0733" w:rsidRPr="00DB0733" w:rsidRDefault="00DB0733" w:rsidP="00DB0733">
      <w:pPr>
        <w:pStyle w:val="TableFigureFooter"/>
        <w:rPr>
          <w:i/>
        </w:rPr>
      </w:pPr>
      <w:r w:rsidRPr="00DB0733">
        <w:rPr>
          <w:i/>
          <w:vertAlign w:val="superscript"/>
        </w:rPr>
        <w:t>4</w:t>
      </w:r>
      <w:r w:rsidRPr="00DB0733">
        <w:rPr>
          <w:i/>
        </w:rPr>
        <w:t xml:space="preserve"> </w:t>
      </w:r>
      <w:r w:rsidR="005A74C0" w:rsidRPr="005A74C0">
        <w:rPr>
          <w:i/>
        </w:rPr>
        <w:t>40,000 to &lt; 50,000</w:t>
      </w:r>
    </w:p>
    <w:p w14:paraId="1D82AEB2" w14:textId="72996088" w:rsidR="00DB0733" w:rsidRPr="00DB0733" w:rsidRDefault="00DB0733" w:rsidP="00DB0733">
      <w:pPr>
        <w:pStyle w:val="TableFigureFooter"/>
        <w:rPr>
          <w:i/>
        </w:rPr>
      </w:pPr>
      <w:r w:rsidRPr="00DB0733">
        <w:rPr>
          <w:i/>
          <w:vertAlign w:val="superscript"/>
        </w:rPr>
        <w:t>5</w:t>
      </w:r>
      <w:r w:rsidRPr="00DB0733">
        <w:rPr>
          <w:i/>
        </w:rPr>
        <w:t xml:space="preserve"> </w:t>
      </w:r>
      <w:bookmarkStart w:id="131" w:name="_Hlk219302434"/>
      <w:r w:rsidR="00991CF6" w:rsidRPr="00991CF6">
        <w:rPr>
          <w:i/>
        </w:rPr>
        <w:t>50,000 to &lt; 60,000</w:t>
      </w:r>
      <w:bookmarkEnd w:id="131"/>
    </w:p>
    <w:p w14:paraId="0D22CEAF" w14:textId="77777777" w:rsidR="00635FF9" w:rsidRDefault="00DB0733" w:rsidP="00DB0733">
      <w:pPr>
        <w:pStyle w:val="TableFigureFooter"/>
        <w:rPr>
          <w:i/>
        </w:rPr>
      </w:pPr>
      <w:r w:rsidRPr="00DB0733">
        <w:rPr>
          <w:i/>
          <w:vertAlign w:val="superscript"/>
        </w:rPr>
        <w:t>6</w:t>
      </w:r>
      <w:r w:rsidRPr="00DB0733">
        <w:rPr>
          <w:i/>
        </w:rPr>
        <w:t xml:space="preserve"> </w:t>
      </w:r>
      <w:bookmarkStart w:id="132" w:name="_Hlk219302480"/>
      <w:r w:rsidR="00635FF9" w:rsidRPr="00635FF9">
        <w:rPr>
          <w:i/>
        </w:rPr>
        <w:t>60,000 to &lt; 70,000</w:t>
      </w:r>
      <w:bookmarkEnd w:id="132"/>
    </w:p>
    <w:p w14:paraId="1C473720" w14:textId="77777777" w:rsidR="00A21793" w:rsidRDefault="00635FF9" w:rsidP="00DB0733">
      <w:pPr>
        <w:pStyle w:val="TableFigureFooter"/>
        <w:rPr>
          <w:i/>
        </w:rPr>
      </w:pPr>
      <w:r>
        <w:rPr>
          <w:i/>
          <w:vertAlign w:val="superscript"/>
        </w:rPr>
        <w:t>7</w:t>
      </w:r>
      <w:r w:rsidR="006F0221">
        <w:rPr>
          <w:i/>
          <w:vertAlign w:val="superscript"/>
        </w:rPr>
        <w:t xml:space="preserve"> </w:t>
      </w:r>
      <w:r w:rsidR="006F0221" w:rsidRPr="006F0221">
        <w:rPr>
          <w:i/>
        </w:rPr>
        <w:t>500 to &lt; 5,000</w:t>
      </w:r>
    </w:p>
    <w:p w14:paraId="5BD3FC4F" w14:textId="77777777" w:rsidR="00EC771C" w:rsidRDefault="00A21793" w:rsidP="00DB0733">
      <w:pPr>
        <w:pStyle w:val="TableFigureFooter"/>
        <w:rPr>
          <w:i/>
        </w:rPr>
      </w:pPr>
      <w:r>
        <w:rPr>
          <w:i/>
          <w:vertAlign w:val="superscript"/>
        </w:rPr>
        <w:t>8</w:t>
      </w:r>
      <w:r w:rsidR="0086024A">
        <w:rPr>
          <w:i/>
          <w:vertAlign w:val="superscript"/>
        </w:rPr>
        <w:t xml:space="preserve"> </w:t>
      </w:r>
      <w:r w:rsidR="0086024A" w:rsidRPr="0086024A">
        <w:rPr>
          <w:i/>
        </w:rPr>
        <w:t>20,000 to &lt; 30,000</w:t>
      </w:r>
    </w:p>
    <w:p w14:paraId="3974A7C0" w14:textId="7C6807CD" w:rsidR="00DB0733" w:rsidRPr="00DB0733" w:rsidRDefault="00EC771C" w:rsidP="00DB0733">
      <w:pPr>
        <w:pStyle w:val="TableFigureFooter"/>
        <w:rPr>
          <w:i/>
        </w:rPr>
      </w:pPr>
      <w:r>
        <w:rPr>
          <w:i/>
          <w:vertAlign w:val="superscript"/>
        </w:rPr>
        <w:t>9</w:t>
      </w:r>
      <w:bookmarkStart w:id="133" w:name="_Hlk219314677"/>
      <w:r w:rsidR="00994638">
        <w:rPr>
          <w:i/>
          <w:vertAlign w:val="superscript"/>
        </w:rPr>
        <w:t xml:space="preserve"> </w:t>
      </w:r>
      <w:r w:rsidR="00994638" w:rsidRPr="00994638">
        <w:rPr>
          <w:i/>
        </w:rPr>
        <w:t>$10 million to &lt; $20 million</w:t>
      </w:r>
      <w:bookmarkEnd w:id="133"/>
    </w:p>
    <w:p w14:paraId="1EC77F55" w14:textId="1E4B6B3C" w:rsidR="00994638" w:rsidRDefault="00994638" w:rsidP="00994638">
      <w:pPr>
        <w:pStyle w:val="TableFigureFooter"/>
        <w:rPr>
          <w:i/>
        </w:rPr>
      </w:pPr>
      <w:r>
        <w:rPr>
          <w:i/>
          <w:vertAlign w:val="superscript"/>
        </w:rPr>
        <w:t xml:space="preserve">10 </w:t>
      </w:r>
      <w:r w:rsidR="003E1C89" w:rsidRPr="003E1C89">
        <w:rPr>
          <w:i/>
        </w:rPr>
        <w:t>$30 million to &lt; $40 million</w:t>
      </w:r>
    </w:p>
    <w:p w14:paraId="7165F8CF" w14:textId="2B6B4CB2" w:rsidR="00994638" w:rsidRPr="00DB0733" w:rsidRDefault="00994638" w:rsidP="00994638">
      <w:pPr>
        <w:pStyle w:val="TableFigureFooter"/>
        <w:rPr>
          <w:i/>
        </w:rPr>
      </w:pPr>
      <w:r>
        <w:rPr>
          <w:i/>
          <w:vertAlign w:val="superscript"/>
        </w:rPr>
        <w:t>11</w:t>
      </w:r>
      <w:r>
        <w:rPr>
          <w:i/>
        </w:rPr>
        <w:t xml:space="preserve"> </w:t>
      </w:r>
      <w:r w:rsidR="003D547F" w:rsidRPr="003D547F">
        <w:rPr>
          <w:i/>
        </w:rPr>
        <w:t>$50 million to &lt; $60 million</w:t>
      </w:r>
    </w:p>
    <w:p w14:paraId="442815DF" w14:textId="25CB2250" w:rsidR="005363DF" w:rsidRPr="00DB0733" w:rsidRDefault="005363DF" w:rsidP="005363DF">
      <w:pPr>
        <w:pStyle w:val="TableFigureFooter"/>
        <w:rPr>
          <w:i/>
        </w:rPr>
      </w:pPr>
      <w:r>
        <w:rPr>
          <w:i/>
          <w:vertAlign w:val="superscript"/>
        </w:rPr>
        <w:t xml:space="preserve">12 </w:t>
      </w:r>
      <w:r w:rsidR="00917D60" w:rsidRPr="00917D60">
        <w:rPr>
          <w:i/>
        </w:rPr>
        <w:t>$70 million to &lt; $80 million</w:t>
      </w:r>
    </w:p>
    <w:p w14:paraId="50DBE660" w14:textId="33A97F42" w:rsidR="005363DF" w:rsidRDefault="005363DF" w:rsidP="005363DF">
      <w:pPr>
        <w:pStyle w:val="TableFigureFooter"/>
        <w:rPr>
          <w:i/>
        </w:rPr>
      </w:pPr>
      <w:r>
        <w:rPr>
          <w:i/>
          <w:vertAlign w:val="superscript"/>
        </w:rPr>
        <w:t xml:space="preserve">13 </w:t>
      </w:r>
      <w:r w:rsidR="002558B4" w:rsidRPr="002558B4">
        <w:rPr>
          <w:i/>
        </w:rPr>
        <w:t>$90 million to &lt; $100 million</w:t>
      </w:r>
    </w:p>
    <w:p w14:paraId="1F21CCF7" w14:textId="0612F20F" w:rsidR="005363DF" w:rsidRPr="00DB0733" w:rsidRDefault="005363DF" w:rsidP="005363DF">
      <w:pPr>
        <w:pStyle w:val="TableFigureFooter"/>
        <w:rPr>
          <w:i/>
        </w:rPr>
      </w:pPr>
      <w:r>
        <w:rPr>
          <w:i/>
          <w:vertAlign w:val="superscript"/>
        </w:rPr>
        <w:t>14</w:t>
      </w:r>
      <w:r>
        <w:rPr>
          <w:i/>
        </w:rPr>
        <w:t xml:space="preserve"> </w:t>
      </w:r>
      <w:r w:rsidR="00FB0127" w:rsidRPr="00FB0127">
        <w:rPr>
          <w:i/>
        </w:rPr>
        <w:t>$100 million to &lt; $200 million</w:t>
      </w:r>
    </w:p>
    <w:p w14:paraId="6A97D616" w14:textId="7925EB24" w:rsidR="0024607E" w:rsidRPr="0024607E" w:rsidRDefault="0024607E" w:rsidP="0024607E">
      <w:pPr>
        <w:pStyle w:val="TableFigureFooter"/>
        <w:rPr>
          <w:i/>
        </w:rPr>
      </w:pPr>
      <w:r w:rsidRPr="0024607E">
        <w:rPr>
          <w:i/>
          <w:vertAlign w:val="superscript"/>
        </w:rPr>
        <w:t>1</w:t>
      </w:r>
      <w:r>
        <w:rPr>
          <w:i/>
          <w:vertAlign w:val="superscript"/>
        </w:rPr>
        <w:t>5</w:t>
      </w:r>
      <w:r w:rsidRPr="0024607E">
        <w:rPr>
          <w:i/>
          <w:vertAlign w:val="superscript"/>
        </w:rPr>
        <w:t xml:space="preserve"> </w:t>
      </w:r>
      <w:r w:rsidR="00CD3B7F" w:rsidRPr="00CD3B7F">
        <w:rPr>
          <w:i/>
        </w:rPr>
        <w:t>$20 million to &lt; $30 million</w:t>
      </w:r>
    </w:p>
    <w:p w14:paraId="5DFCF297" w14:textId="18CE9CD0" w:rsidR="0024607E" w:rsidRPr="0024607E" w:rsidRDefault="0024607E" w:rsidP="0024607E">
      <w:pPr>
        <w:pStyle w:val="TableFigureFooter"/>
        <w:rPr>
          <w:i/>
        </w:rPr>
      </w:pPr>
      <w:r w:rsidRPr="0024607E">
        <w:rPr>
          <w:i/>
          <w:vertAlign w:val="superscript"/>
        </w:rPr>
        <w:t>1</w:t>
      </w:r>
      <w:r>
        <w:rPr>
          <w:i/>
          <w:vertAlign w:val="superscript"/>
        </w:rPr>
        <w:t>6</w:t>
      </w:r>
      <w:r w:rsidRPr="0024607E">
        <w:rPr>
          <w:i/>
          <w:vertAlign w:val="superscript"/>
        </w:rPr>
        <w:t xml:space="preserve"> </w:t>
      </w:r>
      <w:r w:rsidR="002A5F04" w:rsidRPr="002A5F04">
        <w:rPr>
          <w:i/>
        </w:rPr>
        <w:t>$40 million to &lt; $50 million</w:t>
      </w:r>
    </w:p>
    <w:p w14:paraId="4BF37A93" w14:textId="3CCEFA9A" w:rsidR="0024607E" w:rsidRPr="0024607E" w:rsidRDefault="0024607E" w:rsidP="0024607E">
      <w:pPr>
        <w:pStyle w:val="TableFigureFooter"/>
        <w:rPr>
          <w:i/>
        </w:rPr>
      </w:pPr>
      <w:r>
        <w:rPr>
          <w:i/>
          <w:vertAlign w:val="superscript"/>
        </w:rPr>
        <w:t>1</w:t>
      </w:r>
      <w:r w:rsidR="002A5F04">
        <w:rPr>
          <w:i/>
          <w:vertAlign w:val="superscript"/>
        </w:rPr>
        <w:t>7</w:t>
      </w:r>
      <w:r w:rsidRPr="0024607E">
        <w:rPr>
          <w:i/>
        </w:rPr>
        <w:t xml:space="preserve"> </w:t>
      </w:r>
      <w:r w:rsidR="004403C4" w:rsidRPr="004403C4">
        <w:rPr>
          <w:i/>
        </w:rPr>
        <w:t>$60 million to &lt; $70 million</w:t>
      </w:r>
    </w:p>
    <w:p w14:paraId="533EC8C2" w14:textId="48915E57" w:rsidR="001F4B6D" w:rsidRPr="001F4B6D" w:rsidRDefault="004403C4" w:rsidP="001F4B6D">
      <w:pPr>
        <w:pStyle w:val="TableFigureFooter"/>
      </w:pPr>
      <w:r w:rsidRPr="004403C4">
        <w:rPr>
          <w:i/>
          <w:vertAlign w:val="superscript"/>
        </w:rPr>
        <w:t>1</w:t>
      </w:r>
      <w:r>
        <w:rPr>
          <w:i/>
          <w:vertAlign w:val="superscript"/>
        </w:rPr>
        <w:t>8</w:t>
      </w:r>
      <w:r w:rsidRPr="004403C4">
        <w:rPr>
          <w:i/>
          <w:vertAlign w:val="superscript"/>
        </w:rPr>
        <w:t xml:space="preserve"> </w:t>
      </w:r>
      <w:r w:rsidR="001F142E" w:rsidRPr="001F142E">
        <w:rPr>
          <w:i/>
        </w:rPr>
        <w:t>$0 to &lt; $10 million</w:t>
      </w:r>
    </w:p>
    <w:p w14:paraId="7C593AF0" w14:textId="2D50EFE2" w:rsidR="000E5FB3" w:rsidRPr="004F56D0" w:rsidRDefault="000E5FB3" w:rsidP="000E5FB3">
      <w:pPr>
        <w:pStyle w:val="COMESnumberedpara"/>
      </w:pPr>
      <w:r w:rsidRPr="004F56D0">
        <w:t xml:space="preserve">The submission estimated the net financial implication to the PBS/RPBS of listing </w:t>
      </w:r>
      <w:proofErr w:type="spellStart"/>
      <w:r w:rsidRPr="004F56D0">
        <w:t>tezepelumab</w:t>
      </w:r>
      <w:proofErr w:type="spellEnd"/>
      <w:r w:rsidRPr="004F56D0">
        <w:t xml:space="preserve"> as $1.0 million in Year 1 of listing, increasing to </w:t>
      </w:r>
      <w:r w:rsidR="002E7277" w:rsidRPr="002E7277">
        <w:t>$0 to &lt; $10 million</w:t>
      </w:r>
      <w:r w:rsidRPr="004F56D0">
        <w:t xml:space="preserve"> in Year 6, with an estimated total cost of </w:t>
      </w:r>
      <w:r w:rsidR="00FA3048" w:rsidRPr="00FA3048">
        <w:t>$20 million to &lt; $30 million</w:t>
      </w:r>
      <w:r w:rsidRPr="004F56D0">
        <w:t xml:space="preserve"> over 6 years based on published prices.</w:t>
      </w:r>
      <w:r w:rsidRPr="004F56D0">
        <w:rPr>
          <w:i/>
        </w:rPr>
        <w:t xml:space="preserve"> </w:t>
      </w:r>
    </w:p>
    <w:p w14:paraId="088FB1BB" w14:textId="5ADCAA76" w:rsidR="000E5FB3" w:rsidRPr="00FF3354" w:rsidRDefault="00840537" w:rsidP="000E5FB3">
      <w:pPr>
        <w:pStyle w:val="COMESnumberedpara"/>
        <w:rPr>
          <w:i/>
          <w:iCs/>
        </w:rPr>
      </w:pPr>
      <w:r>
        <w:t xml:space="preserve">The </w:t>
      </w:r>
      <w:r w:rsidR="009C416C">
        <w:t>evaluat</w:t>
      </w:r>
      <w:r w:rsidR="0066502C">
        <w:t>ion</w:t>
      </w:r>
      <w:r w:rsidR="009C416C">
        <w:t xml:space="preserve"> considered it</w:t>
      </w:r>
      <w:r w:rsidR="000E5FB3" w:rsidRPr="00D0629B">
        <w:t xml:space="preserve"> may not be reasonable to assume no additional market growth of SUA with </w:t>
      </w:r>
      <w:proofErr w:type="spellStart"/>
      <w:r w:rsidR="000E5FB3" w:rsidRPr="00D0629B">
        <w:t>tezepelumab</w:t>
      </w:r>
      <w:proofErr w:type="spellEnd"/>
      <w:r w:rsidR="000E5FB3" w:rsidRPr="00D0629B">
        <w:t xml:space="preserve"> listing in this population.</w:t>
      </w:r>
      <w:r w:rsidR="000E5FB3" w:rsidRPr="004F56D0">
        <w:t xml:space="preserve"> In 2024, the DUSC noted that the market for biologics for SUA grew further than was predicted in the dupilumab submission. The DUSC concluded that the market was larger than predicted and the uptake of dupilumab within the market was higher than predicted (p22, dupilumab, Public Release Document, February 2024 DUSC meeting). The 2024 DUSC report also suggested </w:t>
      </w:r>
      <w:r w:rsidR="003A7FBF">
        <w:t>that</w:t>
      </w:r>
      <w:r w:rsidR="000E5FB3" w:rsidRPr="004F56D0">
        <w:t xml:space="preserve"> the number of supplied prescriptions and the number of treated patients had not plateaued and continued to grow (p26</w:t>
      </w:r>
      <w:r w:rsidR="000E5FB3">
        <w:t>,</w:t>
      </w:r>
      <w:r w:rsidR="000E5FB3" w:rsidRPr="004F56D0">
        <w:t xml:space="preserve"> </w:t>
      </w:r>
      <w:r w:rsidR="000E5FB3">
        <w:t>d</w:t>
      </w:r>
      <w:r w:rsidR="000E5FB3" w:rsidRPr="004F56D0">
        <w:t>upilumab, Public Release Document, February 2024 DUSC meeting).</w:t>
      </w:r>
    </w:p>
    <w:p w14:paraId="46E4834B" w14:textId="78FF5206" w:rsidR="00152B2D" w:rsidRPr="00FF3354" w:rsidRDefault="00FD05D1" w:rsidP="000E5FB3">
      <w:pPr>
        <w:pStyle w:val="COMESnumberedpara"/>
        <w:rPr>
          <w:i/>
          <w:iCs/>
        </w:rPr>
      </w:pPr>
      <w:r>
        <w:t>The DUSC considered the estimates presented in the submission to be underestimated for the eosinophilic or allergic SUA population. The main issues were:</w:t>
      </w:r>
    </w:p>
    <w:p w14:paraId="6FE52764" w14:textId="5DEC65B0" w:rsidR="00A314AE" w:rsidRDefault="00A314AE" w:rsidP="00EE22EE">
      <w:pPr>
        <w:pStyle w:val="ListParagraph"/>
        <w:numPr>
          <w:ilvl w:val="0"/>
          <w:numId w:val="4"/>
        </w:numPr>
        <w:ind w:left="1134"/>
        <w:jc w:val="both"/>
      </w:pPr>
      <w:r>
        <w:t>DUSC considered the market growth for the eosinophilic or allergic SUA population to be underestimated as patients’ total time on biologic therapy for asthma will likely be extended with the addition of a 5th biologic.</w:t>
      </w:r>
    </w:p>
    <w:p w14:paraId="45252702" w14:textId="0C3CD86B" w:rsidR="00A314AE" w:rsidRDefault="00A314AE" w:rsidP="00EE22EE">
      <w:pPr>
        <w:pStyle w:val="ListParagraph"/>
        <w:numPr>
          <w:ilvl w:val="0"/>
          <w:numId w:val="4"/>
        </w:numPr>
        <w:ind w:left="1134"/>
        <w:jc w:val="both"/>
      </w:pPr>
      <w:r>
        <w:t xml:space="preserve">DUSC considered that as a new/unique mode of action in class drug, and with the benefit of monthly dosing over dupilumab’s fortnightly dosing </w:t>
      </w:r>
      <w:proofErr w:type="spellStart"/>
      <w:r>
        <w:t>tezepelumab</w:t>
      </w:r>
      <w:proofErr w:type="spellEnd"/>
      <w:r>
        <w:t xml:space="preserve"> will likely grow the market. </w:t>
      </w:r>
    </w:p>
    <w:p w14:paraId="2445FF52" w14:textId="52184611" w:rsidR="00294E50" w:rsidRDefault="000E6255" w:rsidP="00294E50">
      <w:pPr>
        <w:pStyle w:val="COMESnumberedpara"/>
      </w:pPr>
      <w:bookmarkStart w:id="134" w:name="_Ref214971745"/>
      <w:r>
        <w:t xml:space="preserve">The pre-PBAC response </w:t>
      </w:r>
      <w:r w:rsidR="00CB3E94">
        <w:t xml:space="preserve">proposed </w:t>
      </w:r>
      <w:r w:rsidR="00333B8C">
        <w:t xml:space="preserve">increasing </w:t>
      </w:r>
      <w:r w:rsidR="005D05DB">
        <w:t>the linear market growth estimates by 153 patients</w:t>
      </w:r>
      <w:r w:rsidR="00771356">
        <w:t xml:space="preserve"> each year</w:t>
      </w:r>
      <w:r w:rsidR="009D72BD">
        <w:t xml:space="preserve">, </w:t>
      </w:r>
      <w:r w:rsidR="00AE593D">
        <w:t xml:space="preserve">increasing the uptake rate in Year 1 from </w:t>
      </w:r>
      <w:r w:rsidR="00B14769" w:rsidRPr="00B14769">
        <w:rPr>
          <w:highlight w:val="black"/>
        </w:rPr>
        <w:t>&amp;&amp;&amp;&amp;</w:t>
      </w:r>
      <w:r w:rsidR="00AE593D">
        <w:t xml:space="preserve">% to </w:t>
      </w:r>
      <w:r w:rsidR="00B14769" w:rsidRPr="00B14769">
        <w:rPr>
          <w:highlight w:val="black"/>
        </w:rPr>
        <w:t>&amp;&amp;&amp;&amp;</w:t>
      </w:r>
      <w:r w:rsidR="00AE593D">
        <w:t xml:space="preserve">% and in Year 2 from </w:t>
      </w:r>
      <w:r w:rsidR="00B14769" w:rsidRPr="00B14769">
        <w:rPr>
          <w:highlight w:val="black"/>
        </w:rPr>
        <w:t>&amp;&amp;&amp;&amp;</w:t>
      </w:r>
      <w:r w:rsidR="00AE593D">
        <w:t xml:space="preserve">% to </w:t>
      </w:r>
      <w:r w:rsidR="00B14769" w:rsidRPr="00B14769">
        <w:rPr>
          <w:highlight w:val="black"/>
        </w:rPr>
        <w:t>&amp;&amp;&amp;&amp;</w:t>
      </w:r>
      <w:r w:rsidR="00AE593D">
        <w:t>%</w:t>
      </w:r>
      <w:r w:rsidR="009D72BD">
        <w:t xml:space="preserve"> and adding </w:t>
      </w:r>
      <w:r w:rsidR="00FA3048">
        <w:t xml:space="preserve">&lt;500 </w:t>
      </w:r>
      <w:r w:rsidR="009D72BD">
        <w:t>grandfathered patients</w:t>
      </w:r>
      <w:r w:rsidR="00AE593D">
        <w:t xml:space="preserve">. </w:t>
      </w:r>
      <w:r w:rsidR="00771356">
        <w:t xml:space="preserve">In addition, the pre-PBAC response proposed </w:t>
      </w:r>
      <w:r w:rsidR="0003294B">
        <w:t xml:space="preserve">updating the unit equivalence values to those proposed by the evaluation and applying the </w:t>
      </w:r>
      <w:r w:rsidR="00DD0978">
        <w:t>SC</w:t>
      </w:r>
      <w:r w:rsidR="0003294B">
        <w:t xml:space="preserve"> injection and </w:t>
      </w:r>
      <w:r w:rsidR="00CD48B7">
        <w:t>monitoring of anaphylaxis events related</w:t>
      </w:r>
      <w:r w:rsidR="0003294B">
        <w:t xml:space="preserve"> MBS item numbers </w:t>
      </w:r>
      <w:r w:rsidR="001B630A">
        <w:t>(822</w:t>
      </w:r>
      <w:r w:rsidR="00CD48B7">
        <w:t>0</w:t>
      </w:r>
      <w:r w:rsidR="001B630A">
        <w:t xml:space="preserve">0 and 82210) fees to the first three doses of omalizumab only. </w:t>
      </w:r>
      <w:r w:rsidR="00FC6503">
        <w:t>The pre-PBAC response stated that under the new assumptions the net impact double</w:t>
      </w:r>
      <w:r w:rsidR="001B630A">
        <w:t>d</w:t>
      </w:r>
      <w:r w:rsidR="00FC6503">
        <w:t xml:space="preserve"> </w:t>
      </w:r>
      <w:r w:rsidR="003F64D6">
        <w:t xml:space="preserve">in Year 1 but has a reducing rate of increase until year 6. A revised </w:t>
      </w:r>
      <w:r w:rsidR="008412A4">
        <w:t>utilisation and cost model workbook</w:t>
      </w:r>
      <w:r w:rsidR="003F64D6">
        <w:t xml:space="preserve"> was not provided with the pre</w:t>
      </w:r>
      <w:r w:rsidR="00F60DE6">
        <w:t>-PBAC response.</w:t>
      </w:r>
      <w:bookmarkEnd w:id="134"/>
      <w:r w:rsidR="00F60DE6">
        <w:t xml:space="preserve"> </w:t>
      </w:r>
    </w:p>
    <w:p w14:paraId="2238DEE9" w14:textId="2024B01A" w:rsidR="00576972" w:rsidRPr="000E5FB3" w:rsidRDefault="00576972" w:rsidP="000E5FB3">
      <w:pPr>
        <w:keepNext/>
        <w:spacing w:before="120" w:after="120"/>
        <w:outlineLvl w:val="1"/>
        <w:rPr>
          <w:rFonts w:asciiTheme="minorHAnsi" w:eastAsiaTheme="majorEastAsia" w:hAnsiTheme="minorHAnsi" w:cstheme="majorBidi"/>
          <w:b/>
          <w:i/>
          <w:color w:val="000000" w:themeColor="text1"/>
          <w:spacing w:val="5"/>
          <w:kern w:val="28"/>
          <w:sz w:val="28"/>
          <w:szCs w:val="36"/>
          <w:lang w:eastAsia="en-US"/>
        </w:rPr>
      </w:pPr>
      <w:r w:rsidRPr="000E5FB3">
        <w:rPr>
          <w:rFonts w:asciiTheme="minorHAnsi" w:eastAsiaTheme="majorEastAsia" w:hAnsiTheme="minorHAnsi" w:cstheme="majorBidi"/>
          <w:b/>
          <w:i/>
          <w:color w:val="000000" w:themeColor="text1"/>
          <w:spacing w:val="5"/>
          <w:kern w:val="28"/>
          <w:sz w:val="28"/>
          <w:szCs w:val="36"/>
          <w:lang w:eastAsia="en-US"/>
        </w:rPr>
        <w:t>Quality Use of Medicines</w:t>
      </w:r>
      <w:bookmarkEnd w:id="109"/>
      <w:bookmarkEnd w:id="110"/>
    </w:p>
    <w:p w14:paraId="0F16D3FC" w14:textId="21DBA19F" w:rsidR="007D732A" w:rsidRPr="00AD695B" w:rsidRDefault="007D732A" w:rsidP="00FB4F30">
      <w:pPr>
        <w:pStyle w:val="COMESnumberedpara"/>
        <w:rPr>
          <w:lang w:eastAsia="en-US"/>
        </w:rPr>
      </w:pPr>
      <w:r w:rsidRPr="00AD695B">
        <w:rPr>
          <w:lang w:eastAsia="en-US"/>
        </w:rPr>
        <w:t xml:space="preserve">The submission described a comprehensive plan for patient and clinical education to support quality and optimal use of medications for SUA. It included dissemination of educational materials for health care providers and patients, a Patient Support Program (PSP) to include information/brochures to drive quality use of </w:t>
      </w:r>
      <w:proofErr w:type="spellStart"/>
      <w:r w:rsidRPr="00AD695B">
        <w:rPr>
          <w:lang w:eastAsia="en-US"/>
        </w:rPr>
        <w:t>tezepelumab</w:t>
      </w:r>
      <w:proofErr w:type="spellEnd"/>
      <w:r w:rsidRPr="00AD695B">
        <w:rPr>
          <w:lang w:eastAsia="en-US"/>
        </w:rPr>
        <w:t xml:space="preserve"> (from prescribing through to administration and ongoing treatment) and a website containing tools and information to support healthcare providers and patients. The submission also indicated that Asthma Australia activities will be supported, which were aimed at educating patients and carers on SUA, including treatment options, and the importance of medication adherence and device technique.</w:t>
      </w:r>
      <w:r w:rsidR="0048574A">
        <w:rPr>
          <w:lang w:eastAsia="en-US"/>
        </w:rPr>
        <w:t xml:space="preserve"> In addition, DUSC noted that post-marketing surveillance activities will be </w:t>
      </w:r>
      <w:r w:rsidR="00D77C29">
        <w:rPr>
          <w:lang w:eastAsia="en-US"/>
        </w:rPr>
        <w:t xml:space="preserve">undertaken as part of the Risk Management Plan for </w:t>
      </w:r>
      <w:proofErr w:type="spellStart"/>
      <w:r w:rsidR="00D77C29">
        <w:rPr>
          <w:lang w:eastAsia="en-US"/>
        </w:rPr>
        <w:t>tezepelumab</w:t>
      </w:r>
      <w:proofErr w:type="spellEnd"/>
      <w:r w:rsidR="00D77C29">
        <w:rPr>
          <w:lang w:eastAsia="en-US"/>
        </w:rPr>
        <w:t xml:space="preserve">. </w:t>
      </w:r>
    </w:p>
    <w:p w14:paraId="79CF298F" w14:textId="77777777" w:rsidR="007D732A" w:rsidRPr="004F56D0" w:rsidRDefault="007D732A" w:rsidP="007D732A">
      <w:pPr>
        <w:keepNext/>
        <w:spacing w:before="120" w:after="120"/>
        <w:outlineLvl w:val="1"/>
        <w:rPr>
          <w:rFonts w:asciiTheme="minorHAnsi" w:eastAsiaTheme="majorEastAsia" w:hAnsiTheme="minorHAnsi" w:cstheme="majorBidi"/>
          <w:b/>
          <w:i/>
          <w:color w:val="000000" w:themeColor="text1"/>
          <w:spacing w:val="5"/>
          <w:kern w:val="28"/>
          <w:sz w:val="28"/>
          <w:szCs w:val="36"/>
          <w:lang w:eastAsia="en-US"/>
        </w:rPr>
      </w:pPr>
      <w:bookmarkStart w:id="135" w:name="_Toc206426976"/>
      <w:bookmarkStart w:id="136" w:name="_Toc206428387"/>
      <w:r w:rsidRPr="004F56D0">
        <w:rPr>
          <w:rFonts w:asciiTheme="minorHAnsi" w:eastAsiaTheme="majorEastAsia" w:hAnsiTheme="minorHAnsi" w:cstheme="majorBidi"/>
          <w:b/>
          <w:i/>
          <w:color w:val="000000" w:themeColor="text1"/>
          <w:spacing w:val="5"/>
          <w:kern w:val="28"/>
          <w:sz w:val="28"/>
          <w:szCs w:val="36"/>
          <w:lang w:eastAsia="en-US"/>
        </w:rPr>
        <w:t>Financial Management – Risk Sharing Arrangements</w:t>
      </w:r>
      <w:bookmarkEnd w:id="135"/>
      <w:bookmarkEnd w:id="136"/>
    </w:p>
    <w:p w14:paraId="3E30DAEF" w14:textId="79623AAC" w:rsidR="00EE227E" w:rsidRDefault="007D732A" w:rsidP="00D77C29">
      <w:pPr>
        <w:pStyle w:val="COMESnumberedpara"/>
      </w:pPr>
      <w:r w:rsidRPr="004F56D0">
        <w:t xml:space="preserve">The submission did not propose a risk-sharing arrangement, stating that it was consistent with the </w:t>
      </w:r>
      <w:r w:rsidR="00C9201F">
        <w:t>arrangements</w:t>
      </w:r>
      <w:r w:rsidR="00C9201F" w:rsidRPr="004F56D0">
        <w:t xml:space="preserve"> </w:t>
      </w:r>
      <w:r w:rsidRPr="004F56D0">
        <w:t>for the current asthma biologics.</w:t>
      </w:r>
      <w:r w:rsidR="00F8427E" w:rsidRPr="009E63E1">
        <w:t xml:space="preserve"> </w:t>
      </w:r>
    </w:p>
    <w:p w14:paraId="55AD8081" w14:textId="77777777" w:rsidR="001853DC" w:rsidRPr="008A6A0C" w:rsidRDefault="001853DC" w:rsidP="001853DC">
      <w:pPr>
        <w:pStyle w:val="COMESnumberedpara"/>
        <w:numPr>
          <w:ilvl w:val="0"/>
          <w:numId w:val="0"/>
        </w:numPr>
        <w:ind w:left="720" w:hanging="720"/>
        <w:rPr>
          <w:i/>
        </w:rPr>
      </w:pPr>
      <w:r w:rsidRPr="008A6A0C">
        <w:rPr>
          <w:i/>
        </w:rPr>
        <w:t>For more detail on PBAC’s view, see section 7 PBAC outcome.</w:t>
      </w:r>
    </w:p>
    <w:p w14:paraId="752E2BD3" w14:textId="77777777" w:rsidR="009E5CAB" w:rsidRPr="0090150D" w:rsidRDefault="009E5CAB" w:rsidP="009E5CAB">
      <w:pPr>
        <w:pStyle w:val="2-SectionHeading"/>
        <w:numPr>
          <w:ilvl w:val="0"/>
          <w:numId w:val="1"/>
        </w:numPr>
      </w:pPr>
      <w:bookmarkStart w:id="137" w:name="_Hlk76381249"/>
      <w:bookmarkStart w:id="138" w:name="_Hlk76377955"/>
      <w:r w:rsidRPr="0090150D">
        <w:t>PBAC Outcome</w:t>
      </w:r>
    </w:p>
    <w:p w14:paraId="69D0F4A4" w14:textId="35D4A154" w:rsidR="006E044B" w:rsidRPr="00A60820" w:rsidRDefault="00FA0AEA" w:rsidP="00A60820">
      <w:pPr>
        <w:pStyle w:val="COMESnumberedpara"/>
        <w:rPr>
          <w:snapToGrid w:val="0"/>
          <w:lang w:val="en-GB"/>
        </w:rPr>
      </w:pPr>
      <w:r w:rsidRPr="00596D21">
        <w:t xml:space="preserve">The PBAC recommended the </w:t>
      </w:r>
      <w:r w:rsidR="003B1ADA" w:rsidRPr="00596D21">
        <w:t xml:space="preserve">Section 100 </w:t>
      </w:r>
      <w:r w:rsidR="001C63A8" w:rsidRPr="00596D21">
        <w:t>(Highly Specialised Drugs Program</w:t>
      </w:r>
      <w:r w:rsidR="007011E3">
        <w:t xml:space="preserve"> </w:t>
      </w:r>
      <w:r w:rsidR="001C63A8" w:rsidRPr="00596D21">
        <w:t>[HSD]) listing of</w:t>
      </w:r>
      <w:r w:rsidR="001C63A8">
        <w:rPr>
          <w:snapToGrid w:val="0"/>
          <w:lang w:val="en-GB"/>
        </w:rPr>
        <w:t xml:space="preserve"> </w:t>
      </w:r>
      <w:proofErr w:type="spellStart"/>
      <w:r w:rsidR="001C63A8">
        <w:rPr>
          <w:snapToGrid w:val="0"/>
          <w:lang w:val="en-GB"/>
        </w:rPr>
        <w:t>tezepelumab</w:t>
      </w:r>
      <w:proofErr w:type="spellEnd"/>
      <w:r w:rsidR="001C63A8">
        <w:rPr>
          <w:snapToGrid w:val="0"/>
          <w:lang w:val="en-GB"/>
        </w:rPr>
        <w:t xml:space="preserve"> for the treatment of </w:t>
      </w:r>
      <w:r w:rsidR="007011E3">
        <w:t xml:space="preserve">patients aged 12 years and older with </w:t>
      </w:r>
      <w:r w:rsidR="007011E3" w:rsidRPr="00297322">
        <w:t xml:space="preserve">severe uncontrolled asthma </w:t>
      </w:r>
      <w:r w:rsidR="007011E3">
        <w:t xml:space="preserve">(SUA) </w:t>
      </w:r>
      <w:r w:rsidR="007011E3" w:rsidRPr="00297322">
        <w:t xml:space="preserve">that </w:t>
      </w:r>
      <w:r w:rsidR="00EF7ADA">
        <w:t>is</w:t>
      </w:r>
      <w:r w:rsidR="007011E3" w:rsidRPr="00297322">
        <w:t xml:space="preserve"> non-</w:t>
      </w:r>
      <w:r w:rsidR="007011E3">
        <w:t>eosinophilic</w:t>
      </w:r>
      <w:r w:rsidR="007011E3" w:rsidRPr="00297322">
        <w:t xml:space="preserve"> and non-</w:t>
      </w:r>
      <w:r w:rsidR="007011E3">
        <w:t>a</w:t>
      </w:r>
      <w:r w:rsidR="007011E3" w:rsidRPr="00297322">
        <w:t>llergic</w:t>
      </w:r>
      <w:r w:rsidR="007011E3">
        <w:t>.</w:t>
      </w:r>
      <w:r w:rsidR="000A0EC1">
        <w:t xml:space="preserve"> The PBAC was satisfied that </w:t>
      </w:r>
      <w:proofErr w:type="spellStart"/>
      <w:r w:rsidR="000A0EC1">
        <w:t>tezepelumab</w:t>
      </w:r>
      <w:proofErr w:type="spellEnd"/>
      <w:r w:rsidR="000A0EC1">
        <w:t xml:space="preserve"> provides</w:t>
      </w:r>
      <w:r w:rsidR="005A23BD">
        <w:t>,</w:t>
      </w:r>
      <w:r w:rsidR="000A0EC1">
        <w:t xml:space="preserve"> for</w:t>
      </w:r>
      <w:r w:rsidR="005A23BD">
        <w:t xml:space="preserve"> some patients</w:t>
      </w:r>
      <w:r w:rsidR="001A45F7">
        <w:t xml:space="preserve">, a </w:t>
      </w:r>
      <w:r w:rsidR="001B002E">
        <w:t xml:space="preserve">significant improvement in efficacy over </w:t>
      </w:r>
      <w:r w:rsidR="00E62088">
        <w:t xml:space="preserve">standard of care (SoC). </w:t>
      </w:r>
      <w:r w:rsidR="007D54E2">
        <w:t xml:space="preserve">The PBAC’s recommendation for listing was </w:t>
      </w:r>
      <w:r w:rsidR="00F16009">
        <w:t>based on,</w:t>
      </w:r>
      <w:r w:rsidR="00936A36" w:rsidRPr="00936A36">
        <w:rPr>
          <w:snapToGrid w:val="0"/>
          <w:lang w:val="en-GB"/>
        </w:rPr>
        <w:t xml:space="preserve"> </w:t>
      </w:r>
      <w:r w:rsidR="00936A36">
        <w:rPr>
          <w:snapToGrid w:val="0"/>
          <w:lang w:val="en-GB"/>
        </w:rPr>
        <w:t xml:space="preserve">among other matters, its assessment that the cost-effectiveness of </w:t>
      </w:r>
      <w:proofErr w:type="spellStart"/>
      <w:r w:rsidR="00F16009">
        <w:rPr>
          <w:snapToGrid w:val="0"/>
          <w:lang w:val="en-GB"/>
        </w:rPr>
        <w:t>tezepelumab</w:t>
      </w:r>
      <w:proofErr w:type="spellEnd"/>
      <w:r w:rsidR="00F16009">
        <w:rPr>
          <w:snapToGrid w:val="0"/>
          <w:lang w:val="en-GB"/>
        </w:rPr>
        <w:t xml:space="preserve"> </w:t>
      </w:r>
      <w:r w:rsidR="00936A36">
        <w:rPr>
          <w:snapToGrid w:val="0"/>
          <w:lang w:val="en-GB"/>
        </w:rPr>
        <w:t xml:space="preserve">would be acceptable with a price reduction to achieve an incremental cost effectiveness ratio (ICER) of </w:t>
      </w:r>
      <w:r w:rsidR="00C17240" w:rsidRPr="00C17240">
        <w:rPr>
          <w:snapToGrid w:val="0"/>
          <w:lang w:val="en-GB"/>
        </w:rPr>
        <w:t>$45,000 to &lt; $55,000</w:t>
      </w:r>
      <w:r w:rsidR="00936A36">
        <w:rPr>
          <w:snapToGrid w:val="0"/>
          <w:lang w:val="en-GB"/>
        </w:rPr>
        <w:t xml:space="preserve"> per </w:t>
      </w:r>
      <w:r w:rsidR="00E260B4">
        <w:rPr>
          <w:snapToGrid w:val="0"/>
          <w:lang w:val="en-GB"/>
        </w:rPr>
        <w:t>quality adjusted life year (</w:t>
      </w:r>
      <w:r w:rsidR="00936A36">
        <w:rPr>
          <w:snapToGrid w:val="0"/>
          <w:lang w:val="en-GB"/>
        </w:rPr>
        <w:t>QALY</w:t>
      </w:r>
      <w:r w:rsidR="00E260B4">
        <w:rPr>
          <w:snapToGrid w:val="0"/>
          <w:lang w:val="en-GB"/>
        </w:rPr>
        <w:t>)</w:t>
      </w:r>
      <w:r w:rsidR="00936A36">
        <w:rPr>
          <w:snapToGrid w:val="0"/>
          <w:lang w:val="en-GB"/>
        </w:rPr>
        <w:t xml:space="preserve"> gained using the ESC respecified economic model</w:t>
      </w:r>
      <w:r w:rsidR="00F16009">
        <w:rPr>
          <w:snapToGrid w:val="0"/>
          <w:lang w:val="en-GB"/>
        </w:rPr>
        <w:t>.</w:t>
      </w:r>
    </w:p>
    <w:p w14:paraId="30B9B92D" w14:textId="29DE59DE" w:rsidR="00BD4529" w:rsidRPr="00081D20" w:rsidRDefault="00063428" w:rsidP="00E0735B">
      <w:pPr>
        <w:pStyle w:val="COMESnumberedpara"/>
        <w:rPr>
          <w:snapToGrid w:val="0"/>
          <w:lang w:val="en-GB"/>
        </w:rPr>
      </w:pPr>
      <w:r w:rsidRPr="00596D21">
        <w:t>The PBAC recommended the Section 100 (HSD) listing of</w:t>
      </w:r>
      <w:r>
        <w:rPr>
          <w:snapToGrid w:val="0"/>
          <w:lang w:val="en-GB"/>
        </w:rPr>
        <w:t xml:space="preserve"> </w:t>
      </w:r>
      <w:proofErr w:type="spellStart"/>
      <w:r>
        <w:rPr>
          <w:snapToGrid w:val="0"/>
          <w:lang w:val="en-GB"/>
        </w:rPr>
        <w:t>tezepelumab</w:t>
      </w:r>
      <w:proofErr w:type="spellEnd"/>
      <w:r>
        <w:rPr>
          <w:snapToGrid w:val="0"/>
          <w:lang w:val="en-GB"/>
        </w:rPr>
        <w:t xml:space="preserve"> for the treatment of </w:t>
      </w:r>
      <w:r>
        <w:t xml:space="preserve">patients aged 12 years and older with SUA </w:t>
      </w:r>
      <w:r w:rsidRPr="00297322">
        <w:t xml:space="preserve">that </w:t>
      </w:r>
      <w:r w:rsidR="00EF7ADA">
        <w:t>is</w:t>
      </w:r>
      <w:r w:rsidRPr="00297322">
        <w:t xml:space="preserve"> eosinophilic or </w:t>
      </w:r>
      <w:r>
        <w:t>a</w:t>
      </w:r>
      <w:r w:rsidRPr="00297322">
        <w:t>llergic</w:t>
      </w:r>
      <w:r>
        <w:t>.</w:t>
      </w:r>
      <w:r w:rsidR="00051F54" w:rsidRPr="00051F54">
        <w:rPr>
          <w:snapToGrid w:val="0"/>
          <w:lang w:val="en-GB"/>
        </w:rPr>
        <w:t xml:space="preserve"> </w:t>
      </w:r>
      <w:r w:rsidR="00051F54" w:rsidRPr="00292E81">
        <w:rPr>
          <w:snapToGrid w:val="0"/>
          <w:lang w:val="en-GB"/>
        </w:rPr>
        <w:t>The PBAC’s recommendation for listing was based on, among</w:t>
      </w:r>
      <w:r w:rsidR="00051F54">
        <w:rPr>
          <w:snapToGrid w:val="0"/>
          <w:lang w:val="en-GB"/>
        </w:rPr>
        <w:t>st</w:t>
      </w:r>
      <w:r w:rsidR="00051F54" w:rsidRPr="00292E81">
        <w:rPr>
          <w:snapToGrid w:val="0"/>
          <w:lang w:val="en-GB"/>
        </w:rPr>
        <w:t xml:space="preserve"> other matters, its assessment that the cost-effectiveness of </w:t>
      </w:r>
      <w:proofErr w:type="spellStart"/>
      <w:r w:rsidR="00CF2ACD">
        <w:t>tezepelumab</w:t>
      </w:r>
      <w:proofErr w:type="spellEnd"/>
      <w:r w:rsidR="00CF2ACD">
        <w:t xml:space="preserve"> </w:t>
      </w:r>
      <w:r w:rsidR="00051F54" w:rsidRPr="00292E81">
        <w:rPr>
          <w:snapToGrid w:val="0"/>
          <w:lang w:val="en-GB"/>
        </w:rPr>
        <w:t xml:space="preserve">would be acceptable if it were cost minimised </w:t>
      </w:r>
      <w:r w:rsidR="00051F54">
        <w:rPr>
          <w:snapToGrid w:val="0"/>
          <w:lang w:val="en-GB"/>
        </w:rPr>
        <w:t xml:space="preserve">to the least costly </w:t>
      </w:r>
      <w:r w:rsidR="001129D3">
        <w:rPr>
          <w:snapToGrid w:val="0"/>
          <w:lang w:val="en-GB"/>
        </w:rPr>
        <w:t>biologic</w:t>
      </w:r>
      <w:r w:rsidR="00896827">
        <w:rPr>
          <w:snapToGrid w:val="0"/>
          <w:lang w:val="en-GB"/>
        </w:rPr>
        <w:t xml:space="preserve"> </w:t>
      </w:r>
      <w:r w:rsidR="00F46CDD">
        <w:t xml:space="preserve">for </w:t>
      </w:r>
      <w:r w:rsidR="00F46CDD" w:rsidRPr="001C4B49">
        <w:t xml:space="preserve">uncontrolled severe eosinophilic </w:t>
      </w:r>
      <w:r w:rsidR="00F46CDD">
        <w:t>and</w:t>
      </w:r>
      <w:r w:rsidR="003B79B4">
        <w:t>/or</w:t>
      </w:r>
      <w:r w:rsidR="00F46CDD" w:rsidRPr="001C4B49">
        <w:t xml:space="preserve"> allergic asthma population</w:t>
      </w:r>
      <w:r w:rsidR="00F46CDD">
        <w:t>s</w:t>
      </w:r>
      <w:r w:rsidR="0070493A">
        <w:rPr>
          <w:bCs/>
          <w:snapToGrid w:val="0"/>
        </w:rPr>
        <w:t xml:space="preserve"> over a 1-year time frame</w:t>
      </w:r>
      <w:r w:rsidR="00896827" w:rsidRPr="007E3236">
        <w:rPr>
          <w:bCs/>
          <w:snapToGrid w:val="0"/>
        </w:rPr>
        <w:t>.</w:t>
      </w:r>
    </w:p>
    <w:p w14:paraId="10B7936E" w14:textId="71B90234" w:rsidR="006A79A8" w:rsidRPr="006A79A8" w:rsidRDefault="00081D20" w:rsidP="0049361C">
      <w:pPr>
        <w:pStyle w:val="COMESnumberedpara"/>
        <w:rPr>
          <w:snapToGrid w:val="0"/>
          <w:u w:val="single"/>
          <w:lang w:val="en-GB"/>
        </w:rPr>
      </w:pPr>
      <w:r>
        <w:rPr>
          <w:bCs/>
          <w:snapToGrid w:val="0"/>
        </w:rPr>
        <w:t>The PBAC noted the input from health care professionals and organisations s</w:t>
      </w:r>
      <w:r w:rsidR="0027798B">
        <w:rPr>
          <w:bCs/>
          <w:snapToGrid w:val="0"/>
        </w:rPr>
        <w:t>u</w:t>
      </w:r>
      <w:r>
        <w:rPr>
          <w:bCs/>
          <w:snapToGrid w:val="0"/>
        </w:rPr>
        <w:t xml:space="preserve">pporting the listing of </w:t>
      </w:r>
      <w:proofErr w:type="spellStart"/>
      <w:r>
        <w:rPr>
          <w:bCs/>
          <w:snapToGrid w:val="0"/>
        </w:rPr>
        <w:t>tezepelumab</w:t>
      </w:r>
      <w:proofErr w:type="spellEnd"/>
      <w:r>
        <w:rPr>
          <w:bCs/>
          <w:snapToGrid w:val="0"/>
        </w:rPr>
        <w:t xml:space="preserve"> for this indication. </w:t>
      </w:r>
      <w:r w:rsidR="002C19DA">
        <w:rPr>
          <w:bCs/>
          <w:snapToGrid w:val="0"/>
        </w:rPr>
        <w:t xml:space="preserve">The PBAC noted that comments </w:t>
      </w:r>
      <w:r w:rsidR="002C19DA" w:rsidRPr="0073755E">
        <w:rPr>
          <w:iCs/>
        </w:rPr>
        <w:t>emphasised that there is a clinical need for patients with non-eosinophilic and non-allergic</w:t>
      </w:r>
      <w:r w:rsidR="0092656F">
        <w:rPr>
          <w:iCs/>
        </w:rPr>
        <w:t xml:space="preserve"> SUA</w:t>
      </w:r>
      <w:r w:rsidR="002C19DA" w:rsidRPr="0073755E">
        <w:rPr>
          <w:iCs/>
        </w:rPr>
        <w:t xml:space="preserve"> as they are ineligible, and not suitable, for biologics currently subsidised through the PBS.</w:t>
      </w:r>
      <w:r w:rsidR="005F06A7">
        <w:rPr>
          <w:iCs/>
        </w:rPr>
        <w:t xml:space="preserve"> </w:t>
      </w:r>
      <w:r w:rsidR="00621EB2" w:rsidRPr="0073755E">
        <w:rPr>
          <w:iCs/>
        </w:rPr>
        <w:t xml:space="preserve">Comments highlighted that monoclonal antibodies generally have a favourable side effect profile, especially when compared to the cumulative harms associated with long-term </w:t>
      </w:r>
      <w:r w:rsidR="0024413F">
        <w:rPr>
          <w:iCs/>
        </w:rPr>
        <w:t>oral corticosteroids (</w:t>
      </w:r>
      <w:r w:rsidR="00621EB2" w:rsidRPr="0073755E">
        <w:rPr>
          <w:iCs/>
        </w:rPr>
        <w:t>OCS</w:t>
      </w:r>
      <w:r w:rsidR="0024413F">
        <w:rPr>
          <w:iCs/>
        </w:rPr>
        <w:t>)</w:t>
      </w:r>
      <w:r w:rsidR="00621EB2" w:rsidRPr="0073755E">
        <w:rPr>
          <w:iCs/>
        </w:rPr>
        <w:t xml:space="preserve"> use. </w:t>
      </w:r>
      <w:r w:rsidR="003F466A">
        <w:t xml:space="preserve">The PBAC also noted the comments </w:t>
      </w:r>
      <w:r w:rsidR="003F466A" w:rsidRPr="00EE227E">
        <w:t>highlight</w:t>
      </w:r>
      <w:r w:rsidR="003F466A">
        <w:t>ed</w:t>
      </w:r>
      <w:r w:rsidR="003F466A" w:rsidRPr="00EE227E">
        <w:t xml:space="preserve"> that </w:t>
      </w:r>
      <w:proofErr w:type="spellStart"/>
      <w:r w:rsidR="003F466A" w:rsidRPr="00EE227E">
        <w:t>tezepelumab</w:t>
      </w:r>
      <w:proofErr w:type="spellEnd"/>
      <w:r w:rsidR="003F466A" w:rsidRPr="00EE227E">
        <w:t xml:space="preserve"> provides a steroid-sparing option for individuals who remain dependent on OCS despite high-dose inhaled therapy, while preserving asthma control.</w:t>
      </w:r>
      <w:r w:rsidR="003F466A" w:rsidRPr="00621EB2">
        <w:rPr>
          <w:iCs/>
        </w:rPr>
        <w:t xml:space="preserve"> </w:t>
      </w:r>
      <w:r w:rsidR="00621EB2" w:rsidRPr="0073755E">
        <w:rPr>
          <w:iCs/>
        </w:rPr>
        <w:t xml:space="preserve">Comments also noted the high cost of </w:t>
      </w:r>
      <w:proofErr w:type="spellStart"/>
      <w:r w:rsidR="00621EB2" w:rsidRPr="0073755E">
        <w:rPr>
          <w:iCs/>
        </w:rPr>
        <w:t>tezepelumab</w:t>
      </w:r>
      <w:proofErr w:type="spellEnd"/>
      <w:r w:rsidR="00621EB2" w:rsidRPr="0073755E">
        <w:rPr>
          <w:iCs/>
        </w:rPr>
        <w:t xml:space="preserve"> and considered that the listing of </w:t>
      </w:r>
      <w:proofErr w:type="spellStart"/>
      <w:r w:rsidR="00621EB2" w:rsidRPr="0073755E">
        <w:rPr>
          <w:iCs/>
        </w:rPr>
        <w:t>tezepelumab</w:t>
      </w:r>
      <w:proofErr w:type="spellEnd"/>
      <w:r w:rsidR="00621EB2" w:rsidRPr="0073755E">
        <w:rPr>
          <w:iCs/>
        </w:rPr>
        <w:t xml:space="preserve"> on the PBS would ensure equitable access to treatment. </w:t>
      </w:r>
    </w:p>
    <w:p w14:paraId="4454CC07" w14:textId="58E4F4A3" w:rsidR="00B446DB" w:rsidRPr="00B446DB" w:rsidRDefault="00B02220" w:rsidP="00B446DB">
      <w:pPr>
        <w:pStyle w:val="COMESnumberedpara"/>
        <w:rPr>
          <w:snapToGrid w:val="0"/>
          <w:u w:val="single"/>
          <w:lang w:val="en-GB"/>
        </w:rPr>
      </w:pPr>
      <w:r>
        <w:rPr>
          <w:iCs/>
        </w:rPr>
        <w:t xml:space="preserve">The PBAC </w:t>
      </w:r>
      <w:r w:rsidR="006A79A8">
        <w:rPr>
          <w:iCs/>
        </w:rPr>
        <w:t xml:space="preserve">noted </w:t>
      </w:r>
      <w:r>
        <w:rPr>
          <w:iCs/>
        </w:rPr>
        <w:t>there was a moderate clinical need</w:t>
      </w:r>
      <w:r w:rsidR="006A79A8">
        <w:rPr>
          <w:iCs/>
        </w:rPr>
        <w:t xml:space="preserve"> for alternative biologic treatment</w:t>
      </w:r>
      <w:r>
        <w:rPr>
          <w:iCs/>
        </w:rPr>
        <w:t xml:space="preserve"> for </w:t>
      </w:r>
      <w:r w:rsidR="00C05DAE">
        <w:rPr>
          <w:iCs/>
        </w:rPr>
        <w:t>patients with SUA</w:t>
      </w:r>
      <w:r w:rsidR="006A79A8">
        <w:rPr>
          <w:iCs/>
        </w:rPr>
        <w:t xml:space="preserve"> on the PBS</w:t>
      </w:r>
      <w:r w:rsidR="00C05DAE">
        <w:rPr>
          <w:iCs/>
        </w:rPr>
        <w:t xml:space="preserve">, </w:t>
      </w:r>
      <w:r w:rsidR="006A79A8">
        <w:rPr>
          <w:iCs/>
        </w:rPr>
        <w:t xml:space="preserve">particularly for </w:t>
      </w:r>
      <w:r w:rsidR="006A79A8" w:rsidRPr="00E76FC4">
        <w:rPr>
          <w:iCs/>
        </w:rPr>
        <w:t>non-eosinophilic and non-allergic population</w:t>
      </w:r>
      <w:r w:rsidR="002455C4">
        <w:rPr>
          <w:iCs/>
        </w:rPr>
        <w:t>,</w:t>
      </w:r>
      <w:r w:rsidR="006A79A8">
        <w:rPr>
          <w:iCs/>
        </w:rPr>
        <w:t xml:space="preserve"> </w:t>
      </w:r>
      <w:r w:rsidR="0069366E">
        <w:rPr>
          <w:iCs/>
        </w:rPr>
        <w:t>given there</w:t>
      </w:r>
      <w:r w:rsidR="005D3E06">
        <w:rPr>
          <w:iCs/>
        </w:rPr>
        <w:t xml:space="preserve"> </w:t>
      </w:r>
      <w:r w:rsidR="002455C4">
        <w:rPr>
          <w:iCs/>
        </w:rPr>
        <w:t xml:space="preserve">are </w:t>
      </w:r>
      <w:r w:rsidR="005D3E06">
        <w:rPr>
          <w:iCs/>
        </w:rPr>
        <w:t xml:space="preserve">no specific agents </w:t>
      </w:r>
      <w:r w:rsidR="0069366E">
        <w:rPr>
          <w:iCs/>
        </w:rPr>
        <w:t>currently available for these patients</w:t>
      </w:r>
      <w:r w:rsidR="00E76FC4" w:rsidRPr="00E76FC4">
        <w:rPr>
          <w:iCs/>
        </w:rPr>
        <w:t>.</w:t>
      </w:r>
      <w:r w:rsidR="006A79A8">
        <w:rPr>
          <w:iCs/>
        </w:rPr>
        <w:t xml:space="preserve"> </w:t>
      </w:r>
      <w:r w:rsidR="0069366E">
        <w:rPr>
          <w:iCs/>
        </w:rPr>
        <w:t>The PBAC noted</w:t>
      </w:r>
      <w:r w:rsidR="006A79A8">
        <w:rPr>
          <w:iCs/>
        </w:rPr>
        <w:t xml:space="preserve"> that there </w:t>
      </w:r>
      <w:r w:rsidR="0069366E">
        <w:rPr>
          <w:iCs/>
        </w:rPr>
        <w:t>were</w:t>
      </w:r>
      <w:r w:rsidR="006A79A8">
        <w:rPr>
          <w:iCs/>
        </w:rPr>
        <w:t xml:space="preserve"> </w:t>
      </w:r>
      <w:proofErr w:type="gramStart"/>
      <w:r w:rsidR="006A79A8">
        <w:rPr>
          <w:iCs/>
        </w:rPr>
        <w:t>a number of</w:t>
      </w:r>
      <w:proofErr w:type="gramEnd"/>
      <w:r w:rsidR="006A79A8">
        <w:rPr>
          <w:iCs/>
        </w:rPr>
        <w:t xml:space="preserve"> alternative biologics available for the eosinophilic or allergic population</w:t>
      </w:r>
      <w:r w:rsidR="0069366E">
        <w:rPr>
          <w:iCs/>
        </w:rPr>
        <w:t>.</w:t>
      </w:r>
    </w:p>
    <w:p w14:paraId="75709047" w14:textId="3395E404" w:rsidR="00B446DB" w:rsidRPr="00B446DB" w:rsidRDefault="00063428" w:rsidP="00B446DB">
      <w:pPr>
        <w:keepNext/>
        <w:keepLines/>
        <w:spacing w:before="120" w:after="120"/>
        <w:outlineLvl w:val="2"/>
        <w:rPr>
          <w:rFonts w:asciiTheme="minorHAnsi" w:eastAsiaTheme="majorEastAsia" w:hAnsiTheme="minorHAnsi" w:cstheme="majorBidi"/>
          <w:b/>
          <w:color w:val="000000" w:themeColor="text1"/>
        </w:rPr>
      </w:pPr>
      <w:r w:rsidRPr="00B446DB">
        <w:rPr>
          <w:rFonts w:asciiTheme="minorHAnsi" w:eastAsiaTheme="majorEastAsia" w:hAnsiTheme="minorHAnsi" w:cstheme="majorBidi"/>
          <w:b/>
          <w:color w:val="000000" w:themeColor="text1"/>
        </w:rPr>
        <w:t>Non-eosinophilic and non-allergic SUA</w:t>
      </w:r>
    </w:p>
    <w:p w14:paraId="7F21B9E1" w14:textId="043D167E" w:rsidR="001C63A8" w:rsidRPr="00067561" w:rsidRDefault="004225E0" w:rsidP="00A9458A">
      <w:pPr>
        <w:pStyle w:val="COMESnumberedpara"/>
        <w:rPr>
          <w:bCs/>
          <w:snapToGrid w:val="0"/>
        </w:rPr>
      </w:pPr>
      <w:r w:rsidRPr="004225E0">
        <w:rPr>
          <w:snapToGrid w:val="0"/>
          <w:lang w:val="en-GB"/>
        </w:rPr>
        <w:t>T</w:t>
      </w:r>
      <w:r w:rsidR="00A9458A" w:rsidRPr="004225E0">
        <w:rPr>
          <w:snapToGrid w:val="0"/>
          <w:lang w:val="en-GB"/>
        </w:rPr>
        <w:t>he</w:t>
      </w:r>
      <w:r w:rsidR="00A9458A" w:rsidRPr="004225E0">
        <w:rPr>
          <w:rFonts w:ascii="Calibri" w:hAnsi="Calibri"/>
          <w:bCs/>
        </w:rPr>
        <w:t xml:space="preserve"> PBAC</w:t>
      </w:r>
      <w:r w:rsidR="00A9458A">
        <w:rPr>
          <w:rFonts w:ascii="Calibri" w:hAnsi="Calibri"/>
          <w:bCs/>
        </w:rPr>
        <w:t xml:space="preserve"> </w:t>
      </w:r>
      <w:r w:rsidR="00037566">
        <w:rPr>
          <w:rFonts w:ascii="Calibri" w:hAnsi="Calibri"/>
          <w:bCs/>
        </w:rPr>
        <w:t>advised that</w:t>
      </w:r>
      <w:r w:rsidR="00A9458A">
        <w:rPr>
          <w:rFonts w:ascii="Calibri" w:hAnsi="Calibri"/>
          <w:bCs/>
        </w:rPr>
        <w:t xml:space="preserve"> the </w:t>
      </w:r>
      <w:r w:rsidR="00A9458A" w:rsidRPr="008C4097">
        <w:rPr>
          <w:rFonts w:ascii="Calibri" w:hAnsi="Calibri"/>
          <w:bCs/>
        </w:rPr>
        <w:t>restrictions for</w:t>
      </w:r>
      <w:r>
        <w:rPr>
          <w:rFonts w:ascii="Calibri" w:hAnsi="Calibri"/>
          <w:bCs/>
        </w:rPr>
        <w:t xml:space="preserve"> the</w:t>
      </w:r>
      <w:r w:rsidR="00A9458A" w:rsidRPr="008C4097">
        <w:rPr>
          <w:rFonts w:ascii="Calibri" w:hAnsi="Calibri"/>
          <w:bCs/>
        </w:rPr>
        <w:t xml:space="preserve"> </w:t>
      </w:r>
      <w:r>
        <w:rPr>
          <w:rFonts w:ascii="Calibri" w:hAnsi="Calibri"/>
          <w:bCs/>
        </w:rPr>
        <w:t>non-</w:t>
      </w:r>
      <w:r w:rsidR="00A9458A" w:rsidRPr="008C4097">
        <w:rPr>
          <w:rFonts w:ascii="Calibri" w:hAnsi="Calibri"/>
          <w:bCs/>
        </w:rPr>
        <w:t xml:space="preserve">eosinophilic </w:t>
      </w:r>
      <w:r>
        <w:rPr>
          <w:rFonts w:ascii="Calibri" w:hAnsi="Calibri"/>
          <w:bCs/>
        </w:rPr>
        <w:t>and</w:t>
      </w:r>
      <w:r w:rsidR="00A9458A" w:rsidRPr="008C4097">
        <w:rPr>
          <w:rFonts w:ascii="Calibri" w:hAnsi="Calibri"/>
          <w:bCs/>
        </w:rPr>
        <w:t xml:space="preserve"> </w:t>
      </w:r>
      <w:r>
        <w:rPr>
          <w:rFonts w:ascii="Calibri" w:hAnsi="Calibri"/>
          <w:bCs/>
        </w:rPr>
        <w:t>non-</w:t>
      </w:r>
      <w:r w:rsidR="00A9458A" w:rsidRPr="008C4097">
        <w:rPr>
          <w:rFonts w:ascii="Calibri" w:hAnsi="Calibri"/>
          <w:bCs/>
        </w:rPr>
        <w:t xml:space="preserve">allergic </w:t>
      </w:r>
      <w:r w:rsidR="001B3421">
        <w:rPr>
          <w:rFonts w:ascii="Calibri" w:hAnsi="Calibri"/>
          <w:bCs/>
        </w:rPr>
        <w:t>SUA</w:t>
      </w:r>
      <w:r w:rsidR="00A9458A" w:rsidRPr="008C4097">
        <w:rPr>
          <w:rFonts w:ascii="Calibri" w:hAnsi="Calibri"/>
          <w:bCs/>
        </w:rPr>
        <w:t xml:space="preserve"> population</w:t>
      </w:r>
      <w:r w:rsidR="00A9458A">
        <w:rPr>
          <w:rFonts w:ascii="Calibri" w:hAnsi="Calibri"/>
          <w:bCs/>
        </w:rPr>
        <w:t>, as amended</w:t>
      </w:r>
      <w:r w:rsidR="00A9458A" w:rsidRPr="008C4097">
        <w:rPr>
          <w:rFonts w:ascii="Calibri" w:hAnsi="Calibri"/>
          <w:bCs/>
        </w:rPr>
        <w:t xml:space="preserve"> by the Secretariat</w:t>
      </w:r>
      <w:r w:rsidR="00CC7B6B">
        <w:rPr>
          <w:rFonts w:ascii="Calibri" w:hAnsi="Calibri"/>
          <w:bCs/>
        </w:rPr>
        <w:t xml:space="preserve"> in Section 8</w:t>
      </w:r>
      <w:r w:rsidR="00A9458A">
        <w:rPr>
          <w:rFonts w:ascii="Calibri" w:hAnsi="Calibri"/>
          <w:bCs/>
        </w:rPr>
        <w:t>,</w:t>
      </w:r>
      <w:r w:rsidR="00A9458A" w:rsidRPr="008C4097">
        <w:rPr>
          <w:rFonts w:ascii="Calibri" w:hAnsi="Calibri"/>
          <w:bCs/>
        </w:rPr>
        <w:t xml:space="preserve"> </w:t>
      </w:r>
      <w:r w:rsidR="0079555A">
        <w:rPr>
          <w:rFonts w:ascii="Calibri" w:hAnsi="Calibri"/>
          <w:bCs/>
        </w:rPr>
        <w:t>were</w:t>
      </w:r>
      <w:r w:rsidR="00A9458A">
        <w:rPr>
          <w:rFonts w:ascii="Calibri" w:hAnsi="Calibri"/>
          <w:bCs/>
        </w:rPr>
        <w:t xml:space="preserve"> appropriate.</w:t>
      </w:r>
      <w:r w:rsidR="00CC7B6B">
        <w:rPr>
          <w:rFonts w:ascii="Calibri" w:hAnsi="Calibri"/>
          <w:bCs/>
        </w:rPr>
        <w:t xml:space="preserve"> The PBAC considered that </w:t>
      </w:r>
      <w:r w:rsidR="005619F1">
        <w:rPr>
          <w:rFonts w:ascii="Calibri" w:hAnsi="Calibri"/>
          <w:bCs/>
        </w:rPr>
        <w:t xml:space="preserve">treatment should not be used in combination with and within 4 weeks of </w:t>
      </w:r>
      <w:r w:rsidR="00CB7C70">
        <w:rPr>
          <w:rFonts w:ascii="Calibri" w:hAnsi="Calibri"/>
          <w:bCs/>
        </w:rPr>
        <w:t xml:space="preserve">another PBS-biological medicine prescribed for nasal polyps, </w:t>
      </w:r>
      <w:r w:rsidR="00137F72">
        <w:rPr>
          <w:rFonts w:ascii="Calibri" w:hAnsi="Calibri"/>
          <w:bCs/>
        </w:rPr>
        <w:t>uncontrolled severe allergic asthma or uncontrolled severe asthma</w:t>
      </w:r>
      <w:r w:rsidR="00765A4D">
        <w:rPr>
          <w:rFonts w:ascii="Calibri" w:hAnsi="Calibri"/>
          <w:bCs/>
        </w:rPr>
        <w:t>. The PBAC noted th</w:t>
      </w:r>
      <w:r w:rsidR="00292569">
        <w:rPr>
          <w:rFonts w:ascii="Calibri" w:hAnsi="Calibri"/>
          <w:bCs/>
        </w:rPr>
        <w:t xml:space="preserve">e </w:t>
      </w:r>
      <w:r w:rsidR="00792216">
        <w:rPr>
          <w:rFonts w:ascii="Calibri" w:hAnsi="Calibri"/>
          <w:bCs/>
        </w:rPr>
        <w:t xml:space="preserve">proposed patient access program was for those with </w:t>
      </w:r>
      <w:r w:rsidR="00792216" w:rsidRPr="00EE227E">
        <w:rPr>
          <w:iCs/>
        </w:rPr>
        <w:t>eosinophilic or allergic SUA</w:t>
      </w:r>
      <w:r w:rsidR="00792216">
        <w:rPr>
          <w:iCs/>
        </w:rPr>
        <w:t xml:space="preserve"> and</w:t>
      </w:r>
      <w:r w:rsidR="00B63895">
        <w:rPr>
          <w:iCs/>
        </w:rPr>
        <w:t xml:space="preserve"> </w:t>
      </w:r>
      <w:r w:rsidR="00792216">
        <w:rPr>
          <w:iCs/>
        </w:rPr>
        <w:t xml:space="preserve">advised that a grandfathering restriction would not be required </w:t>
      </w:r>
      <w:r w:rsidR="001B3421">
        <w:rPr>
          <w:iCs/>
        </w:rPr>
        <w:t xml:space="preserve">for the </w:t>
      </w:r>
      <w:r w:rsidR="001B3421">
        <w:rPr>
          <w:rFonts w:ascii="Calibri" w:hAnsi="Calibri"/>
          <w:bCs/>
        </w:rPr>
        <w:t>non-</w:t>
      </w:r>
      <w:r w:rsidR="001B3421" w:rsidRPr="008C4097">
        <w:rPr>
          <w:rFonts w:ascii="Calibri" w:hAnsi="Calibri"/>
          <w:bCs/>
        </w:rPr>
        <w:t xml:space="preserve">eosinophilic </w:t>
      </w:r>
      <w:r w:rsidR="001B3421">
        <w:rPr>
          <w:rFonts w:ascii="Calibri" w:hAnsi="Calibri"/>
          <w:bCs/>
        </w:rPr>
        <w:t>and</w:t>
      </w:r>
      <w:r w:rsidR="001B3421" w:rsidRPr="008C4097">
        <w:rPr>
          <w:rFonts w:ascii="Calibri" w:hAnsi="Calibri"/>
          <w:bCs/>
        </w:rPr>
        <w:t xml:space="preserve"> </w:t>
      </w:r>
      <w:r w:rsidR="001B3421">
        <w:rPr>
          <w:rFonts w:ascii="Calibri" w:hAnsi="Calibri"/>
          <w:bCs/>
        </w:rPr>
        <w:t>non-</w:t>
      </w:r>
      <w:r w:rsidR="001B3421" w:rsidRPr="008C4097">
        <w:rPr>
          <w:rFonts w:ascii="Calibri" w:hAnsi="Calibri"/>
          <w:bCs/>
        </w:rPr>
        <w:t>allergic</w:t>
      </w:r>
      <w:r w:rsidR="001B3421">
        <w:rPr>
          <w:rFonts w:ascii="Calibri" w:hAnsi="Calibri"/>
          <w:bCs/>
        </w:rPr>
        <w:t xml:space="preserve"> SUA population. </w:t>
      </w:r>
    </w:p>
    <w:p w14:paraId="05498510" w14:textId="62F16586" w:rsidR="00F74C44" w:rsidRPr="001D7969" w:rsidRDefault="00F74C44" w:rsidP="001D7969">
      <w:pPr>
        <w:pStyle w:val="COMESnumberedpara"/>
      </w:pPr>
      <w:r w:rsidRPr="00EE227E">
        <w:rPr>
          <w:iCs/>
        </w:rPr>
        <w:t xml:space="preserve">The </w:t>
      </w:r>
      <w:r w:rsidR="00DE2977">
        <w:rPr>
          <w:iCs/>
        </w:rPr>
        <w:t>PBAC</w:t>
      </w:r>
      <w:r w:rsidRPr="00EE227E">
        <w:rPr>
          <w:iCs/>
        </w:rPr>
        <w:t xml:space="preserve"> considered that SoC, as defined by the submission, was the appropriate comparator for the non-eosinophilic and non-allergic SUA population.</w:t>
      </w:r>
    </w:p>
    <w:p w14:paraId="7A196584" w14:textId="46E2B7D4" w:rsidR="00E72DBD" w:rsidRPr="00E72DBD" w:rsidRDefault="00067561" w:rsidP="00014B29">
      <w:pPr>
        <w:pStyle w:val="COMESnumberedpara"/>
        <w:rPr>
          <w:snapToGrid w:val="0"/>
        </w:rPr>
      </w:pPr>
      <w:r>
        <w:t xml:space="preserve">The PBAC noted that </w:t>
      </w:r>
      <w:r w:rsidR="002F54FB">
        <w:t>t</w:t>
      </w:r>
      <w:r w:rsidR="002F54FB" w:rsidRPr="002F54FB">
        <w:t xml:space="preserve">o support the clinical claim of superiority of </w:t>
      </w:r>
      <w:proofErr w:type="spellStart"/>
      <w:r w:rsidR="002F54FB" w:rsidRPr="002F54FB">
        <w:t>tezepelumab</w:t>
      </w:r>
      <w:proofErr w:type="spellEnd"/>
      <w:r w:rsidR="002F54FB" w:rsidRPr="002F54FB">
        <w:t xml:space="preserve"> versus SoC in the non-eosinophilic and non-allergic SUA population, the submission presented post-hoc subgroup analyses </w:t>
      </w:r>
      <w:r w:rsidR="001354E0">
        <w:t>of patients who</w:t>
      </w:r>
      <w:r w:rsidR="002F54FB" w:rsidRPr="002F54FB">
        <w:t xml:space="preserve"> were on high-dose </w:t>
      </w:r>
      <w:r w:rsidR="00957389">
        <w:t>inhaled corticosteroids (</w:t>
      </w:r>
      <w:r w:rsidR="002F54FB" w:rsidRPr="002F54FB">
        <w:t>ICS</w:t>
      </w:r>
      <w:r w:rsidR="00957389">
        <w:t>)</w:t>
      </w:r>
      <w:r w:rsidR="002F54FB" w:rsidRPr="002F54FB">
        <w:t xml:space="preserve"> from the NAVIGATOR and PATHWAY clinical trials.</w:t>
      </w:r>
      <w:r w:rsidR="00063D91">
        <w:t xml:space="preserve"> </w:t>
      </w:r>
      <w:r w:rsidR="00063D91" w:rsidRPr="006C5610">
        <w:t xml:space="preserve">The </w:t>
      </w:r>
      <w:r w:rsidR="00063D91">
        <w:t xml:space="preserve">PBAC noted </w:t>
      </w:r>
      <w:r w:rsidR="00B854D2">
        <w:t>that o</w:t>
      </w:r>
      <w:r w:rsidR="00B854D2" w:rsidRPr="00B854D2">
        <w:t xml:space="preserve">nly one </w:t>
      </w:r>
      <w:r w:rsidR="00B854D2">
        <w:t xml:space="preserve">of the two </w:t>
      </w:r>
      <w:r w:rsidR="00541E56">
        <w:t>subgroup analyses for the a</w:t>
      </w:r>
      <w:r w:rsidR="00541E56" w:rsidRPr="004D1F9C">
        <w:t>nnuali</w:t>
      </w:r>
      <w:r w:rsidR="00541E56">
        <w:t>s</w:t>
      </w:r>
      <w:r w:rsidR="00541E56" w:rsidRPr="004D1F9C">
        <w:t xml:space="preserve">ed asthma exacerbation rate </w:t>
      </w:r>
      <w:r w:rsidR="00541E56">
        <w:t>(</w:t>
      </w:r>
      <w:r w:rsidR="00541E56" w:rsidRPr="00EE227E">
        <w:rPr>
          <w:iCs/>
        </w:rPr>
        <w:t>AAER</w:t>
      </w:r>
      <w:r w:rsidR="005604F9">
        <w:rPr>
          <w:iCs/>
        </w:rPr>
        <w:t>)</w:t>
      </w:r>
      <w:r w:rsidR="00B854D2" w:rsidRPr="00B854D2">
        <w:t xml:space="preserve"> was statistically significant, </w:t>
      </w:r>
      <w:r w:rsidR="007874E3">
        <w:t>and</w:t>
      </w:r>
      <w:r w:rsidR="00B854D2" w:rsidRPr="00B854D2">
        <w:t xml:space="preserve"> that </w:t>
      </w:r>
      <w:r w:rsidR="00851F7C">
        <w:t xml:space="preserve">the </w:t>
      </w:r>
      <w:r w:rsidR="00B854D2" w:rsidRPr="00B854D2">
        <w:t>result was marginal</w:t>
      </w:r>
      <w:r w:rsidR="00851F7C">
        <w:t xml:space="preserve"> </w:t>
      </w:r>
      <w:r w:rsidR="00B854D2" w:rsidRPr="00B854D2">
        <w:t xml:space="preserve">with </w:t>
      </w:r>
      <w:r w:rsidR="0000238A">
        <w:t xml:space="preserve">the </w:t>
      </w:r>
      <w:r w:rsidR="0000238A" w:rsidRPr="005604F9">
        <w:rPr>
          <w:iCs/>
        </w:rPr>
        <w:t xml:space="preserve">upper bound of the </w:t>
      </w:r>
      <w:r w:rsidR="00851F7C">
        <w:rPr>
          <w:iCs/>
        </w:rPr>
        <w:t>confidence interval (</w:t>
      </w:r>
      <w:r w:rsidR="0000238A" w:rsidRPr="005604F9">
        <w:rPr>
          <w:iCs/>
        </w:rPr>
        <w:t>CI</w:t>
      </w:r>
      <w:r w:rsidR="00851F7C">
        <w:rPr>
          <w:iCs/>
        </w:rPr>
        <w:t>)</w:t>
      </w:r>
      <w:r w:rsidR="0000238A" w:rsidRPr="005604F9">
        <w:rPr>
          <w:iCs/>
        </w:rPr>
        <w:t xml:space="preserve"> almost crossing 1 (0.99)</w:t>
      </w:r>
      <w:r w:rsidR="00B854D2" w:rsidRPr="00B854D2">
        <w:t>. Although</w:t>
      </w:r>
      <w:r w:rsidR="00286283">
        <w:t>, the</w:t>
      </w:r>
      <w:r w:rsidR="00B854D2" w:rsidRPr="00B854D2">
        <w:t xml:space="preserve"> effect direction was consistent</w:t>
      </w:r>
      <w:r w:rsidR="00851F7C">
        <w:t xml:space="preserve"> between the two </w:t>
      </w:r>
      <w:r w:rsidR="003D04BB">
        <w:t>studies</w:t>
      </w:r>
      <w:r w:rsidR="00B854D2" w:rsidRPr="00B854D2">
        <w:t>, the inconsistency in significance increase</w:t>
      </w:r>
      <w:r w:rsidR="00DD7FBA">
        <w:t>s</w:t>
      </w:r>
      <w:r w:rsidR="00B854D2" w:rsidRPr="00B854D2">
        <w:t xml:space="preserve"> uncertainty</w:t>
      </w:r>
      <w:r w:rsidR="00286283">
        <w:t xml:space="preserve">. </w:t>
      </w:r>
      <w:r w:rsidR="00063D91" w:rsidRPr="005604F9">
        <w:rPr>
          <w:iCs/>
        </w:rPr>
        <w:t xml:space="preserve">The </w:t>
      </w:r>
      <w:r w:rsidR="00A06A80" w:rsidRPr="005604F9">
        <w:rPr>
          <w:iCs/>
        </w:rPr>
        <w:t>PBAC</w:t>
      </w:r>
      <w:r w:rsidR="00063D91" w:rsidRPr="005604F9">
        <w:rPr>
          <w:iCs/>
        </w:rPr>
        <w:t xml:space="preserve"> noted additional data presented in the </w:t>
      </w:r>
      <w:r w:rsidR="0059734B" w:rsidRPr="00EE227E">
        <w:rPr>
          <w:iCs/>
        </w:rPr>
        <w:t xml:space="preserve">Pre-Sub-Committee Response </w:t>
      </w:r>
      <w:r w:rsidR="003D04BB">
        <w:rPr>
          <w:iCs/>
        </w:rPr>
        <w:t>(</w:t>
      </w:r>
      <w:r w:rsidR="00063D91" w:rsidRPr="005604F9">
        <w:rPr>
          <w:iCs/>
        </w:rPr>
        <w:t xml:space="preserve">PSCR), including a meta-analysis </w:t>
      </w:r>
      <w:r w:rsidR="001146FA" w:rsidRPr="00EE227E">
        <w:rPr>
          <w:iCs/>
        </w:rPr>
        <w:t>(odds ratio [OR] 0.62, 95% CI 0.42–0.92; p=0.02)</w:t>
      </w:r>
      <w:r w:rsidR="001146FA">
        <w:rPr>
          <w:iCs/>
        </w:rPr>
        <w:t xml:space="preserve"> </w:t>
      </w:r>
      <w:r w:rsidR="00063D91" w:rsidRPr="005604F9">
        <w:rPr>
          <w:iCs/>
        </w:rPr>
        <w:t xml:space="preserve">and published pooled analyses (see paragraph </w:t>
      </w:r>
      <w:r w:rsidR="00063D91" w:rsidRPr="005604F9">
        <w:rPr>
          <w:iCs/>
        </w:rPr>
        <w:fldChar w:fldCharType="begin"/>
      </w:r>
      <w:r w:rsidR="00063D91" w:rsidRPr="005604F9">
        <w:rPr>
          <w:iCs/>
        </w:rPr>
        <w:instrText xml:space="preserve"> REF _Ref211571880 \r \h </w:instrText>
      </w:r>
      <w:r w:rsidR="00063D91" w:rsidRPr="005604F9">
        <w:rPr>
          <w:iCs/>
        </w:rPr>
      </w:r>
      <w:r w:rsidR="00063D91" w:rsidRPr="005604F9">
        <w:rPr>
          <w:iCs/>
        </w:rPr>
        <w:fldChar w:fldCharType="separate"/>
      </w:r>
      <w:r w:rsidR="0078760A">
        <w:rPr>
          <w:iCs/>
        </w:rPr>
        <w:t>6.22</w:t>
      </w:r>
      <w:r w:rsidR="00063D91" w:rsidRPr="005604F9">
        <w:rPr>
          <w:iCs/>
        </w:rPr>
        <w:fldChar w:fldCharType="end"/>
      </w:r>
      <w:r w:rsidR="00063D91" w:rsidRPr="005604F9">
        <w:rPr>
          <w:iCs/>
        </w:rPr>
        <w:t>)</w:t>
      </w:r>
      <w:r w:rsidR="00E740F7">
        <w:rPr>
          <w:iCs/>
        </w:rPr>
        <w:t xml:space="preserve">, </w:t>
      </w:r>
      <w:r w:rsidR="006222DF">
        <w:rPr>
          <w:iCs/>
        </w:rPr>
        <w:t xml:space="preserve">demonstrating </w:t>
      </w:r>
      <w:r w:rsidR="00023DF1" w:rsidRPr="00EE227E">
        <w:rPr>
          <w:iCs/>
        </w:rPr>
        <w:t>statistically significant reduction</w:t>
      </w:r>
      <w:r w:rsidR="006222DF">
        <w:rPr>
          <w:iCs/>
        </w:rPr>
        <w:t>s</w:t>
      </w:r>
      <w:r w:rsidR="00023DF1" w:rsidRPr="00EE227E">
        <w:rPr>
          <w:iCs/>
        </w:rPr>
        <w:t xml:space="preserve"> in AAER with </w:t>
      </w:r>
      <w:proofErr w:type="spellStart"/>
      <w:r w:rsidR="00023DF1" w:rsidRPr="00EE227E">
        <w:rPr>
          <w:iCs/>
        </w:rPr>
        <w:t>tezepelumab</w:t>
      </w:r>
      <w:proofErr w:type="spellEnd"/>
      <w:r w:rsidR="00023DF1" w:rsidRPr="00EE227E">
        <w:rPr>
          <w:iCs/>
        </w:rPr>
        <w:t xml:space="preserve"> versus placebo</w:t>
      </w:r>
      <w:r w:rsidR="00851F7C">
        <w:rPr>
          <w:iCs/>
        </w:rPr>
        <w:t xml:space="preserve">. </w:t>
      </w:r>
      <w:r w:rsidR="00712F70" w:rsidRPr="00EE227E">
        <w:rPr>
          <w:iCs/>
        </w:rPr>
        <w:t xml:space="preserve">The </w:t>
      </w:r>
      <w:r w:rsidR="00AE7F27">
        <w:rPr>
          <w:iCs/>
        </w:rPr>
        <w:t>PBAC agreed with the ESC</w:t>
      </w:r>
      <w:r w:rsidR="00712F70" w:rsidRPr="00EE227E">
        <w:rPr>
          <w:iCs/>
        </w:rPr>
        <w:t xml:space="preserve"> that while a reduction in AAER was evident across all subgroups the level of reduction was consistently higher for the subgroups with patients who were both higher eosinophil levels (i.e. BEC </w:t>
      </w:r>
      <w:r w:rsidR="00712F70" w:rsidRPr="00EE227E">
        <w:rPr>
          <w:rFonts w:cstheme="minorHAnsi"/>
          <w:iCs/>
        </w:rPr>
        <w:t xml:space="preserve">≥ 150 </w:t>
      </w:r>
      <w:r w:rsidR="00712F70" w:rsidRPr="00EE227E">
        <w:rPr>
          <w:rFonts w:cstheme="minorHAnsi"/>
        </w:rPr>
        <w:t>cells</w:t>
      </w:r>
      <w:r w:rsidR="00712F70" w:rsidRPr="00EE227E">
        <w:rPr>
          <w:iCs/>
        </w:rPr>
        <w:t>/</w:t>
      </w:r>
      <w:proofErr w:type="spellStart"/>
      <w:r w:rsidR="00712F70" w:rsidRPr="00EE227E">
        <w:rPr>
          <w:iCs/>
        </w:rPr>
        <w:t>μL</w:t>
      </w:r>
      <w:proofErr w:type="spellEnd"/>
      <w:r w:rsidR="00712F70" w:rsidRPr="00EE227E">
        <w:rPr>
          <w:iCs/>
        </w:rPr>
        <w:t xml:space="preserve">) and either </w:t>
      </w:r>
      <w:proofErr w:type="spellStart"/>
      <w:r w:rsidR="00712F70" w:rsidRPr="00EE227E">
        <w:rPr>
          <w:iCs/>
        </w:rPr>
        <w:t>FeNO</w:t>
      </w:r>
      <w:proofErr w:type="spellEnd"/>
      <w:r w:rsidR="00712F70" w:rsidRPr="00EE227E">
        <w:rPr>
          <w:iCs/>
        </w:rPr>
        <w:t xml:space="preserve"> or IgE positive.</w:t>
      </w:r>
    </w:p>
    <w:p w14:paraId="6A1AAE81" w14:textId="563A9B09" w:rsidR="000727CC" w:rsidRPr="00831934" w:rsidRDefault="00851F7C" w:rsidP="004F3AAA">
      <w:pPr>
        <w:pStyle w:val="COMESnumberedpara"/>
      </w:pPr>
      <w:r>
        <w:t xml:space="preserve">The PBAC </w:t>
      </w:r>
      <w:r w:rsidR="00063D91" w:rsidRPr="005604F9">
        <w:t xml:space="preserve">considered that overall, despite some uncertainty in the evidence, the clinical claim appeared </w:t>
      </w:r>
      <w:r w:rsidR="00D27662">
        <w:t>adequately</w:t>
      </w:r>
      <w:r w:rsidR="00063D91" w:rsidRPr="005604F9">
        <w:t xml:space="preserve"> supported</w:t>
      </w:r>
      <w:r w:rsidR="00D27662">
        <w:t xml:space="preserve"> by the data</w:t>
      </w:r>
      <w:r w:rsidR="0059207D">
        <w:t xml:space="preserve">. </w:t>
      </w:r>
      <w:r w:rsidR="006222DF">
        <w:t>However, the</w:t>
      </w:r>
      <w:r w:rsidR="0059207D">
        <w:t xml:space="preserve"> PBAC</w:t>
      </w:r>
      <w:r w:rsidR="001F49B4">
        <w:t xml:space="preserve"> </w:t>
      </w:r>
      <w:r w:rsidR="0059207D">
        <w:t xml:space="preserve">noted </w:t>
      </w:r>
      <w:r w:rsidR="00182A6C">
        <w:t>that</w:t>
      </w:r>
      <w:r w:rsidR="005604F9">
        <w:t xml:space="preserve"> the clinical benefit observed for </w:t>
      </w:r>
      <w:proofErr w:type="spellStart"/>
      <w:r w:rsidR="005604F9">
        <w:t>tezepelumab</w:t>
      </w:r>
      <w:proofErr w:type="spellEnd"/>
      <w:r w:rsidR="00370BE5">
        <w:t xml:space="preserve"> versus placebo</w:t>
      </w:r>
      <w:r w:rsidR="005604F9">
        <w:t xml:space="preserve"> appeared smaller </w:t>
      </w:r>
      <w:r w:rsidR="00182A6C">
        <w:t xml:space="preserve">for this population </w:t>
      </w:r>
      <w:r w:rsidR="005604F9">
        <w:t>compared with the benefit observed for the e</w:t>
      </w:r>
      <w:r w:rsidR="005604F9" w:rsidRPr="005604F9">
        <w:t xml:space="preserve">osinophilic </w:t>
      </w:r>
      <w:r w:rsidR="00AC00D6">
        <w:t>or</w:t>
      </w:r>
      <w:r w:rsidR="005604F9" w:rsidRPr="005604F9">
        <w:t xml:space="preserve"> allergic SUA population</w:t>
      </w:r>
      <w:r w:rsidR="005604F9">
        <w:t>.</w:t>
      </w:r>
    </w:p>
    <w:p w14:paraId="484FF1C4" w14:textId="6144401F" w:rsidR="00E72DBD" w:rsidRDefault="00E72DBD" w:rsidP="00C43C25">
      <w:pPr>
        <w:pStyle w:val="COMESnumberedpara"/>
      </w:pPr>
      <w:r>
        <w:t xml:space="preserve">The PBAC noted </w:t>
      </w:r>
      <w:r w:rsidR="00E5107A" w:rsidRPr="00831934">
        <w:t xml:space="preserve">that </w:t>
      </w:r>
      <w:r w:rsidR="00BD4B84">
        <w:t>the submission did not provide a</w:t>
      </w:r>
      <w:r w:rsidR="00E5107A" w:rsidRPr="00EE227E">
        <w:t xml:space="preserve"> </w:t>
      </w:r>
      <w:r w:rsidR="000B0ACE">
        <w:t xml:space="preserve">subgroup analysis </w:t>
      </w:r>
      <w:r w:rsidR="00E5107A" w:rsidRPr="00EE227E">
        <w:t xml:space="preserve">on safety </w:t>
      </w:r>
      <w:r w:rsidR="00BD4B84">
        <w:t xml:space="preserve">for </w:t>
      </w:r>
      <w:r w:rsidR="00E5107A" w:rsidRPr="00EE227E">
        <w:t>this population</w:t>
      </w:r>
      <w:r w:rsidR="00E5107A" w:rsidRPr="00831934">
        <w:t>.</w:t>
      </w:r>
      <w:r w:rsidR="00831934" w:rsidRPr="00831934">
        <w:t xml:space="preserve"> </w:t>
      </w:r>
      <w:r w:rsidR="00831934" w:rsidRPr="00EE227E">
        <w:t>However, the</w:t>
      </w:r>
      <w:r w:rsidR="00831934">
        <w:t xml:space="preserve"> PB</w:t>
      </w:r>
      <w:r w:rsidR="00147D27">
        <w:t>A</w:t>
      </w:r>
      <w:r w:rsidR="00831934">
        <w:t>C agreed with the</w:t>
      </w:r>
      <w:r w:rsidR="00831934" w:rsidRPr="00EE227E">
        <w:t xml:space="preserve"> ESC that disease phenotype </w:t>
      </w:r>
      <w:r w:rsidR="00BD4B84">
        <w:t>wa</w:t>
      </w:r>
      <w:r w:rsidR="00831934" w:rsidRPr="00EE227E">
        <w:t>s not likely to affect safety</w:t>
      </w:r>
      <w:r w:rsidR="00831934">
        <w:t>.</w:t>
      </w:r>
      <w:r w:rsidR="00C8720B">
        <w:t xml:space="preserve"> The PBAC considered that the frequency of adverse events </w:t>
      </w:r>
      <w:r w:rsidR="00CE69AF">
        <w:t>was</w:t>
      </w:r>
      <w:r w:rsidR="00C8720B">
        <w:t xml:space="preserve"> generally balanced between the </w:t>
      </w:r>
      <w:proofErr w:type="spellStart"/>
      <w:r w:rsidR="00C8720B">
        <w:t>tezepelumab</w:t>
      </w:r>
      <w:proofErr w:type="spellEnd"/>
      <w:r w:rsidR="00C8720B">
        <w:t xml:space="preserve"> and placebo groups </w:t>
      </w:r>
      <w:r w:rsidR="00101E2D">
        <w:t>i</w:t>
      </w:r>
      <w:r w:rsidR="00C8720B">
        <w:t>n the clinical trials</w:t>
      </w:r>
      <w:r w:rsidR="0086169A">
        <w:t xml:space="preserve">. </w:t>
      </w:r>
      <w:r w:rsidR="00FF65D8" w:rsidRPr="00FF65D8">
        <w:t xml:space="preserve">Overall, the PBAC considered that the claim of non-inferior safety was reasonable </w:t>
      </w:r>
      <w:r w:rsidR="001065F2">
        <w:t xml:space="preserve">for the </w:t>
      </w:r>
      <w:r w:rsidR="001065F2" w:rsidRPr="002F54FB">
        <w:t>non-eosinophilic and non-allergic SUA</w:t>
      </w:r>
      <w:r w:rsidR="00FF65D8" w:rsidRPr="00FF65D8">
        <w:t xml:space="preserve"> population.  </w:t>
      </w:r>
    </w:p>
    <w:p w14:paraId="1BD3ED6B" w14:textId="71926B4D" w:rsidR="00376416" w:rsidRDefault="006648E4" w:rsidP="00BF1C1B">
      <w:pPr>
        <w:pStyle w:val="COMESnumberedpara"/>
      </w:pPr>
      <w:r>
        <w:t xml:space="preserve">The PBAC noted that </w:t>
      </w:r>
      <w:r w:rsidR="00CA23CF">
        <w:t xml:space="preserve">the submission presented a cost-utility analysis of </w:t>
      </w:r>
      <w:proofErr w:type="spellStart"/>
      <w:r w:rsidR="00CA23CF">
        <w:t>tezepelumab</w:t>
      </w:r>
      <w:proofErr w:type="spellEnd"/>
      <w:r w:rsidR="00CA23CF">
        <w:t xml:space="preserve"> versus </w:t>
      </w:r>
      <w:proofErr w:type="spellStart"/>
      <w:r w:rsidR="00CA23CF">
        <w:t>SoC.</w:t>
      </w:r>
      <w:proofErr w:type="spellEnd"/>
      <w:r w:rsidR="00CA23CF">
        <w:t xml:space="preserve"> </w:t>
      </w:r>
      <w:r w:rsidR="009D25A0">
        <w:t xml:space="preserve">The PBAC noted that the ESC raised concerns regarding </w:t>
      </w:r>
      <w:r w:rsidR="00C8280D">
        <w:t>the</w:t>
      </w:r>
      <w:r w:rsidR="007A5A16">
        <w:t xml:space="preserve"> long</w:t>
      </w:r>
      <w:r w:rsidR="00C8280D">
        <w:t xml:space="preserve"> lifetime </w:t>
      </w:r>
      <w:r w:rsidR="00D31BD0">
        <w:t>time horizon</w:t>
      </w:r>
      <w:r w:rsidR="00EC362A">
        <w:t xml:space="preserve"> </w:t>
      </w:r>
      <w:r w:rsidR="00C8280D">
        <w:t xml:space="preserve">of 40 years </w:t>
      </w:r>
      <w:r w:rsidR="00EC362A">
        <w:t>compared to the</w:t>
      </w:r>
      <w:r w:rsidR="007A5A16">
        <w:t xml:space="preserve"> relatively short</w:t>
      </w:r>
      <w:r w:rsidR="00EC362A">
        <w:t xml:space="preserve"> d</w:t>
      </w:r>
      <w:r w:rsidR="005B1319">
        <w:t>uration of follow</w:t>
      </w:r>
      <w:r w:rsidR="004218F6">
        <w:t xml:space="preserve">-up in the NAVIGATOR (52 weeks) </w:t>
      </w:r>
      <w:r w:rsidR="00633A8A">
        <w:t xml:space="preserve">and </w:t>
      </w:r>
      <w:r w:rsidR="004218F6">
        <w:t>the SOURCE trial (48 weeks)</w:t>
      </w:r>
      <w:r w:rsidR="005D5BDB">
        <w:t xml:space="preserve"> and t</w:t>
      </w:r>
      <w:r w:rsidR="00993FB7">
        <w:t xml:space="preserve">he </w:t>
      </w:r>
      <w:r w:rsidR="001532C0">
        <w:t>data informing the economic model</w:t>
      </w:r>
      <w:r w:rsidR="00981D90">
        <w:t xml:space="preserve"> not aligning with the proposed PBS population</w:t>
      </w:r>
      <w:r w:rsidR="005D5BDB">
        <w:t xml:space="preserve">. </w:t>
      </w:r>
      <w:r w:rsidR="00587FB5">
        <w:t>The PBAC noted additional</w:t>
      </w:r>
      <w:r w:rsidR="003C09CC">
        <w:t xml:space="preserve"> concerns related to</w:t>
      </w:r>
      <w:r w:rsidR="003A7408">
        <w:t xml:space="preserve"> the assume</w:t>
      </w:r>
      <w:r w:rsidR="0021051B">
        <w:t>d</w:t>
      </w:r>
      <w:r w:rsidR="003A7408">
        <w:t xml:space="preserve"> </w:t>
      </w:r>
      <w:r w:rsidR="003C09CC">
        <w:t>risk reduction</w:t>
      </w:r>
      <w:r w:rsidR="00527CA0">
        <w:t xml:space="preserve"> in</w:t>
      </w:r>
      <w:r w:rsidR="00527CA0" w:rsidRPr="00527CA0">
        <w:t xml:space="preserve"> </w:t>
      </w:r>
      <w:r w:rsidR="00527CA0">
        <w:t xml:space="preserve">exacerbation </w:t>
      </w:r>
      <w:r w:rsidR="001F34B2">
        <w:t xml:space="preserve">associated with </w:t>
      </w:r>
      <w:r w:rsidR="00D31E49">
        <w:t xml:space="preserve">non-OCS </w:t>
      </w:r>
      <w:proofErr w:type="spellStart"/>
      <w:r w:rsidR="00D31E49">
        <w:t>tezepelumab</w:t>
      </w:r>
      <w:proofErr w:type="spellEnd"/>
      <w:r w:rsidR="00D31E49">
        <w:t xml:space="preserve"> group </w:t>
      </w:r>
      <w:r w:rsidR="003C09CC">
        <w:t>versus SoC</w:t>
      </w:r>
      <w:r w:rsidR="00A03E4D" w:rsidRPr="00A03E4D">
        <w:t xml:space="preserve"> </w:t>
      </w:r>
      <w:r w:rsidR="00A03E4D">
        <w:t>and the likelihood of asthma related deaths</w:t>
      </w:r>
      <w:r w:rsidR="0021051B">
        <w:t xml:space="preserve">. </w:t>
      </w:r>
      <w:r w:rsidR="00C22D7A">
        <w:t>The PBAC noted t</w:t>
      </w:r>
      <w:r w:rsidR="009D25A0">
        <w:t>he ESC proposed a respecified base case</w:t>
      </w:r>
      <w:r w:rsidR="002C6412">
        <w:t xml:space="preserve"> with </w:t>
      </w:r>
      <w:r w:rsidR="00B247ED">
        <w:t xml:space="preserve">a </w:t>
      </w:r>
      <w:r w:rsidR="000116E0">
        <w:t xml:space="preserve">shorter time horizon (from </w:t>
      </w:r>
      <w:r w:rsidR="00B247ED">
        <w:t xml:space="preserve">a </w:t>
      </w:r>
      <w:r w:rsidR="000116E0">
        <w:t>lifetime to a 20-year time horizon);</w:t>
      </w:r>
      <w:r w:rsidR="0089177C">
        <w:t xml:space="preserve"> </w:t>
      </w:r>
      <w:r w:rsidR="000116E0">
        <w:t xml:space="preserve">a smaller exacerbation risk </w:t>
      </w:r>
      <w:r w:rsidR="00B247ED">
        <w:t xml:space="preserve">reduction </w:t>
      </w:r>
      <w:r w:rsidR="000116E0">
        <w:t xml:space="preserve">in the non-OCS </w:t>
      </w:r>
      <w:proofErr w:type="spellStart"/>
      <w:r w:rsidR="000116E0">
        <w:t>tezepelumab</w:t>
      </w:r>
      <w:proofErr w:type="spellEnd"/>
      <w:r w:rsidR="000116E0">
        <w:t xml:space="preserve"> group relative to SoC (from 50% to 38%); and reduced exacerbation-related mortality rates consistent with the mepolizumab economic model (OCS burst: 0.43%; ED or hospitalisation: 1.13%).</w:t>
      </w:r>
      <w:r w:rsidR="00183915">
        <w:t xml:space="preserve"> </w:t>
      </w:r>
      <w:r w:rsidR="00376416">
        <w:t xml:space="preserve">The PBAC noted that incorporating these inputs increased the base case ICER from </w:t>
      </w:r>
      <w:r w:rsidR="00B119E9" w:rsidRPr="00B119E9">
        <w:t>$75,000 to &lt; $95,000</w:t>
      </w:r>
      <w:r w:rsidR="00376416">
        <w:t xml:space="preserve"> per QALY gained to </w:t>
      </w:r>
      <w:r w:rsidR="0039590A" w:rsidRPr="0039590A">
        <w:t>$115,000 to &lt; $135,000</w:t>
      </w:r>
      <w:r w:rsidR="00376416">
        <w:t xml:space="preserve"> per QALY gained.</w:t>
      </w:r>
      <w:r w:rsidR="00BF1C1B">
        <w:t xml:space="preserve"> </w:t>
      </w:r>
      <w:r w:rsidR="009B707B">
        <w:t xml:space="preserve">The PBAC noted the justification provided in the pre-PBAC Response for </w:t>
      </w:r>
      <w:r w:rsidR="00021093">
        <w:t xml:space="preserve">the inclusion of a </w:t>
      </w:r>
      <w:r w:rsidR="00A90FEC">
        <w:t>fixed</w:t>
      </w:r>
      <w:r w:rsidR="00021093">
        <w:t xml:space="preserve"> percentage for asthma-related deaths across all event types</w:t>
      </w:r>
      <w:r w:rsidR="00A90FEC">
        <w:t xml:space="preserve"> (1.13%)</w:t>
      </w:r>
      <w:r w:rsidR="00021093">
        <w:t xml:space="preserve">, however considered that </w:t>
      </w:r>
      <w:r w:rsidR="00BF1C1B">
        <w:t xml:space="preserve">while the assumed differential was uncertain, </w:t>
      </w:r>
      <w:r w:rsidR="00962BF4">
        <w:t xml:space="preserve">it was more reasonable </w:t>
      </w:r>
      <w:r w:rsidR="00164F76">
        <w:t xml:space="preserve">to assume a difference in mortality across these events rather </w:t>
      </w:r>
      <w:r w:rsidR="00962BF4">
        <w:t>than a fixed percentage.</w:t>
      </w:r>
      <w:r w:rsidR="00BF1C1B">
        <w:t xml:space="preserve"> </w:t>
      </w:r>
    </w:p>
    <w:p w14:paraId="052CFCFA" w14:textId="1C86FC9E" w:rsidR="003F3C26" w:rsidRPr="006949B8" w:rsidRDefault="003F3C26" w:rsidP="00BF1C1B">
      <w:pPr>
        <w:pStyle w:val="COMESnumberedpara"/>
      </w:pPr>
      <w:r>
        <w:t>Overall, the PBAC accepted the ESC respecified base case</w:t>
      </w:r>
      <w:r w:rsidR="004D5DE7">
        <w:t xml:space="preserve">, however considered the ICER was high and remained uncertain. </w:t>
      </w:r>
      <w:r w:rsidR="00E260B4">
        <w:t xml:space="preserve">Considering the model uncertainties as outlined, the PBAC advised that the cost-effectiveness of </w:t>
      </w:r>
      <w:proofErr w:type="spellStart"/>
      <w:r w:rsidR="00E260B4">
        <w:t>tezepelumab</w:t>
      </w:r>
      <w:proofErr w:type="spellEnd"/>
      <w:r w:rsidR="00E260B4">
        <w:t xml:space="preserve"> would be acceptable with a price reduction to achieve an ICER of </w:t>
      </w:r>
      <w:r w:rsidR="00BB0E88" w:rsidRPr="00BB0E88">
        <w:rPr>
          <w:snapToGrid w:val="0"/>
          <w:lang w:val="en-GB"/>
        </w:rPr>
        <w:t>$45,000 to &lt; $55,000</w:t>
      </w:r>
      <w:r w:rsidR="00E260B4">
        <w:rPr>
          <w:snapToGrid w:val="0"/>
          <w:lang w:val="en-GB"/>
        </w:rPr>
        <w:t xml:space="preserve"> per QALY gained using the ESC respecified economic model.</w:t>
      </w:r>
    </w:p>
    <w:p w14:paraId="74EB30F3" w14:textId="56B23490" w:rsidR="006949B8" w:rsidRPr="00F81004" w:rsidRDefault="006949B8" w:rsidP="00F61962">
      <w:pPr>
        <w:pStyle w:val="COMESnumberedpara"/>
      </w:pPr>
      <w:r>
        <w:rPr>
          <w:snapToGrid w:val="0"/>
          <w:lang w:val="en-GB"/>
        </w:rPr>
        <w:t xml:space="preserve">The PBAC </w:t>
      </w:r>
      <w:r w:rsidR="00E931D8">
        <w:rPr>
          <w:snapToGrid w:val="0"/>
          <w:lang w:val="en-GB"/>
        </w:rPr>
        <w:t xml:space="preserve">agreed with the DUSC that the financial estimates presented in the submission </w:t>
      </w:r>
      <w:r w:rsidR="00BC64E4">
        <w:rPr>
          <w:snapToGrid w:val="0"/>
          <w:lang w:val="en-GB"/>
        </w:rPr>
        <w:t>were</w:t>
      </w:r>
      <w:r w:rsidR="00E931D8">
        <w:rPr>
          <w:snapToGrid w:val="0"/>
          <w:lang w:val="en-GB"/>
        </w:rPr>
        <w:t xml:space="preserve"> underestimated. </w:t>
      </w:r>
      <w:r w:rsidR="00C24380">
        <w:rPr>
          <w:snapToGrid w:val="0"/>
          <w:lang w:val="en-GB"/>
        </w:rPr>
        <w:t xml:space="preserve">The PBAC </w:t>
      </w:r>
      <w:r w:rsidR="00F7544F">
        <w:rPr>
          <w:snapToGrid w:val="0"/>
          <w:lang w:val="en-GB"/>
        </w:rPr>
        <w:t xml:space="preserve">noted the concerns raised by DUSC that the </w:t>
      </w:r>
      <w:r w:rsidR="006B48E1">
        <w:rPr>
          <w:snapToGrid w:val="0"/>
          <w:lang w:val="en-GB"/>
        </w:rPr>
        <w:t xml:space="preserve">percentage of patients </w:t>
      </w:r>
      <w:r w:rsidR="005E209A">
        <w:rPr>
          <w:snapToGrid w:val="0"/>
          <w:lang w:val="en-GB"/>
        </w:rPr>
        <w:t>who are difficult to treat/control (21.7%) and the percentage of pa</w:t>
      </w:r>
      <w:r w:rsidR="009D710C">
        <w:rPr>
          <w:snapToGrid w:val="0"/>
          <w:lang w:val="en-GB"/>
        </w:rPr>
        <w:t>tients receiving high-dose ICS/long-acting beta-2 agonist (LABA)</w:t>
      </w:r>
      <w:r w:rsidR="008D3485">
        <w:rPr>
          <w:snapToGrid w:val="0"/>
          <w:lang w:val="en-GB"/>
        </w:rPr>
        <w:t xml:space="preserve"> were likely underestimated</w:t>
      </w:r>
      <w:r w:rsidR="00040778">
        <w:rPr>
          <w:snapToGrid w:val="0"/>
          <w:lang w:val="en-GB"/>
        </w:rPr>
        <w:t xml:space="preserve"> </w:t>
      </w:r>
      <w:r w:rsidR="00FC1589">
        <w:rPr>
          <w:snapToGrid w:val="0"/>
          <w:lang w:val="en-GB"/>
        </w:rPr>
        <w:t>but accepted the</w:t>
      </w:r>
      <w:r w:rsidR="00040778">
        <w:rPr>
          <w:snapToGrid w:val="0"/>
          <w:lang w:val="en-GB"/>
        </w:rPr>
        <w:t xml:space="preserve"> pre-PBAC response arguments that these inputs were reasonable.</w:t>
      </w:r>
      <w:r w:rsidR="00507B56">
        <w:rPr>
          <w:snapToGrid w:val="0"/>
          <w:lang w:val="en-GB"/>
        </w:rPr>
        <w:t xml:space="preserve"> </w:t>
      </w:r>
      <w:r w:rsidR="00302205">
        <w:rPr>
          <w:snapToGrid w:val="0"/>
          <w:lang w:val="en-GB"/>
        </w:rPr>
        <w:t xml:space="preserve">The PBAC noted that the submission assumed </w:t>
      </w:r>
      <w:r w:rsidR="00DB7FB1">
        <w:rPr>
          <w:snapToGrid w:val="0"/>
        </w:rPr>
        <w:t>f</w:t>
      </w:r>
      <w:r w:rsidR="00DB7FB1" w:rsidRPr="00DB7FB1">
        <w:rPr>
          <w:snapToGrid w:val="0"/>
        </w:rPr>
        <w:t xml:space="preserve">rom Year 1 to Year 6, treatment uptake </w:t>
      </w:r>
      <w:r w:rsidR="00DB7FB1">
        <w:rPr>
          <w:snapToGrid w:val="0"/>
        </w:rPr>
        <w:t>would be</w:t>
      </w:r>
      <w:r w:rsidR="00DB7FB1" w:rsidRPr="00DB7FB1">
        <w:rPr>
          <w:snapToGrid w:val="0"/>
        </w:rPr>
        <w:t xml:space="preserve"> expected to grow from </w:t>
      </w:r>
      <w:r w:rsidR="00B14769" w:rsidRPr="00B14769">
        <w:rPr>
          <w:snapToGrid w:val="0"/>
          <w:highlight w:val="black"/>
        </w:rPr>
        <w:t>&amp;&amp;&amp;&amp;</w:t>
      </w:r>
      <w:r w:rsidR="00DB7FB1" w:rsidRPr="00DB7FB1">
        <w:rPr>
          <w:snapToGrid w:val="0"/>
        </w:rPr>
        <w:t xml:space="preserve">% to </w:t>
      </w:r>
      <w:r w:rsidR="00B14769" w:rsidRPr="00B14769">
        <w:rPr>
          <w:snapToGrid w:val="0"/>
          <w:highlight w:val="black"/>
        </w:rPr>
        <w:t>&amp;&amp;&amp;&amp;</w:t>
      </w:r>
      <w:r w:rsidR="00DB7FB1" w:rsidRPr="00DB7FB1">
        <w:rPr>
          <w:snapToGrid w:val="0"/>
        </w:rPr>
        <w:t xml:space="preserve">%, with </w:t>
      </w:r>
      <w:r w:rsidR="00DB7FB1">
        <w:rPr>
          <w:snapToGrid w:val="0"/>
        </w:rPr>
        <w:t xml:space="preserve">a </w:t>
      </w:r>
      <w:r w:rsidR="00B14769" w:rsidRPr="00B14769">
        <w:rPr>
          <w:snapToGrid w:val="0"/>
          <w:highlight w:val="black"/>
        </w:rPr>
        <w:t>&amp;&amp;&amp;&amp;</w:t>
      </w:r>
      <w:r w:rsidR="00DB7FB1" w:rsidRPr="00DB7FB1">
        <w:rPr>
          <w:snapToGrid w:val="0"/>
        </w:rPr>
        <w:t>% year-on-year increase</w:t>
      </w:r>
      <w:r w:rsidR="00302205">
        <w:t>.</w:t>
      </w:r>
      <w:r w:rsidR="00BC64E4">
        <w:t xml:space="preserve"> </w:t>
      </w:r>
      <w:r w:rsidR="00266A34">
        <w:rPr>
          <w:snapToGrid w:val="0"/>
          <w:lang w:val="en-GB"/>
        </w:rPr>
        <w:t>However, the</w:t>
      </w:r>
      <w:r w:rsidR="00E33588" w:rsidRPr="00BC64E4">
        <w:rPr>
          <w:snapToGrid w:val="0"/>
          <w:lang w:val="en-GB"/>
        </w:rPr>
        <w:t xml:space="preserve"> PBAC noted t</w:t>
      </w:r>
      <w:r w:rsidR="009F394C" w:rsidRPr="00BC64E4">
        <w:rPr>
          <w:snapToGrid w:val="0"/>
          <w:lang w:val="en-GB"/>
        </w:rPr>
        <w:t xml:space="preserve">hat </w:t>
      </w:r>
      <w:proofErr w:type="spellStart"/>
      <w:r w:rsidR="009F394C">
        <w:t>tezepelumab</w:t>
      </w:r>
      <w:proofErr w:type="spellEnd"/>
      <w:r w:rsidR="009F394C">
        <w:t xml:space="preserve"> </w:t>
      </w:r>
      <w:r w:rsidR="00C356C1" w:rsidRPr="004F56D0">
        <w:t>is</w:t>
      </w:r>
      <w:r w:rsidR="00C356C1">
        <w:t xml:space="preserve"> proposed to be </w:t>
      </w:r>
      <w:r w:rsidR="00AC6DDA">
        <w:t>a</w:t>
      </w:r>
      <w:r w:rsidR="00C356C1" w:rsidRPr="004F56D0">
        <w:t xml:space="preserve"> first-line treatment for</w:t>
      </w:r>
      <w:r w:rsidR="00E976A0">
        <w:t xml:space="preserve"> the</w:t>
      </w:r>
      <w:r w:rsidR="00C356C1" w:rsidRPr="004F56D0">
        <w:t xml:space="preserve"> non-eosinophilic and non-allergic SUA </w:t>
      </w:r>
      <w:r w:rsidR="00E976A0">
        <w:t>population</w:t>
      </w:r>
      <w:r w:rsidR="00AC6DDA">
        <w:t xml:space="preserve"> </w:t>
      </w:r>
      <w:r w:rsidR="00C356C1" w:rsidRPr="004F56D0">
        <w:t xml:space="preserve">who currently are not eligible </w:t>
      </w:r>
      <w:r w:rsidR="00B12EF6">
        <w:t>to</w:t>
      </w:r>
      <w:r w:rsidR="00C356C1" w:rsidRPr="004F56D0">
        <w:t xml:space="preserve"> </w:t>
      </w:r>
      <w:r w:rsidR="00C37779">
        <w:t>receive</w:t>
      </w:r>
      <w:r w:rsidR="00C356C1" w:rsidRPr="004F56D0">
        <w:t xml:space="preserve"> PBS-listed biologics.</w:t>
      </w:r>
      <w:r w:rsidR="00A12016">
        <w:t xml:space="preserve"> For this reason, the PBAC considered the uptake</w:t>
      </w:r>
      <w:r w:rsidR="003450CB">
        <w:t xml:space="preserve"> of treatment would be higher than estimated in the submission</w:t>
      </w:r>
      <w:r w:rsidR="009D325C">
        <w:t xml:space="preserve"> and advised that it </w:t>
      </w:r>
      <w:r w:rsidR="002273A5">
        <w:t xml:space="preserve">would more likely reflect </w:t>
      </w:r>
      <w:r w:rsidR="00770A75">
        <w:t xml:space="preserve">a </w:t>
      </w:r>
      <w:r w:rsidR="002273A5">
        <w:t>s</w:t>
      </w:r>
      <w:r w:rsidR="002273A5" w:rsidRPr="002273A5">
        <w:t>harp increase in first 3 years (</w:t>
      </w:r>
      <w:r w:rsidR="00B14769" w:rsidRPr="00B14769">
        <w:rPr>
          <w:highlight w:val="black"/>
        </w:rPr>
        <w:t>&amp;&amp;&amp;&amp;</w:t>
      </w:r>
      <w:r w:rsidR="002273A5" w:rsidRPr="002273A5">
        <w:t xml:space="preserve">%, </w:t>
      </w:r>
      <w:r w:rsidR="00B14769" w:rsidRPr="00B14769">
        <w:rPr>
          <w:highlight w:val="black"/>
        </w:rPr>
        <w:t>&amp;&amp;&amp;&amp;</w:t>
      </w:r>
      <w:r w:rsidR="002273A5" w:rsidRPr="002273A5">
        <w:t xml:space="preserve">%, </w:t>
      </w:r>
      <w:r w:rsidR="00B14769" w:rsidRPr="00B14769">
        <w:rPr>
          <w:highlight w:val="black"/>
        </w:rPr>
        <w:t>&amp;&amp;&amp;&amp;</w:t>
      </w:r>
      <w:r w:rsidR="002273A5" w:rsidRPr="002273A5">
        <w:t>%) and slower thereafter (</w:t>
      </w:r>
      <w:r w:rsidR="00B14769" w:rsidRPr="00B14769">
        <w:rPr>
          <w:highlight w:val="black"/>
        </w:rPr>
        <w:t>&amp;&amp;&amp;&amp;</w:t>
      </w:r>
      <w:r w:rsidR="002273A5" w:rsidRPr="002273A5">
        <w:t xml:space="preserve">%, </w:t>
      </w:r>
      <w:r w:rsidR="00B14769" w:rsidRPr="00B14769">
        <w:rPr>
          <w:highlight w:val="black"/>
        </w:rPr>
        <w:t>&amp;&amp;&amp;&amp;</w:t>
      </w:r>
      <w:r w:rsidR="002273A5" w:rsidRPr="002273A5">
        <w:t xml:space="preserve">%, </w:t>
      </w:r>
      <w:r w:rsidR="00B14769" w:rsidRPr="00B14769">
        <w:rPr>
          <w:highlight w:val="black"/>
        </w:rPr>
        <w:t>&amp;&amp;&amp;&amp;</w:t>
      </w:r>
      <w:r w:rsidR="002273A5" w:rsidRPr="002273A5">
        <w:t>%)</w:t>
      </w:r>
      <w:r w:rsidR="00151F0A">
        <w:t xml:space="preserve">. </w:t>
      </w:r>
      <w:r w:rsidR="007D747C">
        <w:t xml:space="preserve">The PBAC considered that with the amendments to the uptake rates, and with the price reduction required to achieve cost effectiveness it would be reasonable to accept the financial estimates. </w:t>
      </w:r>
      <w:r w:rsidR="00FC1589">
        <w:t xml:space="preserve"> </w:t>
      </w:r>
      <w:r w:rsidR="00A10B7F">
        <w:t xml:space="preserve"> </w:t>
      </w:r>
    </w:p>
    <w:p w14:paraId="63DF4E2E" w14:textId="777C0605" w:rsidR="00F81004" w:rsidRPr="00382FA8" w:rsidRDefault="00F81004" w:rsidP="00F81004">
      <w:pPr>
        <w:pStyle w:val="3-BodyText"/>
        <w:widowControl w:val="0"/>
        <w:numPr>
          <w:ilvl w:val="1"/>
          <w:numId w:val="1"/>
        </w:numPr>
        <w:spacing w:after="120"/>
        <w:rPr>
          <w:rFonts w:cstheme="minorHAnsi"/>
        </w:rPr>
      </w:pPr>
      <w:r w:rsidRPr="00553E24">
        <w:rPr>
          <w:rFonts w:cstheme="minorHAnsi"/>
          <w:lang w:val="en-GB"/>
        </w:rPr>
        <w:t xml:space="preserve">The PBAC found that the criteria prescribed by the </w:t>
      </w:r>
      <w:r w:rsidRPr="00382FA8">
        <w:rPr>
          <w:rFonts w:cstheme="minorHAnsi"/>
          <w:i/>
          <w:lang w:val="en-GB"/>
        </w:rPr>
        <w:t>National Health (Pharmaceuticals and Vaccines – Cost Recovery) Regulations 2022</w:t>
      </w:r>
      <w:r w:rsidRPr="00382FA8">
        <w:rPr>
          <w:rFonts w:cstheme="minorHAnsi"/>
          <w:lang w:val="en-GB"/>
        </w:rPr>
        <w:t xml:space="preserve"> for Pricing Pathway A were not met. Specifically</w:t>
      </w:r>
      <w:r>
        <w:rPr>
          <w:rFonts w:cstheme="minorHAnsi"/>
          <w:lang w:val="en-GB"/>
        </w:rPr>
        <w:t>,</w:t>
      </w:r>
      <w:r w:rsidRPr="00382FA8">
        <w:rPr>
          <w:rFonts w:cstheme="minorHAnsi"/>
          <w:lang w:val="en-GB"/>
        </w:rPr>
        <w:t xml:space="preserve"> the PBAC found that in the circumstances of its recommendation for </w:t>
      </w:r>
      <w:proofErr w:type="spellStart"/>
      <w:r w:rsidR="009E4F29">
        <w:rPr>
          <w:rFonts w:cstheme="minorHAnsi"/>
          <w:lang w:val="en-GB"/>
        </w:rPr>
        <w:t>tezepelumab</w:t>
      </w:r>
      <w:proofErr w:type="spellEnd"/>
      <w:r w:rsidRPr="00382FA8">
        <w:rPr>
          <w:rFonts w:cstheme="minorHAnsi"/>
          <w:lang w:val="en-GB"/>
        </w:rPr>
        <w:t>:</w:t>
      </w:r>
    </w:p>
    <w:p w14:paraId="08C714B4" w14:textId="0849E286" w:rsidR="00F81004" w:rsidRPr="00A176D5" w:rsidRDefault="00F81004" w:rsidP="00A176D5">
      <w:pPr>
        <w:widowControl w:val="0"/>
        <w:numPr>
          <w:ilvl w:val="1"/>
          <w:numId w:val="36"/>
        </w:numPr>
        <w:spacing w:after="120"/>
        <w:ind w:left="1418" w:hanging="567"/>
        <w:rPr>
          <w:rFonts w:asciiTheme="minorHAnsi" w:hAnsiTheme="minorHAnsi" w:cstheme="minorHAnsi"/>
          <w:lang w:val="en-GB"/>
        </w:rPr>
      </w:pPr>
      <w:r w:rsidRPr="00C94209">
        <w:rPr>
          <w:rFonts w:asciiTheme="minorHAnsi" w:hAnsiTheme="minorHAnsi" w:cstheme="minorHAnsi"/>
          <w:lang w:val="en-GB"/>
        </w:rPr>
        <w:t xml:space="preserve">The treatment is not expected to provide a substantial </w:t>
      </w:r>
      <w:r w:rsidR="00A95536">
        <w:rPr>
          <w:rFonts w:asciiTheme="minorHAnsi" w:hAnsiTheme="minorHAnsi" w:cstheme="minorHAnsi"/>
          <w:lang w:val="en-GB"/>
        </w:rPr>
        <w:t xml:space="preserve">and </w:t>
      </w:r>
      <w:r w:rsidR="00802CD2">
        <w:rPr>
          <w:rFonts w:asciiTheme="minorHAnsi" w:hAnsiTheme="minorHAnsi" w:cstheme="minorHAnsi"/>
          <w:lang w:val="en-GB"/>
        </w:rPr>
        <w:t xml:space="preserve">clinically relevant </w:t>
      </w:r>
      <w:r w:rsidRPr="00C94209">
        <w:rPr>
          <w:rFonts w:asciiTheme="minorHAnsi" w:hAnsiTheme="minorHAnsi" w:cstheme="minorHAnsi"/>
          <w:lang w:val="en-GB"/>
        </w:rPr>
        <w:t xml:space="preserve">improvement in efficacy over </w:t>
      </w:r>
      <w:r w:rsidR="00DA0E42">
        <w:t>SoC</w:t>
      </w:r>
      <w:r w:rsidRPr="00C94209">
        <w:rPr>
          <w:rFonts w:asciiTheme="minorHAnsi" w:hAnsiTheme="minorHAnsi" w:cstheme="minorHAnsi"/>
          <w:lang w:val="en-GB"/>
        </w:rPr>
        <w:t xml:space="preserve">, </w:t>
      </w:r>
      <w:r w:rsidR="00802CD2">
        <w:rPr>
          <w:rFonts w:asciiTheme="minorHAnsi" w:hAnsiTheme="minorHAnsi" w:cstheme="minorHAnsi"/>
          <w:lang w:val="en-GB"/>
        </w:rPr>
        <w:t>as while clinically relevant improvement</w:t>
      </w:r>
      <w:r w:rsidR="00D55BCD">
        <w:rPr>
          <w:rFonts w:asciiTheme="minorHAnsi" w:hAnsiTheme="minorHAnsi" w:cstheme="minorHAnsi"/>
          <w:lang w:val="en-GB"/>
        </w:rPr>
        <w:t>s</w:t>
      </w:r>
      <w:r w:rsidR="00802CD2">
        <w:rPr>
          <w:rFonts w:asciiTheme="minorHAnsi" w:hAnsiTheme="minorHAnsi" w:cstheme="minorHAnsi"/>
          <w:lang w:val="en-GB"/>
        </w:rPr>
        <w:t xml:space="preserve"> in AAER were evident, the</w:t>
      </w:r>
      <w:r w:rsidR="00A176D5">
        <w:rPr>
          <w:rFonts w:asciiTheme="minorHAnsi" w:hAnsiTheme="minorHAnsi" w:cstheme="minorHAnsi"/>
          <w:lang w:val="en-GB"/>
        </w:rPr>
        <w:t xml:space="preserve"> magnitude of benefit was uncertain and</w:t>
      </w:r>
      <w:r w:rsidR="00802CD2">
        <w:rPr>
          <w:rFonts w:asciiTheme="minorHAnsi" w:hAnsiTheme="minorHAnsi" w:cstheme="minorHAnsi"/>
          <w:lang w:val="en-GB"/>
        </w:rPr>
        <w:t xml:space="preserve"> </w:t>
      </w:r>
      <w:r w:rsidR="00A176D5">
        <w:rPr>
          <w:rFonts w:asciiTheme="minorHAnsi" w:hAnsiTheme="minorHAnsi" w:cstheme="minorHAnsi"/>
          <w:lang w:val="en-GB"/>
        </w:rPr>
        <w:t xml:space="preserve">likely to be modest rather than </w:t>
      </w:r>
      <w:proofErr w:type="gramStart"/>
      <w:r w:rsidR="00A176D5">
        <w:rPr>
          <w:rFonts w:asciiTheme="minorHAnsi" w:hAnsiTheme="minorHAnsi" w:cstheme="minorHAnsi"/>
          <w:lang w:val="en-GB"/>
        </w:rPr>
        <w:t>substantial</w:t>
      </w:r>
      <w:r>
        <w:t>;</w:t>
      </w:r>
      <w:proofErr w:type="gramEnd"/>
    </w:p>
    <w:p w14:paraId="5871F6A2" w14:textId="77777777" w:rsidR="00F81004" w:rsidRDefault="00F81004" w:rsidP="00F81004">
      <w:pPr>
        <w:widowControl w:val="0"/>
        <w:numPr>
          <w:ilvl w:val="1"/>
          <w:numId w:val="36"/>
        </w:numPr>
        <w:spacing w:after="120"/>
        <w:ind w:left="1418" w:hanging="567"/>
        <w:rPr>
          <w:rFonts w:asciiTheme="minorHAnsi" w:hAnsiTheme="minorHAnsi" w:cstheme="minorHAnsi"/>
          <w:lang w:val="en-GB"/>
        </w:rPr>
      </w:pPr>
      <w:r w:rsidRPr="00763DFB">
        <w:rPr>
          <w:rFonts w:asciiTheme="minorHAnsi" w:hAnsiTheme="minorHAnsi" w:cstheme="minorHAnsi"/>
          <w:lang w:val="en-GB"/>
        </w:rPr>
        <w:t xml:space="preserve">The treatment is not expected to address a high and urgent unmet clinical </w:t>
      </w:r>
      <w:proofErr w:type="gramStart"/>
      <w:r w:rsidRPr="00763DFB">
        <w:rPr>
          <w:rFonts w:asciiTheme="minorHAnsi" w:hAnsiTheme="minorHAnsi" w:cstheme="minorHAnsi"/>
          <w:lang w:val="en-GB"/>
        </w:rPr>
        <w:t>need;</w:t>
      </w:r>
      <w:proofErr w:type="gramEnd"/>
    </w:p>
    <w:p w14:paraId="270F9C5D" w14:textId="77777777" w:rsidR="00F81004" w:rsidRPr="00B84257" w:rsidRDefault="00F81004" w:rsidP="00F81004">
      <w:pPr>
        <w:widowControl w:val="0"/>
        <w:numPr>
          <w:ilvl w:val="1"/>
          <w:numId w:val="36"/>
        </w:numPr>
        <w:spacing w:after="120"/>
        <w:ind w:left="1418" w:hanging="567"/>
        <w:rPr>
          <w:rFonts w:asciiTheme="minorHAnsi" w:hAnsiTheme="minorHAnsi" w:cstheme="minorHAnsi"/>
          <w:lang w:val="en-GB"/>
        </w:rPr>
      </w:pPr>
      <w:r w:rsidRPr="00B84257">
        <w:rPr>
          <w:rFonts w:cstheme="minorHAnsi"/>
          <w:lang w:val="en-GB"/>
        </w:rPr>
        <w:t>It was not necessary to make a finding in relation to whether it would be in the public interest for the subsequent pricing application to be progressed under Pricing Pathway A because one or more of the preceding tests had failed.</w:t>
      </w:r>
    </w:p>
    <w:p w14:paraId="2BD9EC87" w14:textId="5E5FF42A" w:rsidR="009F19B3" w:rsidRPr="00924EDD" w:rsidRDefault="009F19B3" w:rsidP="00924EDD">
      <w:pPr>
        <w:keepNext/>
        <w:keepLines/>
        <w:spacing w:before="120" w:after="120"/>
        <w:outlineLvl w:val="2"/>
        <w:rPr>
          <w:rFonts w:asciiTheme="minorHAnsi" w:eastAsiaTheme="majorEastAsia" w:hAnsiTheme="minorHAnsi" w:cstheme="majorBidi"/>
          <w:b/>
          <w:color w:val="000000" w:themeColor="text1"/>
        </w:rPr>
      </w:pPr>
      <w:r w:rsidRPr="00924EDD">
        <w:rPr>
          <w:rFonts w:asciiTheme="minorHAnsi" w:eastAsiaTheme="majorEastAsia" w:hAnsiTheme="minorHAnsi" w:cstheme="majorBidi"/>
          <w:b/>
          <w:color w:val="000000" w:themeColor="text1"/>
        </w:rPr>
        <w:t>Eosinophilic and allergic SUA population</w:t>
      </w:r>
    </w:p>
    <w:p w14:paraId="7E5BD570" w14:textId="6899D801" w:rsidR="007F4A8D" w:rsidRPr="00F510E9" w:rsidRDefault="0052755B" w:rsidP="00321562">
      <w:pPr>
        <w:pStyle w:val="COMESnumberedpara"/>
        <w:rPr>
          <w:rFonts w:ascii="Calibri" w:hAnsi="Calibri"/>
          <w:bCs/>
        </w:rPr>
      </w:pPr>
      <w:r w:rsidRPr="00671F34">
        <w:rPr>
          <w:snapToGrid w:val="0"/>
          <w:lang w:val="en-GB"/>
        </w:rPr>
        <w:t xml:space="preserve">The PBAC </w:t>
      </w:r>
      <w:r>
        <w:rPr>
          <w:snapToGrid w:val="0"/>
          <w:lang w:val="en-GB"/>
        </w:rPr>
        <w:t xml:space="preserve">noted </w:t>
      </w:r>
      <w:r>
        <w:rPr>
          <w:rFonts w:ascii="Calibri" w:hAnsi="Calibri"/>
          <w:bCs/>
        </w:rPr>
        <w:t>that the</w:t>
      </w:r>
      <w:r w:rsidR="001A0749">
        <w:rPr>
          <w:rFonts w:ascii="Calibri" w:hAnsi="Calibri"/>
          <w:bCs/>
        </w:rPr>
        <w:t xml:space="preserve"> proposed</w:t>
      </w:r>
      <w:r w:rsidRPr="00F510E9">
        <w:rPr>
          <w:rFonts w:ascii="Calibri" w:hAnsi="Calibri"/>
          <w:bCs/>
        </w:rPr>
        <w:t xml:space="preserve"> listing</w:t>
      </w:r>
      <w:r w:rsidR="00655903">
        <w:rPr>
          <w:rFonts w:ascii="Calibri" w:hAnsi="Calibri"/>
          <w:bCs/>
        </w:rPr>
        <w:t>s</w:t>
      </w:r>
      <w:r w:rsidRPr="00F510E9">
        <w:rPr>
          <w:rFonts w:ascii="Calibri" w:hAnsi="Calibri"/>
          <w:bCs/>
        </w:rPr>
        <w:t xml:space="preserve"> for eosinophilic or allergic asthma </w:t>
      </w:r>
      <w:r w:rsidR="001A0749">
        <w:rPr>
          <w:rFonts w:ascii="Calibri" w:hAnsi="Calibri"/>
          <w:bCs/>
        </w:rPr>
        <w:t>w</w:t>
      </w:r>
      <w:r w:rsidR="007248FD">
        <w:rPr>
          <w:rFonts w:ascii="Calibri" w:hAnsi="Calibri"/>
          <w:bCs/>
        </w:rPr>
        <w:t>ere</w:t>
      </w:r>
      <w:r w:rsidR="001A0749">
        <w:rPr>
          <w:rFonts w:ascii="Calibri" w:hAnsi="Calibri"/>
          <w:bCs/>
        </w:rPr>
        <w:t xml:space="preserve"> </w:t>
      </w:r>
      <w:r w:rsidRPr="00F510E9">
        <w:rPr>
          <w:rFonts w:ascii="Calibri" w:hAnsi="Calibri"/>
          <w:bCs/>
        </w:rPr>
        <w:t xml:space="preserve">consistent with the current restrictions for omalizumab, mepolizumab, </w:t>
      </w:r>
      <w:proofErr w:type="spellStart"/>
      <w:r w:rsidRPr="00F510E9">
        <w:rPr>
          <w:rFonts w:ascii="Calibri" w:hAnsi="Calibri"/>
          <w:bCs/>
        </w:rPr>
        <w:t>benralizumab</w:t>
      </w:r>
      <w:proofErr w:type="spellEnd"/>
      <w:r w:rsidRPr="00F510E9">
        <w:rPr>
          <w:rFonts w:ascii="Calibri" w:hAnsi="Calibri"/>
          <w:bCs/>
        </w:rPr>
        <w:t xml:space="preserve"> and dupilumab for SUA. </w:t>
      </w:r>
      <w:r w:rsidRPr="008C4097">
        <w:rPr>
          <w:rFonts w:ascii="Calibri" w:hAnsi="Calibri"/>
          <w:bCs/>
        </w:rPr>
        <w:t xml:space="preserve">The </w:t>
      </w:r>
      <w:r>
        <w:rPr>
          <w:rFonts w:ascii="Calibri" w:hAnsi="Calibri"/>
          <w:bCs/>
        </w:rPr>
        <w:t xml:space="preserve">PBAC </w:t>
      </w:r>
      <w:r w:rsidR="00037566">
        <w:rPr>
          <w:rFonts w:ascii="Calibri" w:hAnsi="Calibri"/>
          <w:bCs/>
        </w:rPr>
        <w:t>advised that</w:t>
      </w:r>
      <w:r>
        <w:rPr>
          <w:rFonts w:ascii="Calibri" w:hAnsi="Calibri"/>
          <w:bCs/>
        </w:rPr>
        <w:t xml:space="preserve"> the </w:t>
      </w:r>
      <w:r w:rsidRPr="008C4097">
        <w:rPr>
          <w:rFonts w:ascii="Calibri" w:hAnsi="Calibri"/>
          <w:bCs/>
        </w:rPr>
        <w:t>proposed restrictions for eosinophilic or allergic asthma population</w:t>
      </w:r>
      <w:r>
        <w:rPr>
          <w:rFonts w:ascii="Calibri" w:hAnsi="Calibri"/>
          <w:bCs/>
        </w:rPr>
        <w:t>, as amended</w:t>
      </w:r>
      <w:r w:rsidRPr="008C4097">
        <w:rPr>
          <w:rFonts w:ascii="Calibri" w:hAnsi="Calibri"/>
          <w:bCs/>
        </w:rPr>
        <w:t xml:space="preserve"> by the Secretariat</w:t>
      </w:r>
      <w:r>
        <w:rPr>
          <w:rFonts w:ascii="Calibri" w:hAnsi="Calibri"/>
          <w:bCs/>
        </w:rPr>
        <w:t>,</w:t>
      </w:r>
      <w:r w:rsidRPr="008C4097">
        <w:rPr>
          <w:rFonts w:ascii="Calibri" w:hAnsi="Calibri"/>
          <w:bCs/>
        </w:rPr>
        <w:t xml:space="preserve"> </w:t>
      </w:r>
      <w:r w:rsidR="0079555A">
        <w:rPr>
          <w:rFonts w:ascii="Calibri" w:hAnsi="Calibri"/>
          <w:bCs/>
        </w:rPr>
        <w:t>were</w:t>
      </w:r>
      <w:r>
        <w:rPr>
          <w:rFonts w:ascii="Calibri" w:hAnsi="Calibri"/>
          <w:bCs/>
        </w:rPr>
        <w:t xml:space="preserve"> appropriate. </w:t>
      </w:r>
      <w:r w:rsidR="00423E2F">
        <w:rPr>
          <w:rFonts w:ascii="Calibri" w:hAnsi="Calibri"/>
          <w:bCs/>
        </w:rPr>
        <w:t xml:space="preserve">The PBAC </w:t>
      </w:r>
      <w:r w:rsidR="00037566">
        <w:rPr>
          <w:rFonts w:ascii="Calibri" w:hAnsi="Calibri"/>
          <w:bCs/>
        </w:rPr>
        <w:t>advised</w:t>
      </w:r>
      <w:r w:rsidR="007F4A8D">
        <w:rPr>
          <w:rFonts w:ascii="Calibri" w:hAnsi="Calibri"/>
          <w:bCs/>
        </w:rPr>
        <w:t xml:space="preserve"> </w:t>
      </w:r>
      <w:r w:rsidR="005A5755">
        <w:rPr>
          <w:rFonts w:ascii="Calibri" w:hAnsi="Calibri"/>
          <w:bCs/>
        </w:rPr>
        <w:t xml:space="preserve">that </w:t>
      </w:r>
      <w:r w:rsidR="007F4A8D">
        <w:rPr>
          <w:rFonts w:ascii="Calibri" w:hAnsi="Calibri"/>
          <w:bCs/>
        </w:rPr>
        <w:t xml:space="preserve">the </w:t>
      </w:r>
      <w:r w:rsidR="00423E2F">
        <w:rPr>
          <w:rFonts w:ascii="Calibri" w:hAnsi="Calibri"/>
          <w:bCs/>
        </w:rPr>
        <w:t>flow-on changes</w:t>
      </w:r>
      <w:r w:rsidR="005A5755">
        <w:rPr>
          <w:rFonts w:ascii="Calibri" w:hAnsi="Calibri"/>
          <w:bCs/>
        </w:rPr>
        <w:t>, as suggested by the Secretariat,</w:t>
      </w:r>
      <w:r w:rsidR="00423E2F">
        <w:rPr>
          <w:rFonts w:ascii="Calibri" w:hAnsi="Calibri"/>
          <w:bCs/>
        </w:rPr>
        <w:t xml:space="preserve"> </w:t>
      </w:r>
      <w:r w:rsidR="007F4A8D">
        <w:rPr>
          <w:rFonts w:ascii="Calibri" w:hAnsi="Calibri"/>
          <w:bCs/>
        </w:rPr>
        <w:t>for</w:t>
      </w:r>
      <w:r w:rsidR="00423E2F">
        <w:rPr>
          <w:rFonts w:ascii="Calibri" w:hAnsi="Calibri"/>
          <w:bCs/>
        </w:rPr>
        <w:t xml:space="preserve"> </w:t>
      </w:r>
      <w:proofErr w:type="spellStart"/>
      <w:r w:rsidR="007F4A8D" w:rsidRPr="00F510E9">
        <w:rPr>
          <w:rFonts w:ascii="Calibri" w:hAnsi="Calibri"/>
          <w:bCs/>
        </w:rPr>
        <w:t>benralizumab</w:t>
      </w:r>
      <w:proofErr w:type="spellEnd"/>
      <w:r w:rsidR="007F4A8D" w:rsidRPr="00F510E9">
        <w:rPr>
          <w:rFonts w:ascii="Calibri" w:hAnsi="Calibri"/>
          <w:bCs/>
        </w:rPr>
        <w:t>, dupilumab, mepolizumab and omalizumab</w:t>
      </w:r>
      <w:r w:rsidR="005A5755">
        <w:rPr>
          <w:rFonts w:ascii="Calibri" w:hAnsi="Calibri"/>
          <w:bCs/>
        </w:rPr>
        <w:t xml:space="preserve">, were also appropriate. The PBAC </w:t>
      </w:r>
      <w:r w:rsidR="008C5D7D">
        <w:rPr>
          <w:rFonts w:ascii="Calibri" w:hAnsi="Calibri"/>
          <w:bCs/>
        </w:rPr>
        <w:t xml:space="preserve">also </w:t>
      </w:r>
      <w:r w:rsidR="005A5755">
        <w:rPr>
          <w:rFonts w:ascii="Calibri" w:hAnsi="Calibri"/>
          <w:bCs/>
        </w:rPr>
        <w:t>noted that a grandfather</w:t>
      </w:r>
      <w:r w:rsidR="00387CA1">
        <w:rPr>
          <w:rFonts w:ascii="Calibri" w:hAnsi="Calibri"/>
          <w:bCs/>
        </w:rPr>
        <w:t xml:space="preserve">ing listing would also be required for patients accessing </w:t>
      </w:r>
      <w:proofErr w:type="spellStart"/>
      <w:r w:rsidR="00321562">
        <w:rPr>
          <w:rFonts w:ascii="Calibri" w:hAnsi="Calibri"/>
          <w:bCs/>
        </w:rPr>
        <w:t>tezepelumab</w:t>
      </w:r>
      <w:proofErr w:type="spellEnd"/>
      <w:r w:rsidR="00387CA1">
        <w:rPr>
          <w:rFonts w:ascii="Calibri" w:hAnsi="Calibri"/>
          <w:bCs/>
        </w:rPr>
        <w:t xml:space="preserve"> under a patient access program</w:t>
      </w:r>
      <w:r w:rsidR="00C0558F">
        <w:rPr>
          <w:rFonts w:ascii="Calibri" w:hAnsi="Calibri"/>
          <w:bCs/>
        </w:rPr>
        <w:t xml:space="preserve">, for this </w:t>
      </w:r>
      <w:r w:rsidR="00532A3B">
        <w:rPr>
          <w:rFonts w:ascii="Calibri" w:hAnsi="Calibri"/>
          <w:bCs/>
        </w:rPr>
        <w:t>population only</w:t>
      </w:r>
      <w:r w:rsidR="00387CA1">
        <w:rPr>
          <w:rFonts w:ascii="Calibri" w:hAnsi="Calibri"/>
          <w:bCs/>
        </w:rPr>
        <w:t xml:space="preserve">. </w:t>
      </w:r>
    </w:p>
    <w:p w14:paraId="68C34262" w14:textId="6B50CB90" w:rsidR="00B461BC" w:rsidRPr="00040002" w:rsidRDefault="00B461BC" w:rsidP="00B461BC">
      <w:pPr>
        <w:pStyle w:val="COMESnumberedpara"/>
      </w:pPr>
      <w:r w:rsidRPr="00E42035">
        <w:t xml:space="preserve">The submission nominated dupilumab </w:t>
      </w:r>
      <w:r w:rsidRPr="003064FD">
        <w:t>as the main comparator</w:t>
      </w:r>
      <w:r w:rsidR="00542D7E" w:rsidRPr="003064FD">
        <w:t>,</w:t>
      </w:r>
      <w:r w:rsidR="00180F59" w:rsidRPr="003064FD">
        <w:t xml:space="preserve"> and</w:t>
      </w:r>
      <w:r w:rsidRPr="003064FD">
        <w:t xml:space="preserve"> </w:t>
      </w:r>
      <w:proofErr w:type="spellStart"/>
      <w:r w:rsidRPr="003064FD">
        <w:t>benralizumab</w:t>
      </w:r>
      <w:proofErr w:type="spellEnd"/>
      <w:r w:rsidRPr="003064FD">
        <w:t xml:space="preserve">, mepolizumab and omalizumab as secondary comparators. </w:t>
      </w:r>
      <w:r w:rsidRPr="003064FD">
        <w:rPr>
          <w:iCs/>
        </w:rPr>
        <w:t xml:space="preserve">The </w:t>
      </w:r>
      <w:r w:rsidR="00AC4E42" w:rsidRPr="003064FD">
        <w:rPr>
          <w:iCs/>
        </w:rPr>
        <w:t>PBAC</w:t>
      </w:r>
      <w:r w:rsidRPr="00EE227E">
        <w:rPr>
          <w:iCs/>
        </w:rPr>
        <w:t xml:space="preserve"> considered that this was appropriate.</w:t>
      </w:r>
    </w:p>
    <w:p w14:paraId="168A7C4D" w14:textId="6360EBE1" w:rsidR="0056002A" w:rsidRPr="006C5610" w:rsidRDefault="00D2612D" w:rsidP="00D14AAC">
      <w:pPr>
        <w:pStyle w:val="COMESnumberedpara"/>
      </w:pPr>
      <w:r>
        <w:t xml:space="preserve">The PBAC noted that </w:t>
      </w:r>
      <w:r w:rsidR="00835B5C">
        <w:t xml:space="preserve">to support the clinical claim </w:t>
      </w:r>
      <w:r w:rsidR="007A2B8D">
        <w:t>of</w:t>
      </w:r>
      <w:r w:rsidR="007A2B8D" w:rsidRPr="00EA3E2F">
        <w:t xml:space="preserve"> non-inferior</w:t>
      </w:r>
      <w:r w:rsidR="007A2B8D">
        <w:t xml:space="preserve">ity of </w:t>
      </w:r>
      <w:proofErr w:type="spellStart"/>
      <w:r w:rsidR="007A2B8D">
        <w:t>tezepelumab</w:t>
      </w:r>
      <w:proofErr w:type="spellEnd"/>
      <w:r w:rsidR="007A2B8D">
        <w:t xml:space="preserve"> </w:t>
      </w:r>
      <w:r w:rsidR="007A2B8D" w:rsidRPr="00EA3E2F">
        <w:t>compared to dupilumab (primary comparator) and additional comparators (</w:t>
      </w:r>
      <w:proofErr w:type="spellStart"/>
      <w:r w:rsidR="007A2B8D" w:rsidRPr="00EA3E2F">
        <w:t>benralizumab</w:t>
      </w:r>
      <w:proofErr w:type="spellEnd"/>
      <w:r w:rsidR="007A2B8D" w:rsidRPr="00EA3E2F">
        <w:t>, mepolizumab and omalizumab</w:t>
      </w:r>
      <w:r w:rsidR="007A2B8D" w:rsidRPr="00DB2935">
        <w:t>)</w:t>
      </w:r>
      <w:r w:rsidR="00E645DC">
        <w:t xml:space="preserve"> </w:t>
      </w:r>
      <w:r>
        <w:t xml:space="preserve">the </w:t>
      </w:r>
      <w:r w:rsidRPr="00576D7F">
        <w:t>submission conducted a series of indirect treatment comparisons</w:t>
      </w:r>
      <w:r w:rsidR="0081627E">
        <w:t xml:space="preserve"> (ITCs)</w:t>
      </w:r>
      <w:r>
        <w:t>, based on</w:t>
      </w:r>
      <w:r w:rsidRPr="00576D7F">
        <w:t xml:space="preserve"> meta-analysed outcomes f</w:t>
      </w:r>
      <w:r>
        <w:t>rom</w:t>
      </w:r>
      <w:r w:rsidRPr="00576D7F">
        <w:t xml:space="preserve"> </w:t>
      </w:r>
      <w:r>
        <w:t xml:space="preserve">post-hoc subgroups from the </w:t>
      </w:r>
      <w:proofErr w:type="spellStart"/>
      <w:r>
        <w:t>tezepelumab</w:t>
      </w:r>
      <w:proofErr w:type="spellEnd"/>
      <w:r>
        <w:t xml:space="preserve"> trials (NAVIGATOR, PATHWAY and SOURCE) and 14 comparator trials of </w:t>
      </w:r>
      <w:r w:rsidRPr="00576D7F">
        <w:t>dupilumab</w:t>
      </w:r>
      <w:r>
        <w:t xml:space="preserve"> (QUEST, DRI12544, VENTURE)</w:t>
      </w:r>
      <w:r w:rsidRPr="00576D7F">
        <w:t xml:space="preserve">, </w:t>
      </w:r>
      <w:proofErr w:type="spellStart"/>
      <w:r w:rsidRPr="00576D7F">
        <w:t>benralizumab</w:t>
      </w:r>
      <w:proofErr w:type="spellEnd"/>
      <w:r>
        <w:t xml:space="preserve"> (CALIMA, SIROCCO, ZONDA, ANDHI, MIRACLE)</w:t>
      </w:r>
      <w:r w:rsidRPr="00576D7F">
        <w:t xml:space="preserve">, mepolizumab </w:t>
      </w:r>
      <w:r>
        <w:t xml:space="preserve">(MENSA, MUSCA, SIRIUS, 201536) </w:t>
      </w:r>
      <w:r w:rsidRPr="00576D7F">
        <w:t xml:space="preserve">and omalizumab </w:t>
      </w:r>
      <w:r>
        <w:t>(EXTRA, INNOVATE) with placebo as the common reference.</w:t>
      </w:r>
      <w:r w:rsidR="000B4EA8">
        <w:t xml:space="preserve"> </w:t>
      </w:r>
      <w:r w:rsidR="0056002A">
        <w:t>The PBAC noted that t</w:t>
      </w:r>
      <w:r w:rsidR="0056002A" w:rsidRPr="006C5610">
        <w:t>here were</w:t>
      </w:r>
      <w:r w:rsidR="0056002A" w:rsidRPr="006C5610" w:rsidDel="004A5EDE">
        <w:t xml:space="preserve"> </w:t>
      </w:r>
      <w:r w:rsidR="0056002A" w:rsidRPr="006C5610">
        <w:t xml:space="preserve">transitivity issues between the trials included in the </w:t>
      </w:r>
      <w:r w:rsidR="006A7D24">
        <w:t>ITCs</w:t>
      </w:r>
      <w:r w:rsidR="00D53E9C">
        <w:t xml:space="preserve">, </w:t>
      </w:r>
      <w:r w:rsidR="0056002A" w:rsidRPr="006C5610">
        <w:t xml:space="preserve">which </w:t>
      </w:r>
      <w:r w:rsidR="006A7D24">
        <w:t>likely</w:t>
      </w:r>
      <w:r w:rsidR="0056002A" w:rsidRPr="006C5610">
        <w:t xml:space="preserve"> introduced bias</w:t>
      </w:r>
      <w:r w:rsidR="0056002A">
        <w:t xml:space="preserve"> </w:t>
      </w:r>
      <w:r w:rsidR="0056002A" w:rsidRPr="00D53E9C">
        <w:rPr>
          <w:iCs/>
        </w:rPr>
        <w:t xml:space="preserve">(paragraphs </w:t>
      </w:r>
      <w:r w:rsidR="0056002A" w:rsidRPr="00D53E9C">
        <w:rPr>
          <w:iCs/>
        </w:rPr>
        <w:fldChar w:fldCharType="begin"/>
      </w:r>
      <w:r w:rsidR="0056002A" w:rsidRPr="00D53E9C">
        <w:rPr>
          <w:iCs/>
        </w:rPr>
        <w:instrText xml:space="preserve"> REF _Ref211439689 \r \h </w:instrText>
      </w:r>
      <w:r w:rsidR="0056002A" w:rsidRPr="00D53E9C">
        <w:rPr>
          <w:iCs/>
        </w:rPr>
      </w:r>
      <w:r w:rsidR="0056002A" w:rsidRPr="00D53E9C">
        <w:rPr>
          <w:iCs/>
        </w:rPr>
        <w:fldChar w:fldCharType="separate"/>
      </w:r>
      <w:r w:rsidR="0078760A">
        <w:rPr>
          <w:iCs/>
        </w:rPr>
        <w:t>6.13</w:t>
      </w:r>
      <w:r w:rsidR="0056002A" w:rsidRPr="00D53E9C">
        <w:rPr>
          <w:iCs/>
        </w:rPr>
        <w:fldChar w:fldCharType="end"/>
      </w:r>
      <w:r w:rsidR="0056002A" w:rsidRPr="00D53E9C">
        <w:rPr>
          <w:rFonts w:cstheme="minorHAnsi"/>
          <w:iCs/>
        </w:rPr>
        <w:t>−</w:t>
      </w:r>
      <w:r w:rsidR="0056002A" w:rsidRPr="00D53E9C">
        <w:rPr>
          <w:iCs/>
        </w:rPr>
        <w:fldChar w:fldCharType="begin"/>
      </w:r>
      <w:r w:rsidR="0056002A" w:rsidRPr="00D53E9C">
        <w:rPr>
          <w:iCs/>
        </w:rPr>
        <w:instrText xml:space="preserve"> REF _Ref211439863 \r \h </w:instrText>
      </w:r>
      <w:r w:rsidR="0056002A" w:rsidRPr="00D53E9C">
        <w:rPr>
          <w:iCs/>
        </w:rPr>
      </w:r>
      <w:r w:rsidR="0056002A" w:rsidRPr="00D53E9C">
        <w:rPr>
          <w:iCs/>
        </w:rPr>
        <w:fldChar w:fldCharType="separate"/>
      </w:r>
      <w:r w:rsidR="0078760A">
        <w:rPr>
          <w:iCs/>
        </w:rPr>
        <w:t>6.14</w:t>
      </w:r>
      <w:r w:rsidR="0056002A" w:rsidRPr="00D53E9C">
        <w:rPr>
          <w:iCs/>
        </w:rPr>
        <w:fldChar w:fldCharType="end"/>
      </w:r>
      <w:r w:rsidR="0056002A" w:rsidRPr="00D53E9C">
        <w:rPr>
          <w:iCs/>
        </w:rPr>
        <w:t>)</w:t>
      </w:r>
      <w:r w:rsidR="0056002A" w:rsidRPr="006C5610">
        <w:t xml:space="preserve">. </w:t>
      </w:r>
      <w:r w:rsidR="00F852DE">
        <w:t xml:space="preserve">While noting the </w:t>
      </w:r>
      <w:r w:rsidR="00F77855">
        <w:t>uncertainty related to the ITCs presented in the submission,</w:t>
      </w:r>
      <w:r w:rsidR="00E712E8">
        <w:t xml:space="preserve"> the PBAC agreed with the ESC that</w:t>
      </w:r>
      <w:r w:rsidR="00A1251B">
        <w:t xml:space="preserve"> the claim of non-inferiority of </w:t>
      </w:r>
      <w:proofErr w:type="spellStart"/>
      <w:r w:rsidR="003F4AAB">
        <w:t>tezepelumab</w:t>
      </w:r>
      <w:proofErr w:type="spellEnd"/>
      <w:r w:rsidR="003F4AAB">
        <w:t xml:space="preserve"> </w:t>
      </w:r>
      <w:r w:rsidR="00A1251B" w:rsidRPr="006C5610">
        <w:t>to dupilumab (primary comparator) and additional comparators (</w:t>
      </w:r>
      <w:proofErr w:type="spellStart"/>
      <w:r w:rsidR="00A1251B" w:rsidRPr="006C5610">
        <w:t>benralizumab</w:t>
      </w:r>
      <w:proofErr w:type="spellEnd"/>
      <w:r w:rsidR="00A1251B" w:rsidRPr="006C5610">
        <w:t>, mepolizumab and omalizumab)</w:t>
      </w:r>
      <w:r w:rsidR="00A1251B">
        <w:t xml:space="preserve"> was </w:t>
      </w:r>
      <w:r w:rsidR="0076737D" w:rsidRPr="0076737D">
        <w:t>adequately supported by the data</w:t>
      </w:r>
      <w:r w:rsidR="003F4AAB">
        <w:t>.</w:t>
      </w:r>
    </w:p>
    <w:p w14:paraId="52287E4A" w14:textId="7245C357" w:rsidR="009F19B3" w:rsidRDefault="00F92D4E" w:rsidP="002A2AD6">
      <w:pPr>
        <w:pStyle w:val="COMESnumberedpara"/>
      </w:pPr>
      <w:r w:rsidRPr="006C5610">
        <w:t xml:space="preserve">The </w:t>
      </w:r>
      <w:r w:rsidR="005714E9">
        <w:t>PBAC considered that the claim of</w:t>
      </w:r>
      <w:r w:rsidRPr="006C5610">
        <w:t xml:space="preserve"> non-inferior safety compared to dupilumab and additional comparators (</w:t>
      </w:r>
      <w:proofErr w:type="spellStart"/>
      <w:r w:rsidRPr="006C5610">
        <w:t>benralizumab</w:t>
      </w:r>
      <w:proofErr w:type="spellEnd"/>
      <w:r w:rsidRPr="006C5610">
        <w:t>, mepolizumab and omalizumab)</w:t>
      </w:r>
      <w:r w:rsidR="00662FE5">
        <w:t xml:space="preserve"> </w:t>
      </w:r>
      <w:r w:rsidRPr="00EE227E">
        <w:rPr>
          <w:iCs/>
        </w:rPr>
        <w:t>was reasonable.</w:t>
      </w:r>
    </w:p>
    <w:p w14:paraId="028075F5" w14:textId="64014735" w:rsidR="00A36090" w:rsidRPr="00193BC1" w:rsidRDefault="005771D9" w:rsidP="00601C17">
      <w:pPr>
        <w:pStyle w:val="COMESnumberedpara"/>
      </w:pPr>
      <w:r w:rsidRPr="00193BC1">
        <w:t>The PBAC noted that the submission presented a cost-minimisation analysis o</w:t>
      </w:r>
      <w:r w:rsidR="00C601F9" w:rsidRPr="004F56D0">
        <w:t xml:space="preserve">f </w:t>
      </w:r>
      <w:proofErr w:type="spellStart"/>
      <w:r w:rsidR="00C601F9" w:rsidRPr="004F56D0">
        <w:t>tezepelumab</w:t>
      </w:r>
      <w:proofErr w:type="spellEnd"/>
      <w:r w:rsidR="00C601F9" w:rsidRPr="004F56D0">
        <w:t xml:space="preserve"> versus dupilumab</w:t>
      </w:r>
      <w:r w:rsidR="00E67571">
        <w:t>.</w:t>
      </w:r>
      <w:r w:rsidR="00FD6D3A">
        <w:t xml:space="preserve"> </w:t>
      </w:r>
      <w:r w:rsidR="006F0EDE" w:rsidRPr="00F2205D">
        <w:t xml:space="preserve">The PBAC recalled </w:t>
      </w:r>
      <w:r w:rsidR="00F5529E">
        <w:t>that</w:t>
      </w:r>
      <w:r w:rsidR="006F0EDE" w:rsidRPr="00F2205D">
        <w:t xml:space="preserve"> omalizumab, mepolizumab and </w:t>
      </w:r>
      <w:proofErr w:type="spellStart"/>
      <w:r w:rsidR="006F0EDE" w:rsidRPr="00F2205D">
        <w:t>benralizumab</w:t>
      </w:r>
      <w:proofErr w:type="spellEnd"/>
      <w:r w:rsidR="006F0EDE" w:rsidRPr="00F2205D">
        <w:t xml:space="preserve"> for the treatment of severe asthma were cost-minimised to each other and</w:t>
      </w:r>
      <w:r w:rsidR="00F5529E">
        <w:t xml:space="preserve"> recalled </w:t>
      </w:r>
      <w:r w:rsidR="00DC5D6F">
        <w:t xml:space="preserve">that </w:t>
      </w:r>
      <w:r w:rsidR="001601A2">
        <w:t xml:space="preserve">for the consideration of </w:t>
      </w:r>
      <w:r w:rsidR="007646CF">
        <w:t xml:space="preserve">dupilumab </w:t>
      </w:r>
      <w:r w:rsidR="00DA68DA" w:rsidRPr="00037A04">
        <w:rPr>
          <w:snapToGrid w:val="0"/>
        </w:rPr>
        <w:t xml:space="preserve">for the treatment of </w:t>
      </w:r>
      <w:r w:rsidR="00DA68DA" w:rsidRPr="00193BC1">
        <w:t>uncontrolled severe eosinophilic or allergic asthma</w:t>
      </w:r>
      <w:r w:rsidR="009A23CB">
        <w:t>, it had previously</w:t>
      </w:r>
      <w:r w:rsidR="006F0EDE" w:rsidRPr="00F2205D">
        <w:t xml:space="preserve"> considered that the cost-minimisation analysis should be against the least costly biologic for asthma rather than a weighted combination of the nominated comparators</w:t>
      </w:r>
      <w:r w:rsidR="009A23CB">
        <w:t xml:space="preserve"> (paragraph </w:t>
      </w:r>
      <w:r w:rsidR="009D0704">
        <w:t xml:space="preserve">7.8, dupilumab </w:t>
      </w:r>
      <w:r w:rsidR="00726A41">
        <w:t>public summary document [</w:t>
      </w:r>
      <w:r w:rsidR="00F84276">
        <w:t>PSD</w:t>
      </w:r>
      <w:r w:rsidR="00726A41">
        <w:t>]</w:t>
      </w:r>
      <w:r w:rsidR="001D506D">
        <w:t>, November</w:t>
      </w:r>
      <w:r w:rsidR="00726A41">
        <w:t xml:space="preserve"> 2020 PBAC Meeting)</w:t>
      </w:r>
      <w:r w:rsidR="006F0EDE" w:rsidRPr="00F2205D">
        <w:t>.</w:t>
      </w:r>
      <w:r w:rsidR="00A36090">
        <w:t xml:space="preserve"> </w:t>
      </w:r>
      <w:r w:rsidR="00D0294F">
        <w:t>Consistent</w:t>
      </w:r>
      <w:r w:rsidR="00D55363">
        <w:t xml:space="preserve"> with </w:t>
      </w:r>
      <w:r w:rsidR="000F693A">
        <w:t>its previous advice</w:t>
      </w:r>
      <w:r w:rsidR="00D55363">
        <w:t xml:space="preserve">, the PBAC considered it was also appropriate </w:t>
      </w:r>
      <w:r w:rsidR="003E3402">
        <w:t xml:space="preserve">that the cost-minimisation analysis for </w:t>
      </w:r>
      <w:proofErr w:type="spellStart"/>
      <w:r w:rsidR="003E3402">
        <w:t>tezepelumab</w:t>
      </w:r>
      <w:proofErr w:type="spellEnd"/>
      <w:r w:rsidR="003E3402">
        <w:t xml:space="preserve"> </w:t>
      </w:r>
      <w:r w:rsidR="006F6AAC">
        <w:t>be against the least costly biologic</w:t>
      </w:r>
      <w:r w:rsidR="000D1BA7">
        <w:t xml:space="preserve"> for</w:t>
      </w:r>
      <w:r w:rsidR="00EF3827" w:rsidRPr="001C4B49">
        <w:t xml:space="preserve"> uncontrolled severe eosinophilic </w:t>
      </w:r>
      <w:r w:rsidR="00EF3827">
        <w:t>and</w:t>
      </w:r>
      <w:r w:rsidR="00F24708">
        <w:t>/or</w:t>
      </w:r>
      <w:r w:rsidR="00EF3827" w:rsidRPr="001C4B49">
        <w:t xml:space="preserve"> allergic asthma population</w:t>
      </w:r>
      <w:r w:rsidR="00EF3827">
        <w:t>s</w:t>
      </w:r>
      <w:r w:rsidR="00D12908">
        <w:t xml:space="preserve">. </w:t>
      </w:r>
    </w:p>
    <w:p w14:paraId="324F9577" w14:textId="36A6BF67" w:rsidR="005C4714" w:rsidRDefault="000560F2" w:rsidP="003916C1">
      <w:pPr>
        <w:pStyle w:val="COMESnumberedpara"/>
      </w:pPr>
      <w:r>
        <w:t xml:space="preserve">In addition, the PBAC </w:t>
      </w:r>
      <w:r w:rsidR="00462CD8">
        <w:t>considered</w:t>
      </w:r>
      <w:r>
        <w:t xml:space="preserve"> that </w:t>
      </w:r>
      <w:proofErr w:type="spellStart"/>
      <w:r w:rsidR="004C0EF7">
        <w:t>tezepelumab</w:t>
      </w:r>
      <w:proofErr w:type="spellEnd"/>
      <w:r w:rsidR="004C0EF7">
        <w:t xml:space="preserve"> and its comparator</w:t>
      </w:r>
      <w:r w:rsidR="00247ECF">
        <w:t xml:space="preserve"> </w:t>
      </w:r>
      <w:r w:rsidR="004C0EF7">
        <w:t>should be cost</w:t>
      </w:r>
      <w:r w:rsidR="00FC37DC">
        <w:t>ed</w:t>
      </w:r>
      <w:r w:rsidR="004C0EF7">
        <w:t xml:space="preserve"> over a </w:t>
      </w:r>
      <w:proofErr w:type="gramStart"/>
      <w:r w:rsidR="004C0EF7">
        <w:t>one year</w:t>
      </w:r>
      <w:proofErr w:type="gramEnd"/>
      <w:r w:rsidR="004C0EF7">
        <w:t xml:space="preserve"> time horizon</w:t>
      </w:r>
      <w:r w:rsidR="00247ECF">
        <w:t xml:space="preserve"> and</w:t>
      </w:r>
      <w:r w:rsidR="00AE0B51">
        <w:t xml:space="preserve"> that the cost-minimisation approach should account for</w:t>
      </w:r>
      <w:r w:rsidR="00247ECF">
        <w:t xml:space="preserve"> </w:t>
      </w:r>
      <w:r w:rsidR="00EC2BA8">
        <w:t>any</w:t>
      </w:r>
      <w:r w:rsidR="004C0EF7">
        <w:t xml:space="preserve"> </w:t>
      </w:r>
      <w:r w:rsidR="00A575A0">
        <w:t xml:space="preserve">comparator </w:t>
      </w:r>
      <w:r w:rsidR="004C0EF7">
        <w:t>loading dose</w:t>
      </w:r>
      <w:r w:rsidR="00EC2BA8">
        <w:t>s</w:t>
      </w:r>
      <w:r w:rsidR="00A575A0">
        <w:t xml:space="preserve"> </w:t>
      </w:r>
      <w:r w:rsidR="00954BE4">
        <w:t>that may be relevant</w:t>
      </w:r>
      <w:r w:rsidR="00A575A0">
        <w:t xml:space="preserve">. </w:t>
      </w:r>
    </w:p>
    <w:p w14:paraId="3D8A0046" w14:textId="3B54E79A" w:rsidR="00C865B4" w:rsidRDefault="00601C17" w:rsidP="00703475">
      <w:pPr>
        <w:pStyle w:val="COMESnumberedpara"/>
      </w:pPr>
      <w:r>
        <w:t xml:space="preserve">Thus, the PBAC considered the </w:t>
      </w:r>
      <w:proofErr w:type="spellStart"/>
      <w:r>
        <w:t>equ</w:t>
      </w:r>
      <w:r w:rsidR="003F6719">
        <w:t>i</w:t>
      </w:r>
      <w:proofErr w:type="spellEnd"/>
      <w:r>
        <w:t xml:space="preserve">-effective doses for </w:t>
      </w:r>
      <w:r w:rsidR="00974370" w:rsidRPr="00193BC1">
        <w:t xml:space="preserve">eosinophilic </w:t>
      </w:r>
      <w:r w:rsidR="00703475">
        <w:t>SUA</w:t>
      </w:r>
      <w:r w:rsidR="00703475" w:rsidRPr="00193BC1">
        <w:t xml:space="preserve"> </w:t>
      </w:r>
      <w:r w:rsidR="00974370" w:rsidRPr="00193BC1">
        <w:t>were:</w:t>
      </w:r>
    </w:p>
    <w:p w14:paraId="2E44C06F" w14:textId="005B3226" w:rsidR="00710E4C" w:rsidRPr="001F5B6E" w:rsidRDefault="00710E4C" w:rsidP="00710E4C">
      <w:pPr>
        <w:pStyle w:val="ListParagraph"/>
        <w:numPr>
          <w:ilvl w:val="0"/>
          <w:numId w:val="4"/>
        </w:numPr>
        <w:ind w:left="1134"/>
        <w:jc w:val="both"/>
      </w:pPr>
      <w:proofErr w:type="spellStart"/>
      <w:r>
        <w:t>t</w:t>
      </w:r>
      <w:r w:rsidRPr="001F5B6E">
        <w:t>ezepelumab</w:t>
      </w:r>
      <w:proofErr w:type="spellEnd"/>
      <w:r w:rsidRPr="001F5B6E">
        <w:t xml:space="preserve"> 210 mg by </w:t>
      </w:r>
      <w:r w:rsidR="00E4024D" w:rsidRPr="00193BC1">
        <w:rPr>
          <w:shd w:val="clear" w:color="auto" w:fill="FFFFFF"/>
        </w:rPr>
        <w:t xml:space="preserve">subcutaneous </w:t>
      </w:r>
      <w:r w:rsidR="00E4024D">
        <w:rPr>
          <w:shd w:val="clear" w:color="auto" w:fill="FFFFFF"/>
        </w:rPr>
        <w:t>(</w:t>
      </w:r>
      <w:r w:rsidRPr="001F5B6E">
        <w:t>SC</w:t>
      </w:r>
      <w:r w:rsidR="00E4024D">
        <w:t>)</w:t>
      </w:r>
      <w:r w:rsidRPr="001F5B6E">
        <w:t xml:space="preserve"> injection every 4 </w:t>
      </w:r>
      <w:r w:rsidR="000D3A1B" w:rsidRPr="001F5B6E">
        <w:t>weeks (</w:t>
      </w:r>
      <w:r w:rsidRPr="001F5B6E">
        <w:t>13 doses</w:t>
      </w:r>
      <w:r w:rsidR="00F3068B">
        <w:t xml:space="preserve"> over 1 year</w:t>
      </w:r>
      <w:proofErr w:type="gramStart"/>
      <w:r w:rsidRPr="001F5B6E">
        <w:t>)</w:t>
      </w:r>
      <w:r w:rsidR="00390C1F">
        <w:t>;</w:t>
      </w:r>
      <w:proofErr w:type="gramEnd"/>
    </w:p>
    <w:p w14:paraId="1E973054" w14:textId="61C6FE76" w:rsidR="00710E4C" w:rsidRPr="001F5B6E" w:rsidRDefault="00710E4C" w:rsidP="00710E4C">
      <w:pPr>
        <w:pStyle w:val="ListParagraph"/>
        <w:numPr>
          <w:ilvl w:val="0"/>
          <w:numId w:val="4"/>
        </w:numPr>
        <w:ind w:left="1134"/>
        <w:jc w:val="both"/>
      </w:pPr>
      <w:r>
        <w:t>d</w:t>
      </w:r>
      <w:r w:rsidRPr="001F5B6E">
        <w:t>upilumab 400 mg (non-OCS dependent) or 600</w:t>
      </w:r>
      <w:r w:rsidR="0050556A">
        <w:t> </w:t>
      </w:r>
      <w:r w:rsidRPr="001F5B6E">
        <w:t>mg (OCS dependent) by SC injection followed by 200</w:t>
      </w:r>
      <w:r w:rsidR="00721D66">
        <w:t> </w:t>
      </w:r>
      <w:r w:rsidRPr="001F5B6E">
        <w:t>mg (non-OCS dependent) or 300 mg (OCS dependent) SC given every 2 weeks (27 doses</w:t>
      </w:r>
      <w:r w:rsidR="006451D7">
        <w:t xml:space="preserve"> over 1 year</w:t>
      </w:r>
      <w:proofErr w:type="gramStart"/>
      <w:r w:rsidRPr="001F5B6E">
        <w:t>)</w:t>
      </w:r>
      <w:r w:rsidR="0010385B">
        <w:t>;</w:t>
      </w:r>
      <w:proofErr w:type="gramEnd"/>
    </w:p>
    <w:p w14:paraId="2925BD5D" w14:textId="2A1CE0D7" w:rsidR="00710E4C" w:rsidRPr="001F5B6E" w:rsidRDefault="00710E4C" w:rsidP="00710E4C">
      <w:pPr>
        <w:pStyle w:val="ListParagraph"/>
        <w:numPr>
          <w:ilvl w:val="0"/>
          <w:numId w:val="4"/>
        </w:numPr>
        <w:ind w:left="1134"/>
        <w:jc w:val="both"/>
      </w:pPr>
      <w:proofErr w:type="spellStart"/>
      <w:r>
        <w:t>b</w:t>
      </w:r>
      <w:r w:rsidRPr="001F5B6E">
        <w:t>enralizumab</w:t>
      </w:r>
      <w:proofErr w:type="spellEnd"/>
      <w:r w:rsidRPr="001F5B6E">
        <w:t xml:space="preserve"> 30 mg by SC injection every 4 weeks for the first 3 doses, then every 8 weeks (7.5 doses</w:t>
      </w:r>
      <w:r w:rsidR="006451D7">
        <w:t xml:space="preserve"> over 1 year</w:t>
      </w:r>
      <w:r w:rsidRPr="001F5B6E">
        <w:t>)</w:t>
      </w:r>
      <w:r w:rsidR="0010385B">
        <w:t>; and</w:t>
      </w:r>
    </w:p>
    <w:p w14:paraId="27DE7121" w14:textId="30EA6821" w:rsidR="00710E4C" w:rsidRPr="001F5B6E" w:rsidRDefault="003E2260" w:rsidP="00710E4C">
      <w:pPr>
        <w:pStyle w:val="ListParagraph"/>
        <w:numPr>
          <w:ilvl w:val="0"/>
          <w:numId w:val="4"/>
        </w:numPr>
        <w:ind w:left="1134"/>
        <w:jc w:val="both"/>
      </w:pPr>
      <w:r>
        <w:t>m</w:t>
      </w:r>
      <w:r w:rsidRPr="001F5B6E">
        <w:t>epolizumab</w:t>
      </w:r>
      <w:r w:rsidR="00710E4C" w:rsidRPr="001F5B6E">
        <w:t xml:space="preserve"> 100 mg by SC injection every 4 weeks (13 doses</w:t>
      </w:r>
      <w:r w:rsidR="008F3A74">
        <w:t xml:space="preserve"> over 1 year</w:t>
      </w:r>
      <w:r w:rsidR="00710E4C" w:rsidRPr="001F5B6E">
        <w:t>).</w:t>
      </w:r>
    </w:p>
    <w:p w14:paraId="1BA6B863" w14:textId="619AAD96" w:rsidR="00710E4C" w:rsidRPr="004F56D0" w:rsidRDefault="00710E4C" w:rsidP="006D711C">
      <w:pPr>
        <w:spacing w:after="120"/>
        <w:ind w:left="720"/>
        <w:rPr>
          <w:rFonts w:asciiTheme="minorHAnsi" w:eastAsiaTheme="minorHAnsi" w:hAnsiTheme="minorHAnsi" w:cstheme="minorBidi"/>
          <w:szCs w:val="22"/>
        </w:rPr>
      </w:pPr>
      <w:r w:rsidRPr="004F56D0">
        <w:rPr>
          <w:rFonts w:asciiTheme="minorHAnsi" w:eastAsiaTheme="minorHAnsi" w:hAnsiTheme="minorHAnsi" w:cstheme="minorBidi"/>
          <w:szCs w:val="22"/>
        </w:rPr>
        <w:t xml:space="preserve">In patients with allergic SUA, the </w:t>
      </w:r>
      <w:r w:rsidR="00160FC3">
        <w:rPr>
          <w:rFonts w:asciiTheme="minorHAnsi" w:eastAsiaTheme="minorHAnsi" w:hAnsiTheme="minorHAnsi" w:cstheme="minorBidi"/>
          <w:szCs w:val="22"/>
        </w:rPr>
        <w:t>PBAC considered th</w:t>
      </w:r>
      <w:r w:rsidR="0067327F">
        <w:rPr>
          <w:rFonts w:asciiTheme="minorHAnsi" w:eastAsiaTheme="minorHAnsi" w:hAnsiTheme="minorHAnsi" w:cstheme="minorBidi"/>
          <w:szCs w:val="22"/>
        </w:rPr>
        <w:t>e</w:t>
      </w:r>
      <w:r w:rsidRPr="004F56D0">
        <w:rPr>
          <w:rFonts w:asciiTheme="minorHAnsi" w:eastAsiaTheme="minorHAnsi" w:hAnsiTheme="minorHAnsi" w:cstheme="minorBidi"/>
          <w:szCs w:val="22"/>
        </w:rPr>
        <w:t xml:space="preserve"> </w:t>
      </w:r>
      <w:proofErr w:type="spellStart"/>
      <w:r w:rsidRPr="004F56D0">
        <w:rPr>
          <w:rFonts w:asciiTheme="minorHAnsi" w:eastAsiaTheme="minorHAnsi" w:hAnsiTheme="minorHAnsi" w:cstheme="minorBidi"/>
          <w:szCs w:val="22"/>
        </w:rPr>
        <w:t>equi</w:t>
      </w:r>
      <w:proofErr w:type="spellEnd"/>
      <w:r w:rsidRPr="004F56D0">
        <w:rPr>
          <w:rFonts w:asciiTheme="minorHAnsi" w:eastAsiaTheme="minorHAnsi" w:hAnsiTheme="minorHAnsi" w:cstheme="minorBidi"/>
          <w:szCs w:val="22"/>
        </w:rPr>
        <w:t>-effective doses were:</w:t>
      </w:r>
    </w:p>
    <w:p w14:paraId="65FC66AF" w14:textId="2BA99387" w:rsidR="00710E4C" w:rsidRPr="001F5B6E" w:rsidRDefault="006D711C" w:rsidP="00710E4C">
      <w:pPr>
        <w:pStyle w:val="ListParagraph"/>
        <w:numPr>
          <w:ilvl w:val="0"/>
          <w:numId w:val="4"/>
        </w:numPr>
        <w:ind w:left="1134"/>
        <w:jc w:val="both"/>
      </w:pPr>
      <w:proofErr w:type="spellStart"/>
      <w:r>
        <w:t>t</w:t>
      </w:r>
      <w:r w:rsidR="00710E4C" w:rsidRPr="001F5B6E">
        <w:t>ezepelumab</w:t>
      </w:r>
      <w:proofErr w:type="spellEnd"/>
      <w:r w:rsidR="00710E4C" w:rsidRPr="001F5B6E">
        <w:t xml:space="preserve"> 210 mg by SC injection every 4 weeks (13 doses</w:t>
      </w:r>
      <w:r w:rsidR="00EA0D5E">
        <w:t xml:space="preserve"> over 1 year</w:t>
      </w:r>
      <w:proofErr w:type="gramStart"/>
      <w:r w:rsidR="00710E4C" w:rsidRPr="001F5B6E">
        <w:t>)</w:t>
      </w:r>
      <w:r w:rsidR="0067327F">
        <w:t>;</w:t>
      </w:r>
      <w:proofErr w:type="gramEnd"/>
    </w:p>
    <w:p w14:paraId="1EFC34AC" w14:textId="36214CDB" w:rsidR="00710E4C" w:rsidRPr="001F5B6E" w:rsidRDefault="006D711C" w:rsidP="00710E4C">
      <w:pPr>
        <w:pStyle w:val="ListParagraph"/>
        <w:numPr>
          <w:ilvl w:val="0"/>
          <w:numId w:val="4"/>
        </w:numPr>
        <w:ind w:left="1134"/>
        <w:jc w:val="both"/>
      </w:pPr>
      <w:r>
        <w:t>d</w:t>
      </w:r>
      <w:r w:rsidR="00710E4C" w:rsidRPr="001F5B6E">
        <w:t>upilumab 400 mg (non-OCS dependent) or 600</w:t>
      </w:r>
      <w:r w:rsidR="00735A1E">
        <w:t> </w:t>
      </w:r>
      <w:r w:rsidR="00710E4C" w:rsidRPr="001F5B6E">
        <w:t>mg (OCS dependent) by SC injection followed by 200 mg (non-OCS dependent) or 300 mg (OCS dependent) given every 2 weeks (27 doses</w:t>
      </w:r>
      <w:r w:rsidR="00EA0D5E">
        <w:t xml:space="preserve"> over 1 year</w:t>
      </w:r>
      <w:r w:rsidR="00710E4C" w:rsidRPr="001F5B6E">
        <w:t>)</w:t>
      </w:r>
      <w:r w:rsidR="0067327F">
        <w:t>; and</w:t>
      </w:r>
    </w:p>
    <w:p w14:paraId="2F34046D" w14:textId="368E4899" w:rsidR="005C4714" w:rsidRPr="005C4714" w:rsidRDefault="0067327F" w:rsidP="003852D3">
      <w:pPr>
        <w:pStyle w:val="ListParagraph"/>
        <w:numPr>
          <w:ilvl w:val="0"/>
          <w:numId w:val="4"/>
        </w:numPr>
        <w:ind w:left="1134"/>
        <w:jc w:val="both"/>
      </w:pPr>
      <w:r>
        <w:t>o</w:t>
      </w:r>
      <w:r w:rsidR="00710E4C" w:rsidRPr="001F5B6E">
        <w:t>malizumab 398 mg by SC injection every 4 weeks (dosed at 2 or 4 weeks depending on patient weight and immunoglobulin E levels; 13 doses</w:t>
      </w:r>
      <w:r w:rsidR="00EA0D5E">
        <w:t xml:space="preserve"> over 1 year</w:t>
      </w:r>
      <w:r w:rsidR="00710E4C" w:rsidRPr="001F5B6E">
        <w:t>).</w:t>
      </w:r>
    </w:p>
    <w:p w14:paraId="1A13DF4B" w14:textId="6DDD4237" w:rsidR="008330F5" w:rsidRDefault="004F3B53" w:rsidP="008330F5">
      <w:pPr>
        <w:pStyle w:val="COMESnumberedpara"/>
      </w:pPr>
      <w:r>
        <w:t xml:space="preserve">The PBAC </w:t>
      </w:r>
      <w:r w:rsidR="001669DA">
        <w:t>recalled that the Product Information for</w:t>
      </w:r>
      <w:r>
        <w:t xml:space="preserve"> </w:t>
      </w:r>
      <w:r w:rsidR="00D903B1">
        <w:t xml:space="preserve">all biologics </w:t>
      </w:r>
      <w:r w:rsidR="00030DCA">
        <w:t xml:space="preserve">considered </w:t>
      </w:r>
      <w:r w:rsidR="00ED0CE8">
        <w:t>st</w:t>
      </w:r>
      <w:r w:rsidR="00ED0CE8" w:rsidRPr="00193BC1">
        <w:rPr>
          <w:bCs/>
        </w:rPr>
        <w:t xml:space="preserve">ate that after proper training in </w:t>
      </w:r>
      <w:r w:rsidR="00030DCA">
        <w:rPr>
          <w:bCs/>
        </w:rPr>
        <w:t>SC</w:t>
      </w:r>
      <w:r w:rsidR="00ED0CE8" w:rsidRPr="00193BC1">
        <w:rPr>
          <w:bCs/>
        </w:rPr>
        <w:t xml:space="preserve"> injection technique, patients or the caregiver may self-inject via pre-filled syringe if a physician determines that it is appropriate</w:t>
      </w:r>
      <w:r w:rsidR="00030DCA">
        <w:rPr>
          <w:bCs/>
        </w:rPr>
        <w:t>. The PBAC therefore</w:t>
      </w:r>
      <w:r w:rsidR="00EA3116">
        <w:t xml:space="preserve"> advised</w:t>
      </w:r>
      <w:r w:rsidR="0093528F">
        <w:t xml:space="preserve"> it</w:t>
      </w:r>
      <w:r w:rsidR="00030DCA">
        <w:t xml:space="preserve"> would be</w:t>
      </w:r>
      <w:r w:rsidR="0093528F">
        <w:t xml:space="preserve"> appropriate</w:t>
      </w:r>
      <w:r w:rsidR="005B13E9">
        <w:t xml:space="preserve"> for the cost-minimisation approach</w:t>
      </w:r>
      <w:r w:rsidR="0093528F">
        <w:t xml:space="preserve"> to include a one-off SC injection training for patients or carers before self-injection</w:t>
      </w:r>
      <w:r w:rsidR="005B5804">
        <w:t xml:space="preserve"> (MBS item 82215)</w:t>
      </w:r>
      <w:r w:rsidR="00EA3116">
        <w:t>.</w:t>
      </w:r>
      <w:r w:rsidR="008330F5">
        <w:t xml:space="preserve"> The PBAC noted this </w:t>
      </w:r>
      <w:r w:rsidR="003D7467">
        <w:t>would be</w:t>
      </w:r>
      <w:r w:rsidR="008330F5">
        <w:t xml:space="preserve"> consistent with </w:t>
      </w:r>
      <w:r w:rsidR="005B5804">
        <w:t>the cost-mini</w:t>
      </w:r>
      <w:r w:rsidR="00030DCA">
        <w:t>mi</w:t>
      </w:r>
      <w:r w:rsidR="005B5804">
        <w:t xml:space="preserve">sation approach for dupilumab </w:t>
      </w:r>
      <w:r w:rsidR="00030DCA" w:rsidRPr="000B2521">
        <w:t>(paragraph 7.10, dupilumab PSD, November 2020 PBAC Meeting</w:t>
      </w:r>
      <w:r w:rsidR="00030DCA">
        <w:t>).</w:t>
      </w:r>
    </w:p>
    <w:p w14:paraId="674BDE8A" w14:textId="648AC324" w:rsidR="0059112A" w:rsidRDefault="00A35994" w:rsidP="00B43580">
      <w:pPr>
        <w:pStyle w:val="COMESnumberedpara"/>
      </w:pPr>
      <w:r w:rsidRPr="00A35994">
        <w:t>The PBAC</w:t>
      </w:r>
      <w:r w:rsidR="008354BF">
        <w:t xml:space="preserve"> also</w:t>
      </w:r>
      <w:r>
        <w:t xml:space="preserve"> </w:t>
      </w:r>
      <w:r w:rsidR="00EA73D5">
        <w:t xml:space="preserve">recalled </w:t>
      </w:r>
      <w:r w:rsidR="00EA73D5" w:rsidRPr="00EA73D5">
        <w:rPr>
          <w:bCs/>
        </w:rPr>
        <w:t xml:space="preserve">that in relation to the </w:t>
      </w:r>
      <w:r w:rsidR="00BF6AD9">
        <w:rPr>
          <w:bCs/>
        </w:rPr>
        <w:t>administration</w:t>
      </w:r>
      <w:r w:rsidR="00EA73D5" w:rsidRPr="00EA73D5">
        <w:rPr>
          <w:bCs/>
        </w:rPr>
        <w:t xml:space="preserve"> of omalizumab</w:t>
      </w:r>
      <w:r w:rsidR="007D59A6">
        <w:rPr>
          <w:bCs/>
        </w:rPr>
        <w:t>,</w:t>
      </w:r>
      <w:r w:rsidR="00EA73D5" w:rsidRPr="00EA73D5">
        <w:rPr>
          <w:bCs/>
        </w:rPr>
        <w:t xml:space="preserve"> the Product Information recommend</w:t>
      </w:r>
      <w:r w:rsidR="00544FDF">
        <w:rPr>
          <w:bCs/>
        </w:rPr>
        <w:t>ed</w:t>
      </w:r>
      <w:r w:rsidR="00EA73D5" w:rsidRPr="00EA73D5">
        <w:rPr>
          <w:bCs/>
        </w:rPr>
        <w:t xml:space="preserve"> the first three doses be administered under the supervision of a healthcare professional. </w:t>
      </w:r>
      <w:r w:rsidR="001972D2">
        <w:t>Consistent</w:t>
      </w:r>
      <w:r w:rsidR="009D5179" w:rsidRPr="000B2521">
        <w:t xml:space="preserve"> with</w:t>
      </w:r>
      <w:r w:rsidR="000B2521" w:rsidRPr="000B2521">
        <w:t xml:space="preserve"> previous advice, </w:t>
      </w:r>
      <w:r w:rsidR="00582841">
        <w:t>for any comparison</w:t>
      </w:r>
      <w:r w:rsidR="00EA5C29">
        <w:t xml:space="preserve"> against omalizumab, </w:t>
      </w:r>
      <w:r w:rsidR="000B2521" w:rsidRPr="000B2521">
        <w:t>the</w:t>
      </w:r>
      <w:r w:rsidR="004E136F" w:rsidRPr="000B2521">
        <w:t xml:space="preserve"> PBAC considered it appropriate for </w:t>
      </w:r>
      <w:r w:rsidR="00B319BC">
        <w:t>SC</w:t>
      </w:r>
      <w:r w:rsidR="004E136F" w:rsidRPr="000B2521">
        <w:t xml:space="preserve"> injection administration cost-offsets </w:t>
      </w:r>
      <w:r w:rsidR="00041B0E">
        <w:t xml:space="preserve">(MBS item </w:t>
      </w:r>
      <w:r w:rsidR="004F4233">
        <w:t>82200)</w:t>
      </w:r>
      <w:r w:rsidR="004E136F" w:rsidRPr="000B2521">
        <w:t xml:space="preserve"> and the costs for post-administration monitoring of anaphylaxis </w:t>
      </w:r>
      <w:r w:rsidR="004C5406">
        <w:t xml:space="preserve">(MBS item </w:t>
      </w:r>
      <w:r w:rsidR="00B21FD9">
        <w:t>82210)</w:t>
      </w:r>
      <w:r w:rsidR="004E136F" w:rsidRPr="000B2521">
        <w:t xml:space="preserve"> be included for the first three doses of omalizumab</w:t>
      </w:r>
      <w:r w:rsidR="00EE7102">
        <w:t xml:space="preserve"> </w:t>
      </w:r>
      <w:r w:rsidR="004E136F" w:rsidRPr="000B2521">
        <w:t>(paragraph 7.10, dupilumab PSD, November 2020 PBAC Meeting</w:t>
      </w:r>
      <w:r w:rsidR="000B2521">
        <w:t>)</w:t>
      </w:r>
      <w:r w:rsidR="00EC4D36">
        <w:t>.</w:t>
      </w:r>
      <w:r w:rsidR="006D0808">
        <w:t xml:space="preserve"> </w:t>
      </w:r>
    </w:p>
    <w:p w14:paraId="328D9FD5" w14:textId="5072B52F" w:rsidR="00A73E6E" w:rsidRDefault="008B0CBB" w:rsidP="002B2E7A">
      <w:pPr>
        <w:pStyle w:val="COMESnumberedpara"/>
      </w:pPr>
      <w:r>
        <w:rPr>
          <w:snapToGrid w:val="0"/>
          <w:lang w:val="en-GB"/>
        </w:rPr>
        <w:t xml:space="preserve">The PBAC </w:t>
      </w:r>
      <w:r w:rsidR="00BB498D">
        <w:rPr>
          <w:snapToGrid w:val="0"/>
          <w:lang w:val="en-GB"/>
        </w:rPr>
        <w:t xml:space="preserve">noted </w:t>
      </w:r>
      <w:r w:rsidR="00A851A7">
        <w:rPr>
          <w:snapToGrid w:val="0"/>
          <w:lang w:val="en-GB"/>
        </w:rPr>
        <w:t>the issues related to the financial estimates raised by the DU</w:t>
      </w:r>
      <w:r w:rsidR="00685F6C">
        <w:rPr>
          <w:snapToGrid w:val="0"/>
          <w:lang w:val="en-GB"/>
        </w:rPr>
        <w:t xml:space="preserve">SC </w:t>
      </w:r>
      <w:r w:rsidR="00CC12B2">
        <w:rPr>
          <w:snapToGrid w:val="0"/>
          <w:lang w:val="en-GB"/>
        </w:rPr>
        <w:t>concerning</w:t>
      </w:r>
      <w:r w:rsidR="00A73E6E">
        <w:t xml:space="preserve"> market growth</w:t>
      </w:r>
      <w:r w:rsidR="00604920">
        <w:t xml:space="preserve"> and treatment uptake</w:t>
      </w:r>
      <w:r w:rsidR="00A73E6E">
        <w:t xml:space="preserve"> </w:t>
      </w:r>
      <w:r w:rsidR="002B302F">
        <w:t xml:space="preserve">in this population. The PBAC agreed </w:t>
      </w:r>
      <w:r w:rsidR="00621FC8">
        <w:t xml:space="preserve">with the DUSC </w:t>
      </w:r>
      <w:r w:rsidR="002B302F">
        <w:t xml:space="preserve">that </w:t>
      </w:r>
      <w:r w:rsidR="00621FC8">
        <w:t>these</w:t>
      </w:r>
      <w:r w:rsidR="002B302F">
        <w:t xml:space="preserve"> assumption</w:t>
      </w:r>
      <w:r w:rsidR="00621FC8">
        <w:t>s</w:t>
      </w:r>
      <w:r w:rsidR="002B302F">
        <w:t xml:space="preserve"> had been underestimated by the submission</w:t>
      </w:r>
      <w:r w:rsidR="00621FC8">
        <w:t>.</w:t>
      </w:r>
      <w:r w:rsidR="00937C45">
        <w:t xml:space="preserve"> The PBAC considered the approach </w:t>
      </w:r>
      <w:r w:rsidR="004C12BD">
        <w:t xml:space="preserve">proposed in the pre-PBAC response which </w:t>
      </w:r>
      <w:r w:rsidR="00823BF3">
        <w:t>increased</w:t>
      </w:r>
      <w:r w:rsidR="004C12BD">
        <w:t xml:space="preserve"> the linear market growth estimates by 153 patients each year, </w:t>
      </w:r>
      <w:r w:rsidR="00B12917">
        <w:t xml:space="preserve">increased the uptake rates in </w:t>
      </w:r>
      <w:r w:rsidR="00805ECF">
        <w:t xml:space="preserve">Year 1 from </w:t>
      </w:r>
      <w:r w:rsidR="00B14769" w:rsidRPr="00B14769">
        <w:rPr>
          <w:highlight w:val="black"/>
        </w:rPr>
        <w:t>&amp;&amp;&amp;&amp;</w:t>
      </w:r>
      <w:r w:rsidR="00805ECF">
        <w:t xml:space="preserve">% to </w:t>
      </w:r>
      <w:r w:rsidR="00B14769" w:rsidRPr="00B14769">
        <w:rPr>
          <w:highlight w:val="black"/>
        </w:rPr>
        <w:t>&amp;&amp;&amp;&amp;</w:t>
      </w:r>
      <w:r w:rsidR="00805ECF">
        <w:t>%</w:t>
      </w:r>
      <w:r w:rsidR="00F5198F">
        <w:t xml:space="preserve"> and in Year </w:t>
      </w:r>
      <w:r w:rsidR="007762E2">
        <w:t xml:space="preserve">2 from </w:t>
      </w:r>
      <w:r w:rsidR="00B14769" w:rsidRPr="00B14769">
        <w:rPr>
          <w:highlight w:val="black"/>
        </w:rPr>
        <w:t>&amp;&amp;&amp;&amp;</w:t>
      </w:r>
      <w:r w:rsidR="007762E2">
        <w:t xml:space="preserve">% to </w:t>
      </w:r>
      <w:r w:rsidR="00B14769" w:rsidRPr="00B14769">
        <w:rPr>
          <w:highlight w:val="black"/>
        </w:rPr>
        <w:t>&amp;&amp;&amp;&amp;</w:t>
      </w:r>
      <w:r w:rsidR="0026303C">
        <w:t xml:space="preserve">% </w:t>
      </w:r>
      <w:r w:rsidR="00575EB9">
        <w:t xml:space="preserve">and added </w:t>
      </w:r>
      <w:r w:rsidR="005A1B38">
        <w:t xml:space="preserve">&lt; 500 </w:t>
      </w:r>
      <w:r w:rsidR="00575EB9">
        <w:t xml:space="preserve">grandfathered patients </w:t>
      </w:r>
      <w:proofErr w:type="gramStart"/>
      <w:r w:rsidR="00575EB9">
        <w:t>was</w:t>
      </w:r>
      <w:proofErr w:type="gramEnd"/>
      <w:r w:rsidR="00575EB9">
        <w:t xml:space="preserve"> appropriate. </w:t>
      </w:r>
      <w:r w:rsidR="00C5475F">
        <w:t xml:space="preserve">The PBAC also </w:t>
      </w:r>
      <w:r w:rsidR="00402556">
        <w:t xml:space="preserve">considered it appropriate for the </w:t>
      </w:r>
      <w:r w:rsidR="00554830">
        <w:t xml:space="preserve">unit equivalence values </w:t>
      </w:r>
      <w:r w:rsidR="00144AF8">
        <w:t>along with</w:t>
      </w:r>
      <w:r w:rsidR="00554830">
        <w:t xml:space="preserve"> the</w:t>
      </w:r>
      <w:r w:rsidR="000E1A02">
        <w:t xml:space="preserve"> SC </w:t>
      </w:r>
      <w:r w:rsidR="00237ADC">
        <w:t xml:space="preserve">injection and </w:t>
      </w:r>
      <w:r w:rsidR="00D16754">
        <w:t xml:space="preserve">monitoring of anaphylaxis inputs to be </w:t>
      </w:r>
      <w:r w:rsidR="001409BB">
        <w:t xml:space="preserve">updated as </w:t>
      </w:r>
      <w:r w:rsidR="00284046">
        <w:t xml:space="preserve">proposed </w:t>
      </w:r>
      <w:r w:rsidR="00491DDC">
        <w:t>in the pre-PBAC response</w:t>
      </w:r>
      <w:r w:rsidR="00A0479A">
        <w:t xml:space="preserve"> (see paragraph </w:t>
      </w:r>
      <w:r w:rsidR="00F850AD">
        <w:fldChar w:fldCharType="begin"/>
      </w:r>
      <w:r w:rsidR="00F850AD">
        <w:instrText xml:space="preserve"> REF _Ref214971745 \r \h </w:instrText>
      </w:r>
      <w:r w:rsidR="00F850AD">
        <w:fldChar w:fldCharType="separate"/>
      </w:r>
      <w:r w:rsidR="0078760A">
        <w:t>6.94</w:t>
      </w:r>
      <w:r w:rsidR="00F850AD">
        <w:fldChar w:fldCharType="end"/>
      </w:r>
      <w:r w:rsidR="00F850AD">
        <w:t>).</w:t>
      </w:r>
      <w:r w:rsidR="00BF400B">
        <w:t xml:space="preserve"> </w:t>
      </w:r>
      <w:r w:rsidR="005B3850">
        <w:t>The PBAC considered that with these amendments, and with</w:t>
      </w:r>
      <w:r w:rsidR="00A1557C">
        <w:t xml:space="preserve"> </w:t>
      </w:r>
      <w:r w:rsidR="0001321B">
        <w:t>incorporation of the price resulting from the cost minimisation approach</w:t>
      </w:r>
      <w:r w:rsidR="004F778B">
        <w:t xml:space="preserve"> outlined above,</w:t>
      </w:r>
      <w:r w:rsidR="005B3850">
        <w:t xml:space="preserve"> it would be reasonable to accept the financial estimates.   </w:t>
      </w:r>
    </w:p>
    <w:p w14:paraId="07EABE4B" w14:textId="2DE4CF4A" w:rsidR="00517BA4" w:rsidRPr="003916C1" w:rsidRDefault="00A8061A" w:rsidP="00A8061A">
      <w:pPr>
        <w:pStyle w:val="COMESnumberedpara"/>
      </w:pPr>
      <w:r>
        <w:t xml:space="preserve">The PBAC noted that its recommendation was on a cost-minimisation basis and advised that, because </w:t>
      </w:r>
      <w:proofErr w:type="spellStart"/>
      <w:r w:rsidR="002271CC">
        <w:t>tezepelumab</w:t>
      </w:r>
      <w:proofErr w:type="spellEnd"/>
      <w:r w:rsidR="002271CC">
        <w:t xml:space="preserve"> </w:t>
      </w:r>
      <w:r>
        <w:t xml:space="preserve">is not expected to provide a substantial and clinically relevant improvement in efficacy, or reduction of toxicity, over </w:t>
      </w:r>
      <w:r w:rsidR="00A8361F">
        <w:t xml:space="preserve">dupilumab, </w:t>
      </w:r>
      <w:proofErr w:type="spellStart"/>
      <w:r>
        <w:t>benralizumab</w:t>
      </w:r>
      <w:proofErr w:type="spellEnd"/>
      <w:r>
        <w:t xml:space="preserve">, mepolizumab or omalizumab, or not expected to address a high and urgent unmet clinical need given the presence of an alternative therapy, the criteria prescribed by the </w:t>
      </w:r>
      <w:r w:rsidRPr="007F42AB">
        <w:rPr>
          <w:i/>
          <w:iCs/>
        </w:rPr>
        <w:t>National Health (Pharmaceuticals and Vaccines – Cost Recovery) Regulations 20</w:t>
      </w:r>
      <w:r w:rsidR="0065150C">
        <w:rPr>
          <w:i/>
          <w:iCs/>
        </w:rPr>
        <w:t>22</w:t>
      </w:r>
      <w:r>
        <w:t xml:space="preserve"> for Pricing Pathway A were not met.</w:t>
      </w:r>
    </w:p>
    <w:p w14:paraId="65390AF2" w14:textId="58CF50A3" w:rsidR="002078F9" w:rsidRDefault="0082768D" w:rsidP="00AD4B57">
      <w:pPr>
        <w:pStyle w:val="COMESnumberedpara"/>
      </w:pPr>
      <w:r w:rsidRPr="005F7B51">
        <w:rPr>
          <w:bCs/>
          <w:snapToGrid w:val="0"/>
          <w:lang w:val="en-GB"/>
        </w:rPr>
        <w:t xml:space="preserve">The PBAC advised that </w:t>
      </w:r>
      <w:proofErr w:type="spellStart"/>
      <w:r>
        <w:rPr>
          <w:bCs/>
          <w:snapToGrid w:val="0"/>
          <w:lang w:val="en-GB"/>
        </w:rPr>
        <w:t>tezepelumab</w:t>
      </w:r>
      <w:proofErr w:type="spellEnd"/>
      <w:r w:rsidRPr="005F7B51">
        <w:rPr>
          <w:bCs/>
          <w:snapToGrid w:val="0"/>
          <w:lang w:val="en-GB"/>
        </w:rPr>
        <w:t xml:space="preserve"> is not suitable for prescribing by nurse practitioners.</w:t>
      </w:r>
    </w:p>
    <w:p w14:paraId="25886DC1" w14:textId="6B8194DE" w:rsidR="002B4193" w:rsidRPr="002B4193" w:rsidRDefault="002B4193" w:rsidP="00AD4B57">
      <w:pPr>
        <w:pStyle w:val="COMESnumberedpara"/>
      </w:pPr>
      <w:r>
        <w:t>The PBAC recommended that the Early Supply Rule should not apply</w:t>
      </w:r>
      <w:r w:rsidR="002078F9">
        <w:t>.</w:t>
      </w:r>
    </w:p>
    <w:p w14:paraId="2FD402EE" w14:textId="3317724B" w:rsidR="00DC20AA" w:rsidRPr="002A2AD6" w:rsidRDefault="00DC20AA" w:rsidP="00AD4B57">
      <w:pPr>
        <w:pStyle w:val="COMESnumberedpara"/>
      </w:pPr>
      <w:r>
        <w:rPr>
          <w:snapToGrid w:val="0"/>
        </w:rPr>
        <w:t xml:space="preserve">The PBAC noted that this submission is not eligible for an Independent Review as it received a positive recommendation. </w:t>
      </w:r>
    </w:p>
    <w:p w14:paraId="11B1AA8C" w14:textId="77777777" w:rsidR="009E5CAB" w:rsidRPr="00525B39" w:rsidRDefault="009E5CAB" w:rsidP="009E5CA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E0A93BE" w14:textId="007C7EC4" w:rsidR="00851625" w:rsidRPr="00242206" w:rsidRDefault="009E5CAB" w:rsidP="00242206">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137"/>
    <w:p w14:paraId="40524F52" w14:textId="77777777" w:rsidR="009E5CAB" w:rsidRPr="00907671" w:rsidRDefault="009E5CAB" w:rsidP="009E5CAB">
      <w:pPr>
        <w:pStyle w:val="2-SectionHeading"/>
        <w:numPr>
          <w:ilvl w:val="0"/>
          <w:numId w:val="1"/>
        </w:numPr>
      </w:pPr>
      <w:r w:rsidRPr="00907671">
        <w:t>Recommended listing</w:t>
      </w:r>
    </w:p>
    <w:bookmarkEnd w:id="138"/>
    <w:p w14:paraId="63042226" w14:textId="26D420DD" w:rsidR="001329D0" w:rsidRDefault="001329D0" w:rsidP="00393D2C">
      <w:pPr>
        <w:pStyle w:val="COMESnumberedpara"/>
        <w:rPr>
          <w:rFonts w:cstheme="minorHAnsi"/>
        </w:rPr>
      </w:pPr>
      <w:r>
        <w:rPr>
          <w:rFonts w:cstheme="minorHAnsi"/>
        </w:rPr>
        <w:t>Add new listing</w:t>
      </w:r>
      <w:r w:rsidR="00393D2C">
        <w:rPr>
          <w:rFonts w:cstheme="minorHAnsi"/>
        </w:rPr>
        <w:t>s</w:t>
      </w:r>
      <w:r>
        <w:rPr>
          <w:rFonts w:cstheme="minorHAnsi"/>
        </w:rPr>
        <w:t xml:space="preserve"> as follows:</w:t>
      </w:r>
    </w:p>
    <w:p w14:paraId="6C5BD2D4" w14:textId="77777777" w:rsidR="00BF2B96" w:rsidRDefault="00BF2B96" w:rsidP="00BF2B96">
      <w:pPr>
        <w:keepNext/>
        <w:keepLines/>
        <w:spacing w:before="120"/>
        <w:outlineLvl w:val="2"/>
        <w:rPr>
          <w:rFonts w:asciiTheme="minorHAnsi" w:eastAsiaTheme="majorEastAsia" w:hAnsiTheme="minorHAnsi" w:cstheme="majorBidi"/>
          <w:b/>
          <w:color w:val="000000" w:themeColor="text1"/>
        </w:rPr>
      </w:pPr>
      <w:r w:rsidRPr="00BF2B96">
        <w:rPr>
          <w:rFonts w:asciiTheme="minorHAnsi" w:eastAsiaTheme="majorEastAsia" w:hAnsiTheme="minorHAnsi" w:cstheme="majorBidi"/>
          <w:b/>
          <w:color w:val="000000" w:themeColor="text1"/>
        </w:rPr>
        <w:t>Non-eosinophilic and non-allergic SUA</w:t>
      </w:r>
    </w:p>
    <w:p w14:paraId="58F94CB4" w14:textId="5D0331DA" w:rsidR="0058438D" w:rsidRPr="00966E67" w:rsidRDefault="00966E67" w:rsidP="00966E67">
      <w:pPr>
        <w:spacing w:before="240" w:after="120"/>
        <w:rPr>
          <w:rFonts w:ascii="Arial Narrow" w:hAnsi="Arial Narrow" w:cs="Aptos"/>
          <w:color w:val="000000"/>
        </w:rPr>
      </w:pPr>
      <w:r>
        <w:rPr>
          <w:rFonts w:ascii="Arial Narrow" w:hAnsi="Arial Narrow" w:cs="Aptos"/>
          <w:color w:val="000000"/>
        </w:rPr>
        <w:t>Initial</w:t>
      </w:r>
      <w:r w:rsidRPr="00437FF9">
        <w:rPr>
          <w:rFonts w:ascii="Arial Narrow" w:hAnsi="Arial Narrow" w:cs="Aptos"/>
          <w:color w:val="000000"/>
        </w:rPr>
        <w:t xml:space="preserve"> treatment phase</w:t>
      </w:r>
      <w:r>
        <w:rPr>
          <w:rFonts w:ascii="Arial Narrow" w:hAnsi="Arial Narrow" w:cs="Aptos"/>
          <w:color w:val="000000"/>
        </w:rPr>
        <w:t>:</w:t>
      </w:r>
    </w:p>
    <w:tbl>
      <w:tblPr>
        <w:tblW w:w="501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Initial treatment phase:"/>
      </w:tblPr>
      <w:tblGrid>
        <w:gridCol w:w="496"/>
        <w:gridCol w:w="1173"/>
        <w:gridCol w:w="2262"/>
        <w:gridCol w:w="812"/>
        <w:gridCol w:w="813"/>
        <w:gridCol w:w="812"/>
        <w:gridCol w:w="813"/>
        <w:gridCol w:w="1859"/>
      </w:tblGrid>
      <w:tr w:rsidR="0058438D" w:rsidRPr="00133B19" w14:paraId="0624EB00" w14:textId="77777777" w:rsidTr="00966E67">
        <w:trPr>
          <w:cantSplit/>
          <w:trHeight w:val="20"/>
        </w:trPr>
        <w:tc>
          <w:tcPr>
            <w:tcW w:w="3931" w:type="dxa"/>
            <w:gridSpan w:val="3"/>
            <w:tcBorders>
              <w:top w:val="single" w:sz="4" w:space="0" w:color="auto"/>
              <w:left w:val="single" w:sz="4" w:space="0" w:color="auto"/>
              <w:bottom w:val="single" w:sz="4" w:space="0" w:color="auto"/>
              <w:right w:val="single" w:sz="4" w:space="0" w:color="auto"/>
            </w:tcBorders>
            <w:vAlign w:val="center"/>
            <w:hideMark/>
          </w:tcPr>
          <w:p w14:paraId="58970C89" w14:textId="77777777" w:rsidR="0058438D" w:rsidRPr="00133B19" w:rsidRDefault="0058438D" w:rsidP="000343C1">
            <w:pPr>
              <w:keepLines/>
              <w:rPr>
                <w:rFonts w:ascii="Arial Narrow" w:hAnsi="Arial Narrow"/>
                <w:b/>
                <w:bCs/>
                <w:color w:val="000000"/>
                <w:sz w:val="20"/>
                <w:szCs w:val="20"/>
              </w:rPr>
            </w:pPr>
            <w:r w:rsidRPr="00133B19">
              <w:rPr>
                <w:rFonts w:ascii="Arial Narrow" w:hAnsi="Arial Narrow"/>
                <w:b/>
                <w:bCs/>
                <w:color w:val="000000"/>
                <w:sz w:val="20"/>
                <w:szCs w:val="20"/>
              </w:rPr>
              <w:t>MEDICINAL PRODUCT</w:t>
            </w:r>
          </w:p>
          <w:p w14:paraId="35C8DBCE" w14:textId="77777777" w:rsidR="0058438D" w:rsidRPr="00133B19" w:rsidRDefault="0058438D" w:rsidP="000343C1">
            <w:pPr>
              <w:keepLines/>
              <w:rPr>
                <w:rFonts w:ascii="Arial Narrow" w:hAnsi="Arial Narrow"/>
                <w:b/>
                <w:color w:val="000000"/>
                <w:sz w:val="20"/>
                <w:szCs w:val="20"/>
              </w:rPr>
            </w:pPr>
            <w:r w:rsidRPr="00133B19">
              <w:rPr>
                <w:rFonts w:ascii="Arial Narrow" w:hAnsi="Arial Narrow"/>
                <w:b/>
                <w:bCs/>
                <w:color w:val="000000"/>
                <w:sz w:val="20"/>
                <w:szCs w:val="20"/>
              </w:rPr>
              <w:t>medicinal product pack</w:t>
            </w:r>
          </w:p>
        </w:tc>
        <w:tc>
          <w:tcPr>
            <w:tcW w:w="812" w:type="dxa"/>
            <w:tcBorders>
              <w:top w:val="single" w:sz="4" w:space="0" w:color="auto"/>
              <w:left w:val="single" w:sz="4" w:space="0" w:color="auto"/>
              <w:bottom w:val="single" w:sz="4" w:space="0" w:color="auto"/>
              <w:right w:val="single" w:sz="4" w:space="0" w:color="auto"/>
            </w:tcBorders>
            <w:vAlign w:val="center"/>
            <w:hideMark/>
          </w:tcPr>
          <w:p w14:paraId="75A54739" w14:textId="77777777" w:rsidR="0058438D" w:rsidRPr="00133B19" w:rsidRDefault="0058438D" w:rsidP="000343C1">
            <w:pPr>
              <w:keepLines/>
              <w:jc w:val="center"/>
              <w:rPr>
                <w:rFonts w:ascii="Arial Narrow" w:hAnsi="Arial Narrow"/>
                <w:b/>
                <w:color w:val="000000"/>
                <w:sz w:val="20"/>
                <w:szCs w:val="20"/>
              </w:rPr>
            </w:pPr>
            <w:r w:rsidRPr="00133B19">
              <w:rPr>
                <w:rFonts w:ascii="Arial Narrow" w:hAnsi="Arial Narrow"/>
                <w:b/>
                <w:color w:val="000000"/>
                <w:sz w:val="20"/>
                <w:szCs w:val="20"/>
              </w:rPr>
              <w:t>PBS item code</w:t>
            </w:r>
          </w:p>
        </w:tc>
        <w:tc>
          <w:tcPr>
            <w:tcW w:w="813" w:type="dxa"/>
            <w:tcBorders>
              <w:top w:val="single" w:sz="4" w:space="0" w:color="auto"/>
              <w:left w:val="single" w:sz="4" w:space="0" w:color="auto"/>
              <w:bottom w:val="single" w:sz="4" w:space="0" w:color="auto"/>
              <w:right w:val="single" w:sz="4" w:space="0" w:color="auto"/>
            </w:tcBorders>
            <w:vAlign w:val="center"/>
            <w:hideMark/>
          </w:tcPr>
          <w:p w14:paraId="60AA4A4B" w14:textId="77777777" w:rsidR="0058438D" w:rsidRPr="00133B19" w:rsidRDefault="0058438D" w:rsidP="000343C1">
            <w:pPr>
              <w:keepLines/>
              <w:jc w:val="center"/>
              <w:rPr>
                <w:rFonts w:ascii="Arial Narrow" w:hAnsi="Arial Narrow"/>
                <w:b/>
                <w:color w:val="000000"/>
                <w:sz w:val="20"/>
                <w:szCs w:val="20"/>
              </w:rPr>
            </w:pPr>
            <w:r w:rsidRPr="00133B19">
              <w:rPr>
                <w:rFonts w:ascii="Arial Narrow" w:hAnsi="Arial Narrow"/>
                <w:b/>
                <w:color w:val="000000"/>
                <w:sz w:val="20"/>
                <w:szCs w:val="20"/>
              </w:rPr>
              <w:t>Max. qty packs</w:t>
            </w:r>
          </w:p>
        </w:tc>
        <w:tc>
          <w:tcPr>
            <w:tcW w:w="812" w:type="dxa"/>
            <w:tcBorders>
              <w:top w:val="single" w:sz="4" w:space="0" w:color="auto"/>
              <w:left w:val="single" w:sz="4" w:space="0" w:color="auto"/>
              <w:bottom w:val="single" w:sz="4" w:space="0" w:color="auto"/>
              <w:right w:val="single" w:sz="4" w:space="0" w:color="auto"/>
            </w:tcBorders>
            <w:vAlign w:val="center"/>
            <w:hideMark/>
          </w:tcPr>
          <w:p w14:paraId="7FF1115C" w14:textId="77777777" w:rsidR="0058438D" w:rsidRPr="00133B19" w:rsidRDefault="0058438D" w:rsidP="000343C1">
            <w:pPr>
              <w:keepLines/>
              <w:jc w:val="center"/>
              <w:rPr>
                <w:rFonts w:ascii="Arial Narrow" w:hAnsi="Arial Narrow"/>
                <w:b/>
                <w:color w:val="000000"/>
                <w:sz w:val="20"/>
                <w:szCs w:val="20"/>
              </w:rPr>
            </w:pPr>
            <w:r w:rsidRPr="00133B19">
              <w:rPr>
                <w:rFonts w:ascii="Arial Narrow" w:hAnsi="Arial Narrow"/>
                <w:b/>
                <w:color w:val="000000"/>
                <w:sz w:val="20"/>
                <w:szCs w:val="20"/>
              </w:rPr>
              <w:t>Max. qty units</w:t>
            </w:r>
          </w:p>
        </w:tc>
        <w:tc>
          <w:tcPr>
            <w:tcW w:w="813" w:type="dxa"/>
            <w:tcBorders>
              <w:top w:val="single" w:sz="4" w:space="0" w:color="auto"/>
              <w:left w:val="single" w:sz="4" w:space="0" w:color="auto"/>
              <w:bottom w:val="single" w:sz="4" w:space="0" w:color="auto"/>
              <w:right w:val="single" w:sz="4" w:space="0" w:color="auto"/>
            </w:tcBorders>
            <w:vAlign w:val="center"/>
            <w:hideMark/>
          </w:tcPr>
          <w:p w14:paraId="5E33E8C3" w14:textId="77777777" w:rsidR="0058438D" w:rsidRPr="00133B19" w:rsidRDefault="0058438D" w:rsidP="000343C1">
            <w:pPr>
              <w:keepLines/>
              <w:jc w:val="center"/>
              <w:rPr>
                <w:rFonts w:ascii="Arial Narrow" w:hAnsi="Arial Narrow"/>
                <w:b/>
                <w:bCs/>
                <w:color w:val="000000"/>
                <w:sz w:val="20"/>
                <w:szCs w:val="20"/>
              </w:rPr>
            </w:pPr>
            <w:proofErr w:type="gramStart"/>
            <w:r w:rsidRPr="00133B19">
              <w:rPr>
                <w:rFonts w:ascii="Arial Narrow" w:hAnsi="Arial Narrow"/>
                <w:b/>
                <w:bCs/>
                <w:color w:val="000000"/>
                <w:sz w:val="20"/>
                <w:szCs w:val="20"/>
              </w:rPr>
              <w:t>№.of</w:t>
            </w:r>
            <w:proofErr w:type="gramEnd"/>
          </w:p>
          <w:p w14:paraId="087561E0" w14:textId="77777777" w:rsidR="0058438D" w:rsidRPr="00133B19" w:rsidRDefault="0058438D" w:rsidP="000343C1">
            <w:pPr>
              <w:keepLines/>
              <w:jc w:val="center"/>
              <w:rPr>
                <w:rFonts w:ascii="Arial Narrow" w:hAnsi="Arial Narrow"/>
                <w:b/>
                <w:bCs/>
                <w:color w:val="000000"/>
                <w:sz w:val="20"/>
                <w:szCs w:val="20"/>
              </w:rPr>
            </w:pPr>
            <w:proofErr w:type="spellStart"/>
            <w:r w:rsidRPr="00133B19">
              <w:rPr>
                <w:rFonts w:ascii="Arial Narrow" w:hAnsi="Arial Narrow"/>
                <w:b/>
                <w:bCs/>
                <w:color w:val="000000"/>
                <w:sz w:val="20"/>
                <w:szCs w:val="20"/>
              </w:rPr>
              <w:t>Rpts</w:t>
            </w:r>
            <w:proofErr w:type="spellEnd"/>
          </w:p>
        </w:tc>
        <w:tc>
          <w:tcPr>
            <w:tcW w:w="1859" w:type="dxa"/>
            <w:tcBorders>
              <w:top w:val="single" w:sz="4" w:space="0" w:color="auto"/>
              <w:left w:val="single" w:sz="4" w:space="0" w:color="auto"/>
              <w:bottom w:val="single" w:sz="4" w:space="0" w:color="auto"/>
              <w:right w:val="single" w:sz="4" w:space="0" w:color="auto"/>
            </w:tcBorders>
            <w:vAlign w:val="center"/>
            <w:hideMark/>
          </w:tcPr>
          <w:p w14:paraId="1A388A78" w14:textId="77777777" w:rsidR="0058438D" w:rsidRPr="00133B19" w:rsidRDefault="0058438D" w:rsidP="000343C1">
            <w:pPr>
              <w:keepLines/>
              <w:rPr>
                <w:rFonts w:ascii="Arial Narrow" w:hAnsi="Arial Narrow"/>
                <w:b/>
                <w:color w:val="000000"/>
                <w:sz w:val="20"/>
                <w:szCs w:val="20"/>
                <w:lang w:val="fr-FR"/>
              </w:rPr>
            </w:pPr>
            <w:r w:rsidRPr="00133B19">
              <w:rPr>
                <w:rFonts w:ascii="Arial Narrow" w:hAnsi="Arial Narrow"/>
                <w:b/>
                <w:color w:val="000000"/>
                <w:sz w:val="20"/>
                <w:szCs w:val="20"/>
              </w:rPr>
              <w:t>Available brands</w:t>
            </w:r>
          </w:p>
        </w:tc>
      </w:tr>
      <w:tr w:rsidR="0058438D" w:rsidRPr="00133B19" w14:paraId="38B01C2D" w14:textId="77777777" w:rsidTr="00966E67">
        <w:trPr>
          <w:cantSplit/>
          <w:trHeight w:val="20"/>
        </w:trPr>
        <w:tc>
          <w:tcPr>
            <w:tcW w:w="9040" w:type="dxa"/>
            <w:gridSpan w:val="8"/>
            <w:tcBorders>
              <w:top w:val="single" w:sz="4" w:space="0" w:color="auto"/>
              <w:left w:val="single" w:sz="4" w:space="0" w:color="auto"/>
              <w:bottom w:val="single" w:sz="4" w:space="0" w:color="auto"/>
              <w:right w:val="single" w:sz="4" w:space="0" w:color="auto"/>
            </w:tcBorders>
            <w:vAlign w:val="center"/>
            <w:hideMark/>
          </w:tcPr>
          <w:p w14:paraId="51580477" w14:textId="77777777" w:rsidR="0058438D" w:rsidRPr="00133B19" w:rsidRDefault="0058438D" w:rsidP="000343C1">
            <w:pPr>
              <w:keepLines/>
              <w:rPr>
                <w:rFonts w:ascii="Arial Narrow" w:hAnsi="Arial Narrow"/>
                <w:color w:val="000000"/>
                <w:sz w:val="20"/>
                <w:szCs w:val="20"/>
              </w:rPr>
            </w:pPr>
            <w:r w:rsidRPr="00133B19">
              <w:rPr>
                <w:rFonts w:ascii="Arial Narrow" w:hAnsi="Arial Narrow"/>
                <w:color w:val="000000"/>
                <w:sz w:val="20"/>
                <w:szCs w:val="20"/>
              </w:rPr>
              <w:t>TEZEPELUMAB</w:t>
            </w:r>
          </w:p>
        </w:tc>
      </w:tr>
      <w:tr w:rsidR="0058438D" w:rsidRPr="00133B19" w14:paraId="2CD44121" w14:textId="77777777" w:rsidTr="00966E67">
        <w:trPr>
          <w:cantSplit/>
          <w:trHeight w:val="20"/>
        </w:trPr>
        <w:tc>
          <w:tcPr>
            <w:tcW w:w="3931" w:type="dxa"/>
            <w:gridSpan w:val="3"/>
            <w:tcBorders>
              <w:top w:val="single" w:sz="4" w:space="0" w:color="auto"/>
              <w:left w:val="single" w:sz="4" w:space="0" w:color="auto"/>
              <w:bottom w:val="single" w:sz="4" w:space="0" w:color="auto"/>
              <w:right w:val="single" w:sz="4" w:space="0" w:color="auto"/>
            </w:tcBorders>
            <w:vAlign w:val="center"/>
            <w:hideMark/>
          </w:tcPr>
          <w:p w14:paraId="5735C71C" w14:textId="77777777" w:rsidR="0058438D" w:rsidRPr="004A55D1" w:rsidRDefault="0058438D" w:rsidP="000343C1">
            <w:pPr>
              <w:keepLines/>
              <w:rPr>
                <w:rFonts w:ascii="Arial Narrow" w:hAnsi="Arial Narrow"/>
                <w:sz w:val="20"/>
                <w:szCs w:val="20"/>
              </w:rPr>
            </w:pPr>
            <w:proofErr w:type="spellStart"/>
            <w:r w:rsidRPr="004A55D1">
              <w:rPr>
                <w:rFonts w:ascii="Arial Narrow" w:hAnsi="Arial Narrow"/>
                <w:sz w:val="20"/>
                <w:szCs w:val="20"/>
              </w:rPr>
              <w:t>tezepelumab</w:t>
            </w:r>
            <w:proofErr w:type="spellEnd"/>
            <w:r w:rsidRPr="004A55D1">
              <w:rPr>
                <w:rFonts w:ascii="Arial Narrow" w:hAnsi="Arial Narrow"/>
                <w:sz w:val="20"/>
                <w:szCs w:val="20"/>
              </w:rPr>
              <w:t xml:space="preserve"> 210 mg/1.91 mL injection, 1.91 mL pen device</w:t>
            </w:r>
          </w:p>
        </w:tc>
        <w:tc>
          <w:tcPr>
            <w:tcW w:w="812" w:type="dxa"/>
            <w:tcBorders>
              <w:top w:val="single" w:sz="4" w:space="0" w:color="auto"/>
              <w:left w:val="single" w:sz="4" w:space="0" w:color="auto"/>
              <w:bottom w:val="single" w:sz="4" w:space="0" w:color="auto"/>
              <w:right w:val="single" w:sz="4" w:space="0" w:color="auto"/>
            </w:tcBorders>
            <w:vAlign w:val="center"/>
            <w:hideMark/>
          </w:tcPr>
          <w:p w14:paraId="45245211" w14:textId="77777777" w:rsidR="0058438D" w:rsidRPr="00133B19" w:rsidRDefault="0058438D" w:rsidP="000343C1">
            <w:pPr>
              <w:keepLines/>
              <w:jc w:val="center"/>
              <w:rPr>
                <w:rFonts w:ascii="Arial Narrow" w:hAnsi="Arial Narrow"/>
                <w:sz w:val="20"/>
                <w:szCs w:val="20"/>
              </w:rPr>
            </w:pPr>
            <w:r w:rsidRPr="00133B19">
              <w:rPr>
                <w:rFonts w:ascii="Arial Narrow" w:hAnsi="Arial Narrow"/>
                <w:sz w:val="20"/>
                <w:szCs w:val="20"/>
              </w:rPr>
              <w:t>NEW/</w:t>
            </w:r>
          </w:p>
          <w:p w14:paraId="1D6D284D" w14:textId="77777777" w:rsidR="0058438D" w:rsidRPr="00133B19" w:rsidRDefault="0058438D" w:rsidP="000343C1">
            <w:pPr>
              <w:keepLines/>
              <w:jc w:val="center"/>
              <w:rPr>
                <w:rFonts w:ascii="Arial Narrow" w:hAnsi="Arial Narrow"/>
                <w:sz w:val="20"/>
                <w:szCs w:val="20"/>
              </w:rPr>
            </w:pPr>
            <w:r w:rsidRPr="00133B19">
              <w:rPr>
                <w:rFonts w:ascii="Arial Narrow" w:hAnsi="Arial Narrow"/>
                <w:sz w:val="20"/>
                <w:szCs w:val="20"/>
              </w:rPr>
              <w:t>Public</w:t>
            </w:r>
          </w:p>
        </w:tc>
        <w:tc>
          <w:tcPr>
            <w:tcW w:w="813" w:type="dxa"/>
            <w:tcBorders>
              <w:top w:val="single" w:sz="4" w:space="0" w:color="auto"/>
              <w:left w:val="single" w:sz="4" w:space="0" w:color="auto"/>
              <w:bottom w:val="single" w:sz="4" w:space="0" w:color="auto"/>
              <w:right w:val="single" w:sz="4" w:space="0" w:color="auto"/>
            </w:tcBorders>
            <w:vAlign w:val="center"/>
            <w:hideMark/>
          </w:tcPr>
          <w:p w14:paraId="7FAFC871" w14:textId="77777777" w:rsidR="0058438D" w:rsidRPr="00133B19" w:rsidRDefault="0058438D" w:rsidP="000343C1">
            <w:pPr>
              <w:keepLines/>
              <w:jc w:val="center"/>
              <w:rPr>
                <w:rFonts w:ascii="Arial Narrow" w:hAnsi="Arial Narrow"/>
                <w:sz w:val="20"/>
                <w:szCs w:val="20"/>
              </w:rPr>
            </w:pPr>
            <w:r w:rsidRPr="00133B19">
              <w:rPr>
                <w:rFonts w:ascii="Arial Narrow" w:hAnsi="Arial Narrow"/>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15A99947" w14:textId="77777777" w:rsidR="0058438D" w:rsidRPr="00133B19" w:rsidRDefault="0058438D" w:rsidP="000343C1">
            <w:pPr>
              <w:keepLines/>
              <w:jc w:val="center"/>
              <w:rPr>
                <w:rFonts w:ascii="Arial Narrow" w:hAnsi="Arial Narrow"/>
                <w:sz w:val="20"/>
                <w:szCs w:val="20"/>
              </w:rPr>
            </w:pPr>
            <w:r w:rsidRPr="00133B19">
              <w:rPr>
                <w:rFonts w:ascii="Arial Narrow" w:hAnsi="Arial Narrow"/>
                <w:sz w:val="20"/>
                <w:szCs w:val="20"/>
              </w:rPr>
              <w:t>1</w:t>
            </w:r>
          </w:p>
        </w:tc>
        <w:tc>
          <w:tcPr>
            <w:tcW w:w="813" w:type="dxa"/>
            <w:tcBorders>
              <w:top w:val="single" w:sz="4" w:space="0" w:color="auto"/>
              <w:left w:val="single" w:sz="4" w:space="0" w:color="auto"/>
              <w:bottom w:val="single" w:sz="4" w:space="0" w:color="auto"/>
              <w:right w:val="single" w:sz="4" w:space="0" w:color="auto"/>
            </w:tcBorders>
            <w:vAlign w:val="center"/>
            <w:hideMark/>
          </w:tcPr>
          <w:p w14:paraId="266A06F2" w14:textId="77777777" w:rsidR="0058438D" w:rsidRPr="00133B19" w:rsidRDefault="0058438D" w:rsidP="000343C1">
            <w:pPr>
              <w:keepLines/>
              <w:jc w:val="center"/>
              <w:rPr>
                <w:rFonts w:ascii="Arial Narrow" w:hAnsi="Arial Narrow"/>
                <w:strike/>
                <w:color w:val="000000"/>
                <w:sz w:val="20"/>
                <w:szCs w:val="20"/>
              </w:rPr>
            </w:pPr>
            <w:r w:rsidRPr="00133B19">
              <w:rPr>
                <w:rFonts w:ascii="Arial Narrow" w:hAnsi="Arial Narrow"/>
                <w:color w:val="000000"/>
                <w:sz w:val="20"/>
                <w:szCs w:val="20"/>
              </w:rPr>
              <w:t>7</w:t>
            </w:r>
          </w:p>
        </w:tc>
        <w:tc>
          <w:tcPr>
            <w:tcW w:w="1859" w:type="dxa"/>
            <w:tcBorders>
              <w:top w:val="single" w:sz="4" w:space="0" w:color="auto"/>
              <w:left w:val="single" w:sz="4" w:space="0" w:color="auto"/>
              <w:bottom w:val="single" w:sz="4" w:space="0" w:color="auto"/>
              <w:right w:val="single" w:sz="4" w:space="0" w:color="auto"/>
            </w:tcBorders>
            <w:vAlign w:val="center"/>
            <w:hideMark/>
          </w:tcPr>
          <w:p w14:paraId="4C9936B3" w14:textId="77777777" w:rsidR="0058438D" w:rsidRPr="00133B19" w:rsidRDefault="0058438D" w:rsidP="000343C1">
            <w:pPr>
              <w:keepLines/>
              <w:rPr>
                <w:rFonts w:ascii="Arial Narrow" w:hAnsi="Arial Narrow"/>
                <w:sz w:val="20"/>
                <w:szCs w:val="20"/>
              </w:rPr>
            </w:pPr>
            <w:proofErr w:type="spellStart"/>
            <w:r w:rsidRPr="00133B19">
              <w:rPr>
                <w:rFonts w:ascii="Arial Narrow" w:hAnsi="Arial Narrow"/>
                <w:sz w:val="20"/>
                <w:szCs w:val="20"/>
              </w:rPr>
              <w:t>Tezspire</w:t>
            </w:r>
            <w:proofErr w:type="spellEnd"/>
          </w:p>
        </w:tc>
      </w:tr>
      <w:tr w:rsidR="0058438D" w:rsidRPr="00133B19" w14:paraId="71CF703B" w14:textId="77777777" w:rsidTr="00966E67">
        <w:trPr>
          <w:cantSplit/>
          <w:trHeight w:val="20"/>
        </w:trPr>
        <w:tc>
          <w:tcPr>
            <w:tcW w:w="3931" w:type="dxa"/>
            <w:gridSpan w:val="3"/>
            <w:tcBorders>
              <w:top w:val="single" w:sz="4" w:space="0" w:color="auto"/>
              <w:left w:val="single" w:sz="4" w:space="0" w:color="auto"/>
              <w:bottom w:val="single" w:sz="4" w:space="0" w:color="auto"/>
              <w:right w:val="single" w:sz="4" w:space="0" w:color="auto"/>
            </w:tcBorders>
            <w:vAlign w:val="center"/>
            <w:hideMark/>
          </w:tcPr>
          <w:p w14:paraId="65D34921" w14:textId="77777777" w:rsidR="0058438D" w:rsidRPr="004A55D1" w:rsidRDefault="0058438D" w:rsidP="000343C1">
            <w:pPr>
              <w:keepLines/>
              <w:rPr>
                <w:rFonts w:ascii="Arial Narrow" w:hAnsi="Arial Narrow"/>
                <w:sz w:val="20"/>
                <w:szCs w:val="20"/>
              </w:rPr>
            </w:pPr>
            <w:proofErr w:type="spellStart"/>
            <w:r w:rsidRPr="004A55D1">
              <w:rPr>
                <w:rFonts w:ascii="Arial Narrow" w:hAnsi="Arial Narrow"/>
                <w:sz w:val="20"/>
                <w:szCs w:val="20"/>
              </w:rPr>
              <w:t>tezepelumab</w:t>
            </w:r>
            <w:proofErr w:type="spellEnd"/>
            <w:r w:rsidRPr="004A55D1">
              <w:rPr>
                <w:rFonts w:ascii="Arial Narrow" w:hAnsi="Arial Narrow"/>
                <w:sz w:val="20"/>
                <w:szCs w:val="20"/>
              </w:rPr>
              <w:t xml:space="preserve"> 210 mg/1.91 mL injection, 1.91 mL pen device</w:t>
            </w:r>
          </w:p>
        </w:tc>
        <w:tc>
          <w:tcPr>
            <w:tcW w:w="812" w:type="dxa"/>
            <w:tcBorders>
              <w:top w:val="single" w:sz="4" w:space="0" w:color="auto"/>
              <w:left w:val="single" w:sz="4" w:space="0" w:color="auto"/>
              <w:bottom w:val="single" w:sz="4" w:space="0" w:color="auto"/>
              <w:right w:val="single" w:sz="4" w:space="0" w:color="auto"/>
            </w:tcBorders>
            <w:vAlign w:val="center"/>
            <w:hideMark/>
          </w:tcPr>
          <w:p w14:paraId="75A97564" w14:textId="77777777" w:rsidR="0058438D" w:rsidRPr="00133B19" w:rsidRDefault="0058438D" w:rsidP="000343C1">
            <w:pPr>
              <w:keepLines/>
              <w:jc w:val="center"/>
              <w:rPr>
                <w:rFonts w:ascii="Arial Narrow" w:hAnsi="Arial Narrow"/>
                <w:sz w:val="20"/>
                <w:szCs w:val="20"/>
              </w:rPr>
            </w:pPr>
            <w:r w:rsidRPr="00133B19">
              <w:rPr>
                <w:rFonts w:ascii="Arial Narrow" w:hAnsi="Arial Narrow"/>
                <w:sz w:val="20"/>
                <w:szCs w:val="20"/>
              </w:rPr>
              <w:t>NEW/ Private</w:t>
            </w:r>
          </w:p>
        </w:tc>
        <w:tc>
          <w:tcPr>
            <w:tcW w:w="813" w:type="dxa"/>
            <w:tcBorders>
              <w:top w:val="single" w:sz="4" w:space="0" w:color="auto"/>
              <w:left w:val="single" w:sz="4" w:space="0" w:color="auto"/>
              <w:bottom w:val="single" w:sz="4" w:space="0" w:color="auto"/>
              <w:right w:val="single" w:sz="4" w:space="0" w:color="auto"/>
            </w:tcBorders>
            <w:vAlign w:val="center"/>
            <w:hideMark/>
          </w:tcPr>
          <w:p w14:paraId="01096795" w14:textId="77777777" w:rsidR="0058438D" w:rsidRPr="00133B19" w:rsidRDefault="0058438D" w:rsidP="000343C1">
            <w:pPr>
              <w:keepLines/>
              <w:jc w:val="center"/>
              <w:rPr>
                <w:rFonts w:ascii="Arial Narrow" w:hAnsi="Arial Narrow"/>
                <w:sz w:val="20"/>
                <w:szCs w:val="20"/>
              </w:rPr>
            </w:pPr>
            <w:r w:rsidRPr="00133B19">
              <w:rPr>
                <w:rFonts w:ascii="Arial Narrow" w:hAnsi="Arial Narrow"/>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60D7621E" w14:textId="77777777" w:rsidR="0058438D" w:rsidRPr="00133B19" w:rsidRDefault="0058438D" w:rsidP="000343C1">
            <w:pPr>
              <w:keepLines/>
              <w:jc w:val="center"/>
              <w:rPr>
                <w:rFonts w:ascii="Arial Narrow" w:hAnsi="Arial Narrow"/>
                <w:sz w:val="20"/>
                <w:szCs w:val="20"/>
              </w:rPr>
            </w:pPr>
            <w:r w:rsidRPr="00133B19">
              <w:rPr>
                <w:rFonts w:ascii="Arial Narrow" w:hAnsi="Arial Narrow"/>
                <w:sz w:val="20"/>
                <w:szCs w:val="20"/>
              </w:rPr>
              <w:t>1</w:t>
            </w:r>
          </w:p>
        </w:tc>
        <w:tc>
          <w:tcPr>
            <w:tcW w:w="813" w:type="dxa"/>
            <w:tcBorders>
              <w:top w:val="single" w:sz="4" w:space="0" w:color="auto"/>
              <w:left w:val="single" w:sz="4" w:space="0" w:color="auto"/>
              <w:bottom w:val="single" w:sz="4" w:space="0" w:color="auto"/>
              <w:right w:val="single" w:sz="4" w:space="0" w:color="auto"/>
            </w:tcBorders>
            <w:hideMark/>
          </w:tcPr>
          <w:p w14:paraId="41DC126F" w14:textId="77777777" w:rsidR="0058438D" w:rsidRPr="00133B19" w:rsidRDefault="0058438D" w:rsidP="000343C1">
            <w:pPr>
              <w:keepLines/>
              <w:jc w:val="center"/>
              <w:rPr>
                <w:rFonts w:ascii="Arial Narrow" w:hAnsi="Arial Narrow"/>
                <w:strike/>
                <w:color w:val="000000"/>
                <w:sz w:val="20"/>
                <w:szCs w:val="20"/>
              </w:rPr>
            </w:pPr>
            <w:r w:rsidRPr="00133B19">
              <w:rPr>
                <w:rFonts w:ascii="Arial Narrow" w:hAnsi="Arial Narrow"/>
                <w:color w:val="000000"/>
                <w:sz w:val="20"/>
                <w:szCs w:val="20"/>
              </w:rPr>
              <w:t>7</w:t>
            </w:r>
          </w:p>
        </w:tc>
        <w:tc>
          <w:tcPr>
            <w:tcW w:w="1859" w:type="dxa"/>
            <w:tcBorders>
              <w:top w:val="single" w:sz="4" w:space="0" w:color="auto"/>
              <w:left w:val="single" w:sz="4" w:space="0" w:color="auto"/>
              <w:bottom w:val="single" w:sz="4" w:space="0" w:color="auto"/>
              <w:right w:val="single" w:sz="4" w:space="0" w:color="auto"/>
            </w:tcBorders>
            <w:vAlign w:val="center"/>
            <w:hideMark/>
          </w:tcPr>
          <w:p w14:paraId="32BC0318" w14:textId="77777777" w:rsidR="0058438D" w:rsidRPr="00133B19" w:rsidRDefault="0058438D" w:rsidP="000343C1">
            <w:pPr>
              <w:keepLines/>
              <w:rPr>
                <w:rFonts w:ascii="Arial Narrow" w:hAnsi="Arial Narrow"/>
                <w:sz w:val="20"/>
                <w:szCs w:val="20"/>
              </w:rPr>
            </w:pPr>
            <w:proofErr w:type="spellStart"/>
            <w:r w:rsidRPr="00133B19">
              <w:rPr>
                <w:rFonts w:ascii="Arial Narrow" w:hAnsi="Arial Narrow"/>
                <w:sz w:val="20"/>
                <w:szCs w:val="20"/>
              </w:rPr>
              <w:t>Tezspire</w:t>
            </w:r>
            <w:proofErr w:type="spellEnd"/>
          </w:p>
        </w:tc>
      </w:tr>
      <w:tr w:rsidR="0058438D" w:rsidRPr="00133B19" w14:paraId="3E0F521C" w14:textId="77777777" w:rsidTr="00966E67">
        <w:trPr>
          <w:trHeight w:val="20"/>
        </w:trPr>
        <w:tc>
          <w:tcPr>
            <w:tcW w:w="9040"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117055" w14:textId="77777777" w:rsidR="0058438D" w:rsidRPr="00133B19" w:rsidRDefault="0058438D" w:rsidP="000343C1">
            <w:pPr>
              <w:rPr>
                <w:rFonts w:ascii="Arial Narrow" w:hAnsi="Arial Narrow"/>
                <w:color w:val="000000"/>
                <w:sz w:val="20"/>
                <w:szCs w:val="20"/>
              </w:rPr>
            </w:pPr>
          </w:p>
        </w:tc>
      </w:tr>
      <w:tr w:rsidR="0058438D" w:rsidRPr="00133B19" w14:paraId="2C1FCABA" w14:textId="77777777" w:rsidTr="00966E67">
        <w:trPr>
          <w:trHeight w:val="20"/>
        </w:trPr>
        <w:tc>
          <w:tcPr>
            <w:tcW w:w="9040"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CDBEDB" w14:textId="77777777" w:rsidR="0058438D" w:rsidRPr="00133B19" w:rsidRDefault="0058438D" w:rsidP="000343C1">
            <w:pPr>
              <w:keepLines/>
              <w:rPr>
                <w:rFonts w:ascii="Arial Narrow" w:hAnsi="Arial Narrow"/>
                <w:b/>
                <w:color w:val="000000"/>
                <w:sz w:val="20"/>
                <w:szCs w:val="20"/>
              </w:rPr>
            </w:pPr>
            <w:r w:rsidRPr="00133B19">
              <w:rPr>
                <w:rFonts w:ascii="Arial Narrow" w:hAnsi="Arial Narrow"/>
                <w:b/>
                <w:color w:val="000000"/>
                <w:sz w:val="20"/>
                <w:szCs w:val="20"/>
              </w:rPr>
              <w:t>Restriction Summary [new4] / Treatment of Concept: [new4A]</w:t>
            </w:r>
          </w:p>
        </w:tc>
      </w:tr>
      <w:tr w:rsidR="0058438D" w:rsidRPr="00A84EA2" w14:paraId="19FCD7E6" w14:textId="77777777" w:rsidTr="00966E67">
        <w:trPr>
          <w:trHeight w:val="20"/>
        </w:trPr>
        <w:tc>
          <w:tcPr>
            <w:tcW w:w="1669"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AB0FC17" w14:textId="77777777" w:rsidR="0058438D" w:rsidRPr="00A84EA2" w:rsidRDefault="0058438D" w:rsidP="000343C1">
            <w:pPr>
              <w:jc w:val="center"/>
              <w:rPr>
                <w:rFonts w:ascii="Arial Narrow" w:hAnsi="Arial Narrow"/>
                <w:b/>
                <w:color w:val="000000"/>
                <w:sz w:val="20"/>
                <w:szCs w:val="20"/>
              </w:rPr>
            </w:pPr>
            <w:r w:rsidRPr="00A84EA2">
              <w:rPr>
                <w:rFonts w:ascii="Arial Narrow" w:hAnsi="Arial Narrow"/>
                <w:b/>
                <w:color w:val="000000"/>
                <w:sz w:val="20"/>
                <w:szCs w:val="20"/>
              </w:rPr>
              <w:t xml:space="preserve">Concept ID </w:t>
            </w:r>
            <w:r w:rsidRPr="00A84EA2">
              <w:rPr>
                <w:rFonts w:ascii="Arial Narrow" w:hAnsi="Arial Narrow"/>
                <w:color w:val="000000"/>
                <w:sz w:val="20"/>
                <w:szCs w:val="20"/>
              </w:rPr>
              <w:t>(for internal Dept. use)</w:t>
            </w: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C3D2E0" w14:textId="77777777" w:rsidR="0058438D" w:rsidRPr="00A84EA2" w:rsidRDefault="0058438D" w:rsidP="000343C1">
            <w:pPr>
              <w:keepLines/>
              <w:rPr>
                <w:rFonts w:ascii="Arial Narrow" w:eastAsia="Calibri" w:hAnsi="Arial Narrow"/>
                <w:color w:val="000000"/>
                <w:sz w:val="20"/>
                <w:szCs w:val="20"/>
              </w:rPr>
            </w:pPr>
            <w:r w:rsidRPr="00A84EA2">
              <w:rPr>
                <w:rFonts w:ascii="Arial Narrow" w:hAnsi="Arial Narrow"/>
                <w:b/>
                <w:color w:val="000000"/>
                <w:sz w:val="20"/>
                <w:szCs w:val="20"/>
              </w:rPr>
              <w:t>Category / Program:</w:t>
            </w:r>
            <w:r w:rsidRPr="00A84EA2">
              <w:rPr>
                <w:rFonts w:ascii="Arial Narrow" w:hAnsi="Arial Narrow"/>
                <w:color w:val="000000"/>
                <w:sz w:val="20"/>
                <w:szCs w:val="20"/>
              </w:rPr>
              <w:t xml:space="preserve"> </w:t>
            </w:r>
          </w:p>
          <w:p w14:paraId="3D7DB105" w14:textId="77777777" w:rsidR="0058438D" w:rsidRPr="00A84EA2" w:rsidRDefault="0058438D" w:rsidP="000343C1">
            <w:pPr>
              <w:keepLines/>
              <w:rPr>
                <w:rFonts w:ascii="Arial Narrow" w:hAnsi="Arial Narrow"/>
                <w:color w:val="000000"/>
                <w:sz w:val="20"/>
                <w:szCs w:val="20"/>
              </w:rPr>
            </w:pPr>
            <w:r w:rsidRPr="00A84EA2">
              <w:rPr>
                <w:rFonts w:ascii="Arial Narrow" w:eastAsia="Calibri" w:hAnsi="Arial Narrow"/>
                <w:color w:val="000000"/>
                <w:sz w:val="20"/>
                <w:szCs w:val="20"/>
              </w:rPr>
              <w:fldChar w:fldCharType="begin">
                <w:ffData>
                  <w:name w:val=""/>
                  <w:enabled/>
                  <w:calcOnExit w:val="0"/>
                  <w:checkBox>
                    <w:sizeAuto/>
                    <w:default w:val="1"/>
                  </w:checkBox>
                </w:ffData>
              </w:fldChar>
            </w:r>
            <w:r w:rsidRPr="00A84EA2">
              <w:rPr>
                <w:rFonts w:ascii="Arial Narrow" w:eastAsia="Calibri" w:hAnsi="Arial Narrow"/>
                <w:color w:val="000000"/>
                <w:sz w:val="20"/>
                <w:szCs w:val="20"/>
              </w:rPr>
              <w:instrText xml:space="preserve"> FORMCHECKBOX </w:instrText>
            </w:r>
            <w:r w:rsidRPr="00A84EA2">
              <w:rPr>
                <w:rFonts w:ascii="Arial Narrow" w:eastAsia="Calibri" w:hAnsi="Arial Narrow"/>
                <w:color w:val="000000"/>
                <w:sz w:val="20"/>
                <w:szCs w:val="20"/>
              </w:rPr>
            </w:r>
            <w:r w:rsidRPr="00A84EA2">
              <w:rPr>
                <w:rFonts w:ascii="Arial Narrow" w:eastAsia="Calibri" w:hAnsi="Arial Narrow"/>
                <w:color w:val="000000"/>
                <w:sz w:val="20"/>
                <w:szCs w:val="20"/>
              </w:rPr>
              <w:fldChar w:fldCharType="separate"/>
            </w:r>
            <w:r w:rsidRPr="00A84EA2">
              <w:rPr>
                <w:rFonts w:ascii="Arial Narrow" w:eastAsia="Calibri" w:hAnsi="Arial Narrow"/>
                <w:color w:val="000000"/>
                <w:sz w:val="20"/>
                <w:szCs w:val="20"/>
              </w:rPr>
              <w:fldChar w:fldCharType="end"/>
            </w:r>
            <w:r w:rsidRPr="00A84EA2">
              <w:rPr>
                <w:rFonts w:ascii="Arial Narrow" w:eastAsia="Calibri" w:hAnsi="Arial Narrow"/>
                <w:color w:val="000000"/>
                <w:sz w:val="20"/>
                <w:szCs w:val="20"/>
              </w:rPr>
              <w:t xml:space="preserve"> Section 100 – Highly Specialised Drugs Program – Public (Code HB) / Private (Code HS)</w:t>
            </w:r>
          </w:p>
        </w:tc>
      </w:tr>
      <w:tr w:rsidR="0058438D" w:rsidRPr="00A84EA2" w14:paraId="5F0F44EF" w14:textId="77777777" w:rsidTr="00966E67">
        <w:trPr>
          <w:trHeight w:val="20"/>
        </w:trPr>
        <w:tc>
          <w:tcPr>
            <w:tcW w:w="1669" w:type="dxa"/>
            <w:gridSpan w:val="2"/>
            <w:vMerge/>
            <w:vAlign w:val="center"/>
            <w:hideMark/>
          </w:tcPr>
          <w:p w14:paraId="13F3462F" w14:textId="77777777" w:rsidR="0058438D" w:rsidRPr="00A84EA2" w:rsidRDefault="0058438D" w:rsidP="000343C1">
            <w:pPr>
              <w:rPr>
                <w:rFonts w:ascii="Arial Narrow" w:hAnsi="Arial Narrow"/>
                <w:b/>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D83251" w14:textId="77777777" w:rsidR="0058438D" w:rsidRPr="00A84EA2" w:rsidRDefault="0058438D" w:rsidP="000343C1">
            <w:pPr>
              <w:keepLines/>
              <w:rPr>
                <w:rFonts w:ascii="Arial Narrow" w:hAnsi="Arial Narrow"/>
                <w:b/>
                <w:color w:val="000000"/>
                <w:sz w:val="20"/>
                <w:szCs w:val="20"/>
              </w:rPr>
            </w:pPr>
            <w:r w:rsidRPr="00A84EA2">
              <w:rPr>
                <w:rFonts w:ascii="Arial Narrow" w:hAnsi="Arial Narrow"/>
                <w:b/>
                <w:color w:val="000000"/>
                <w:sz w:val="20"/>
                <w:szCs w:val="20"/>
              </w:rPr>
              <w:t xml:space="preserve">Prescriber type: </w:t>
            </w:r>
            <w:r w:rsidRPr="00A84EA2">
              <w:rPr>
                <w:rFonts w:ascii="Arial Narrow" w:hAnsi="Arial Narrow"/>
                <w:color w:val="000000"/>
                <w:sz w:val="20"/>
                <w:szCs w:val="20"/>
              </w:rPr>
              <w:fldChar w:fldCharType="begin">
                <w:ffData>
                  <w:name w:val=""/>
                  <w:enabled/>
                  <w:calcOnExit w:val="0"/>
                  <w:checkBox>
                    <w:sizeAuto/>
                    <w:default w:val="1"/>
                  </w:checkBox>
                </w:ffData>
              </w:fldChar>
            </w:r>
            <w:r w:rsidRPr="00A84EA2">
              <w:rPr>
                <w:rFonts w:ascii="Arial Narrow" w:hAnsi="Arial Narrow"/>
                <w:color w:val="000000"/>
                <w:sz w:val="20"/>
                <w:szCs w:val="20"/>
              </w:rPr>
              <w:instrText xml:space="preserve"> FORMCHECKBOX </w:instrText>
            </w:r>
            <w:r w:rsidRPr="00A84EA2">
              <w:rPr>
                <w:rFonts w:ascii="Arial Narrow" w:hAnsi="Arial Narrow"/>
                <w:color w:val="000000"/>
                <w:sz w:val="20"/>
                <w:szCs w:val="20"/>
              </w:rPr>
            </w:r>
            <w:r w:rsidRPr="00A84EA2">
              <w:rPr>
                <w:rFonts w:ascii="Arial Narrow" w:hAnsi="Arial Narrow"/>
                <w:color w:val="000000"/>
                <w:sz w:val="20"/>
                <w:szCs w:val="20"/>
              </w:rPr>
              <w:fldChar w:fldCharType="separate"/>
            </w:r>
            <w:r w:rsidRPr="00A84EA2">
              <w:rPr>
                <w:rFonts w:ascii="Arial Narrow" w:hAnsi="Arial Narrow"/>
                <w:color w:val="000000"/>
                <w:sz w:val="20"/>
                <w:szCs w:val="20"/>
              </w:rPr>
              <w:fldChar w:fldCharType="end"/>
            </w:r>
            <w:r w:rsidRPr="00A84EA2">
              <w:rPr>
                <w:rFonts w:ascii="Arial Narrow" w:hAnsi="Arial Narrow"/>
                <w:color w:val="000000"/>
                <w:sz w:val="20"/>
                <w:szCs w:val="20"/>
              </w:rPr>
              <w:t xml:space="preserve">Medical Practitioners </w:t>
            </w:r>
          </w:p>
        </w:tc>
      </w:tr>
      <w:tr w:rsidR="0058438D" w:rsidRPr="00A84EA2" w14:paraId="1D849A1E" w14:textId="77777777" w:rsidTr="00966E67">
        <w:trPr>
          <w:trHeight w:val="20"/>
        </w:trPr>
        <w:tc>
          <w:tcPr>
            <w:tcW w:w="1669" w:type="dxa"/>
            <w:gridSpan w:val="2"/>
            <w:vMerge/>
            <w:vAlign w:val="center"/>
            <w:hideMark/>
          </w:tcPr>
          <w:p w14:paraId="67D47A3C" w14:textId="77777777" w:rsidR="0058438D" w:rsidRPr="00A84EA2" w:rsidRDefault="0058438D" w:rsidP="000343C1">
            <w:pPr>
              <w:rPr>
                <w:rFonts w:ascii="Arial Narrow" w:hAnsi="Arial Narrow"/>
                <w:b/>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6241D6" w14:textId="77777777" w:rsidR="0058438D" w:rsidRPr="00A84EA2" w:rsidRDefault="0058438D" w:rsidP="00966E67">
            <w:pPr>
              <w:keepLines/>
              <w:jc w:val="left"/>
              <w:rPr>
                <w:rFonts w:ascii="Arial Narrow" w:eastAsia="Calibri" w:hAnsi="Arial Narrow"/>
                <w:color w:val="000000"/>
                <w:sz w:val="20"/>
                <w:szCs w:val="20"/>
              </w:rPr>
            </w:pPr>
            <w:r w:rsidRPr="00A84EA2">
              <w:rPr>
                <w:rFonts w:ascii="Arial Narrow" w:hAnsi="Arial Narrow"/>
                <w:b/>
                <w:color w:val="000000"/>
                <w:sz w:val="20"/>
                <w:szCs w:val="20"/>
              </w:rPr>
              <w:t xml:space="preserve">Restriction type: </w:t>
            </w:r>
            <w:r w:rsidRPr="00A84EA2">
              <w:rPr>
                <w:rFonts w:ascii="Arial Narrow" w:eastAsia="Calibri" w:hAnsi="Arial Narrow"/>
                <w:color w:val="000000"/>
                <w:sz w:val="20"/>
                <w:szCs w:val="20"/>
              </w:rPr>
              <w:br/>
            </w:r>
            <w:r w:rsidRPr="00A84EA2">
              <w:rPr>
                <w:rFonts w:ascii="Arial Narrow" w:eastAsia="Calibri" w:hAnsi="Arial Narrow"/>
                <w:color w:val="000000"/>
                <w:sz w:val="20"/>
                <w:szCs w:val="20"/>
              </w:rPr>
              <w:fldChar w:fldCharType="begin">
                <w:ffData>
                  <w:name w:val=""/>
                  <w:enabled/>
                  <w:calcOnExit w:val="0"/>
                  <w:checkBox>
                    <w:sizeAuto/>
                    <w:default w:val="1"/>
                  </w:checkBox>
                </w:ffData>
              </w:fldChar>
            </w:r>
            <w:r w:rsidRPr="00A84EA2">
              <w:rPr>
                <w:rFonts w:ascii="Arial Narrow" w:eastAsia="Calibri" w:hAnsi="Arial Narrow"/>
                <w:color w:val="000000"/>
                <w:sz w:val="20"/>
                <w:szCs w:val="20"/>
              </w:rPr>
              <w:instrText xml:space="preserve"> FORMCHECKBOX </w:instrText>
            </w:r>
            <w:r w:rsidRPr="00A84EA2">
              <w:rPr>
                <w:rFonts w:ascii="Arial Narrow" w:eastAsia="Calibri" w:hAnsi="Arial Narrow"/>
                <w:color w:val="000000"/>
                <w:sz w:val="20"/>
                <w:szCs w:val="20"/>
              </w:rPr>
            </w:r>
            <w:r w:rsidRPr="00A84EA2">
              <w:rPr>
                <w:rFonts w:ascii="Arial Narrow" w:eastAsia="Calibri" w:hAnsi="Arial Narrow"/>
                <w:color w:val="000000"/>
                <w:sz w:val="20"/>
                <w:szCs w:val="20"/>
              </w:rPr>
              <w:fldChar w:fldCharType="separate"/>
            </w:r>
            <w:r w:rsidRPr="00A84EA2">
              <w:rPr>
                <w:rFonts w:ascii="Arial Narrow" w:eastAsia="Calibri" w:hAnsi="Arial Narrow"/>
                <w:color w:val="000000"/>
                <w:sz w:val="20"/>
                <w:szCs w:val="20"/>
              </w:rPr>
              <w:fldChar w:fldCharType="end"/>
            </w:r>
            <w:r w:rsidRPr="00A84EA2">
              <w:rPr>
                <w:rFonts w:ascii="Arial Narrow" w:eastAsia="Calibri" w:hAnsi="Arial Narrow"/>
                <w:color w:val="000000"/>
                <w:sz w:val="20"/>
                <w:szCs w:val="20"/>
              </w:rPr>
              <w:t>Authority Required (FULL assessment) in writing only via OPA/post/HPOS upload))</w:t>
            </w:r>
          </w:p>
        </w:tc>
      </w:tr>
      <w:tr w:rsidR="0058438D" w:rsidRPr="00A84EA2" w14:paraId="07089DF7" w14:textId="77777777" w:rsidTr="00966E67">
        <w:trPr>
          <w:trHeight w:val="20"/>
        </w:trPr>
        <w:tc>
          <w:tcPr>
            <w:tcW w:w="1669" w:type="dxa"/>
            <w:gridSpan w:val="2"/>
            <w:vMerge/>
            <w:vAlign w:val="center"/>
            <w:hideMark/>
          </w:tcPr>
          <w:p w14:paraId="03192F8B" w14:textId="77777777" w:rsidR="0058438D" w:rsidRPr="00A84EA2" w:rsidRDefault="0058438D" w:rsidP="000343C1">
            <w:pPr>
              <w:rPr>
                <w:rFonts w:ascii="Arial Narrow" w:hAnsi="Arial Narrow"/>
                <w:b/>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419546" w14:textId="77777777" w:rsidR="0058438D" w:rsidRPr="00A84EA2" w:rsidRDefault="0058438D" w:rsidP="000343C1">
            <w:pPr>
              <w:keepLines/>
              <w:rPr>
                <w:rFonts w:ascii="Arial Narrow" w:hAnsi="Arial Narrow"/>
                <w:b/>
                <w:color w:val="000000"/>
                <w:sz w:val="20"/>
                <w:szCs w:val="20"/>
              </w:rPr>
            </w:pPr>
            <w:r w:rsidRPr="00A84EA2">
              <w:rPr>
                <w:rFonts w:ascii="Arial Narrow" w:hAnsi="Arial Narrow"/>
                <w:b/>
                <w:color w:val="000000"/>
                <w:sz w:val="20"/>
                <w:szCs w:val="20"/>
              </w:rPr>
              <w:t xml:space="preserve">Authority type: </w:t>
            </w:r>
            <w:r w:rsidRPr="00A84EA2">
              <w:rPr>
                <w:rFonts w:ascii="Arial Narrow" w:eastAsia="Calibri" w:hAnsi="Arial Narrow"/>
                <w:color w:val="000000"/>
                <w:sz w:val="20"/>
                <w:szCs w:val="20"/>
              </w:rPr>
              <w:fldChar w:fldCharType="begin">
                <w:ffData>
                  <w:name w:val=""/>
                  <w:enabled/>
                  <w:calcOnExit w:val="0"/>
                  <w:checkBox>
                    <w:sizeAuto/>
                    <w:default w:val="1"/>
                  </w:checkBox>
                </w:ffData>
              </w:fldChar>
            </w:r>
            <w:r w:rsidRPr="00A84EA2">
              <w:rPr>
                <w:rFonts w:ascii="Arial Narrow" w:eastAsia="Calibri" w:hAnsi="Arial Narrow"/>
                <w:color w:val="000000"/>
                <w:sz w:val="20"/>
                <w:szCs w:val="20"/>
              </w:rPr>
              <w:instrText xml:space="preserve"> FORMCHECKBOX </w:instrText>
            </w:r>
            <w:r w:rsidRPr="00A84EA2">
              <w:rPr>
                <w:rFonts w:ascii="Arial Narrow" w:eastAsia="Calibri" w:hAnsi="Arial Narrow"/>
                <w:color w:val="000000"/>
                <w:sz w:val="20"/>
                <w:szCs w:val="20"/>
              </w:rPr>
            </w:r>
            <w:r w:rsidRPr="00A84EA2">
              <w:rPr>
                <w:rFonts w:ascii="Arial Narrow" w:eastAsia="Calibri" w:hAnsi="Arial Narrow"/>
                <w:color w:val="000000"/>
                <w:sz w:val="20"/>
                <w:szCs w:val="20"/>
              </w:rPr>
              <w:fldChar w:fldCharType="separate"/>
            </w:r>
            <w:r w:rsidRPr="00A84EA2">
              <w:rPr>
                <w:rFonts w:ascii="Arial Narrow" w:eastAsia="Calibri" w:hAnsi="Arial Narrow"/>
                <w:color w:val="000000"/>
                <w:sz w:val="20"/>
                <w:szCs w:val="20"/>
              </w:rPr>
              <w:fldChar w:fldCharType="end"/>
            </w:r>
            <w:r w:rsidRPr="00A84EA2">
              <w:rPr>
                <w:rFonts w:ascii="Arial Narrow" w:eastAsia="Calibri" w:hAnsi="Arial Narrow"/>
                <w:color w:val="000000"/>
                <w:sz w:val="20"/>
                <w:szCs w:val="20"/>
              </w:rPr>
              <w:t xml:space="preserve"> Complex Authority Required (CAR)</w:t>
            </w:r>
          </w:p>
        </w:tc>
      </w:tr>
      <w:tr w:rsidR="0058438D" w:rsidRPr="00A84EA2" w14:paraId="6799EB16" w14:textId="77777777" w:rsidTr="00966E67">
        <w:trPr>
          <w:trHeight w:val="20"/>
        </w:trPr>
        <w:tc>
          <w:tcPr>
            <w:tcW w:w="496" w:type="dxa"/>
            <w:vMerge w:val="restart"/>
            <w:tcBorders>
              <w:top w:val="single" w:sz="4" w:space="0" w:color="auto"/>
              <w:left w:val="single" w:sz="4" w:space="0" w:color="auto"/>
              <w:bottom w:val="single" w:sz="4" w:space="0" w:color="auto"/>
              <w:right w:val="single" w:sz="4" w:space="0" w:color="auto"/>
            </w:tcBorders>
            <w:vAlign w:val="center"/>
            <w:hideMark/>
          </w:tcPr>
          <w:p w14:paraId="70A0B6C3" w14:textId="77777777" w:rsidR="0058438D" w:rsidRPr="00A84EA2" w:rsidRDefault="0058438D" w:rsidP="000343C1">
            <w:pPr>
              <w:rPr>
                <w:rFonts w:ascii="Arial Narrow" w:hAnsi="Arial Narrow"/>
                <w:color w:val="000000"/>
                <w:sz w:val="20"/>
                <w:szCs w:val="20"/>
              </w:rPr>
            </w:pPr>
          </w:p>
        </w:tc>
        <w:tc>
          <w:tcPr>
            <w:tcW w:w="11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905338" w14:textId="44539535"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D57944" w14:textId="77777777" w:rsidR="0058438D" w:rsidRPr="00A84EA2" w:rsidRDefault="0058438D" w:rsidP="000343C1">
            <w:pPr>
              <w:rPr>
                <w:rFonts w:ascii="Arial Narrow" w:hAnsi="Arial Narrow"/>
                <w:b/>
                <w:bCs/>
                <w:color w:val="000000"/>
                <w:sz w:val="20"/>
                <w:szCs w:val="20"/>
              </w:rPr>
            </w:pPr>
            <w:r w:rsidRPr="00A84EA2">
              <w:rPr>
                <w:rFonts w:ascii="Arial Narrow" w:hAnsi="Arial Narrow"/>
                <w:b/>
                <w:bCs/>
                <w:color w:val="000000"/>
                <w:sz w:val="20"/>
                <w:szCs w:val="20"/>
              </w:rPr>
              <w:t xml:space="preserve">Administrative Advice: </w:t>
            </w:r>
            <w:r w:rsidRPr="00A84EA2">
              <w:rPr>
                <w:rFonts w:ascii="Arial Narrow" w:hAnsi="Arial Narrow"/>
                <w:bCs/>
                <w:color w:val="000000"/>
                <w:sz w:val="20"/>
                <w:szCs w:val="20"/>
              </w:rPr>
              <w:t>Special Pricing Arrangements apply.</w:t>
            </w:r>
          </w:p>
        </w:tc>
      </w:tr>
      <w:tr w:rsidR="0058438D" w:rsidRPr="00A84EA2" w14:paraId="58393071" w14:textId="77777777" w:rsidTr="00966E67">
        <w:trPr>
          <w:trHeight w:val="20"/>
        </w:trPr>
        <w:tc>
          <w:tcPr>
            <w:tcW w:w="496" w:type="dxa"/>
            <w:vMerge/>
            <w:vAlign w:val="center"/>
            <w:hideMark/>
          </w:tcPr>
          <w:p w14:paraId="16DC8C7A" w14:textId="77777777" w:rsidR="0058438D" w:rsidRPr="00A84EA2" w:rsidRDefault="0058438D" w:rsidP="000343C1">
            <w:pPr>
              <w:rPr>
                <w:rFonts w:ascii="Arial Narrow" w:hAnsi="Arial Narrow"/>
                <w:color w:val="000000"/>
                <w:sz w:val="20"/>
                <w:szCs w:val="20"/>
              </w:rPr>
            </w:pPr>
          </w:p>
        </w:tc>
        <w:tc>
          <w:tcPr>
            <w:tcW w:w="11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05E3DD" w14:textId="77777777" w:rsidR="0058438D" w:rsidRPr="00A84EA2" w:rsidRDefault="0058438D" w:rsidP="000343C1">
            <w:pPr>
              <w:jc w:val="center"/>
              <w:rPr>
                <w:rFonts w:ascii="Arial Narrow" w:hAnsi="Arial Narrow"/>
                <w:bCs/>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0349F6" w14:textId="77777777" w:rsidR="0058438D" w:rsidRPr="00A84EA2" w:rsidRDefault="0058438D" w:rsidP="000343C1">
            <w:pPr>
              <w:rPr>
                <w:rFonts w:ascii="Arial Narrow" w:hAnsi="Arial Narrow"/>
                <w:color w:val="BFBFBF"/>
                <w:sz w:val="20"/>
                <w:szCs w:val="20"/>
              </w:rPr>
            </w:pPr>
            <w:proofErr w:type="spellStart"/>
            <w:r w:rsidRPr="00A84EA2">
              <w:rPr>
                <w:rFonts w:ascii="Arial Narrow" w:hAnsi="Arial Narrow"/>
                <w:b/>
                <w:bCs/>
                <w:color w:val="BFBFBF"/>
                <w:sz w:val="20"/>
                <w:szCs w:val="20"/>
              </w:rPr>
              <w:t>Episodicity</w:t>
            </w:r>
            <w:proofErr w:type="spellEnd"/>
            <w:r w:rsidRPr="00A84EA2">
              <w:rPr>
                <w:rFonts w:ascii="Arial Narrow" w:hAnsi="Arial Narrow"/>
                <w:b/>
                <w:bCs/>
                <w:color w:val="BFBFBF"/>
                <w:sz w:val="20"/>
                <w:szCs w:val="20"/>
              </w:rPr>
              <w:t>:</w:t>
            </w:r>
            <w:r w:rsidRPr="00A84EA2">
              <w:rPr>
                <w:rFonts w:ascii="Arial Narrow" w:hAnsi="Arial Narrow"/>
                <w:color w:val="BFBFBF"/>
                <w:sz w:val="20"/>
                <w:szCs w:val="20"/>
              </w:rPr>
              <w:t xml:space="preserve"> Active</w:t>
            </w:r>
          </w:p>
        </w:tc>
      </w:tr>
      <w:tr w:rsidR="0058438D" w:rsidRPr="00A84EA2" w14:paraId="36C3B409" w14:textId="77777777" w:rsidTr="00966E67">
        <w:trPr>
          <w:trHeight w:val="20"/>
        </w:trPr>
        <w:tc>
          <w:tcPr>
            <w:tcW w:w="496" w:type="dxa"/>
            <w:tcBorders>
              <w:top w:val="single" w:sz="4" w:space="0" w:color="auto"/>
              <w:left w:val="single" w:sz="4" w:space="0" w:color="auto"/>
              <w:bottom w:val="single" w:sz="4" w:space="0" w:color="auto"/>
              <w:right w:val="single" w:sz="4" w:space="0" w:color="auto"/>
            </w:tcBorders>
            <w:vAlign w:val="center"/>
          </w:tcPr>
          <w:p w14:paraId="2504433B" w14:textId="77777777" w:rsidR="0058438D" w:rsidRPr="00A84EA2" w:rsidRDefault="0058438D" w:rsidP="000343C1">
            <w:pPr>
              <w:rPr>
                <w:rFonts w:ascii="Arial Narrow" w:hAnsi="Arial Narrow"/>
                <w:color w:val="000000"/>
                <w:sz w:val="20"/>
                <w:szCs w:val="20"/>
              </w:rPr>
            </w:pPr>
          </w:p>
        </w:tc>
        <w:tc>
          <w:tcPr>
            <w:tcW w:w="11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9402A8" w14:textId="77777777" w:rsidR="0058438D" w:rsidRPr="00A84EA2" w:rsidRDefault="0058438D" w:rsidP="000343C1">
            <w:pPr>
              <w:jc w:val="center"/>
              <w:rPr>
                <w:rFonts w:ascii="Arial Narrow" w:hAnsi="Arial Narrow"/>
                <w:bCs/>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36A0CD" w14:textId="77777777" w:rsidR="0058438D" w:rsidRPr="00A84EA2" w:rsidRDefault="0058438D" w:rsidP="000343C1">
            <w:pPr>
              <w:rPr>
                <w:rFonts w:ascii="Arial Narrow" w:hAnsi="Arial Narrow"/>
                <w:color w:val="BFBFBF"/>
                <w:sz w:val="20"/>
                <w:szCs w:val="20"/>
              </w:rPr>
            </w:pPr>
            <w:r w:rsidRPr="00A84EA2">
              <w:rPr>
                <w:rFonts w:ascii="Arial Narrow" w:hAnsi="Arial Narrow"/>
                <w:b/>
                <w:bCs/>
                <w:color w:val="BFBFBF"/>
                <w:sz w:val="20"/>
                <w:szCs w:val="20"/>
              </w:rPr>
              <w:t>Severity:</w:t>
            </w:r>
            <w:r w:rsidRPr="00A84EA2">
              <w:rPr>
                <w:rFonts w:ascii="Arial Narrow" w:hAnsi="Arial Narrow"/>
                <w:color w:val="BFBFBF"/>
                <w:sz w:val="20"/>
                <w:szCs w:val="20"/>
              </w:rPr>
              <w:t xml:space="preserve"> Uncontrolled Severe</w:t>
            </w:r>
          </w:p>
        </w:tc>
      </w:tr>
      <w:tr w:rsidR="0058438D" w:rsidRPr="00A84EA2" w14:paraId="4F196BD3"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DE95C3" w14:textId="4F4B0C70" w:rsidR="0058438D" w:rsidRPr="00A84EA2" w:rsidRDefault="00F62010" w:rsidP="000343C1">
            <w:pPr>
              <w:keepLines/>
              <w:jc w:val="center"/>
              <w:rPr>
                <w:rFonts w:ascii="Arial Narrow" w:hAnsi="Arial Narrow"/>
                <w:color w:val="000000"/>
                <w:sz w:val="20"/>
                <w:szCs w:val="20"/>
              </w:rPr>
            </w:pPr>
            <w:r>
              <w:rPr>
                <w:rFonts w:ascii="Arial Narrow" w:hAnsi="Arial Narrow"/>
                <w:color w:val="000000"/>
                <w:sz w:val="20"/>
                <w:szCs w:val="20"/>
              </w:rPr>
              <w:t xml:space="preserve"> </w:t>
            </w: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24212C" w14:textId="1D18B5BE" w:rsidR="0058438D" w:rsidRPr="00A84EA2" w:rsidRDefault="0058438D" w:rsidP="000343C1">
            <w:pPr>
              <w:keepLines/>
              <w:rPr>
                <w:rFonts w:ascii="Arial Narrow" w:hAnsi="Arial Narrow"/>
                <w:color w:val="000000"/>
                <w:sz w:val="20"/>
                <w:szCs w:val="20"/>
              </w:rPr>
            </w:pPr>
            <w:r w:rsidRPr="02E8A7A0">
              <w:rPr>
                <w:rFonts w:ascii="Arial Narrow" w:hAnsi="Arial Narrow"/>
                <w:b/>
                <w:bCs/>
                <w:color w:val="000000" w:themeColor="text1"/>
                <w:sz w:val="20"/>
                <w:szCs w:val="20"/>
              </w:rPr>
              <w:t>Indication:</w:t>
            </w:r>
            <w:r w:rsidRPr="02E8A7A0">
              <w:rPr>
                <w:rFonts w:ascii="Arial Narrow" w:hAnsi="Arial Narrow"/>
                <w:color w:val="000000" w:themeColor="text1"/>
                <w:sz w:val="20"/>
                <w:szCs w:val="20"/>
              </w:rPr>
              <w:t xml:space="preserve"> Uncontrolled severe asthma (non-eosinophilic</w:t>
            </w:r>
            <w:r w:rsidR="00AB5F2F">
              <w:rPr>
                <w:rFonts w:ascii="Arial Narrow" w:hAnsi="Arial Narrow"/>
                <w:color w:val="000000" w:themeColor="text1"/>
                <w:sz w:val="20"/>
                <w:szCs w:val="20"/>
              </w:rPr>
              <w:t>/</w:t>
            </w:r>
            <w:r w:rsidRPr="02E8A7A0">
              <w:rPr>
                <w:rFonts w:ascii="Arial Narrow" w:hAnsi="Arial Narrow"/>
                <w:color w:val="000000" w:themeColor="text1"/>
                <w:sz w:val="20"/>
                <w:szCs w:val="20"/>
              </w:rPr>
              <w:t>non allergic)</w:t>
            </w:r>
          </w:p>
        </w:tc>
      </w:tr>
      <w:tr w:rsidR="0058438D" w:rsidRPr="00A84EA2" w14:paraId="783DB59C" w14:textId="77777777" w:rsidTr="00966E67">
        <w:trPr>
          <w:cantSplit/>
          <w:trHeight w:val="437"/>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4A6B80" w14:textId="77777777" w:rsidR="0058438D" w:rsidRPr="00A84EA2" w:rsidRDefault="0058438D" w:rsidP="000343C1"/>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0ACBEA" w14:textId="77777777" w:rsidR="0058438D" w:rsidRPr="00A84EA2" w:rsidRDefault="0058438D" w:rsidP="000343C1">
            <w:pPr>
              <w:rPr>
                <w:rFonts w:ascii="Arial Narrow" w:hAnsi="Arial Narrow"/>
                <w:color w:val="000000"/>
                <w:sz w:val="20"/>
                <w:szCs w:val="20"/>
              </w:rPr>
            </w:pPr>
            <w:r w:rsidRPr="00A84EA2">
              <w:rPr>
                <w:rFonts w:ascii="Arial Narrow" w:hAnsi="Arial Narrow"/>
                <w:b/>
                <w:bCs/>
                <w:color w:val="000000"/>
                <w:sz w:val="20"/>
                <w:szCs w:val="20"/>
              </w:rPr>
              <w:t>Treatment Phase:</w:t>
            </w:r>
            <w:r w:rsidRPr="00A84EA2">
              <w:rPr>
                <w:rFonts w:ascii="Arial Narrow" w:hAnsi="Arial Narrow"/>
                <w:color w:val="000000"/>
                <w:sz w:val="20"/>
                <w:szCs w:val="20"/>
              </w:rPr>
              <w:t xml:space="preserve"> Initial treatment – </w:t>
            </w:r>
            <w:r w:rsidRPr="00A84EA2">
              <w:rPr>
                <w:rFonts w:ascii="Arial Narrow" w:hAnsi="Arial Narrow"/>
                <w:sz w:val="20"/>
                <w:szCs w:val="20"/>
              </w:rPr>
              <w:t>Initial 1 (New patients; or Recommencement of treatment in a new treatment cycle following a break in PBS subsidised biological medicine therapy)</w:t>
            </w:r>
          </w:p>
        </w:tc>
      </w:tr>
      <w:tr w:rsidR="0058438D" w:rsidRPr="00A84EA2" w14:paraId="0BBE249F"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6D0732" w14:textId="2C5CD2BC"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BA0E29" w14:textId="77777777" w:rsidR="0058438D" w:rsidRPr="00A84EA2" w:rsidRDefault="0058438D" w:rsidP="000343C1">
            <w:pPr>
              <w:rPr>
                <w:rFonts w:ascii="Arial Narrow" w:hAnsi="Arial Narrow"/>
                <w:b/>
                <w:bCs/>
                <w:color w:val="000000"/>
                <w:sz w:val="20"/>
                <w:szCs w:val="20"/>
              </w:rPr>
            </w:pPr>
            <w:r w:rsidRPr="00A84EA2">
              <w:rPr>
                <w:rFonts w:ascii="Arial Narrow" w:hAnsi="Arial Narrow"/>
                <w:b/>
                <w:bCs/>
                <w:color w:val="000000"/>
                <w:sz w:val="20"/>
                <w:szCs w:val="20"/>
              </w:rPr>
              <w:t>Treatment criteria:</w:t>
            </w:r>
          </w:p>
        </w:tc>
      </w:tr>
      <w:tr w:rsidR="0058438D" w:rsidRPr="00A84EA2" w14:paraId="333CEE42"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8FA68E" w14:textId="657355C8"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F5514D" w14:textId="77777777" w:rsidR="0058438D" w:rsidRPr="00A84EA2" w:rsidRDefault="0058438D" w:rsidP="000343C1">
            <w:pPr>
              <w:rPr>
                <w:rFonts w:ascii="Arial Narrow" w:hAnsi="Arial Narrow"/>
                <w:strike/>
                <w:color w:val="000000"/>
                <w:sz w:val="20"/>
                <w:szCs w:val="20"/>
              </w:rPr>
            </w:pPr>
            <w:r w:rsidRPr="00A84EA2">
              <w:rPr>
                <w:rFonts w:ascii="Arial Narrow" w:hAnsi="Arial Narrow" w:cs="Arial Narrow"/>
                <w:color w:val="000000"/>
                <w:sz w:val="20"/>
                <w:szCs w:val="20"/>
              </w:rPr>
              <w:t>Must be treated by a medical practitioner who is either a: (</w:t>
            </w:r>
            <w:proofErr w:type="spellStart"/>
            <w:r w:rsidRPr="00A84EA2">
              <w:rPr>
                <w:rFonts w:ascii="Arial Narrow" w:hAnsi="Arial Narrow" w:cs="Arial Narrow"/>
                <w:color w:val="000000"/>
                <w:sz w:val="20"/>
                <w:szCs w:val="20"/>
              </w:rPr>
              <w:t>i</w:t>
            </w:r>
            <w:proofErr w:type="spellEnd"/>
            <w:r w:rsidRPr="00A84EA2">
              <w:rPr>
                <w:rFonts w:ascii="Arial Narrow" w:hAnsi="Arial Narrow" w:cs="Arial Narrow"/>
                <w:color w:val="000000"/>
                <w:sz w:val="20"/>
                <w:szCs w:val="20"/>
              </w:rPr>
              <w:t xml:space="preserve">) respiratory physician, (ii) clinical immunologist, (iii) allergist, (iv) general physician experienced in the management of patients with severe asthma </w:t>
            </w:r>
          </w:p>
        </w:tc>
      </w:tr>
      <w:tr w:rsidR="0058438D" w:rsidRPr="00133B19" w14:paraId="4516EF5A"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8D3A69" w14:textId="14AECF4C" w:rsidR="0058438D" w:rsidRPr="00133B19"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069F38" w14:textId="77777777" w:rsidR="0058438D" w:rsidRPr="00133B19" w:rsidRDefault="0058438D" w:rsidP="000343C1">
            <w:pPr>
              <w:rPr>
                <w:rFonts w:ascii="Arial Narrow" w:hAnsi="Arial Narrow"/>
                <w:color w:val="000000"/>
                <w:sz w:val="20"/>
                <w:szCs w:val="20"/>
              </w:rPr>
            </w:pPr>
            <w:r w:rsidRPr="00133B19">
              <w:rPr>
                <w:rFonts w:ascii="Arial Narrow" w:hAnsi="Arial Narrow"/>
                <w:b/>
                <w:bCs/>
                <w:color w:val="000000"/>
                <w:sz w:val="20"/>
                <w:szCs w:val="20"/>
              </w:rPr>
              <w:t xml:space="preserve">Clinical criteria: </w:t>
            </w:r>
          </w:p>
        </w:tc>
      </w:tr>
      <w:tr w:rsidR="0058438D" w:rsidRPr="00133B19" w14:paraId="45576942"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E91887" w14:textId="53E3923D" w:rsidR="0058438D" w:rsidRPr="00133B19"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5EBBCC" w14:textId="77777777" w:rsidR="0058438D" w:rsidRPr="00133B19" w:rsidRDefault="0058438D" w:rsidP="000343C1">
            <w:pPr>
              <w:rPr>
                <w:rFonts w:ascii="Arial Narrow" w:eastAsia="Aptos" w:hAnsi="Arial Narrow"/>
                <w:color w:val="000000"/>
                <w:sz w:val="20"/>
                <w:szCs w:val="20"/>
              </w:rPr>
            </w:pPr>
            <w:r w:rsidRPr="00133B19">
              <w:rPr>
                <w:rFonts w:ascii="Arial Narrow" w:eastAsia="Aptos" w:hAnsi="Arial Narrow"/>
                <w:color w:val="000000"/>
                <w:sz w:val="20"/>
                <w:szCs w:val="20"/>
              </w:rPr>
              <w:t>Patient must be under the care of the same physician for at least 6 months; or</w:t>
            </w:r>
          </w:p>
        </w:tc>
      </w:tr>
      <w:tr w:rsidR="0058438D" w:rsidRPr="00133B19" w14:paraId="4028B113"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6DF53F" w14:textId="77777777" w:rsidR="0058438D" w:rsidRPr="00133B19"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665DC9" w14:textId="77777777" w:rsidR="0058438D" w:rsidRPr="00133B19" w:rsidRDefault="0058438D" w:rsidP="000343C1">
            <w:pPr>
              <w:rPr>
                <w:rFonts w:ascii="Arial Narrow" w:eastAsia="Aptos" w:hAnsi="Arial Narrow"/>
                <w:b/>
                <w:bCs/>
                <w:color w:val="000000"/>
                <w:sz w:val="20"/>
                <w:szCs w:val="20"/>
              </w:rPr>
            </w:pPr>
            <w:r w:rsidRPr="00133B19">
              <w:rPr>
                <w:rFonts w:ascii="Arial Narrow" w:eastAsia="Aptos" w:hAnsi="Arial Narrow"/>
                <w:b/>
                <w:bCs/>
                <w:color w:val="000000"/>
                <w:sz w:val="20"/>
                <w:szCs w:val="20"/>
              </w:rPr>
              <w:t>OR</w:t>
            </w:r>
          </w:p>
        </w:tc>
      </w:tr>
      <w:tr w:rsidR="0058438D" w:rsidRPr="00133B19" w14:paraId="23FAB78E"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1E038F" w14:textId="112B81FC" w:rsidR="0058438D" w:rsidRPr="00133B19"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7B871A" w14:textId="77777777" w:rsidR="0058438D" w:rsidRPr="00133B19" w:rsidRDefault="0058438D" w:rsidP="000343C1">
            <w:pPr>
              <w:rPr>
                <w:rFonts w:ascii="Arial Narrow" w:eastAsia="Aptos" w:hAnsi="Arial Narrow"/>
                <w:color w:val="000000"/>
                <w:sz w:val="20"/>
                <w:szCs w:val="20"/>
              </w:rPr>
            </w:pPr>
            <w:r w:rsidRPr="00133B19">
              <w:rPr>
                <w:rFonts w:ascii="Arial Narrow" w:eastAsia="Aptos" w:hAnsi="Arial Narrow"/>
                <w:color w:val="000000"/>
                <w:sz w:val="20"/>
                <w:szCs w:val="20"/>
              </w:rPr>
              <w:t>Patient must have been diagnosed by a multidisciplinary severe asthma clinic team.</w:t>
            </w:r>
          </w:p>
        </w:tc>
      </w:tr>
      <w:tr w:rsidR="0058438D" w:rsidRPr="00133B19" w14:paraId="65C0E455"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608485" w14:textId="77777777" w:rsidR="0058438D" w:rsidRPr="00133B19"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C8DC86" w14:textId="77777777" w:rsidR="0058438D" w:rsidRPr="00133B19" w:rsidRDefault="0058438D" w:rsidP="000343C1">
            <w:pPr>
              <w:rPr>
                <w:rFonts w:ascii="Arial Narrow" w:eastAsia="Aptos" w:hAnsi="Arial Narrow"/>
                <w:color w:val="000000"/>
                <w:sz w:val="20"/>
                <w:szCs w:val="20"/>
              </w:rPr>
            </w:pPr>
            <w:r w:rsidRPr="00133B19">
              <w:rPr>
                <w:rFonts w:ascii="Arial Narrow" w:hAnsi="Arial Narrow"/>
                <w:b/>
                <w:bCs/>
                <w:color w:val="000000"/>
                <w:sz w:val="20"/>
                <w:szCs w:val="20"/>
              </w:rPr>
              <w:t>AND</w:t>
            </w:r>
          </w:p>
        </w:tc>
      </w:tr>
      <w:tr w:rsidR="0058438D" w:rsidRPr="00133B19" w14:paraId="055572C4"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04810C" w14:textId="4D2656A5" w:rsidR="0058438D" w:rsidRPr="00133B19"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D77FFA" w14:textId="77777777" w:rsidR="0058438D" w:rsidRPr="00133B19" w:rsidRDefault="0058438D" w:rsidP="000343C1">
            <w:pPr>
              <w:rPr>
                <w:rFonts w:ascii="Arial Narrow" w:eastAsia="Aptos" w:hAnsi="Arial Narrow"/>
                <w:color w:val="000000"/>
                <w:sz w:val="20"/>
                <w:szCs w:val="20"/>
              </w:rPr>
            </w:pPr>
            <w:r w:rsidRPr="00133B19">
              <w:rPr>
                <w:rFonts w:ascii="Arial Narrow" w:hAnsi="Arial Narrow"/>
                <w:b/>
                <w:bCs/>
                <w:color w:val="000000"/>
                <w:sz w:val="20"/>
                <w:szCs w:val="20"/>
              </w:rPr>
              <w:t>Clinical criteria:</w:t>
            </w:r>
          </w:p>
        </w:tc>
      </w:tr>
      <w:tr w:rsidR="0058438D" w:rsidRPr="00133B19" w14:paraId="4BEBC378"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206D9E" w14:textId="52D6D753" w:rsidR="0058438D" w:rsidRPr="00133B19"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1A2AE2" w14:textId="77777777" w:rsidR="0058438D" w:rsidRPr="00133B19" w:rsidRDefault="0058438D" w:rsidP="000343C1">
            <w:pPr>
              <w:rPr>
                <w:rFonts w:ascii="Arial Narrow" w:eastAsia="Aptos" w:hAnsi="Arial Narrow"/>
                <w:color w:val="000000"/>
                <w:sz w:val="20"/>
                <w:szCs w:val="20"/>
              </w:rPr>
            </w:pPr>
            <w:r w:rsidRPr="00133B19">
              <w:rPr>
                <w:rFonts w:ascii="Arial Narrow" w:eastAsia="Aptos" w:hAnsi="Arial Narrow"/>
                <w:color w:val="000000"/>
                <w:sz w:val="20"/>
                <w:szCs w:val="20"/>
              </w:rPr>
              <w:t>Patient must not have received PBS-subsidised treatment with a biological medicine for severe asthma;</w:t>
            </w:r>
          </w:p>
        </w:tc>
      </w:tr>
      <w:tr w:rsidR="0058438D" w:rsidRPr="00133B19" w14:paraId="1CF8A1E6"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B6A23E" w14:textId="77777777" w:rsidR="0058438D" w:rsidRPr="00133B19" w:rsidRDefault="0058438D" w:rsidP="000343C1">
            <w:pPr>
              <w:jc w:val="center"/>
              <w:rPr>
                <w:rFonts w:ascii="Arial Narrow" w:hAnsi="Arial Narrow"/>
                <w:b/>
                <w:bCs/>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7B0196" w14:textId="77777777" w:rsidR="0058438D" w:rsidRPr="00133B19" w:rsidRDefault="0058438D" w:rsidP="000343C1">
            <w:pPr>
              <w:rPr>
                <w:rFonts w:ascii="Arial Narrow" w:eastAsia="Aptos" w:hAnsi="Arial Narrow"/>
                <w:b/>
                <w:bCs/>
                <w:color w:val="000000"/>
                <w:sz w:val="20"/>
                <w:szCs w:val="20"/>
              </w:rPr>
            </w:pPr>
            <w:r w:rsidRPr="00133B19">
              <w:rPr>
                <w:rFonts w:ascii="Arial Narrow" w:eastAsia="Aptos" w:hAnsi="Arial Narrow"/>
                <w:b/>
                <w:bCs/>
                <w:color w:val="000000"/>
                <w:sz w:val="20"/>
                <w:szCs w:val="20"/>
              </w:rPr>
              <w:t>OR</w:t>
            </w:r>
          </w:p>
        </w:tc>
      </w:tr>
      <w:tr w:rsidR="0058438D" w:rsidRPr="00133B19" w14:paraId="2F39907E"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67B632" w14:textId="170F6DC3" w:rsidR="0058438D" w:rsidRPr="00133B19"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C55422" w14:textId="77777777" w:rsidR="0058438D" w:rsidRPr="00133B19" w:rsidRDefault="0058438D" w:rsidP="000343C1">
            <w:pPr>
              <w:rPr>
                <w:rFonts w:ascii="Arial Narrow" w:eastAsia="Aptos" w:hAnsi="Arial Narrow"/>
                <w:color w:val="000000"/>
                <w:sz w:val="20"/>
                <w:szCs w:val="20"/>
              </w:rPr>
            </w:pPr>
            <w:r w:rsidRPr="00133B19">
              <w:rPr>
                <w:rFonts w:ascii="Arial Narrow" w:eastAsia="Aptos" w:hAnsi="Arial Narrow"/>
                <w:color w:val="000000"/>
                <w:sz w:val="20"/>
                <w:szCs w:val="20"/>
              </w:rPr>
              <w:t xml:space="preserve">Patient must have had a break </w:t>
            </w:r>
            <w:r w:rsidRPr="00DF5C60">
              <w:rPr>
                <w:rFonts w:ascii="Arial Narrow" w:eastAsia="Aptos" w:hAnsi="Arial Narrow"/>
                <w:color w:val="000000"/>
                <w:sz w:val="20"/>
                <w:szCs w:val="20"/>
              </w:rPr>
              <w:t>in treatment of at least 12 months from the most recently approved</w:t>
            </w:r>
            <w:r w:rsidRPr="00133B19">
              <w:rPr>
                <w:rFonts w:ascii="Arial Narrow" w:eastAsia="Aptos" w:hAnsi="Arial Narrow"/>
                <w:color w:val="000000"/>
                <w:sz w:val="20"/>
                <w:szCs w:val="20"/>
              </w:rPr>
              <w:t xml:space="preserve"> PBS-subsidised biological medicine for severe asthma.</w:t>
            </w:r>
          </w:p>
        </w:tc>
      </w:tr>
      <w:tr w:rsidR="0058438D" w:rsidRPr="00133B19" w14:paraId="3F349D83"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E68FA3B" w14:textId="77777777" w:rsidR="0058438D" w:rsidRPr="00133B19"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5475B6" w14:textId="77777777" w:rsidR="0058438D" w:rsidRPr="00133B19" w:rsidRDefault="0058438D" w:rsidP="000343C1">
            <w:pPr>
              <w:rPr>
                <w:rFonts w:ascii="Arial Narrow" w:eastAsia="Aptos" w:hAnsi="Arial Narrow"/>
                <w:color w:val="000000"/>
                <w:sz w:val="20"/>
                <w:szCs w:val="20"/>
              </w:rPr>
            </w:pPr>
            <w:r w:rsidRPr="00133B19">
              <w:rPr>
                <w:rFonts w:ascii="Arial Narrow" w:hAnsi="Arial Narrow"/>
                <w:b/>
                <w:bCs/>
                <w:color w:val="000000"/>
                <w:sz w:val="20"/>
                <w:szCs w:val="20"/>
              </w:rPr>
              <w:t>AND</w:t>
            </w:r>
          </w:p>
        </w:tc>
      </w:tr>
      <w:tr w:rsidR="0058438D" w:rsidRPr="00A84EA2" w14:paraId="3E2C5F0F"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8B6EA0" w14:textId="45F286D0"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1FC744" w14:textId="77777777" w:rsidR="0058438D" w:rsidRPr="00A84EA2" w:rsidRDefault="0058438D" w:rsidP="000343C1">
            <w:pPr>
              <w:rPr>
                <w:rFonts w:ascii="Arial Narrow" w:eastAsia="Aptos" w:hAnsi="Arial Narrow"/>
                <w:color w:val="000000"/>
                <w:sz w:val="20"/>
                <w:szCs w:val="20"/>
              </w:rPr>
            </w:pPr>
            <w:r w:rsidRPr="00A84EA2">
              <w:rPr>
                <w:rFonts w:ascii="Arial Narrow" w:hAnsi="Arial Narrow"/>
                <w:b/>
                <w:bCs/>
                <w:color w:val="000000"/>
                <w:sz w:val="20"/>
                <w:szCs w:val="20"/>
              </w:rPr>
              <w:t>Clinical criteria:</w:t>
            </w:r>
          </w:p>
        </w:tc>
      </w:tr>
      <w:tr w:rsidR="0058438D" w:rsidRPr="00A84EA2" w14:paraId="584C4911"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4796BE" w14:textId="6CB29E83"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6EDE21" w14:textId="77777777" w:rsidR="0058438D" w:rsidRPr="00A84EA2" w:rsidRDefault="0058438D" w:rsidP="000343C1">
            <w:pPr>
              <w:rPr>
                <w:rFonts w:ascii="Arial Narrow" w:eastAsia="Aptos" w:hAnsi="Arial Narrow"/>
                <w:color w:val="000000"/>
                <w:sz w:val="20"/>
                <w:szCs w:val="20"/>
              </w:rPr>
            </w:pPr>
            <w:r w:rsidRPr="00A84EA2">
              <w:rPr>
                <w:rFonts w:ascii="Arial Narrow" w:eastAsia="Aptos" w:hAnsi="Arial Narrow"/>
                <w:color w:val="000000"/>
                <w:sz w:val="20"/>
                <w:szCs w:val="20"/>
              </w:rPr>
              <w:t>Patient must have a diagnosis of asthma confirmed and documented in the patient's medical records by either a: (</w:t>
            </w:r>
            <w:proofErr w:type="spellStart"/>
            <w:r w:rsidRPr="00A84EA2">
              <w:rPr>
                <w:rFonts w:ascii="Arial Narrow" w:eastAsia="Aptos" w:hAnsi="Arial Narrow"/>
                <w:color w:val="000000"/>
                <w:sz w:val="20"/>
                <w:szCs w:val="20"/>
              </w:rPr>
              <w:t>i</w:t>
            </w:r>
            <w:proofErr w:type="spellEnd"/>
            <w:r w:rsidRPr="00A84EA2">
              <w:rPr>
                <w:rFonts w:ascii="Arial Narrow" w:eastAsia="Aptos" w:hAnsi="Arial Narrow"/>
                <w:color w:val="000000"/>
                <w:sz w:val="20"/>
                <w:szCs w:val="20"/>
              </w:rPr>
              <w:t>) respiratory physician, (ii) clinical immunologist, (iii) allergist, (iv) general physician experienced in the management of patients with severe asthma, defined by at least one of the following standard clinical features: (a) forced expiratory volume (FEV1) reversibility greater than or equal to 12% and greater than or equal to 200 mL at baseline within 30 minutes after administration of salbutamol (200 to 400 micrograms), (b) airway hyperresponsiveness defined as a greater than 20% decline in FEV1 during a direct bronchial provocation test or greater than 15% decline during an indirect bronchial provocation test, (c) peak expiratory flow (PEF) variability of greater than 15% between the two highest and two lowest peak expiratory flow rates during 14 days;</w:t>
            </w:r>
          </w:p>
        </w:tc>
      </w:tr>
      <w:tr w:rsidR="0058438D" w:rsidRPr="00A84EA2" w14:paraId="082AA671"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9BEA0B" w14:textId="77777777"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6E6BCE" w14:textId="77777777" w:rsidR="0058438D" w:rsidRPr="00A84EA2" w:rsidRDefault="0058438D" w:rsidP="000343C1">
            <w:pPr>
              <w:rPr>
                <w:rFonts w:ascii="Arial Narrow" w:eastAsia="Aptos" w:hAnsi="Arial Narrow"/>
                <w:b/>
                <w:bCs/>
                <w:color w:val="000000"/>
                <w:sz w:val="20"/>
                <w:szCs w:val="20"/>
              </w:rPr>
            </w:pPr>
            <w:r w:rsidRPr="00A84EA2">
              <w:rPr>
                <w:rFonts w:ascii="Arial Narrow" w:eastAsia="Aptos" w:hAnsi="Arial Narrow"/>
                <w:b/>
                <w:bCs/>
                <w:color w:val="000000"/>
                <w:sz w:val="20"/>
                <w:szCs w:val="20"/>
              </w:rPr>
              <w:t>OR</w:t>
            </w:r>
          </w:p>
        </w:tc>
      </w:tr>
      <w:tr w:rsidR="0058438D" w:rsidRPr="00A84EA2" w14:paraId="56E75B32"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3FEB81" w14:textId="0BB2BD1C"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A3AA562" w14:textId="77777777" w:rsidR="0058438D" w:rsidRPr="00A84EA2" w:rsidRDefault="0058438D" w:rsidP="000343C1">
            <w:pPr>
              <w:rPr>
                <w:rFonts w:ascii="Arial Narrow" w:eastAsia="Aptos" w:hAnsi="Arial Narrow"/>
                <w:color w:val="000000"/>
                <w:sz w:val="20"/>
                <w:szCs w:val="20"/>
              </w:rPr>
            </w:pPr>
            <w:r w:rsidRPr="00A84EA2">
              <w:rPr>
                <w:rFonts w:ascii="Arial Narrow" w:eastAsia="Aptos" w:hAnsi="Arial Narrow"/>
                <w:color w:val="000000"/>
                <w:sz w:val="20"/>
                <w:szCs w:val="20"/>
              </w:rPr>
              <w:t>Patient must have a diagnosis of asthma from at least two physicians experienced in the management of patients with severe asthma with the details document in the patients’ medical records</w:t>
            </w:r>
          </w:p>
        </w:tc>
      </w:tr>
      <w:tr w:rsidR="0058438D" w:rsidRPr="00A84EA2" w14:paraId="382F4341"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4A268A8" w14:textId="77777777"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95A030" w14:textId="77777777" w:rsidR="0058438D" w:rsidRPr="00A84EA2" w:rsidRDefault="0058438D" w:rsidP="000343C1">
            <w:pPr>
              <w:rPr>
                <w:rFonts w:ascii="Arial Narrow" w:eastAsia="Aptos" w:hAnsi="Arial Narrow"/>
                <w:color w:val="000000"/>
                <w:sz w:val="20"/>
                <w:szCs w:val="20"/>
              </w:rPr>
            </w:pPr>
            <w:r w:rsidRPr="00A84EA2">
              <w:rPr>
                <w:rFonts w:ascii="Arial Narrow" w:hAnsi="Arial Narrow"/>
                <w:b/>
                <w:bCs/>
                <w:color w:val="000000"/>
                <w:sz w:val="20"/>
                <w:szCs w:val="20"/>
              </w:rPr>
              <w:t>AND</w:t>
            </w:r>
          </w:p>
        </w:tc>
      </w:tr>
      <w:tr w:rsidR="0058438D" w:rsidRPr="00A84EA2" w14:paraId="67D1CCDF"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33EB16" w14:textId="5EE2799E"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CE4FA2" w14:textId="77777777" w:rsidR="0058438D" w:rsidRPr="00A84EA2" w:rsidRDefault="0058438D" w:rsidP="000343C1">
            <w:pPr>
              <w:rPr>
                <w:rFonts w:ascii="Arial Narrow" w:eastAsia="Aptos" w:hAnsi="Arial Narrow"/>
                <w:color w:val="000000"/>
                <w:sz w:val="20"/>
                <w:szCs w:val="20"/>
              </w:rPr>
            </w:pPr>
            <w:r w:rsidRPr="00A84EA2">
              <w:rPr>
                <w:rFonts w:ascii="Arial Narrow" w:hAnsi="Arial Narrow"/>
                <w:b/>
                <w:bCs/>
                <w:color w:val="000000"/>
                <w:sz w:val="20"/>
                <w:szCs w:val="20"/>
              </w:rPr>
              <w:t>Clinical criteria:</w:t>
            </w:r>
          </w:p>
        </w:tc>
      </w:tr>
      <w:tr w:rsidR="0058438D" w:rsidRPr="00A84EA2" w14:paraId="656B23C1"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AD6ABD" w14:textId="7DD83AFE"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E4CBCB" w14:textId="77777777" w:rsidR="0058438D" w:rsidRPr="00A84EA2" w:rsidRDefault="0058438D" w:rsidP="000343C1">
            <w:pPr>
              <w:rPr>
                <w:rFonts w:ascii="Arial Narrow" w:eastAsia="Aptos" w:hAnsi="Arial Narrow"/>
                <w:color w:val="000000"/>
                <w:sz w:val="20"/>
                <w:szCs w:val="20"/>
              </w:rPr>
            </w:pPr>
            <w:r w:rsidRPr="00A84EA2">
              <w:rPr>
                <w:rFonts w:ascii="Arial Narrow" w:eastAsia="Aptos" w:hAnsi="Arial Narrow"/>
                <w:color w:val="000000"/>
                <w:sz w:val="20"/>
                <w:szCs w:val="20"/>
              </w:rPr>
              <w:t>Patient must have a duration of asthma of at least 1 year.</w:t>
            </w:r>
          </w:p>
        </w:tc>
      </w:tr>
      <w:tr w:rsidR="0058438D" w:rsidRPr="00A84EA2" w14:paraId="06C440C6"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478A70" w14:textId="77777777"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96D70A" w14:textId="77777777" w:rsidR="0058438D" w:rsidRPr="00A84EA2" w:rsidRDefault="0058438D" w:rsidP="000343C1">
            <w:pPr>
              <w:rPr>
                <w:rFonts w:ascii="Arial Narrow" w:eastAsia="Aptos" w:hAnsi="Arial Narrow"/>
                <w:color w:val="000000"/>
                <w:sz w:val="20"/>
                <w:szCs w:val="20"/>
              </w:rPr>
            </w:pPr>
            <w:r w:rsidRPr="00A84EA2">
              <w:rPr>
                <w:rFonts w:ascii="Arial Narrow" w:hAnsi="Arial Narrow"/>
                <w:b/>
                <w:bCs/>
                <w:color w:val="000000"/>
                <w:sz w:val="20"/>
                <w:szCs w:val="20"/>
              </w:rPr>
              <w:t>AND</w:t>
            </w:r>
          </w:p>
        </w:tc>
      </w:tr>
      <w:tr w:rsidR="0058438D" w:rsidRPr="00A84EA2" w14:paraId="3B0CDE0E"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F5B0DD" w14:textId="5794080F" w:rsidR="0058438D" w:rsidRPr="00A84EA2" w:rsidRDefault="0058438D" w:rsidP="000343C1">
            <w:pPr>
              <w:jc w:val="center"/>
              <w:rPr>
                <w:rFonts w:ascii="Arial Narrow" w:hAnsi="Arial Narrow"/>
                <w:b/>
                <w:bCs/>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8EEC52" w14:textId="77777777" w:rsidR="0058438D" w:rsidRPr="00A84EA2" w:rsidRDefault="0058438D" w:rsidP="000343C1">
            <w:pPr>
              <w:rPr>
                <w:rFonts w:ascii="Arial Narrow" w:eastAsia="Aptos" w:hAnsi="Arial Narrow"/>
                <w:color w:val="000000"/>
                <w:sz w:val="20"/>
                <w:szCs w:val="20"/>
              </w:rPr>
            </w:pPr>
            <w:r w:rsidRPr="02E8A7A0">
              <w:rPr>
                <w:rFonts w:ascii="Arial Narrow" w:hAnsi="Arial Narrow"/>
                <w:b/>
                <w:bCs/>
                <w:color w:val="000000" w:themeColor="text1"/>
                <w:sz w:val="20"/>
                <w:szCs w:val="20"/>
              </w:rPr>
              <w:t>Clinical criteria:</w:t>
            </w:r>
          </w:p>
        </w:tc>
      </w:tr>
      <w:tr w:rsidR="0058438D" w:rsidRPr="00A84EA2" w14:paraId="2493CD7D"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7AF97DF" w14:textId="77777777"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624F95" w14:textId="457C33BD" w:rsidR="0058438D" w:rsidRPr="00A84EA2" w:rsidRDefault="0058438D" w:rsidP="000343C1">
            <w:pPr>
              <w:rPr>
                <w:rFonts w:ascii="Arial Narrow" w:eastAsia="Aptos" w:hAnsi="Arial Narrow"/>
                <w:color w:val="000000"/>
                <w:sz w:val="20"/>
                <w:szCs w:val="20"/>
              </w:rPr>
            </w:pPr>
            <w:r w:rsidRPr="02E8A7A0">
              <w:rPr>
                <w:rFonts w:ascii="Arial Narrow" w:eastAsia="Aptos" w:hAnsi="Arial Narrow"/>
                <w:color w:val="000000" w:themeColor="text1"/>
                <w:sz w:val="20"/>
                <w:szCs w:val="20"/>
              </w:rPr>
              <w:t xml:space="preserve">Patient must have a blood eosinophil count of less than 300 cells per microlitre in the 12 months </w:t>
            </w:r>
            <w:r w:rsidRPr="004A55D1">
              <w:rPr>
                <w:rFonts w:ascii="Arial Narrow" w:eastAsia="Aptos" w:hAnsi="Arial Narrow"/>
                <w:color w:val="000000" w:themeColor="text1"/>
                <w:sz w:val="20"/>
                <w:szCs w:val="20"/>
              </w:rPr>
              <w:t xml:space="preserve">prior to initiating treatment with this </w:t>
            </w:r>
            <w:proofErr w:type="gramStart"/>
            <w:r w:rsidRPr="004A55D1">
              <w:rPr>
                <w:rFonts w:ascii="Arial Narrow" w:eastAsia="Aptos" w:hAnsi="Arial Narrow"/>
                <w:color w:val="000000" w:themeColor="text1"/>
                <w:sz w:val="20"/>
                <w:szCs w:val="20"/>
              </w:rPr>
              <w:t>drug;</w:t>
            </w:r>
            <w:proofErr w:type="gramEnd"/>
          </w:p>
        </w:tc>
      </w:tr>
      <w:tr w:rsidR="00966E67" w:rsidRPr="00A84EA2" w14:paraId="28860009"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977F4A" w14:textId="77777777" w:rsidR="00966E67" w:rsidRPr="00A84EA2" w:rsidRDefault="00966E67"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DFB30A4" w14:textId="686307CF" w:rsidR="00966E67" w:rsidRPr="00966E67" w:rsidRDefault="00966E67" w:rsidP="000343C1">
            <w:pPr>
              <w:rPr>
                <w:rFonts w:ascii="Arial Narrow" w:eastAsia="Aptos" w:hAnsi="Arial Narrow"/>
                <w:b/>
                <w:bCs/>
                <w:color w:val="000000" w:themeColor="text1"/>
                <w:sz w:val="20"/>
                <w:szCs w:val="20"/>
              </w:rPr>
            </w:pPr>
            <w:r w:rsidRPr="00966E67" w:rsidDel="001B1059">
              <w:rPr>
                <w:rFonts w:ascii="Arial Narrow" w:eastAsia="Aptos" w:hAnsi="Arial Narrow"/>
                <w:b/>
                <w:bCs/>
                <w:color w:val="000000" w:themeColor="text1"/>
                <w:sz w:val="20"/>
                <w:szCs w:val="20"/>
              </w:rPr>
              <w:t>OR</w:t>
            </w:r>
          </w:p>
        </w:tc>
      </w:tr>
      <w:tr w:rsidR="0058438D" w:rsidRPr="00A84EA2" w14:paraId="47B8EBB9"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3EFD64" w14:textId="77777777"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8BBC05" w14:textId="77777777" w:rsidR="0058438D" w:rsidRPr="00A84EA2" w:rsidRDefault="0058438D" w:rsidP="000343C1">
            <w:pPr>
              <w:rPr>
                <w:rFonts w:ascii="Arial Narrow" w:eastAsia="Aptos" w:hAnsi="Arial Narrow"/>
                <w:color w:val="000000"/>
                <w:sz w:val="20"/>
                <w:szCs w:val="20"/>
              </w:rPr>
            </w:pPr>
            <w:r w:rsidRPr="02E8A7A0">
              <w:rPr>
                <w:rFonts w:ascii="Arial Narrow" w:eastAsia="Aptos" w:hAnsi="Arial Narrow"/>
                <w:color w:val="000000" w:themeColor="text1"/>
                <w:sz w:val="20"/>
                <w:szCs w:val="20"/>
              </w:rPr>
              <w:t xml:space="preserve">Patient must have blood eosinophil count of less than 150 cells per microlitre while receiving treatment with oral corticosteroids in the 12 </w:t>
            </w:r>
            <w:r w:rsidRPr="004A55D1">
              <w:rPr>
                <w:rFonts w:ascii="Arial Narrow" w:eastAsia="Aptos" w:hAnsi="Arial Narrow"/>
                <w:color w:val="000000" w:themeColor="text1"/>
                <w:sz w:val="20"/>
                <w:szCs w:val="20"/>
              </w:rPr>
              <w:t xml:space="preserve">months prior to initiating treatment with this </w:t>
            </w:r>
            <w:proofErr w:type="gramStart"/>
            <w:r w:rsidRPr="004A55D1">
              <w:rPr>
                <w:rFonts w:ascii="Arial Narrow" w:eastAsia="Aptos" w:hAnsi="Arial Narrow"/>
                <w:color w:val="000000" w:themeColor="text1"/>
                <w:sz w:val="20"/>
                <w:szCs w:val="20"/>
              </w:rPr>
              <w:t>drug</w:t>
            </w:r>
            <w:r w:rsidRPr="02E8A7A0">
              <w:rPr>
                <w:rFonts w:ascii="Arial Narrow" w:eastAsia="Aptos" w:hAnsi="Arial Narrow"/>
                <w:color w:val="000000" w:themeColor="text1"/>
                <w:sz w:val="20"/>
                <w:szCs w:val="20"/>
              </w:rPr>
              <w:t>;</w:t>
            </w:r>
            <w:proofErr w:type="gramEnd"/>
          </w:p>
        </w:tc>
      </w:tr>
      <w:tr w:rsidR="0058438D" w:rsidRPr="00A84EA2" w14:paraId="64D2584E"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38053B" w14:textId="77777777"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2D66ED" w14:textId="48D9A3EA" w:rsidR="0058438D" w:rsidRPr="00A84EA2" w:rsidRDefault="0058438D" w:rsidP="000343C1">
            <w:pPr>
              <w:rPr>
                <w:rFonts w:ascii="Arial Narrow" w:eastAsia="Aptos" w:hAnsi="Arial Narrow"/>
                <w:b/>
                <w:bCs/>
                <w:color w:val="000000"/>
                <w:sz w:val="20"/>
                <w:szCs w:val="20"/>
              </w:rPr>
            </w:pPr>
            <w:r>
              <w:rPr>
                <w:rFonts w:ascii="Arial Narrow" w:eastAsia="Aptos" w:hAnsi="Arial Narrow"/>
                <w:b/>
                <w:bCs/>
                <w:color w:val="000000"/>
                <w:sz w:val="20"/>
                <w:szCs w:val="20"/>
              </w:rPr>
              <w:t>AND</w:t>
            </w:r>
          </w:p>
        </w:tc>
      </w:tr>
      <w:tr w:rsidR="0058438D" w:rsidRPr="00A84EA2" w14:paraId="0952C23E"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9289BD" w14:textId="77777777"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BB1CF5" w14:textId="77777777" w:rsidR="0058438D" w:rsidRPr="00A84EA2" w:rsidRDefault="0058438D" w:rsidP="000343C1">
            <w:pPr>
              <w:rPr>
                <w:rFonts w:ascii="Arial Narrow" w:eastAsia="Aptos" w:hAnsi="Arial Narrow"/>
                <w:color w:val="000000"/>
                <w:sz w:val="20"/>
                <w:szCs w:val="20"/>
              </w:rPr>
            </w:pPr>
            <w:r w:rsidRPr="02E8A7A0">
              <w:rPr>
                <w:rFonts w:ascii="Arial Narrow" w:eastAsia="Aptos" w:hAnsi="Arial Narrow"/>
                <w:color w:val="000000" w:themeColor="text1"/>
                <w:sz w:val="20"/>
                <w:szCs w:val="20"/>
              </w:rPr>
              <w:t xml:space="preserve">Patient must have total serum human immunoglobulin E less than 30 IU/mL, measured in the last 12 months </w:t>
            </w:r>
            <w:r w:rsidRPr="004A55D1">
              <w:rPr>
                <w:rFonts w:ascii="Arial Narrow" w:eastAsia="Aptos" w:hAnsi="Arial Narrow"/>
                <w:color w:val="000000" w:themeColor="text1"/>
                <w:sz w:val="20"/>
                <w:szCs w:val="20"/>
              </w:rPr>
              <w:t xml:space="preserve">prior to initiating treatment with this drug </w:t>
            </w:r>
            <w:r w:rsidRPr="02E8A7A0">
              <w:rPr>
                <w:rFonts w:ascii="Arial Narrow" w:eastAsia="Aptos" w:hAnsi="Arial Narrow"/>
                <w:color w:val="000000" w:themeColor="text1"/>
                <w:sz w:val="20"/>
                <w:szCs w:val="20"/>
              </w:rPr>
              <w:t>and no past or current evidence of atopy, documented by either: (</w:t>
            </w:r>
            <w:proofErr w:type="spellStart"/>
            <w:r w:rsidRPr="02E8A7A0">
              <w:rPr>
                <w:rFonts w:ascii="Arial Narrow" w:eastAsia="Aptos" w:hAnsi="Arial Narrow"/>
                <w:color w:val="000000" w:themeColor="text1"/>
                <w:sz w:val="20"/>
                <w:szCs w:val="20"/>
              </w:rPr>
              <w:t>i</w:t>
            </w:r>
            <w:proofErr w:type="spellEnd"/>
            <w:r w:rsidRPr="02E8A7A0">
              <w:rPr>
                <w:rFonts w:ascii="Arial Narrow" w:eastAsia="Aptos" w:hAnsi="Arial Narrow"/>
                <w:color w:val="000000" w:themeColor="text1"/>
                <w:sz w:val="20"/>
                <w:szCs w:val="20"/>
              </w:rPr>
              <w:t>) skin prick testing; (ii) an in vitro measure of specific IgE</w:t>
            </w:r>
          </w:p>
        </w:tc>
      </w:tr>
      <w:tr w:rsidR="0058438D" w:rsidRPr="00A84EA2" w14:paraId="5BD23A6B"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F272D4" w14:textId="77777777" w:rsidR="0058438D" w:rsidRPr="00A84EA2" w:rsidRDefault="0058438D" w:rsidP="000343C1"/>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2C1298" w14:textId="77777777" w:rsidR="0058438D" w:rsidRPr="00A84EA2" w:rsidRDefault="0058438D" w:rsidP="000343C1">
            <w:pPr>
              <w:rPr>
                <w:rFonts w:ascii="Arial Narrow" w:hAnsi="Arial Narrow"/>
                <w:color w:val="000000"/>
                <w:sz w:val="20"/>
                <w:szCs w:val="20"/>
              </w:rPr>
            </w:pPr>
            <w:r w:rsidRPr="00A84EA2">
              <w:rPr>
                <w:rFonts w:ascii="Arial Narrow" w:hAnsi="Arial Narrow"/>
                <w:b/>
                <w:bCs/>
                <w:color w:val="000000"/>
                <w:sz w:val="20"/>
                <w:szCs w:val="20"/>
              </w:rPr>
              <w:t>AND</w:t>
            </w:r>
          </w:p>
        </w:tc>
      </w:tr>
      <w:tr w:rsidR="0058438D" w:rsidRPr="00A84EA2" w14:paraId="28650476"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17F59C" w14:textId="65060602"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363A3D" w14:textId="77777777" w:rsidR="0058438D" w:rsidRPr="00A84EA2" w:rsidRDefault="0058438D" w:rsidP="000343C1">
            <w:pPr>
              <w:rPr>
                <w:rFonts w:ascii="Arial Narrow" w:hAnsi="Arial Narrow"/>
                <w:color w:val="000000"/>
                <w:sz w:val="20"/>
                <w:szCs w:val="20"/>
              </w:rPr>
            </w:pPr>
            <w:r w:rsidRPr="00A84EA2">
              <w:rPr>
                <w:rFonts w:ascii="Arial Narrow" w:hAnsi="Arial Narrow"/>
                <w:b/>
                <w:bCs/>
                <w:color w:val="000000"/>
                <w:sz w:val="20"/>
                <w:szCs w:val="20"/>
              </w:rPr>
              <w:t>Clinical criteria:</w:t>
            </w:r>
          </w:p>
        </w:tc>
      </w:tr>
      <w:tr w:rsidR="0058438D" w:rsidRPr="00A84EA2" w14:paraId="48BE4C60"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68F597" w14:textId="75AFACA1"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A269B6" w14:textId="77777777" w:rsidR="0058438D" w:rsidRPr="00A84EA2" w:rsidRDefault="0058438D" w:rsidP="000343C1">
            <w:pPr>
              <w:rPr>
                <w:rFonts w:ascii="Arial Narrow" w:eastAsia="Aptos" w:hAnsi="Arial Narrow"/>
                <w:color w:val="000000"/>
                <w:sz w:val="20"/>
                <w:szCs w:val="20"/>
              </w:rPr>
            </w:pPr>
            <w:r w:rsidRPr="00A84EA2">
              <w:rPr>
                <w:rFonts w:ascii="Arial Narrow" w:eastAsia="Aptos" w:hAnsi="Arial Narrow"/>
                <w:color w:val="000000"/>
                <w:sz w:val="20"/>
                <w:szCs w:val="20"/>
              </w:rPr>
              <w:t>Patient must have failed to achieve adequate control with optimised asthma therapy, despite formal assessment of and adherence to correct inhaler technique, which has been documented.</w:t>
            </w:r>
          </w:p>
        </w:tc>
      </w:tr>
      <w:tr w:rsidR="0058438D" w:rsidRPr="00A84EA2" w14:paraId="00360077"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84CFDF" w14:textId="77777777"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27856A" w14:textId="77777777" w:rsidR="0058438D" w:rsidRPr="00A84EA2" w:rsidRDefault="0058438D" w:rsidP="000343C1">
            <w:pPr>
              <w:rPr>
                <w:rFonts w:ascii="Arial Narrow" w:hAnsi="Arial Narrow"/>
                <w:b/>
                <w:bCs/>
                <w:color w:val="000000"/>
                <w:sz w:val="20"/>
                <w:szCs w:val="20"/>
              </w:rPr>
            </w:pPr>
            <w:r w:rsidRPr="00A84EA2">
              <w:rPr>
                <w:rFonts w:ascii="Arial Narrow" w:hAnsi="Arial Narrow"/>
                <w:b/>
                <w:bCs/>
                <w:color w:val="000000"/>
                <w:sz w:val="20"/>
                <w:szCs w:val="20"/>
              </w:rPr>
              <w:t>AND</w:t>
            </w:r>
          </w:p>
        </w:tc>
      </w:tr>
      <w:tr w:rsidR="0058438D" w:rsidRPr="00A84EA2" w14:paraId="06BE31DA"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BC7740" w14:textId="6F7E9139"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379790" w14:textId="77777777" w:rsidR="0058438D" w:rsidRPr="00A84EA2" w:rsidRDefault="0058438D" w:rsidP="000343C1">
            <w:pPr>
              <w:rPr>
                <w:rFonts w:ascii="Arial Narrow" w:eastAsia="Aptos" w:hAnsi="Arial Narrow"/>
                <w:color w:val="000000"/>
                <w:sz w:val="20"/>
                <w:szCs w:val="20"/>
              </w:rPr>
            </w:pPr>
            <w:r w:rsidRPr="00A84EA2">
              <w:rPr>
                <w:rFonts w:ascii="Arial Narrow" w:hAnsi="Arial Narrow"/>
                <w:b/>
                <w:bCs/>
                <w:color w:val="000000"/>
                <w:sz w:val="20"/>
                <w:szCs w:val="20"/>
              </w:rPr>
              <w:t>Clinical criteria:</w:t>
            </w:r>
          </w:p>
        </w:tc>
      </w:tr>
      <w:tr w:rsidR="0058438D" w:rsidRPr="00A84EA2" w14:paraId="41ECCE96"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8B3710" w14:textId="255F10E8"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CC3A7D" w14:textId="77777777" w:rsidR="0058438D" w:rsidRPr="00A84EA2" w:rsidRDefault="0058438D" w:rsidP="000343C1">
            <w:pPr>
              <w:rPr>
                <w:rFonts w:ascii="Arial Narrow" w:hAnsi="Arial Narrow"/>
                <w:color w:val="000000"/>
                <w:sz w:val="20"/>
                <w:szCs w:val="20"/>
              </w:rPr>
            </w:pPr>
            <w:r w:rsidRPr="00A84EA2">
              <w:rPr>
                <w:rFonts w:ascii="Arial Narrow" w:hAnsi="Arial Narrow"/>
                <w:color w:val="000000"/>
                <w:sz w:val="20"/>
                <w:szCs w:val="20"/>
              </w:rPr>
              <w:t>Patient must not receive more than 32 weeks of treatment under this restriction.</w:t>
            </w:r>
          </w:p>
        </w:tc>
      </w:tr>
      <w:tr w:rsidR="0058438D" w:rsidRPr="00A84EA2" w14:paraId="1FB6FA4E"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BE3007" w14:textId="77777777"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4546B8" w14:textId="77777777" w:rsidR="0058438D" w:rsidRPr="00A84EA2" w:rsidRDefault="0058438D" w:rsidP="000343C1">
            <w:pPr>
              <w:rPr>
                <w:rFonts w:ascii="Arial Narrow" w:hAnsi="Arial Narrow"/>
                <w:color w:val="000000"/>
                <w:sz w:val="20"/>
                <w:szCs w:val="20"/>
              </w:rPr>
            </w:pPr>
            <w:r w:rsidRPr="00A84EA2">
              <w:rPr>
                <w:rFonts w:ascii="Arial Narrow" w:hAnsi="Arial Narrow"/>
                <w:b/>
                <w:bCs/>
                <w:color w:val="000000"/>
                <w:sz w:val="20"/>
                <w:szCs w:val="20"/>
              </w:rPr>
              <w:t>AND</w:t>
            </w:r>
          </w:p>
        </w:tc>
      </w:tr>
      <w:tr w:rsidR="0058438D" w:rsidRPr="00A84EA2" w14:paraId="1FE7D87A"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AD46BF" w14:textId="65806E99"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7FE102" w14:textId="77777777" w:rsidR="0058438D" w:rsidRPr="00A84EA2" w:rsidRDefault="0058438D" w:rsidP="000343C1">
            <w:pPr>
              <w:rPr>
                <w:rFonts w:ascii="Arial Narrow" w:hAnsi="Arial Narrow"/>
                <w:color w:val="000000"/>
                <w:sz w:val="20"/>
                <w:szCs w:val="20"/>
              </w:rPr>
            </w:pPr>
            <w:r w:rsidRPr="00A84EA2">
              <w:rPr>
                <w:rFonts w:ascii="Arial Narrow" w:hAnsi="Arial Narrow"/>
                <w:b/>
                <w:bCs/>
                <w:sz w:val="20"/>
                <w:szCs w:val="20"/>
              </w:rPr>
              <w:t>Clinical criteria:</w:t>
            </w:r>
          </w:p>
        </w:tc>
      </w:tr>
      <w:tr w:rsidR="0058438D" w:rsidRPr="00A84EA2" w14:paraId="13E2976D"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68967E" w14:textId="4FDDC85D"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3620EE7" w14:textId="77777777" w:rsidR="0058438D" w:rsidRPr="00A84EA2" w:rsidRDefault="0058438D" w:rsidP="000343C1">
            <w:pPr>
              <w:rPr>
                <w:rFonts w:ascii="Arial Narrow" w:hAnsi="Arial Narrow"/>
                <w:color w:val="000000"/>
                <w:sz w:val="20"/>
                <w:szCs w:val="20"/>
              </w:rPr>
            </w:pPr>
            <w:r w:rsidRPr="00A84EA2">
              <w:rPr>
                <w:rFonts w:ascii="Arial Narrow" w:hAnsi="Arial Narrow"/>
                <w:sz w:val="20"/>
                <w:szCs w:val="20"/>
              </w:rPr>
              <w:t>The treatment must not be used in combination with and within 4 weeks of another PBS-subsidised biological medicine prescribed for any of: (</w:t>
            </w:r>
            <w:proofErr w:type="spellStart"/>
            <w:r w:rsidRPr="00A84EA2">
              <w:rPr>
                <w:rFonts w:ascii="Arial Narrow" w:hAnsi="Arial Narrow"/>
                <w:sz w:val="20"/>
                <w:szCs w:val="20"/>
              </w:rPr>
              <w:t>i</w:t>
            </w:r>
            <w:proofErr w:type="spellEnd"/>
            <w:r w:rsidRPr="00A84EA2">
              <w:rPr>
                <w:rFonts w:ascii="Arial Narrow" w:hAnsi="Arial Narrow"/>
                <w:sz w:val="20"/>
                <w:szCs w:val="20"/>
              </w:rPr>
              <w:t>) nasal polyps, (ii) uncontrolled severe allergic asthma, (iii) uncontrolled severe asthma,</w:t>
            </w:r>
          </w:p>
        </w:tc>
      </w:tr>
      <w:tr w:rsidR="0058438D" w:rsidRPr="00A84EA2" w14:paraId="50B3FAB2"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D7EC76" w14:textId="0A5C796C"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977017" w14:textId="77777777" w:rsidR="0058438D" w:rsidRPr="00A84EA2" w:rsidRDefault="0058438D" w:rsidP="000343C1">
            <w:pPr>
              <w:rPr>
                <w:rFonts w:ascii="Arial Narrow" w:hAnsi="Arial Narrow"/>
                <w:color w:val="000000"/>
                <w:sz w:val="20"/>
                <w:szCs w:val="20"/>
              </w:rPr>
            </w:pPr>
            <w:r w:rsidRPr="00A84EA2">
              <w:rPr>
                <w:rFonts w:ascii="Arial Narrow" w:hAnsi="Arial Narrow"/>
                <w:b/>
                <w:bCs/>
                <w:color w:val="000000"/>
                <w:sz w:val="20"/>
                <w:szCs w:val="20"/>
              </w:rPr>
              <w:t>Population criteria:</w:t>
            </w:r>
          </w:p>
        </w:tc>
      </w:tr>
      <w:tr w:rsidR="0058438D" w:rsidRPr="00A84EA2" w14:paraId="79F7F485"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A55E6D" w14:textId="18AACB5A"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243452" w14:textId="77777777" w:rsidR="0058438D" w:rsidRPr="00A84EA2" w:rsidRDefault="0058438D" w:rsidP="000343C1">
            <w:pPr>
              <w:rPr>
                <w:rFonts w:ascii="Arial Narrow" w:hAnsi="Arial Narrow"/>
                <w:color w:val="000000"/>
                <w:sz w:val="20"/>
                <w:szCs w:val="20"/>
              </w:rPr>
            </w:pPr>
            <w:r w:rsidRPr="00A84EA2">
              <w:rPr>
                <w:rFonts w:ascii="Arial Narrow" w:hAnsi="Arial Narrow"/>
                <w:color w:val="000000"/>
                <w:sz w:val="20"/>
                <w:szCs w:val="20"/>
              </w:rPr>
              <w:t>Patients must be aged 12 years or older.</w:t>
            </w:r>
          </w:p>
        </w:tc>
      </w:tr>
      <w:tr w:rsidR="0058438D" w:rsidRPr="00A84EA2" w14:paraId="4AD906F3"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6C7E24" w14:textId="6B47E820"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52FED3E" w14:textId="77777777" w:rsidR="0058438D" w:rsidRPr="00A84EA2" w:rsidRDefault="0058438D" w:rsidP="000343C1">
            <w:pPr>
              <w:keepNext/>
              <w:keepLines/>
              <w:widowControl w:val="0"/>
              <w:rPr>
                <w:rFonts w:ascii="Arial Narrow" w:eastAsia="MS Gothic" w:hAnsi="Arial Narrow"/>
                <w:b/>
                <w:sz w:val="20"/>
              </w:rPr>
            </w:pPr>
            <w:r w:rsidRPr="00A84EA2">
              <w:rPr>
                <w:rFonts w:ascii="Arial Narrow" w:eastAsia="MS Gothic" w:hAnsi="Arial Narrow"/>
                <w:b/>
                <w:bCs/>
                <w:sz w:val="20"/>
              </w:rPr>
              <w:t>Prescribing Instructions:</w:t>
            </w:r>
          </w:p>
          <w:p w14:paraId="0AAD25EA" w14:textId="77777777" w:rsidR="0058438D" w:rsidRPr="00A84EA2" w:rsidRDefault="0058438D" w:rsidP="000343C1">
            <w:pPr>
              <w:keepNext/>
              <w:keepLines/>
              <w:widowControl w:val="0"/>
              <w:rPr>
                <w:rFonts w:ascii="Arial Narrow" w:eastAsia="MS Gothic" w:hAnsi="Arial Narrow"/>
                <w:bCs/>
                <w:sz w:val="20"/>
              </w:rPr>
            </w:pPr>
            <w:r w:rsidRPr="00A84EA2">
              <w:rPr>
                <w:rFonts w:ascii="Arial Narrow" w:eastAsia="MS Gothic" w:hAnsi="Arial Narrow"/>
                <w:bCs/>
                <w:sz w:val="20"/>
              </w:rPr>
              <w:t>Optimised asthma therapy includes adherence to maximal inhaled therapy, including high dose inhaled corticosteroid (ICS) plus long-acting beta-2 agonist (LABA) therapy for at least 12 months, unless contraindicated or not tolerated.</w:t>
            </w:r>
          </w:p>
          <w:p w14:paraId="2F9432F0" w14:textId="77777777" w:rsidR="0058438D" w:rsidRPr="00A84EA2" w:rsidRDefault="0058438D" w:rsidP="000343C1">
            <w:pPr>
              <w:keepNext/>
              <w:keepLines/>
              <w:widowControl w:val="0"/>
              <w:rPr>
                <w:rFonts w:ascii="Arial Narrow" w:eastAsia="MS Gothic" w:hAnsi="Arial Narrow"/>
                <w:bCs/>
                <w:sz w:val="20"/>
              </w:rPr>
            </w:pPr>
          </w:p>
          <w:p w14:paraId="6372EC1D" w14:textId="77777777" w:rsidR="0058438D" w:rsidRPr="00A84EA2" w:rsidRDefault="0058438D" w:rsidP="000343C1">
            <w:pPr>
              <w:keepNext/>
              <w:keepLines/>
              <w:widowControl w:val="0"/>
              <w:rPr>
                <w:rFonts w:ascii="Arial Narrow" w:eastAsia="MS Gothic" w:hAnsi="Arial Narrow"/>
                <w:bCs/>
                <w:sz w:val="20"/>
              </w:rPr>
            </w:pPr>
            <w:r w:rsidRPr="00A84EA2">
              <w:rPr>
                <w:rFonts w:ascii="Arial Narrow" w:eastAsia="MS Gothic" w:hAnsi="Arial Narrow"/>
                <w:bCs/>
                <w:sz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58438D" w:rsidRPr="00A84EA2" w14:paraId="3749A050"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EC8022" w14:textId="40A108D0"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FC4263" w14:textId="77777777" w:rsidR="0058438D" w:rsidRPr="00A84EA2" w:rsidRDefault="0058438D" w:rsidP="000343C1">
            <w:pPr>
              <w:rPr>
                <w:rFonts w:ascii="Arial Narrow" w:hAnsi="Arial Narrow"/>
                <w:b/>
                <w:bCs/>
                <w:color w:val="000000"/>
                <w:sz w:val="20"/>
                <w:szCs w:val="20"/>
              </w:rPr>
            </w:pPr>
            <w:r w:rsidRPr="00A84EA2">
              <w:rPr>
                <w:rFonts w:ascii="Arial Narrow" w:hAnsi="Arial Narrow"/>
                <w:b/>
                <w:bCs/>
                <w:color w:val="000000"/>
                <w:sz w:val="20"/>
                <w:szCs w:val="20"/>
              </w:rPr>
              <w:t>Prescribing Instructions:</w:t>
            </w:r>
          </w:p>
          <w:p w14:paraId="798BA5FB" w14:textId="77777777" w:rsidR="0058438D" w:rsidRPr="00A84EA2" w:rsidRDefault="0058438D" w:rsidP="000343C1">
            <w:pPr>
              <w:rPr>
                <w:rFonts w:ascii="Arial Narrow" w:hAnsi="Arial Narrow"/>
                <w:color w:val="000000"/>
                <w:sz w:val="20"/>
                <w:szCs w:val="20"/>
              </w:rPr>
            </w:pPr>
            <w:r w:rsidRPr="02E8A7A0">
              <w:rPr>
                <w:rFonts w:ascii="Arial Narrow" w:hAnsi="Arial Narrow"/>
                <w:color w:val="000000" w:themeColor="text1"/>
                <w:sz w:val="20"/>
                <w:szCs w:val="20"/>
              </w:rPr>
              <w:t>The following initiation criteria indicate failure to achieve adequate control and must be demonstrated in all patients at the time of the application:</w:t>
            </w:r>
          </w:p>
          <w:p w14:paraId="7D6B931A" w14:textId="77777777" w:rsidR="0058438D" w:rsidRPr="00A84EA2" w:rsidRDefault="0058438D" w:rsidP="000343C1">
            <w:pPr>
              <w:rPr>
                <w:rFonts w:ascii="Arial Narrow" w:hAnsi="Arial Narrow"/>
                <w:color w:val="000000"/>
                <w:sz w:val="20"/>
                <w:szCs w:val="20"/>
              </w:rPr>
            </w:pPr>
          </w:p>
          <w:p w14:paraId="22F755A4" w14:textId="77777777" w:rsidR="0058438D" w:rsidRPr="00A84EA2" w:rsidRDefault="0058438D" w:rsidP="000343C1">
            <w:pPr>
              <w:rPr>
                <w:rFonts w:ascii="Arial Narrow" w:hAnsi="Arial Narrow"/>
                <w:color w:val="000000"/>
                <w:sz w:val="20"/>
                <w:szCs w:val="20"/>
              </w:rPr>
            </w:pPr>
            <w:r w:rsidRPr="02E8A7A0">
              <w:rPr>
                <w:rFonts w:ascii="Arial Narrow" w:hAnsi="Arial Narrow"/>
                <w:color w:val="000000" w:themeColor="text1"/>
                <w:sz w:val="20"/>
                <w:szCs w:val="20"/>
              </w:rPr>
              <w:t>(a) an Asthma Control Questionnaire (ACQ-5) score of at least 2.0, as assessed in the month prior to initiating this drug, AND</w:t>
            </w:r>
          </w:p>
          <w:p w14:paraId="059D3E89" w14:textId="77777777" w:rsidR="0058438D" w:rsidRPr="00A84EA2" w:rsidRDefault="0058438D" w:rsidP="000343C1">
            <w:pPr>
              <w:rPr>
                <w:rFonts w:ascii="Arial Narrow" w:hAnsi="Arial Narrow"/>
                <w:color w:val="000000"/>
                <w:sz w:val="20"/>
                <w:szCs w:val="20"/>
              </w:rPr>
            </w:pPr>
          </w:p>
          <w:p w14:paraId="7C74CBF5" w14:textId="77777777" w:rsidR="0058438D" w:rsidRPr="00A84EA2" w:rsidRDefault="0058438D" w:rsidP="000343C1">
            <w:pPr>
              <w:rPr>
                <w:rFonts w:ascii="Arial Narrow" w:hAnsi="Arial Narrow"/>
                <w:color w:val="000000"/>
                <w:sz w:val="20"/>
                <w:szCs w:val="20"/>
              </w:rPr>
            </w:pPr>
            <w:r w:rsidRPr="02E8A7A0">
              <w:rPr>
                <w:rFonts w:ascii="Arial Narrow" w:hAnsi="Arial Narrow"/>
                <w:color w:val="000000" w:themeColor="text1"/>
                <w:sz w:val="20"/>
                <w:szCs w:val="20"/>
              </w:rPr>
              <w:t>(b) while receiving optimised asthma therapy in the 12 months prior to initiating this drug,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27C16D11" w14:textId="77777777" w:rsidR="0058438D" w:rsidRPr="00A84EA2" w:rsidRDefault="0058438D" w:rsidP="000343C1">
            <w:pPr>
              <w:rPr>
                <w:rFonts w:ascii="Arial Narrow" w:hAnsi="Arial Narrow"/>
                <w:color w:val="000000"/>
                <w:sz w:val="20"/>
                <w:szCs w:val="20"/>
              </w:rPr>
            </w:pPr>
          </w:p>
          <w:p w14:paraId="4281F0C7" w14:textId="77777777" w:rsidR="0058438D" w:rsidRPr="00A84EA2" w:rsidRDefault="0058438D" w:rsidP="000343C1">
            <w:pPr>
              <w:rPr>
                <w:rFonts w:ascii="Arial Narrow" w:hAnsi="Arial Narrow"/>
                <w:color w:val="000000"/>
                <w:sz w:val="20"/>
                <w:szCs w:val="20"/>
              </w:rPr>
            </w:pPr>
            <w:r w:rsidRPr="00A84EA2">
              <w:rPr>
                <w:rFonts w:ascii="Arial Narrow" w:hAnsi="Arial Narrow"/>
                <w:color w:val="000000"/>
                <w:sz w:val="20"/>
                <w:szCs w:val="20"/>
              </w:rP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p>
          <w:p w14:paraId="0DFEE6B3" w14:textId="77777777" w:rsidR="0058438D" w:rsidRPr="00A84EA2" w:rsidRDefault="0058438D" w:rsidP="000343C1">
            <w:pPr>
              <w:rPr>
                <w:rFonts w:ascii="Arial Narrow" w:hAnsi="Arial Narrow"/>
                <w:bCs/>
                <w:color w:val="000000"/>
                <w:sz w:val="20"/>
                <w:szCs w:val="20"/>
              </w:rPr>
            </w:pPr>
          </w:p>
          <w:p w14:paraId="06E523CB" w14:textId="77777777" w:rsidR="0058438D" w:rsidRPr="00A84EA2" w:rsidRDefault="0058438D" w:rsidP="000343C1">
            <w:pPr>
              <w:rPr>
                <w:rFonts w:ascii="Arial Narrow" w:hAnsi="Arial Narrow"/>
                <w:bCs/>
                <w:color w:val="000000"/>
                <w:sz w:val="20"/>
                <w:szCs w:val="20"/>
              </w:rPr>
            </w:pPr>
            <w:r w:rsidRPr="00A84EA2">
              <w:rPr>
                <w:rFonts w:ascii="Arial Narrow" w:hAnsi="Arial Narrow"/>
                <w:bCs/>
                <w:color w:val="000000"/>
                <w:sz w:val="20"/>
                <w:szCs w:val="20"/>
              </w:rPr>
              <w:t>This assessment, which will be used to determine eligibility for the first continuing treatment, should be conducted within 4 weeks of the last dose of biological medicine. To avoid an interruption of supply for the first continuing treatment, the assessment should be provided no later than 2 weeks prior to the patient completing their current treatment course, unless the patient is currently on a treatment break.</w:t>
            </w:r>
          </w:p>
          <w:p w14:paraId="1F9AD028" w14:textId="77777777" w:rsidR="0058438D" w:rsidRPr="00A84EA2" w:rsidRDefault="0058438D" w:rsidP="000343C1">
            <w:pPr>
              <w:rPr>
                <w:rFonts w:ascii="Arial Narrow" w:hAnsi="Arial Narrow"/>
                <w:bCs/>
                <w:color w:val="000000"/>
                <w:sz w:val="20"/>
                <w:szCs w:val="20"/>
              </w:rPr>
            </w:pPr>
          </w:p>
          <w:p w14:paraId="113044DC" w14:textId="77777777" w:rsidR="0058438D" w:rsidRPr="00A84EA2" w:rsidRDefault="0058438D" w:rsidP="000343C1">
            <w:pPr>
              <w:rPr>
                <w:rFonts w:ascii="Arial Narrow" w:hAnsi="Arial Narrow"/>
                <w:bCs/>
                <w:color w:val="000000"/>
                <w:sz w:val="20"/>
                <w:szCs w:val="20"/>
              </w:rPr>
            </w:pPr>
            <w:r w:rsidRPr="00A84EA2">
              <w:rPr>
                <w:rFonts w:ascii="Arial Narrow" w:hAnsi="Arial Narrow"/>
                <w:bCs/>
                <w:color w:val="000000"/>
                <w:sz w:val="20"/>
                <w:szCs w:val="20"/>
              </w:rPr>
              <w:t xml:space="preserve">If a patient fails to demonstrate a response to treatment with this </w:t>
            </w:r>
            <w:proofErr w:type="gramStart"/>
            <w:r w:rsidRPr="00A84EA2">
              <w:rPr>
                <w:rFonts w:ascii="Arial Narrow" w:hAnsi="Arial Narrow"/>
                <w:bCs/>
                <w:color w:val="000000"/>
                <w:sz w:val="20"/>
                <w:szCs w:val="20"/>
              </w:rPr>
              <w:t>drug</w:t>
            </w:r>
            <w:proofErr w:type="gramEnd"/>
            <w:r w:rsidRPr="00A84EA2">
              <w:rPr>
                <w:rFonts w:ascii="Arial Narrow" w:hAnsi="Arial Narrow"/>
                <w:bCs/>
                <w:color w:val="000000"/>
                <w:sz w:val="20"/>
                <w:szCs w:val="20"/>
              </w:rPr>
              <w:t xml:space="preserve"> they will not be eligible to receive further PBS-subsidised treatment with this drug for this condition within the same treatment cycle.</w:t>
            </w:r>
          </w:p>
          <w:p w14:paraId="03CE537D" w14:textId="77777777" w:rsidR="0058438D" w:rsidRPr="00A84EA2" w:rsidRDefault="0058438D" w:rsidP="000343C1">
            <w:pPr>
              <w:rPr>
                <w:rFonts w:ascii="Arial Narrow" w:hAnsi="Arial Narrow"/>
                <w:bCs/>
                <w:color w:val="000000"/>
                <w:sz w:val="20"/>
                <w:szCs w:val="20"/>
              </w:rPr>
            </w:pPr>
          </w:p>
          <w:p w14:paraId="1D65924B" w14:textId="77777777" w:rsidR="0058438D" w:rsidRPr="00A84EA2" w:rsidRDefault="0058438D" w:rsidP="000343C1">
            <w:pPr>
              <w:rPr>
                <w:rFonts w:ascii="Arial Narrow" w:hAnsi="Arial Narrow"/>
                <w:bCs/>
                <w:color w:val="000000"/>
                <w:sz w:val="20"/>
                <w:szCs w:val="20"/>
              </w:rPr>
            </w:pPr>
            <w:r w:rsidRPr="00A84EA2">
              <w:rPr>
                <w:rFonts w:ascii="Arial Narrow" w:hAnsi="Arial Narrow"/>
                <w:bCs/>
                <w:color w:val="000000"/>
                <w:sz w:val="20"/>
                <w:szCs w:val="20"/>
              </w:rPr>
              <w:t>A multidisciplinary severe asthma clinic team comprises of:</w:t>
            </w:r>
          </w:p>
          <w:p w14:paraId="5CA9FD58" w14:textId="77777777" w:rsidR="0058438D" w:rsidRPr="00A84EA2" w:rsidRDefault="0058438D" w:rsidP="000343C1">
            <w:pPr>
              <w:rPr>
                <w:rFonts w:ascii="Arial Narrow" w:hAnsi="Arial Narrow"/>
                <w:bCs/>
                <w:color w:val="000000"/>
                <w:sz w:val="20"/>
                <w:szCs w:val="20"/>
              </w:rPr>
            </w:pPr>
            <w:r w:rsidRPr="00A84EA2">
              <w:rPr>
                <w:rFonts w:ascii="Arial Narrow" w:hAnsi="Arial Narrow"/>
                <w:bCs/>
                <w:color w:val="000000"/>
                <w:sz w:val="20"/>
                <w:szCs w:val="20"/>
              </w:rPr>
              <w:t>(</w:t>
            </w:r>
            <w:proofErr w:type="spellStart"/>
            <w:r w:rsidRPr="00A84EA2">
              <w:rPr>
                <w:rFonts w:ascii="Arial Narrow" w:hAnsi="Arial Narrow"/>
                <w:bCs/>
                <w:color w:val="000000"/>
                <w:sz w:val="20"/>
                <w:szCs w:val="20"/>
              </w:rPr>
              <w:t>i</w:t>
            </w:r>
            <w:proofErr w:type="spellEnd"/>
            <w:r w:rsidRPr="00A84EA2">
              <w:rPr>
                <w:rFonts w:ascii="Arial Narrow" w:hAnsi="Arial Narrow"/>
                <w:bCs/>
                <w:color w:val="000000"/>
                <w:sz w:val="20"/>
                <w:szCs w:val="20"/>
              </w:rPr>
              <w:t>) A respiratory physician; and</w:t>
            </w:r>
          </w:p>
          <w:p w14:paraId="0068F85B" w14:textId="77777777" w:rsidR="0058438D" w:rsidRPr="00A84EA2" w:rsidRDefault="0058438D" w:rsidP="000343C1">
            <w:pPr>
              <w:rPr>
                <w:rFonts w:ascii="Arial Narrow" w:hAnsi="Arial Narrow"/>
                <w:bCs/>
                <w:color w:val="000000"/>
                <w:sz w:val="20"/>
                <w:szCs w:val="20"/>
              </w:rPr>
            </w:pPr>
            <w:r w:rsidRPr="00A84EA2">
              <w:rPr>
                <w:rFonts w:ascii="Arial Narrow" w:hAnsi="Arial Narrow"/>
                <w:bCs/>
                <w:color w:val="000000"/>
                <w:sz w:val="20"/>
                <w:szCs w:val="20"/>
              </w:rPr>
              <w:t>(ii) A pharmacist, nurse or asthma educator.</w:t>
            </w:r>
          </w:p>
          <w:p w14:paraId="560C774D" w14:textId="77777777" w:rsidR="0058438D" w:rsidRPr="00A84EA2" w:rsidRDefault="0058438D" w:rsidP="000343C1">
            <w:pPr>
              <w:rPr>
                <w:rFonts w:ascii="Arial Narrow" w:hAnsi="Arial Narrow"/>
                <w:bCs/>
                <w:color w:val="000000"/>
                <w:sz w:val="20"/>
                <w:szCs w:val="20"/>
              </w:rPr>
            </w:pPr>
            <w:r w:rsidRPr="00A84EA2">
              <w:rPr>
                <w:rFonts w:ascii="Arial Narrow" w:hAnsi="Arial Narrow"/>
                <w:bCs/>
                <w:color w:val="000000"/>
                <w:sz w:val="20"/>
                <w:szCs w:val="20"/>
              </w:rPr>
              <w:t xml:space="preserve">At the time of the authority application, medical practitioners should request up to 7 repeats to provide for an initial course of </w:t>
            </w:r>
            <w:proofErr w:type="spellStart"/>
            <w:r w:rsidRPr="00A84EA2">
              <w:rPr>
                <w:rFonts w:ascii="Arial Narrow" w:hAnsi="Arial Narrow"/>
                <w:bCs/>
                <w:color w:val="000000"/>
                <w:sz w:val="20"/>
                <w:szCs w:val="20"/>
              </w:rPr>
              <w:t>tezepelumab</w:t>
            </w:r>
            <w:proofErr w:type="spellEnd"/>
            <w:r w:rsidRPr="00A84EA2">
              <w:rPr>
                <w:rFonts w:ascii="Arial Narrow" w:hAnsi="Arial Narrow"/>
                <w:bCs/>
                <w:color w:val="000000"/>
                <w:sz w:val="20"/>
                <w:szCs w:val="20"/>
              </w:rPr>
              <w:t xml:space="preserve"> sufficient for up to 32 weeks of therapy, at a dose of 210 mg every four weeks, which is consistent with arrangements for the currently listed biologics.</w:t>
            </w:r>
          </w:p>
        </w:tc>
      </w:tr>
      <w:tr w:rsidR="0058438D" w:rsidRPr="00A84EA2" w14:paraId="5F3D7DC0"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97EF09" w14:textId="7CDBF0B2"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B9FB2B" w14:textId="77777777" w:rsidR="0058438D" w:rsidRPr="00A84EA2" w:rsidRDefault="0058438D" w:rsidP="000343C1">
            <w:pPr>
              <w:rPr>
                <w:rFonts w:ascii="Arial Narrow" w:hAnsi="Arial Narrow"/>
                <w:b/>
                <w:bCs/>
                <w:color w:val="000000"/>
                <w:sz w:val="20"/>
                <w:szCs w:val="20"/>
              </w:rPr>
            </w:pPr>
            <w:r w:rsidRPr="00A84EA2">
              <w:rPr>
                <w:rFonts w:ascii="Arial Narrow" w:hAnsi="Arial Narrow"/>
                <w:b/>
                <w:bCs/>
                <w:color w:val="000000"/>
                <w:sz w:val="20"/>
                <w:szCs w:val="20"/>
              </w:rPr>
              <w:t xml:space="preserve">Prescribing Instructions: </w:t>
            </w:r>
          </w:p>
          <w:p w14:paraId="0AE584BB" w14:textId="77777777" w:rsidR="0058438D" w:rsidRPr="00A84EA2" w:rsidRDefault="0058438D" w:rsidP="000343C1">
            <w:pPr>
              <w:rPr>
                <w:rFonts w:ascii="Arial Narrow" w:hAnsi="Arial Narrow"/>
                <w:color w:val="000000"/>
                <w:sz w:val="20"/>
                <w:szCs w:val="20"/>
              </w:rPr>
            </w:pPr>
            <w:r w:rsidRPr="00A84EA2">
              <w:rPr>
                <w:rFonts w:ascii="Arial Narrow" w:hAnsi="Arial Narrow"/>
                <w:color w:val="000000"/>
                <w:sz w:val="20"/>
                <w:szCs w:val="20"/>
              </w:rPr>
              <w:t>The following must be provided at the time of application and documented in the patient's medical records:</w:t>
            </w:r>
          </w:p>
          <w:p w14:paraId="2221A0D3" w14:textId="77777777" w:rsidR="0058438D" w:rsidRPr="00A84EA2" w:rsidRDefault="0058438D" w:rsidP="000343C1">
            <w:pPr>
              <w:rPr>
                <w:rFonts w:ascii="Arial Narrow" w:hAnsi="Arial Narrow"/>
                <w:color w:val="000000"/>
                <w:sz w:val="20"/>
                <w:szCs w:val="20"/>
              </w:rPr>
            </w:pPr>
            <w:r w:rsidRPr="00A84EA2">
              <w:rPr>
                <w:rFonts w:ascii="Arial Narrow" w:hAnsi="Arial Narrow"/>
                <w:color w:val="000000"/>
                <w:sz w:val="20"/>
                <w:szCs w:val="20"/>
              </w:rPr>
              <w:t>(a) details (treatment, date of commencement, duration of therapy) of prior optimised asthma drug therapy; and</w:t>
            </w:r>
          </w:p>
          <w:p w14:paraId="7F237C8A" w14:textId="77777777" w:rsidR="0058438D" w:rsidRPr="00A84EA2" w:rsidRDefault="0058438D" w:rsidP="000343C1">
            <w:pPr>
              <w:rPr>
                <w:rFonts w:ascii="Arial Narrow" w:hAnsi="Arial Narrow"/>
                <w:color w:val="000000"/>
                <w:sz w:val="20"/>
                <w:szCs w:val="20"/>
              </w:rPr>
            </w:pPr>
            <w:r w:rsidRPr="00A84EA2">
              <w:rPr>
                <w:rFonts w:ascii="Arial Narrow" w:hAnsi="Arial Narrow"/>
                <w:color w:val="000000"/>
                <w:sz w:val="20"/>
                <w:szCs w:val="20"/>
              </w:rPr>
              <w:t>(b) If applicable, details of contraindications and/or intolerances of a severity necessitating permanent treatment withdrawal to standard therapy according to the relevant TGA-approved Product Information; and</w:t>
            </w:r>
          </w:p>
          <w:p w14:paraId="0F6DBBB0" w14:textId="77777777" w:rsidR="0058438D" w:rsidRPr="00A84EA2" w:rsidRDefault="0058438D" w:rsidP="000343C1">
            <w:pPr>
              <w:rPr>
                <w:rFonts w:ascii="Arial Narrow" w:hAnsi="Arial Narrow"/>
                <w:color w:val="000000"/>
                <w:sz w:val="20"/>
                <w:szCs w:val="20"/>
              </w:rPr>
            </w:pPr>
            <w:r w:rsidRPr="00A84EA2">
              <w:rPr>
                <w:rFonts w:ascii="Arial Narrow" w:hAnsi="Arial Narrow"/>
                <w:color w:val="000000"/>
                <w:sz w:val="20"/>
                <w:szCs w:val="20"/>
              </w:rPr>
              <w:t>(c) details of severe exacerbation/s experienced in the 12 months</w:t>
            </w:r>
            <w:r>
              <w:rPr>
                <w:rFonts w:ascii="Arial Narrow" w:hAnsi="Arial Narrow"/>
                <w:color w:val="000000"/>
                <w:sz w:val="20"/>
                <w:szCs w:val="20"/>
              </w:rPr>
              <w:t xml:space="preserve"> prior to initiating this drug</w:t>
            </w:r>
            <w:r w:rsidRPr="00A84EA2">
              <w:rPr>
                <w:rFonts w:ascii="Arial Narrow" w:hAnsi="Arial Narrow"/>
                <w:color w:val="000000"/>
                <w:sz w:val="20"/>
                <w:szCs w:val="20"/>
              </w:rPr>
              <w:t xml:space="preserve"> while receiving optimised asthma therapy (date and treatment); and</w:t>
            </w:r>
          </w:p>
          <w:p w14:paraId="7FC604A8" w14:textId="77777777" w:rsidR="0058438D" w:rsidRPr="00A84EA2" w:rsidRDefault="0058438D" w:rsidP="000343C1">
            <w:pPr>
              <w:rPr>
                <w:rFonts w:ascii="Arial Narrow" w:hAnsi="Arial Narrow"/>
                <w:color w:val="000000"/>
                <w:sz w:val="20"/>
                <w:szCs w:val="20"/>
              </w:rPr>
            </w:pPr>
            <w:r w:rsidRPr="00A84EA2">
              <w:rPr>
                <w:rFonts w:ascii="Arial Narrow" w:hAnsi="Arial Narrow"/>
                <w:color w:val="000000"/>
                <w:sz w:val="20"/>
                <w:szCs w:val="20"/>
              </w:rPr>
              <w:t>(d) Asthma Control Questionnaire (ACQ-5) score; and</w:t>
            </w:r>
          </w:p>
          <w:p w14:paraId="6AADAA4C" w14:textId="77777777" w:rsidR="0058438D" w:rsidRPr="00A84EA2" w:rsidRDefault="0058438D" w:rsidP="000343C1">
            <w:pPr>
              <w:rPr>
                <w:rFonts w:ascii="Arial Narrow" w:hAnsi="Arial Narrow"/>
                <w:color w:val="000000"/>
                <w:sz w:val="20"/>
                <w:szCs w:val="20"/>
              </w:rPr>
            </w:pPr>
            <w:r w:rsidRPr="00A84EA2">
              <w:rPr>
                <w:rFonts w:ascii="Arial Narrow" w:hAnsi="Arial Narrow"/>
                <w:color w:val="000000"/>
                <w:sz w:val="20"/>
                <w:szCs w:val="20"/>
              </w:rPr>
              <w:t>(e) if applicable, the eosinophil count and date; and</w:t>
            </w:r>
          </w:p>
          <w:p w14:paraId="236B1CD3" w14:textId="77777777" w:rsidR="0058438D" w:rsidRPr="00A84EA2" w:rsidRDefault="0058438D" w:rsidP="000343C1">
            <w:pPr>
              <w:rPr>
                <w:rFonts w:ascii="Arial Narrow" w:hAnsi="Arial Narrow"/>
                <w:b/>
                <w:bCs/>
                <w:color w:val="000000"/>
                <w:sz w:val="20"/>
                <w:szCs w:val="20"/>
              </w:rPr>
            </w:pPr>
            <w:r w:rsidRPr="00A84EA2">
              <w:rPr>
                <w:rFonts w:ascii="Arial Narrow" w:hAnsi="Arial Narrow"/>
                <w:color w:val="000000"/>
                <w:sz w:val="20"/>
                <w:szCs w:val="20"/>
              </w:rPr>
              <w:t>(f) if applicable, the IgE result and date.</w:t>
            </w:r>
          </w:p>
        </w:tc>
      </w:tr>
      <w:tr w:rsidR="0058438D" w:rsidRPr="00A84EA2" w14:paraId="6AC359CB"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0E2A4E" w14:textId="1CADD467" w:rsidR="0058438D" w:rsidRPr="00A84EA2" w:rsidRDefault="0058438D" w:rsidP="000343C1">
            <w:pPr>
              <w:jc w:val="center"/>
              <w:rPr>
                <w:rFonts w:ascii="Arial Narrow" w:hAnsi="Arial Narrow"/>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79E055" w14:textId="77777777" w:rsidR="0058438D" w:rsidRPr="00A84EA2" w:rsidRDefault="0058438D" w:rsidP="000343C1">
            <w:pPr>
              <w:rPr>
                <w:rFonts w:ascii="Arial Narrow" w:hAnsi="Arial Narrow"/>
                <w:b/>
                <w:bCs/>
                <w:color w:val="000000"/>
                <w:sz w:val="20"/>
                <w:szCs w:val="20"/>
              </w:rPr>
            </w:pPr>
            <w:r w:rsidRPr="00A84EA2">
              <w:rPr>
                <w:rFonts w:ascii="Arial Narrow" w:hAnsi="Arial Narrow"/>
                <w:b/>
                <w:bCs/>
                <w:color w:val="000000"/>
                <w:sz w:val="20"/>
                <w:szCs w:val="20"/>
              </w:rPr>
              <w:t xml:space="preserve">Administrative Advice: </w:t>
            </w:r>
          </w:p>
          <w:p w14:paraId="2D9FE93B" w14:textId="77777777" w:rsidR="0058438D" w:rsidRPr="00A84EA2" w:rsidRDefault="0058438D" w:rsidP="000343C1">
            <w:pPr>
              <w:rPr>
                <w:rFonts w:ascii="Arial Narrow" w:hAnsi="Arial Narrow"/>
                <w:color w:val="000000"/>
                <w:sz w:val="20"/>
                <w:szCs w:val="20"/>
              </w:rPr>
            </w:pPr>
            <w:r w:rsidRPr="00A84EA2">
              <w:rPr>
                <w:rFonts w:ascii="Arial Narrow" w:hAnsi="Arial Narrow"/>
                <w:color w:val="000000"/>
                <w:sz w:val="20"/>
                <w:szCs w:val="20"/>
              </w:rPr>
              <w:t>For copies of the ACQ and the calculation sheets please contact AstraZeneca Medical Information on 1800 805 342.</w:t>
            </w:r>
          </w:p>
        </w:tc>
      </w:tr>
      <w:tr w:rsidR="0058438D" w:rsidRPr="00133B19" w14:paraId="14CB7231" w14:textId="77777777" w:rsidTr="00966E67">
        <w:trPr>
          <w:cantSplit/>
          <w:trHeight w:val="20"/>
        </w:trPr>
        <w:tc>
          <w:tcPr>
            <w:tcW w:w="16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58A705" w14:textId="2C9CD97D" w:rsidR="0058438D" w:rsidRPr="00133B19" w:rsidRDefault="0058438D" w:rsidP="000343C1">
            <w:pPr>
              <w:jc w:val="center"/>
              <w:rPr>
                <w:rFonts w:ascii="Arial Narrow" w:hAnsi="Arial Narrow"/>
                <w:bCs/>
                <w:i/>
                <w:iCs/>
                <w:color w:val="000000"/>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0C68B2" w14:textId="77777777" w:rsidR="0058438D" w:rsidRPr="00133B19" w:rsidRDefault="0058438D" w:rsidP="000343C1">
            <w:pPr>
              <w:ind w:left="-57"/>
              <w:rPr>
                <w:rFonts w:ascii="Arial Narrow" w:hAnsi="Arial Narrow"/>
                <w:b/>
                <w:bCs/>
                <w:i/>
                <w:iCs/>
                <w:color w:val="000000"/>
                <w:sz w:val="20"/>
                <w:szCs w:val="20"/>
              </w:rPr>
            </w:pPr>
            <w:r w:rsidRPr="00133B19">
              <w:rPr>
                <w:rFonts w:ascii="Arial Narrow" w:hAnsi="Arial Narrow"/>
                <w:b/>
                <w:bCs/>
                <w:i/>
                <w:iCs/>
                <w:color w:val="000000"/>
                <w:sz w:val="20"/>
                <w:szCs w:val="20"/>
              </w:rPr>
              <w:t>Administrative Advice:</w:t>
            </w:r>
          </w:p>
          <w:p w14:paraId="06195480" w14:textId="77777777" w:rsidR="0058438D" w:rsidRPr="00133B19" w:rsidRDefault="0058438D" w:rsidP="000343C1">
            <w:pPr>
              <w:ind w:left="-57"/>
              <w:rPr>
                <w:rFonts w:ascii="Arial Narrow" w:hAnsi="Arial Narrow"/>
                <w:color w:val="000000"/>
                <w:sz w:val="20"/>
                <w:szCs w:val="20"/>
              </w:rPr>
            </w:pPr>
            <w:r w:rsidRPr="00133B19">
              <w:rPr>
                <w:rFonts w:ascii="Arial Narrow" w:hAnsi="Arial Narrow"/>
                <w:color w:val="000000"/>
                <w:sz w:val="20"/>
                <w:szCs w:val="20"/>
              </w:rPr>
              <w:t xml:space="preserve">Formal assessment and correction of inhaler technique should be performed in accordance with the National Asthma Council (NAC) Information Paper for Health Professionals on Inhaler Technique (available at </w:t>
            </w:r>
            <w:r w:rsidRPr="00133B19">
              <w:rPr>
                <w:rFonts w:ascii="Arial Narrow" w:hAnsi="Arial Narrow"/>
                <w:sz w:val="20"/>
                <w:szCs w:val="20"/>
              </w:rPr>
              <w:t>www.nationalasthma</w:t>
            </w:r>
            <w:r w:rsidRPr="00133B19">
              <w:rPr>
                <w:rFonts w:ascii="Arial Narrow" w:hAnsi="Arial Narrow"/>
                <w:color w:val="000000"/>
                <w:sz w:val="20"/>
                <w:szCs w:val="20"/>
              </w:rPr>
              <w:t>.org.au); the assessment and adherence to correct technique should be documented in the patient’s medical records. Patients can obtain support with inhaler technique through their local Asthma Foundation (1800 645 130).</w:t>
            </w:r>
          </w:p>
        </w:tc>
      </w:tr>
    </w:tbl>
    <w:p w14:paraId="3F292BCF" w14:textId="22397F95" w:rsidR="00437FF9" w:rsidRPr="000C5ADE" w:rsidRDefault="00437FF9" w:rsidP="00437FF9">
      <w:pPr>
        <w:spacing w:before="240" w:after="120"/>
        <w:rPr>
          <w:rFonts w:ascii="Arial Narrow" w:hAnsi="Arial Narrow" w:cs="Aptos"/>
          <w:color w:val="000000"/>
        </w:rPr>
      </w:pPr>
      <w:r w:rsidRPr="00437FF9">
        <w:rPr>
          <w:rFonts w:ascii="Arial Narrow" w:hAnsi="Arial Narrow" w:cs="Aptos"/>
          <w:color w:val="000000"/>
        </w:rPr>
        <w:t>Continuing treatment phase</w:t>
      </w:r>
      <w:r>
        <w:rPr>
          <w:rFonts w:ascii="Arial Narrow" w:hAnsi="Arial Narrow" w:cs="Aptos"/>
          <w:color w:val="000000"/>
        </w:rPr>
        <w:t>:</w:t>
      </w:r>
    </w:p>
    <w:tbl>
      <w:tblPr>
        <w:tblW w:w="501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ntinuing treatment phase:"/>
      </w:tblPr>
      <w:tblGrid>
        <w:gridCol w:w="496"/>
        <w:gridCol w:w="1075"/>
        <w:gridCol w:w="2360"/>
        <w:gridCol w:w="812"/>
        <w:gridCol w:w="813"/>
        <w:gridCol w:w="812"/>
        <w:gridCol w:w="813"/>
        <w:gridCol w:w="1859"/>
      </w:tblGrid>
      <w:tr w:rsidR="00437FF9" w:rsidRPr="00133B19" w14:paraId="1A45AF10" w14:textId="77777777" w:rsidTr="000343C1">
        <w:trPr>
          <w:cantSplit/>
          <w:trHeight w:val="20"/>
        </w:trPr>
        <w:tc>
          <w:tcPr>
            <w:tcW w:w="3930" w:type="dxa"/>
            <w:gridSpan w:val="3"/>
            <w:tcBorders>
              <w:top w:val="single" w:sz="4" w:space="0" w:color="auto"/>
              <w:left w:val="single" w:sz="4" w:space="0" w:color="auto"/>
              <w:bottom w:val="single" w:sz="4" w:space="0" w:color="auto"/>
              <w:right w:val="single" w:sz="4" w:space="0" w:color="auto"/>
            </w:tcBorders>
            <w:vAlign w:val="center"/>
            <w:hideMark/>
          </w:tcPr>
          <w:p w14:paraId="2982774C" w14:textId="77777777" w:rsidR="00437FF9" w:rsidRPr="00133B19" w:rsidRDefault="00437FF9" w:rsidP="000343C1">
            <w:pPr>
              <w:keepLines/>
              <w:rPr>
                <w:rFonts w:ascii="Arial Narrow" w:hAnsi="Arial Narrow"/>
                <w:b/>
                <w:bCs/>
                <w:color w:val="000000"/>
                <w:sz w:val="20"/>
                <w:szCs w:val="20"/>
              </w:rPr>
            </w:pPr>
            <w:r w:rsidRPr="00133B19">
              <w:rPr>
                <w:rFonts w:ascii="Arial Narrow" w:hAnsi="Arial Narrow"/>
                <w:b/>
                <w:bCs/>
                <w:color w:val="000000"/>
                <w:sz w:val="20"/>
                <w:szCs w:val="20"/>
              </w:rPr>
              <w:t>MEDICINAL PRODUCT</w:t>
            </w:r>
          </w:p>
          <w:p w14:paraId="0D2762F3" w14:textId="77777777" w:rsidR="00437FF9" w:rsidRPr="00133B19" w:rsidRDefault="00437FF9" w:rsidP="000343C1">
            <w:pPr>
              <w:keepLines/>
              <w:rPr>
                <w:rFonts w:ascii="Arial Narrow" w:hAnsi="Arial Narrow"/>
                <w:b/>
                <w:color w:val="000000"/>
                <w:sz w:val="20"/>
                <w:szCs w:val="20"/>
              </w:rPr>
            </w:pPr>
            <w:r w:rsidRPr="00133B19">
              <w:rPr>
                <w:rFonts w:ascii="Arial Narrow" w:hAnsi="Arial Narrow"/>
                <w:b/>
                <w:bCs/>
                <w:color w:val="000000"/>
                <w:sz w:val="20"/>
                <w:szCs w:val="20"/>
              </w:rPr>
              <w:t>medicinal product pack</w:t>
            </w:r>
          </w:p>
        </w:tc>
        <w:tc>
          <w:tcPr>
            <w:tcW w:w="812" w:type="dxa"/>
            <w:tcBorders>
              <w:top w:val="single" w:sz="4" w:space="0" w:color="auto"/>
              <w:left w:val="single" w:sz="4" w:space="0" w:color="auto"/>
              <w:bottom w:val="single" w:sz="4" w:space="0" w:color="auto"/>
              <w:right w:val="single" w:sz="4" w:space="0" w:color="auto"/>
            </w:tcBorders>
            <w:vAlign w:val="center"/>
            <w:hideMark/>
          </w:tcPr>
          <w:p w14:paraId="3B0BAA91" w14:textId="77777777" w:rsidR="00437FF9" w:rsidRPr="00133B19" w:rsidRDefault="00437FF9" w:rsidP="000343C1">
            <w:pPr>
              <w:keepLines/>
              <w:jc w:val="center"/>
              <w:rPr>
                <w:rFonts w:ascii="Arial Narrow" w:hAnsi="Arial Narrow"/>
                <w:b/>
                <w:color w:val="000000"/>
                <w:sz w:val="20"/>
                <w:szCs w:val="20"/>
              </w:rPr>
            </w:pPr>
            <w:r w:rsidRPr="00133B19">
              <w:rPr>
                <w:rFonts w:ascii="Arial Narrow" w:hAnsi="Arial Narrow"/>
                <w:b/>
                <w:color w:val="000000"/>
                <w:sz w:val="20"/>
                <w:szCs w:val="20"/>
              </w:rPr>
              <w:t>PBS item code</w:t>
            </w:r>
          </w:p>
        </w:tc>
        <w:tc>
          <w:tcPr>
            <w:tcW w:w="813" w:type="dxa"/>
            <w:tcBorders>
              <w:top w:val="single" w:sz="4" w:space="0" w:color="auto"/>
              <w:left w:val="single" w:sz="4" w:space="0" w:color="auto"/>
              <w:bottom w:val="single" w:sz="4" w:space="0" w:color="auto"/>
              <w:right w:val="single" w:sz="4" w:space="0" w:color="auto"/>
            </w:tcBorders>
            <w:vAlign w:val="center"/>
            <w:hideMark/>
          </w:tcPr>
          <w:p w14:paraId="499B4F8C" w14:textId="77777777" w:rsidR="00437FF9" w:rsidRPr="00133B19" w:rsidRDefault="00437FF9" w:rsidP="000343C1">
            <w:pPr>
              <w:keepLines/>
              <w:jc w:val="center"/>
              <w:rPr>
                <w:rFonts w:ascii="Arial Narrow" w:hAnsi="Arial Narrow"/>
                <w:b/>
                <w:color w:val="000000"/>
                <w:sz w:val="20"/>
                <w:szCs w:val="20"/>
              </w:rPr>
            </w:pPr>
            <w:r w:rsidRPr="00133B19">
              <w:rPr>
                <w:rFonts w:ascii="Arial Narrow" w:hAnsi="Arial Narrow"/>
                <w:b/>
                <w:color w:val="000000"/>
                <w:sz w:val="20"/>
                <w:szCs w:val="20"/>
              </w:rPr>
              <w:t>Max. qty packs</w:t>
            </w:r>
          </w:p>
        </w:tc>
        <w:tc>
          <w:tcPr>
            <w:tcW w:w="812" w:type="dxa"/>
            <w:tcBorders>
              <w:top w:val="single" w:sz="4" w:space="0" w:color="auto"/>
              <w:left w:val="single" w:sz="4" w:space="0" w:color="auto"/>
              <w:bottom w:val="single" w:sz="4" w:space="0" w:color="auto"/>
              <w:right w:val="single" w:sz="4" w:space="0" w:color="auto"/>
            </w:tcBorders>
            <w:vAlign w:val="center"/>
            <w:hideMark/>
          </w:tcPr>
          <w:p w14:paraId="664783A6" w14:textId="77777777" w:rsidR="00437FF9" w:rsidRPr="00133B19" w:rsidRDefault="00437FF9" w:rsidP="000343C1">
            <w:pPr>
              <w:keepLines/>
              <w:jc w:val="center"/>
              <w:rPr>
                <w:rFonts w:ascii="Arial Narrow" w:hAnsi="Arial Narrow"/>
                <w:b/>
                <w:color w:val="000000"/>
                <w:sz w:val="20"/>
                <w:szCs w:val="20"/>
              </w:rPr>
            </w:pPr>
            <w:r w:rsidRPr="00133B19">
              <w:rPr>
                <w:rFonts w:ascii="Arial Narrow" w:hAnsi="Arial Narrow"/>
                <w:b/>
                <w:color w:val="000000"/>
                <w:sz w:val="20"/>
                <w:szCs w:val="20"/>
              </w:rPr>
              <w:t>Max. qty units</w:t>
            </w:r>
          </w:p>
        </w:tc>
        <w:tc>
          <w:tcPr>
            <w:tcW w:w="813" w:type="dxa"/>
            <w:tcBorders>
              <w:top w:val="single" w:sz="4" w:space="0" w:color="auto"/>
              <w:left w:val="single" w:sz="4" w:space="0" w:color="auto"/>
              <w:bottom w:val="single" w:sz="4" w:space="0" w:color="auto"/>
              <w:right w:val="single" w:sz="4" w:space="0" w:color="auto"/>
            </w:tcBorders>
            <w:vAlign w:val="center"/>
            <w:hideMark/>
          </w:tcPr>
          <w:p w14:paraId="609276AE" w14:textId="77777777" w:rsidR="00437FF9" w:rsidRPr="00133B19" w:rsidRDefault="00437FF9" w:rsidP="000343C1">
            <w:pPr>
              <w:keepLines/>
              <w:jc w:val="center"/>
              <w:rPr>
                <w:rFonts w:ascii="Arial Narrow" w:hAnsi="Arial Narrow"/>
                <w:b/>
                <w:bCs/>
                <w:color w:val="000000"/>
                <w:sz w:val="20"/>
                <w:szCs w:val="20"/>
              </w:rPr>
            </w:pPr>
            <w:proofErr w:type="gramStart"/>
            <w:r w:rsidRPr="00133B19">
              <w:rPr>
                <w:rFonts w:ascii="Arial Narrow" w:hAnsi="Arial Narrow"/>
                <w:b/>
                <w:bCs/>
                <w:color w:val="000000"/>
                <w:sz w:val="20"/>
                <w:szCs w:val="20"/>
              </w:rPr>
              <w:t>№.of</w:t>
            </w:r>
            <w:proofErr w:type="gramEnd"/>
          </w:p>
          <w:p w14:paraId="6DDFE952" w14:textId="77777777" w:rsidR="00437FF9" w:rsidRPr="00133B19" w:rsidRDefault="00437FF9" w:rsidP="000343C1">
            <w:pPr>
              <w:keepLines/>
              <w:jc w:val="center"/>
              <w:rPr>
                <w:rFonts w:ascii="Arial Narrow" w:hAnsi="Arial Narrow"/>
                <w:b/>
                <w:bCs/>
                <w:color w:val="000000"/>
                <w:sz w:val="20"/>
                <w:szCs w:val="20"/>
              </w:rPr>
            </w:pPr>
            <w:proofErr w:type="spellStart"/>
            <w:r w:rsidRPr="00133B19">
              <w:rPr>
                <w:rFonts w:ascii="Arial Narrow" w:hAnsi="Arial Narrow"/>
                <w:b/>
                <w:bCs/>
                <w:color w:val="000000"/>
                <w:sz w:val="20"/>
                <w:szCs w:val="20"/>
              </w:rPr>
              <w:t>Rpts</w:t>
            </w:r>
            <w:proofErr w:type="spellEnd"/>
          </w:p>
        </w:tc>
        <w:tc>
          <w:tcPr>
            <w:tcW w:w="1859" w:type="dxa"/>
            <w:tcBorders>
              <w:top w:val="single" w:sz="4" w:space="0" w:color="auto"/>
              <w:left w:val="single" w:sz="4" w:space="0" w:color="auto"/>
              <w:bottom w:val="single" w:sz="4" w:space="0" w:color="auto"/>
              <w:right w:val="single" w:sz="4" w:space="0" w:color="auto"/>
            </w:tcBorders>
            <w:vAlign w:val="center"/>
            <w:hideMark/>
          </w:tcPr>
          <w:p w14:paraId="4206CF26" w14:textId="77777777" w:rsidR="00437FF9" w:rsidRPr="00133B19" w:rsidRDefault="00437FF9" w:rsidP="000343C1">
            <w:pPr>
              <w:keepLines/>
              <w:rPr>
                <w:rFonts w:ascii="Arial Narrow" w:hAnsi="Arial Narrow"/>
                <w:b/>
                <w:color w:val="000000"/>
                <w:sz w:val="20"/>
                <w:szCs w:val="20"/>
                <w:lang w:val="fr-FR"/>
              </w:rPr>
            </w:pPr>
            <w:r w:rsidRPr="00133B19">
              <w:rPr>
                <w:rFonts w:ascii="Arial Narrow" w:hAnsi="Arial Narrow"/>
                <w:b/>
                <w:color w:val="000000"/>
                <w:sz w:val="20"/>
                <w:szCs w:val="20"/>
              </w:rPr>
              <w:t>Available brands</w:t>
            </w:r>
          </w:p>
        </w:tc>
      </w:tr>
      <w:tr w:rsidR="00437FF9" w:rsidRPr="00133B19" w14:paraId="513C042A" w14:textId="77777777" w:rsidTr="000343C1">
        <w:trPr>
          <w:cantSplit/>
          <w:trHeight w:val="20"/>
        </w:trPr>
        <w:tc>
          <w:tcPr>
            <w:tcW w:w="9039" w:type="dxa"/>
            <w:gridSpan w:val="8"/>
            <w:tcBorders>
              <w:top w:val="single" w:sz="4" w:space="0" w:color="auto"/>
              <w:left w:val="single" w:sz="4" w:space="0" w:color="auto"/>
              <w:bottom w:val="single" w:sz="4" w:space="0" w:color="auto"/>
              <w:right w:val="single" w:sz="4" w:space="0" w:color="auto"/>
            </w:tcBorders>
            <w:vAlign w:val="center"/>
            <w:hideMark/>
          </w:tcPr>
          <w:p w14:paraId="7E59AC82" w14:textId="77777777" w:rsidR="00437FF9" w:rsidRPr="00133B19" w:rsidRDefault="00437FF9" w:rsidP="000343C1">
            <w:pPr>
              <w:keepLines/>
              <w:rPr>
                <w:rFonts w:ascii="Arial Narrow" w:hAnsi="Arial Narrow"/>
                <w:color w:val="000000"/>
                <w:sz w:val="20"/>
                <w:szCs w:val="20"/>
              </w:rPr>
            </w:pPr>
            <w:r w:rsidRPr="00133B19">
              <w:rPr>
                <w:rFonts w:ascii="Arial Narrow" w:hAnsi="Arial Narrow"/>
                <w:color w:val="000000"/>
                <w:sz w:val="20"/>
                <w:szCs w:val="20"/>
              </w:rPr>
              <w:t>TEZEPELUMAB</w:t>
            </w:r>
          </w:p>
        </w:tc>
      </w:tr>
      <w:tr w:rsidR="00437FF9" w:rsidRPr="00133B19" w14:paraId="62638174" w14:textId="77777777" w:rsidTr="000343C1">
        <w:trPr>
          <w:cantSplit/>
          <w:trHeight w:val="20"/>
        </w:trPr>
        <w:tc>
          <w:tcPr>
            <w:tcW w:w="3930" w:type="dxa"/>
            <w:gridSpan w:val="3"/>
            <w:tcBorders>
              <w:top w:val="single" w:sz="4" w:space="0" w:color="auto"/>
              <w:left w:val="single" w:sz="4" w:space="0" w:color="auto"/>
              <w:bottom w:val="single" w:sz="4" w:space="0" w:color="auto"/>
              <w:right w:val="single" w:sz="4" w:space="0" w:color="auto"/>
            </w:tcBorders>
            <w:vAlign w:val="center"/>
            <w:hideMark/>
          </w:tcPr>
          <w:p w14:paraId="0678B2BA" w14:textId="77777777" w:rsidR="00437FF9" w:rsidRPr="004A55D1" w:rsidRDefault="00437FF9" w:rsidP="000343C1">
            <w:pPr>
              <w:keepLines/>
              <w:rPr>
                <w:rFonts w:ascii="Arial Narrow" w:hAnsi="Arial Narrow"/>
                <w:sz w:val="20"/>
                <w:szCs w:val="20"/>
              </w:rPr>
            </w:pPr>
            <w:proofErr w:type="spellStart"/>
            <w:r w:rsidRPr="004A55D1">
              <w:rPr>
                <w:rFonts w:ascii="Arial Narrow" w:hAnsi="Arial Narrow"/>
                <w:sz w:val="20"/>
                <w:szCs w:val="20"/>
              </w:rPr>
              <w:t>tezepelumab</w:t>
            </w:r>
            <w:proofErr w:type="spellEnd"/>
            <w:r w:rsidRPr="004A55D1">
              <w:rPr>
                <w:rFonts w:ascii="Arial Narrow" w:hAnsi="Arial Narrow"/>
                <w:sz w:val="20"/>
                <w:szCs w:val="20"/>
              </w:rPr>
              <w:t xml:space="preserve"> 210 mg/1.91 mL injection, 1.91 mL pen device</w:t>
            </w:r>
          </w:p>
        </w:tc>
        <w:tc>
          <w:tcPr>
            <w:tcW w:w="812" w:type="dxa"/>
            <w:tcBorders>
              <w:top w:val="single" w:sz="4" w:space="0" w:color="auto"/>
              <w:left w:val="single" w:sz="4" w:space="0" w:color="auto"/>
              <w:bottom w:val="single" w:sz="4" w:space="0" w:color="auto"/>
              <w:right w:val="single" w:sz="4" w:space="0" w:color="auto"/>
            </w:tcBorders>
            <w:vAlign w:val="center"/>
            <w:hideMark/>
          </w:tcPr>
          <w:p w14:paraId="5F6D3986" w14:textId="77777777" w:rsidR="00437FF9" w:rsidRPr="00133B19" w:rsidRDefault="00437FF9" w:rsidP="000343C1">
            <w:pPr>
              <w:keepLines/>
              <w:jc w:val="center"/>
              <w:rPr>
                <w:rFonts w:ascii="Arial Narrow" w:hAnsi="Arial Narrow"/>
                <w:sz w:val="20"/>
                <w:szCs w:val="20"/>
              </w:rPr>
            </w:pPr>
            <w:r w:rsidRPr="00133B19">
              <w:rPr>
                <w:rFonts w:ascii="Arial Narrow" w:hAnsi="Arial Narrow"/>
                <w:sz w:val="20"/>
                <w:szCs w:val="20"/>
              </w:rPr>
              <w:t>NEW/</w:t>
            </w:r>
          </w:p>
          <w:p w14:paraId="7C44AD1B" w14:textId="77777777" w:rsidR="00437FF9" w:rsidRPr="00133B19" w:rsidRDefault="00437FF9" w:rsidP="000343C1">
            <w:pPr>
              <w:keepLines/>
              <w:jc w:val="center"/>
              <w:rPr>
                <w:rFonts w:ascii="Arial Narrow" w:hAnsi="Arial Narrow"/>
                <w:sz w:val="20"/>
                <w:szCs w:val="20"/>
              </w:rPr>
            </w:pPr>
            <w:r w:rsidRPr="00133B19">
              <w:rPr>
                <w:rFonts w:ascii="Arial Narrow" w:hAnsi="Arial Narrow"/>
                <w:sz w:val="20"/>
                <w:szCs w:val="20"/>
              </w:rPr>
              <w:t>Public</w:t>
            </w:r>
          </w:p>
        </w:tc>
        <w:tc>
          <w:tcPr>
            <w:tcW w:w="813" w:type="dxa"/>
            <w:tcBorders>
              <w:top w:val="single" w:sz="4" w:space="0" w:color="auto"/>
              <w:left w:val="single" w:sz="4" w:space="0" w:color="auto"/>
              <w:bottom w:val="single" w:sz="4" w:space="0" w:color="auto"/>
              <w:right w:val="single" w:sz="4" w:space="0" w:color="auto"/>
            </w:tcBorders>
            <w:vAlign w:val="center"/>
            <w:hideMark/>
          </w:tcPr>
          <w:p w14:paraId="71B1E66F" w14:textId="77777777" w:rsidR="00437FF9" w:rsidRPr="00133B19" w:rsidRDefault="00437FF9" w:rsidP="000343C1">
            <w:pPr>
              <w:keepLines/>
              <w:jc w:val="center"/>
              <w:rPr>
                <w:rFonts w:ascii="Arial Narrow" w:hAnsi="Arial Narrow"/>
                <w:sz w:val="20"/>
                <w:szCs w:val="20"/>
              </w:rPr>
            </w:pPr>
            <w:r w:rsidRPr="00133B19">
              <w:rPr>
                <w:rFonts w:ascii="Arial Narrow" w:hAnsi="Arial Narrow"/>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50E21374" w14:textId="77777777" w:rsidR="00437FF9" w:rsidRPr="00133B19" w:rsidRDefault="00437FF9" w:rsidP="000343C1">
            <w:pPr>
              <w:keepLines/>
              <w:jc w:val="center"/>
              <w:rPr>
                <w:rFonts w:ascii="Arial Narrow" w:hAnsi="Arial Narrow"/>
                <w:sz w:val="20"/>
                <w:szCs w:val="20"/>
              </w:rPr>
            </w:pPr>
            <w:r w:rsidRPr="00133B19">
              <w:rPr>
                <w:rFonts w:ascii="Arial Narrow" w:hAnsi="Arial Narrow"/>
                <w:sz w:val="20"/>
                <w:szCs w:val="20"/>
              </w:rPr>
              <w:t>1</w:t>
            </w:r>
          </w:p>
        </w:tc>
        <w:tc>
          <w:tcPr>
            <w:tcW w:w="813" w:type="dxa"/>
            <w:tcBorders>
              <w:top w:val="single" w:sz="4" w:space="0" w:color="auto"/>
              <w:left w:val="single" w:sz="4" w:space="0" w:color="auto"/>
              <w:bottom w:val="single" w:sz="4" w:space="0" w:color="auto"/>
              <w:right w:val="single" w:sz="4" w:space="0" w:color="auto"/>
            </w:tcBorders>
            <w:vAlign w:val="center"/>
            <w:hideMark/>
          </w:tcPr>
          <w:p w14:paraId="0C112EF9" w14:textId="77777777" w:rsidR="00437FF9" w:rsidRPr="00133B19" w:rsidRDefault="00437FF9" w:rsidP="000343C1">
            <w:pPr>
              <w:keepLines/>
              <w:jc w:val="center"/>
              <w:rPr>
                <w:rFonts w:ascii="Arial Narrow" w:hAnsi="Arial Narrow"/>
                <w:strike/>
                <w:color w:val="000000"/>
                <w:sz w:val="20"/>
                <w:szCs w:val="20"/>
              </w:rPr>
            </w:pPr>
            <w:r w:rsidRPr="00133B19">
              <w:rPr>
                <w:rFonts w:ascii="Arial Narrow" w:hAnsi="Arial Narrow"/>
                <w:color w:val="000000"/>
                <w:sz w:val="20"/>
                <w:szCs w:val="20"/>
              </w:rPr>
              <w:t>5</w:t>
            </w:r>
          </w:p>
        </w:tc>
        <w:tc>
          <w:tcPr>
            <w:tcW w:w="1859" w:type="dxa"/>
            <w:tcBorders>
              <w:top w:val="single" w:sz="4" w:space="0" w:color="auto"/>
              <w:left w:val="single" w:sz="4" w:space="0" w:color="auto"/>
              <w:bottom w:val="single" w:sz="4" w:space="0" w:color="auto"/>
              <w:right w:val="single" w:sz="4" w:space="0" w:color="auto"/>
            </w:tcBorders>
            <w:vAlign w:val="center"/>
            <w:hideMark/>
          </w:tcPr>
          <w:p w14:paraId="0A43B42B" w14:textId="77777777" w:rsidR="00437FF9" w:rsidRPr="00133B19" w:rsidRDefault="00437FF9" w:rsidP="000343C1">
            <w:pPr>
              <w:keepLines/>
              <w:rPr>
                <w:rFonts w:ascii="Arial Narrow" w:hAnsi="Arial Narrow"/>
                <w:sz w:val="20"/>
                <w:szCs w:val="20"/>
              </w:rPr>
            </w:pPr>
            <w:proofErr w:type="spellStart"/>
            <w:r w:rsidRPr="00133B19">
              <w:rPr>
                <w:rFonts w:ascii="Arial Narrow" w:hAnsi="Arial Narrow"/>
                <w:sz w:val="20"/>
                <w:szCs w:val="20"/>
              </w:rPr>
              <w:t>Tezspire</w:t>
            </w:r>
            <w:proofErr w:type="spellEnd"/>
          </w:p>
        </w:tc>
      </w:tr>
      <w:tr w:rsidR="00437FF9" w:rsidRPr="00133B19" w14:paraId="48AA3D4D" w14:textId="77777777" w:rsidTr="000343C1">
        <w:trPr>
          <w:cantSplit/>
          <w:trHeight w:val="20"/>
        </w:trPr>
        <w:tc>
          <w:tcPr>
            <w:tcW w:w="3930" w:type="dxa"/>
            <w:gridSpan w:val="3"/>
            <w:tcBorders>
              <w:top w:val="single" w:sz="4" w:space="0" w:color="auto"/>
              <w:left w:val="single" w:sz="4" w:space="0" w:color="auto"/>
              <w:bottom w:val="single" w:sz="4" w:space="0" w:color="auto"/>
              <w:right w:val="single" w:sz="4" w:space="0" w:color="auto"/>
            </w:tcBorders>
            <w:vAlign w:val="center"/>
            <w:hideMark/>
          </w:tcPr>
          <w:p w14:paraId="1E6A22F3" w14:textId="77777777" w:rsidR="00437FF9" w:rsidRPr="004A55D1" w:rsidRDefault="00437FF9" w:rsidP="000343C1">
            <w:pPr>
              <w:keepLines/>
              <w:rPr>
                <w:rFonts w:ascii="Arial Narrow" w:hAnsi="Arial Narrow"/>
                <w:sz w:val="20"/>
                <w:szCs w:val="20"/>
              </w:rPr>
            </w:pPr>
            <w:proofErr w:type="spellStart"/>
            <w:r w:rsidRPr="004A55D1">
              <w:rPr>
                <w:rFonts w:ascii="Arial Narrow" w:hAnsi="Arial Narrow"/>
                <w:sz w:val="20"/>
                <w:szCs w:val="20"/>
              </w:rPr>
              <w:t>tezepelumab</w:t>
            </w:r>
            <w:proofErr w:type="spellEnd"/>
            <w:r w:rsidRPr="004A55D1">
              <w:rPr>
                <w:rFonts w:ascii="Arial Narrow" w:hAnsi="Arial Narrow"/>
                <w:sz w:val="20"/>
                <w:szCs w:val="20"/>
              </w:rPr>
              <w:t xml:space="preserve"> 210 mg/1.91 mL injection, 1.91 mL pen device</w:t>
            </w:r>
          </w:p>
        </w:tc>
        <w:tc>
          <w:tcPr>
            <w:tcW w:w="812" w:type="dxa"/>
            <w:tcBorders>
              <w:top w:val="single" w:sz="4" w:space="0" w:color="auto"/>
              <w:left w:val="single" w:sz="4" w:space="0" w:color="auto"/>
              <w:bottom w:val="single" w:sz="4" w:space="0" w:color="auto"/>
              <w:right w:val="single" w:sz="4" w:space="0" w:color="auto"/>
            </w:tcBorders>
            <w:vAlign w:val="center"/>
            <w:hideMark/>
          </w:tcPr>
          <w:p w14:paraId="68CB75A7" w14:textId="77777777" w:rsidR="00437FF9" w:rsidRPr="00133B19" w:rsidRDefault="00437FF9" w:rsidP="000343C1">
            <w:pPr>
              <w:keepLines/>
              <w:jc w:val="center"/>
              <w:rPr>
                <w:rFonts w:ascii="Arial Narrow" w:hAnsi="Arial Narrow"/>
                <w:sz w:val="20"/>
                <w:szCs w:val="20"/>
              </w:rPr>
            </w:pPr>
            <w:r w:rsidRPr="00133B19">
              <w:rPr>
                <w:rFonts w:ascii="Arial Narrow" w:hAnsi="Arial Narrow"/>
                <w:sz w:val="20"/>
                <w:szCs w:val="20"/>
              </w:rPr>
              <w:t>NEW/ Private</w:t>
            </w:r>
          </w:p>
        </w:tc>
        <w:tc>
          <w:tcPr>
            <w:tcW w:w="813" w:type="dxa"/>
            <w:tcBorders>
              <w:top w:val="single" w:sz="4" w:space="0" w:color="auto"/>
              <w:left w:val="single" w:sz="4" w:space="0" w:color="auto"/>
              <w:bottom w:val="single" w:sz="4" w:space="0" w:color="auto"/>
              <w:right w:val="single" w:sz="4" w:space="0" w:color="auto"/>
            </w:tcBorders>
            <w:vAlign w:val="center"/>
            <w:hideMark/>
          </w:tcPr>
          <w:p w14:paraId="606D7C68" w14:textId="77777777" w:rsidR="00437FF9" w:rsidRPr="00133B19" w:rsidRDefault="00437FF9" w:rsidP="000343C1">
            <w:pPr>
              <w:keepLines/>
              <w:jc w:val="center"/>
              <w:rPr>
                <w:rFonts w:ascii="Arial Narrow" w:hAnsi="Arial Narrow"/>
                <w:sz w:val="20"/>
                <w:szCs w:val="20"/>
              </w:rPr>
            </w:pPr>
            <w:r w:rsidRPr="00133B19">
              <w:rPr>
                <w:rFonts w:ascii="Arial Narrow" w:hAnsi="Arial Narrow"/>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634A7B78" w14:textId="77777777" w:rsidR="00437FF9" w:rsidRPr="00133B19" w:rsidRDefault="00437FF9" w:rsidP="000343C1">
            <w:pPr>
              <w:keepLines/>
              <w:jc w:val="center"/>
              <w:rPr>
                <w:rFonts w:ascii="Arial Narrow" w:hAnsi="Arial Narrow"/>
                <w:sz w:val="20"/>
                <w:szCs w:val="20"/>
              </w:rPr>
            </w:pPr>
            <w:r w:rsidRPr="00133B19">
              <w:rPr>
                <w:rFonts w:ascii="Arial Narrow" w:hAnsi="Arial Narrow"/>
                <w:sz w:val="20"/>
                <w:szCs w:val="20"/>
              </w:rPr>
              <w:t>1</w:t>
            </w:r>
          </w:p>
        </w:tc>
        <w:tc>
          <w:tcPr>
            <w:tcW w:w="813" w:type="dxa"/>
            <w:tcBorders>
              <w:top w:val="single" w:sz="4" w:space="0" w:color="auto"/>
              <w:left w:val="single" w:sz="4" w:space="0" w:color="auto"/>
              <w:bottom w:val="single" w:sz="4" w:space="0" w:color="auto"/>
              <w:right w:val="single" w:sz="4" w:space="0" w:color="auto"/>
            </w:tcBorders>
            <w:hideMark/>
          </w:tcPr>
          <w:p w14:paraId="3B6F94B1" w14:textId="77777777" w:rsidR="00437FF9" w:rsidRPr="00133B19" w:rsidRDefault="00437FF9" w:rsidP="000343C1">
            <w:pPr>
              <w:keepLines/>
              <w:jc w:val="center"/>
              <w:rPr>
                <w:rFonts w:ascii="Arial Narrow" w:hAnsi="Arial Narrow"/>
                <w:strike/>
                <w:color w:val="000000"/>
                <w:sz w:val="20"/>
                <w:szCs w:val="20"/>
              </w:rPr>
            </w:pPr>
            <w:r w:rsidRPr="00133B19">
              <w:rPr>
                <w:rFonts w:ascii="Arial Narrow" w:hAnsi="Arial Narrow"/>
                <w:color w:val="000000"/>
                <w:sz w:val="20"/>
                <w:szCs w:val="20"/>
              </w:rPr>
              <w:t>5</w:t>
            </w:r>
          </w:p>
        </w:tc>
        <w:tc>
          <w:tcPr>
            <w:tcW w:w="1859" w:type="dxa"/>
            <w:tcBorders>
              <w:top w:val="single" w:sz="4" w:space="0" w:color="auto"/>
              <w:left w:val="single" w:sz="4" w:space="0" w:color="auto"/>
              <w:bottom w:val="single" w:sz="4" w:space="0" w:color="auto"/>
              <w:right w:val="single" w:sz="4" w:space="0" w:color="auto"/>
            </w:tcBorders>
            <w:vAlign w:val="center"/>
            <w:hideMark/>
          </w:tcPr>
          <w:p w14:paraId="42A82BEF" w14:textId="77777777" w:rsidR="00437FF9" w:rsidRPr="00133B19" w:rsidRDefault="00437FF9" w:rsidP="000343C1">
            <w:pPr>
              <w:keepLines/>
              <w:rPr>
                <w:rFonts w:ascii="Arial Narrow" w:hAnsi="Arial Narrow"/>
                <w:sz w:val="20"/>
                <w:szCs w:val="20"/>
              </w:rPr>
            </w:pPr>
            <w:proofErr w:type="spellStart"/>
            <w:r w:rsidRPr="00133B19">
              <w:rPr>
                <w:rFonts w:ascii="Arial Narrow" w:hAnsi="Arial Narrow"/>
                <w:sz w:val="20"/>
                <w:szCs w:val="20"/>
              </w:rPr>
              <w:t>Tezspire</w:t>
            </w:r>
            <w:proofErr w:type="spellEnd"/>
          </w:p>
        </w:tc>
      </w:tr>
      <w:tr w:rsidR="00437FF9" w:rsidRPr="00133B19" w14:paraId="2B93089B" w14:textId="77777777" w:rsidTr="000343C1">
        <w:trPr>
          <w:trHeight w:val="20"/>
        </w:trPr>
        <w:tc>
          <w:tcPr>
            <w:tcW w:w="1570"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5FE85C5" w14:textId="77777777" w:rsidR="00437FF9" w:rsidRPr="00A84EA2" w:rsidRDefault="00437FF9" w:rsidP="000343C1">
            <w:pPr>
              <w:jc w:val="center"/>
              <w:rPr>
                <w:rFonts w:ascii="Arial Narrow" w:hAnsi="Arial Narrow"/>
                <w:b/>
                <w:color w:val="000000"/>
                <w:sz w:val="20"/>
                <w:szCs w:val="20"/>
              </w:rPr>
            </w:pPr>
            <w:r w:rsidRPr="00A84EA2">
              <w:rPr>
                <w:rFonts w:ascii="Arial Narrow" w:hAnsi="Arial Narrow"/>
                <w:b/>
                <w:color w:val="000000"/>
                <w:sz w:val="20"/>
                <w:szCs w:val="20"/>
              </w:rPr>
              <w:t xml:space="preserve">Concept ID </w:t>
            </w:r>
            <w:r w:rsidRPr="00A84EA2">
              <w:rPr>
                <w:rFonts w:ascii="Arial Narrow" w:hAnsi="Arial Narrow"/>
                <w:color w:val="000000"/>
                <w:sz w:val="20"/>
                <w:szCs w:val="20"/>
              </w:rPr>
              <w:t>(for internal Dept. use)</w:t>
            </w: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5EA564" w14:textId="77777777" w:rsidR="00437FF9" w:rsidRPr="00A84EA2" w:rsidRDefault="00437FF9" w:rsidP="000343C1">
            <w:pPr>
              <w:keepLines/>
              <w:rPr>
                <w:rFonts w:ascii="Arial Narrow" w:eastAsia="Calibri" w:hAnsi="Arial Narrow"/>
                <w:color w:val="000000"/>
                <w:sz w:val="20"/>
                <w:szCs w:val="20"/>
              </w:rPr>
            </w:pPr>
            <w:r w:rsidRPr="00A84EA2">
              <w:rPr>
                <w:rFonts w:ascii="Arial Narrow" w:hAnsi="Arial Narrow"/>
                <w:b/>
                <w:color w:val="000000"/>
                <w:sz w:val="20"/>
                <w:szCs w:val="20"/>
              </w:rPr>
              <w:t>Category / Program:</w:t>
            </w:r>
            <w:r w:rsidRPr="00A84EA2">
              <w:rPr>
                <w:rFonts w:ascii="Arial Narrow" w:hAnsi="Arial Narrow"/>
                <w:color w:val="000000"/>
                <w:sz w:val="20"/>
                <w:szCs w:val="20"/>
              </w:rPr>
              <w:t xml:space="preserve"> </w:t>
            </w:r>
          </w:p>
          <w:p w14:paraId="59FBCA76" w14:textId="77777777" w:rsidR="00437FF9" w:rsidRPr="00A84EA2" w:rsidRDefault="00437FF9" w:rsidP="000343C1">
            <w:pPr>
              <w:keepLines/>
              <w:rPr>
                <w:rFonts w:ascii="Arial Narrow" w:hAnsi="Arial Narrow"/>
                <w:color w:val="000000"/>
                <w:sz w:val="20"/>
                <w:szCs w:val="20"/>
              </w:rPr>
            </w:pPr>
            <w:r w:rsidRPr="00A84EA2">
              <w:rPr>
                <w:rFonts w:ascii="Arial Narrow" w:eastAsia="Calibri" w:hAnsi="Arial Narrow"/>
                <w:color w:val="000000"/>
                <w:sz w:val="20"/>
                <w:szCs w:val="20"/>
              </w:rPr>
              <w:fldChar w:fldCharType="begin">
                <w:ffData>
                  <w:name w:val=""/>
                  <w:enabled/>
                  <w:calcOnExit w:val="0"/>
                  <w:checkBox>
                    <w:sizeAuto/>
                    <w:default w:val="1"/>
                  </w:checkBox>
                </w:ffData>
              </w:fldChar>
            </w:r>
            <w:r w:rsidRPr="00A84EA2">
              <w:rPr>
                <w:rFonts w:ascii="Arial Narrow" w:eastAsia="Calibri" w:hAnsi="Arial Narrow"/>
                <w:color w:val="000000"/>
                <w:sz w:val="20"/>
                <w:szCs w:val="20"/>
              </w:rPr>
              <w:instrText xml:space="preserve"> FORMCHECKBOX </w:instrText>
            </w:r>
            <w:r w:rsidRPr="00A84EA2">
              <w:rPr>
                <w:rFonts w:ascii="Arial Narrow" w:eastAsia="Calibri" w:hAnsi="Arial Narrow"/>
                <w:color w:val="000000"/>
                <w:sz w:val="20"/>
                <w:szCs w:val="20"/>
              </w:rPr>
            </w:r>
            <w:r w:rsidRPr="00A84EA2">
              <w:rPr>
                <w:rFonts w:ascii="Arial Narrow" w:eastAsia="Calibri" w:hAnsi="Arial Narrow"/>
                <w:color w:val="000000"/>
                <w:sz w:val="20"/>
                <w:szCs w:val="20"/>
              </w:rPr>
              <w:fldChar w:fldCharType="separate"/>
            </w:r>
            <w:r w:rsidRPr="00A84EA2">
              <w:rPr>
                <w:rFonts w:ascii="Arial Narrow" w:eastAsia="Calibri" w:hAnsi="Arial Narrow"/>
                <w:color w:val="000000"/>
                <w:sz w:val="20"/>
                <w:szCs w:val="20"/>
              </w:rPr>
              <w:fldChar w:fldCharType="end"/>
            </w:r>
            <w:r w:rsidRPr="00A84EA2">
              <w:rPr>
                <w:rFonts w:ascii="Arial Narrow" w:eastAsia="Calibri" w:hAnsi="Arial Narrow"/>
                <w:color w:val="000000"/>
                <w:sz w:val="20"/>
                <w:szCs w:val="20"/>
              </w:rPr>
              <w:t xml:space="preserve"> Section 100 – Highly Specialised Drugs Program – Public (Code HB) / Private (Code HS)</w:t>
            </w:r>
          </w:p>
        </w:tc>
      </w:tr>
      <w:tr w:rsidR="00437FF9" w:rsidRPr="00133B19" w14:paraId="0A893A0B" w14:textId="77777777" w:rsidTr="000343C1">
        <w:trPr>
          <w:trHeight w:val="20"/>
        </w:trPr>
        <w:tc>
          <w:tcPr>
            <w:tcW w:w="1570" w:type="dxa"/>
            <w:gridSpan w:val="2"/>
            <w:vMerge/>
            <w:tcBorders>
              <w:top w:val="single" w:sz="4" w:space="0" w:color="auto"/>
              <w:left w:val="single" w:sz="4" w:space="0" w:color="auto"/>
              <w:bottom w:val="single" w:sz="4" w:space="0" w:color="auto"/>
              <w:right w:val="nil"/>
            </w:tcBorders>
            <w:vAlign w:val="center"/>
            <w:hideMark/>
          </w:tcPr>
          <w:p w14:paraId="42BDDFD3" w14:textId="77777777" w:rsidR="00437FF9" w:rsidRPr="00A84EA2" w:rsidRDefault="00437FF9" w:rsidP="000343C1">
            <w:pPr>
              <w:rPr>
                <w:rFonts w:ascii="Arial Narrow" w:hAnsi="Arial Narrow"/>
                <w:b/>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40805E" w14:textId="77777777" w:rsidR="00437FF9" w:rsidRPr="00A84EA2" w:rsidRDefault="00437FF9" w:rsidP="000343C1">
            <w:pPr>
              <w:keepLines/>
              <w:rPr>
                <w:rFonts w:ascii="Arial Narrow" w:hAnsi="Arial Narrow"/>
                <w:b/>
                <w:color w:val="000000"/>
                <w:sz w:val="20"/>
                <w:szCs w:val="20"/>
              </w:rPr>
            </w:pPr>
            <w:r w:rsidRPr="00A84EA2">
              <w:rPr>
                <w:rFonts w:ascii="Arial Narrow" w:hAnsi="Arial Narrow"/>
                <w:b/>
                <w:color w:val="000000"/>
                <w:sz w:val="20"/>
                <w:szCs w:val="20"/>
              </w:rPr>
              <w:t xml:space="preserve">Prescriber type: </w:t>
            </w:r>
            <w:r w:rsidRPr="00A84EA2">
              <w:rPr>
                <w:rFonts w:ascii="Arial Narrow" w:hAnsi="Arial Narrow"/>
                <w:color w:val="000000"/>
                <w:sz w:val="20"/>
                <w:szCs w:val="20"/>
              </w:rPr>
              <w:fldChar w:fldCharType="begin">
                <w:ffData>
                  <w:name w:val=""/>
                  <w:enabled/>
                  <w:calcOnExit w:val="0"/>
                  <w:checkBox>
                    <w:sizeAuto/>
                    <w:default w:val="1"/>
                  </w:checkBox>
                </w:ffData>
              </w:fldChar>
            </w:r>
            <w:r w:rsidRPr="00A84EA2">
              <w:rPr>
                <w:rFonts w:ascii="Arial Narrow" w:hAnsi="Arial Narrow"/>
                <w:color w:val="000000"/>
                <w:sz w:val="20"/>
                <w:szCs w:val="20"/>
              </w:rPr>
              <w:instrText xml:space="preserve"> FORMCHECKBOX </w:instrText>
            </w:r>
            <w:r w:rsidRPr="00A84EA2">
              <w:rPr>
                <w:rFonts w:ascii="Arial Narrow" w:hAnsi="Arial Narrow"/>
                <w:color w:val="000000"/>
                <w:sz w:val="20"/>
                <w:szCs w:val="20"/>
              </w:rPr>
            </w:r>
            <w:r w:rsidRPr="00A84EA2">
              <w:rPr>
                <w:rFonts w:ascii="Arial Narrow" w:hAnsi="Arial Narrow"/>
                <w:color w:val="000000"/>
                <w:sz w:val="20"/>
                <w:szCs w:val="20"/>
              </w:rPr>
              <w:fldChar w:fldCharType="separate"/>
            </w:r>
            <w:r w:rsidRPr="00A84EA2">
              <w:rPr>
                <w:rFonts w:ascii="Arial Narrow" w:hAnsi="Arial Narrow"/>
                <w:color w:val="000000"/>
                <w:sz w:val="20"/>
                <w:szCs w:val="20"/>
              </w:rPr>
              <w:fldChar w:fldCharType="end"/>
            </w:r>
            <w:r w:rsidRPr="00A84EA2">
              <w:rPr>
                <w:rFonts w:ascii="Arial Narrow" w:hAnsi="Arial Narrow"/>
                <w:color w:val="000000"/>
                <w:sz w:val="20"/>
                <w:szCs w:val="20"/>
              </w:rPr>
              <w:t xml:space="preserve">Medical Practitioners </w:t>
            </w:r>
          </w:p>
        </w:tc>
      </w:tr>
      <w:tr w:rsidR="00437FF9" w:rsidRPr="00133B19" w14:paraId="4D3F818D" w14:textId="77777777" w:rsidTr="000343C1">
        <w:trPr>
          <w:trHeight w:val="20"/>
        </w:trPr>
        <w:tc>
          <w:tcPr>
            <w:tcW w:w="1570" w:type="dxa"/>
            <w:gridSpan w:val="2"/>
            <w:vMerge/>
            <w:tcBorders>
              <w:top w:val="single" w:sz="4" w:space="0" w:color="auto"/>
              <w:left w:val="single" w:sz="4" w:space="0" w:color="auto"/>
              <w:bottom w:val="single" w:sz="4" w:space="0" w:color="auto"/>
              <w:right w:val="nil"/>
            </w:tcBorders>
            <w:vAlign w:val="center"/>
            <w:hideMark/>
          </w:tcPr>
          <w:p w14:paraId="4D846BB2" w14:textId="77777777" w:rsidR="00437FF9" w:rsidRPr="00A84EA2" w:rsidRDefault="00437FF9" w:rsidP="000343C1">
            <w:pPr>
              <w:rPr>
                <w:rFonts w:ascii="Arial Narrow" w:hAnsi="Arial Narrow"/>
                <w:b/>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24723D" w14:textId="77777777" w:rsidR="00437FF9" w:rsidRPr="00A84EA2" w:rsidRDefault="00437FF9" w:rsidP="000343C1">
            <w:pPr>
              <w:keepLines/>
              <w:rPr>
                <w:rFonts w:ascii="Arial Narrow" w:eastAsia="Calibri" w:hAnsi="Arial Narrow"/>
                <w:color w:val="000000"/>
                <w:sz w:val="20"/>
                <w:szCs w:val="20"/>
              </w:rPr>
            </w:pPr>
            <w:r w:rsidRPr="00A84EA2">
              <w:rPr>
                <w:rFonts w:ascii="Arial Narrow" w:hAnsi="Arial Narrow"/>
                <w:b/>
                <w:color w:val="000000"/>
                <w:sz w:val="20"/>
                <w:szCs w:val="20"/>
              </w:rPr>
              <w:t xml:space="preserve">Restriction type: </w:t>
            </w:r>
            <w:r w:rsidRPr="00A84EA2">
              <w:rPr>
                <w:rFonts w:ascii="Arial Narrow" w:eastAsia="Calibri" w:hAnsi="Arial Narrow"/>
                <w:color w:val="000000"/>
                <w:sz w:val="20"/>
                <w:szCs w:val="20"/>
              </w:rPr>
              <w:br/>
            </w:r>
            <w:r w:rsidRPr="00A84EA2">
              <w:rPr>
                <w:rFonts w:ascii="Arial Narrow" w:eastAsia="Calibri" w:hAnsi="Arial Narrow"/>
                <w:color w:val="000000"/>
                <w:sz w:val="20"/>
                <w:szCs w:val="20"/>
              </w:rPr>
              <w:fldChar w:fldCharType="begin">
                <w:ffData>
                  <w:name w:val=""/>
                  <w:enabled/>
                  <w:calcOnExit w:val="0"/>
                  <w:checkBox>
                    <w:sizeAuto/>
                    <w:default w:val="1"/>
                  </w:checkBox>
                </w:ffData>
              </w:fldChar>
            </w:r>
            <w:r w:rsidRPr="00A84EA2">
              <w:rPr>
                <w:rFonts w:ascii="Arial Narrow" w:eastAsia="Calibri" w:hAnsi="Arial Narrow"/>
                <w:color w:val="000000"/>
                <w:sz w:val="20"/>
                <w:szCs w:val="20"/>
              </w:rPr>
              <w:instrText xml:space="preserve"> FORMCHECKBOX </w:instrText>
            </w:r>
            <w:r w:rsidRPr="00A84EA2">
              <w:rPr>
                <w:rFonts w:ascii="Arial Narrow" w:eastAsia="Calibri" w:hAnsi="Arial Narrow"/>
                <w:color w:val="000000"/>
                <w:sz w:val="20"/>
                <w:szCs w:val="20"/>
              </w:rPr>
            </w:r>
            <w:r w:rsidRPr="00A84EA2">
              <w:rPr>
                <w:rFonts w:ascii="Arial Narrow" w:eastAsia="Calibri" w:hAnsi="Arial Narrow"/>
                <w:color w:val="000000"/>
                <w:sz w:val="20"/>
                <w:szCs w:val="20"/>
              </w:rPr>
              <w:fldChar w:fldCharType="separate"/>
            </w:r>
            <w:r w:rsidRPr="00A84EA2">
              <w:rPr>
                <w:rFonts w:ascii="Arial Narrow" w:eastAsia="Calibri" w:hAnsi="Arial Narrow"/>
                <w:color w:val="000000"/>
                <w:sz w:val="20"/>
                <w:szCs w:val="20"/>
              </w:rPr>
              <w:fldChar w:fldCharType="end"/>
            </w:r>
            <w:r w:rsidRPr="00A84EA2">
              <w:rPr>
                <w:rFonts w:ascii="Arial Narrow" w:eastAsia="Calibri" w:hAnsi="Arial Narrow"/>
                <w:color w:val="000000"/>
                <w:sz w:val="20"/>
                <w:szCs w:val="20"/>
              </w:rPr>
              <w:t>Authority Required (FULL assessment) in writing only via OPA/post/HPOS upload))</w:t>
            </w:r>
          </w:p>
        </w:tc>
      </w:tr>
      <w:tr w:rsidR="00437FF9" w:rsidRPr="00133B19" w14:paraId="7E5118BD" w14:textId="77777777" w:rsidTr="000343C1">
        <w:trPr>
          <w:trHeight w:val="20"/>
        </w:trPr>
        <w:tc>
          <w:tcPr>
            <w:tcW w:w="1570" w:type="dxa"/>
            <w:gridSpan w:val="2"/>
            <w:vMerge/>
            <w:tcBorders>
              <w:top w:val="single" w:sz="4" w:space="0" w:color="auto"/>
              <w:left w:val="single" w:sz="4" w:space="0" w:color="auto"/>
              <w:bottom w:val="single" w:sz="4" w:space="0" w:color="auto"/>
              <w:right w:val="nil"/>
            </w:tcBorders>
            <w:vAlign w:val="center"/>
            <w:hideMark/>
          </w:tcPr>
          <w:p w14:paraId="1859CD93" w14:textId="77777777" w:rsidR="00437FF9" w:rsidRPr="00A84EA2" w:rsidRDefault="00437FF9" w:rsidP="000343C1">
            <w:pPr>
              <w:rPr>
                <w:rFonts w:ascii="Arial Narrow" w:hAnsi="Arial Narrow"/>
                <w:b/>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304197" w14:textId="77777777" w:rsidR="00437FF9" w:rsidRPr="00A84EA2" w:rsidRDefault="00437FF9" w:rsidP="000343C1">
            <w:pPr>
              <w:keepLines/>
              <w:rPr>
                <w:rFonts w:ascii="Arial Narrow" w:hAnsi="Arial Narrow"/>
                <w:b/>
                <w:color w:val="000000"/>
                <w:sz w:val="20"/>
                <w:szCs w:val="20"/>
              </w:rPr>
            </w:pPr>
            <w:r w:rsidRPr="00A84EA2">
              <w:rPr>
                <w:rFonts w:ascii="Arial Narrow" w:hAnsi="Arial Narrow"/>
                <w:b/>
                <w:color w:val="000000"/>
                <w:sz w:val="20"/>
                <w:szCs w:val="20"/>
              </w:rPr>
              <w:t xml:space="preserve">Authority type: </w:t>
            </w:r>
            <w:r w:rsidRPr="00A84EA2">
              <w:rPr>
                <w:rFonts w:ascii="Arial Narrow" w:eastAsia="Calibri" w:hAnsi="Arial Narrow"/>
                <w:color w:val="000000"/>
                <w:sz w:val="20"/>
                <w:szCs w:val="20"/>
              </w:rPr>
              <w:fldChar w:fldCharType="begin">
                <w:ffData>
                  <w:name w:val=""/>
                  <w:enabled/>
                  <w:calcOnExit w:val="0"/>
                  <w:checkBox>
                    <w:sizeAuto/>
                    <w:default w:val="1"/>
                  </w:checkBox>
                </w:ffData>
              </w:fldChar>
            </w:r>
            <w:r w:rsidRPr="00A84EA2">
              <w:rPr>
                <w:rFonts w:ascii="Arial Narrow" w:eastAsia="Calibri" w:hAnsi="Arial Narrow"/>
                <w:color w:val="000000"/>
                <w:sz w:val="20"/>
                <w:szCs w:val="20"/>
              </w:rPr>
              <w:instrText xml:space="preserve"> FORMCHECKBOX </w:instrText>
            </w:r>
            <w:r w:rsidRPr="00A84EA2">
              <w:rPr>
                <w:rFonts w:ascii="Arial Narrow" w:eastAsia="Calibri" w:hAnsi="Arial Narrow"/>
                <w:color w:val="000000"/>
                <w:sz w:val="20"/>
                <w:szCs w:val="20"/>
              </w:rPr>
            </w:r>
            <w:r w:rsidRPr="00A84EA2">
              <w:rPr>
                <w:rFonts w:ascii="Arial Narrow" w:eastAsia="Calibri" w:hAnsi="Arial Narrow"/>
                <w:color w:val="000000"/>
                <w:sz w:val="20"/>
                <w:szCs w:val="20"/>
              </w:rPr>
              <w:fldChar w:fldCharType="separate"/>
            </w:r>
            <w:r w:rsidRPr="00A84EA2">
              <w:rPr>
                <w:rFonts w:ascii="Arial Narrow" w:eastAsia="Calibri" w:hAnsi="Arial Narrow"/>
                <w:color w:val="000000"/>
                <w:sz w:val="20"/>
                <w:szCs w:val="20"/>
              </w:rPr>
              <w:fldChar w:fldCharType="end"/>
            </w:r>
            <w:r w:rsidRPr="00A84EA2">
              <w:rPr>
                <w:rFonts w:ascii="Arial Narrow" w:eastAsia="Calibri" w:hAnsi="Arial Narrow"/>
                <w:color w:val="000000"/>
                <w:sz w:val="20"/>
                <w:szCs w:val="20"/>
              </w:rPr>
              <w:t xml:space="preserve"> Complex Authority Required (CAR)</w:t>
            </w:r>
          </w:p>
        </w:tc>
      </w:tr>
      <w:tr w:rsidR="00437FF9" w:rsidRPr="00133B19" w14:paraId="3D1D0C2F" w14:textId="77777777" w:rsidTr="000343C1">
        <w:trPr>
          <w:trHeight w:val="20"/>
        </w:trPr>
        <w:tc>
          <w:tcPr>
            <w:tcW w:w="495" w:type="dxa"/>
            <w:vMerge w:val="restart"/>
            <w:tcBorders>
              <w:top w:val="single" w:sz="4" w:space="0" w:color="auto"/>
              <w:left w:val="single" w:sz="4" w:space="0" w:color="auto"/>
              <w:bottom w:val="single" w:sz="4" w:space="0" w:color="auto"/>
              <w:right w:val="single" w:sz="4" w:space="0" w:color="auto"/>
            </w:tcBorders>
            <w:vAlign w:val="center"/>
            <w:hideMark/>
          </w:tcPr>
          <w:p w14:paraId="082F1787" w14:textId="77777777" w:rsidR="00437FF9" w:rsidRPr="00A84EA2" w:rsidRDefault="00437FF9" w:rsidP="000343C1">
            <w:pPr>
              <w:rPr>
                <w:rFonts w:ascii="Arial Narrow" w:hAnsi="Arial Narrow"/>
                <w:color w:val="000000"/>
                <w:sz w:val="20"/>
                <w:szCs w:val="20"/>
              </w:rPr>
            </w:pPr>
          </w:p>
        </w:tc>
        <w:tc>
          <w:tcPr>
            <w:tcW w:w="10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A65C1B" w14:textId="04158775"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2824EB" w14:textId="77777777" w:rsidR="00437FF9" w:rsidRPr="00A84EA2" w:rsidRDefault="00437FF9" w:rsidP="000343C1">
            <w:pPr>
              <w:rPr>
                <w:rFonts w:ascii="Arial Narrow" w:hAnsi="Arial Narrow"/>
                <w:b/>
                <w:bCs/>
                <w:color w:val="000000"/>
                <w:sz w:val="20"/>
                <w:szCs w:val="20"/>
              </w:rPr>
            </w:pPr>
            <w:r w:rsidRPr="00A84EA2">
              <w:rPr>
                <w:rFonts w:ascii="Arial Narrow" w:hAnsi="Arial Narrow"/>
                <w:b/>
                <w:bCs/>
                <w:color w:val="000000"/>
                <w:sz w:val="20"/>
                <w:szCs w:val="20"/>
              </w:rPr>
              <w:t xml:space="preserve">Administrative Advice: </w:t>
            </w:r>
            <w:r w:rsidRPr="00A84EA2">
              <w:rPr>
                <w:rFonts w:ascii="Arial Narrow" w:hAnsi="Arial Narrow"/>
                <w:bCs/>
                <w:color w:val="000000"/>
                <w:sz w:val="20"/>
                <w:szCs w:val="20"/>
              </w:rPr>
              <w:t>Special Pricing Arrangements apply.</w:t>
            </w:r>
          </w:p>
        </w:tc>
      </w:tr>
      <w:tr w:rsidR="00437FF9" w:rsidRPr="00133B19" w14:paraId="6AFF6C89" w14:textId="77777777" w:rsidTr="000343C1">
        <w:trPr>
          <w:trHeight w:val="20"/>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E69457C" w14:textId="77777777" w:rsidR="00437FF9" w:rsidRPr="00A84EA2" w:rsidRDefault="00437FF9" w:rsidP="000343C1">
            <w:pPr>
              <w:rPr>
                <w:rFonts w:ascii="Arial Narrow" w:hAnsi="Arial Narrow"/>
                <w:color w:val="000000"/>
                <w:sz w:val="20"/>
                <w:szCs w:val="20"/>
              </w:rPr>
            </w:pPr>
          </w:p>
        </w:tc>
        <w:tc>
          <w:tcPr>
            <w:tcW w:w="10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9B7ACA" w14:textId="77777777" w:rsidR="00437FF9" w:rsidRPr="00A84EA2" w:rsidRDefault="00437FF9" w:rsidP="000343C1">
            <w:pPr>
              <w:jc w:val="center"/>
              <w:rPr>
                <w:rFonts w:ascii="Arial Narrow" w:hAnsi="Arial Narrow"/>
                <w:bCs/>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C281EF" w14:textId="77777777" w:rsidR="00437FF9" w:rsidRPr="00A84EA2" w:rsidRDefault="00437FF9" w:rsidP="000343C1">
            <w:pPr>
              <w:rPr>
                <w:rFonts w:ascii="Arial Narrow" w:hAnsi="Arial Narrow"/>
                <w:color w:val="BFBFBF"/>
                <w:sz w:val="20"/>
                <w:szCs w:val="20"/>
              </w:rPr>
            </w:pPr>
            <w:proofErr w:type="spellStart"/>
            <w:r w:rsidRPr="00A84EA2">
              <w:rPr>
                <w:rFonts w:ascii="Arial Narrow" w:hAnsi="Arial Narrow"/>
                <w:b/>
                <w:bCs/>
                <w:color w:val="BFBFBF"/>
                <w:sz w:val="20"/>
                <w:szCs w:val="20"/>
              </w:rPr>
              <w:t>Episodicity</w:t>
            </w:r>
            <w:proofErr w:type="spellEnd"/>
            <w:r w:rsidRPr="00A84EA2">
              <w:rPr>
                <w:rFonts w:ascii="Arial Narrow" w:hAnsi="Arial Narrow"/>
                <w:b/>
                <w:bCs/>
                <w:color w:val="BFBFBF"/>
                <w:sz w:val="20"/>
                <w:szCs w:val="20"/>
              </w:rPr>
              <w:t>:</w:t>
            </w:r>
            <w:r w:rsidRPr="00A84EA2">
              <w:rPr>
                <w:rFonts w:ascii="Arial Narrow" w:hAnsi="Arial Narrow"/>
                <w:color w:val="BFBFBF"/>
                <w:sz w:val="20"/>
                <w:szCs w:val="20"/>
              </w:rPr>
              <w:t xml:space="preserve"> Active</w:t>
            </w:r>
          </w:p>
        </w:tc>
      </w:tr>
      <w:tr w:rsidR="00437FF9" w:rsidRPr="00133B19" w14:paraId="2556EAEA" w14:textId="77777777" w:rsidTr="000343C1">
        <w:trPr>
          <w:trHeight w:val="20"/>
        </w:trPr>
        <w:tc>
          <w:tcPr>
            <w:tcW w:w="495" w:type="dxa"/>
            <w:tcBorders>
              <w:top w:val="single" w:sz="4" w:space="0" w:color="auto"/>
              <w:left w:val="single" w:sz="4" w:space="0" w:color="auto"/>
              <w:bottom w:val="single" w:sz="4" w:space="0" w:color="auto"/>
              <w:right w:val="single" w:sz="4" w:space="0" w:color="auto"/>
            </w:tcBorders>
            <w:vAlign w:val="center"/>
          </w:tcPr>
          <w:p w14:paraId="63F3C53E" w14:textId="77777777" w:rsidR="00437FF9" w:rsidRPr="00A84EA2" w:rsidRDefault="00437FF9" w:rsidP="000343C1">
            <w:pPr>
              <w:rPr>
                <w:rFonts w:ascii="Arial Narrow" w:hAnsi="Arial Narrow"/>
                <w:color w:val="000000"/>
                <w:sz w:val="20"/>
                <w:szCs w:val="20"/>
              </w:rPr>
            </w:pPr>
          </w:p>
        </w:tc>
        <w:tc>
          <w:tcPr>
            <w:tcW w:w="10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E2D6EF" w14:textId="77777777" w:rsidR="00437FF9" w:rsidRPr="00A84EA2" w:rsidRDefault="00437FF9" w:rsidP="000343C1">
            <w:pPr>
              <w:jc w:val="center"/>
              <w:rPr>
                <w:rFonts w:ascii="Arial Narrow" w:hAnsi="Arial Narrow"/>
                <w:bCs/>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5C4885" w14:textId="77777777" w:rsidR="00437FF9" w:rsidRPr="00A84EA2" w:rsidRDefault="00437FF9" w:rsidP="000343C1">
            <w:pPr>
              <w:rPr>
                <w:rFonts w:ascii="Arial Narrow" w:hAnsi="Arial Narrow"/>
                <w:color w:val="BFBFBF"/>
                <w:sz w:val="20"/>
                <w:szCs w:val="20"/>
              </w:rPr>
            </w:pPr>
            <w:r w:rsidRPr="00A84EA2">
              <w:rPr>
                <w:rFonts w:ascii="Arial Narrow" w:hAnsi="Arial Narrow"/>
                <w:b/>
                <w:bCs/>
                <w:color w:val="BFBFBF"/>
                <w:sz w:val="20"/>
                <w:szCs w:val="20"/>
              </w:rPr>
              <w:t>Severity:</w:t>
            </w:r>
            <w:r w:rsidRPr="00A84EA2">
              <w:rPr>
                <w:rFonts w:ascii="Arial Narrow" w:hAnsi="Arial Narrow"/>
                <w:color w:val="BFBFBF"/>
                <w:sz w:val="20"/>
                <w:szCs w:val="20"/>
              </w:rPr>
              <w:t xml:space="preserve"> Uncontrolled Severe</w:t>
            </w:r>
          </w:p>
        </w:tc>
      </w:tr>
      <w:tr w:rsidR="00437FF9" w:rsidRPr="00133B19" w14:paraId="66993E30"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7EC942" w14:textId="69890510" w:rsidR="00437FF9" w:rsidRPr="00A84EA2" w:rsidRDefault="00437FF9" w:rsidP="000343C1">
            <w:pPr>
              <w:keepLines/>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FBAFF0" w14:textId="42F24BD4" w:rsidR="00437FF9" w:rsidRPr="00A84EA2" w:rsidRDefault="00437FF9" w:rsidP="000343C1">
            <w:pPr>
              <w:keepLines/>
              <w:rPr>
                <w:rFonts w:ascii="Arial Narrow" w:hAnsi="Arial Narrow"/>
                <w:color w:val="000000"/>
                <w:sz w:val="20"/>
                <w:szCs w:val="20"/>
              </w:rPr>
            </w:pPr>
            <w:r w:rsidRPr="00A84EA2">
              <w:rPr>
                <w:rFonts w:ascii="Arial Narrow" w:hAnsi="Arial Narrow"/>
                <w:b/>
                <w:bCs/>
                <w:color w:val="000000"/>
                <w:sz w:val="20"/>
                <w:szCs w:val="20"/>
              </w:rPr>
              <w:t>Indication:</w:t>
            </w:r>
            <w:r w:rsidRPr="00A84EA2">
              <w:rPr>
                <w:rFonts w:ascii="Arial Narrow" w:hAnsi="Arial Narrow"/>
                <w:color w:val="000000"/>
                <w:sz w:val="20"/>
                <w:szCs w:val="20"/>
              </w:rPr>
              <w:t xml:space="preserve"> Uncontrolled severe asthma </w:t>
            </w:r>
            <w:r w:rsidR="008006DA">
              <w:rPr>
                <w:rFonts w:ascii="Arial Narrow" w:hAnsi="Arial Narrow"/>
                <w:color w:val="000000"/>
                <w:sz w:val="20"/>
                <w:szCs w:val="20"/>
              </w:rPr>
              <w:t>(non</w:t>
            </w:r>
            <w:r w:rsidR="00362E93">
              <w:rPr>
                <w:rFonts w:ascii="Arial Narrow" w:hAnsi="Arial Narrow"/>
                <w:color w:val="000000"/>
                <w:sz w:val="20"/>
                <w:szCs w:val="20"/>
              </w:rPr>
              <w:t>-</w:t>
            </w:r>
            <w:r w:rsidR="008006DA">
              <w:rPr>
                <w:rFonts w:ascii="Arial Narrow" w:hAnsi="Arial Narrow"/>
                <w:color w:val="000000"/>
                <w:sz w:val="20"/>
                <w:szCs w:val="20"/>
              </w:rPr>
              <w:t>eosinophilic</w:t>
            </w:r>
            <w:r w:rsidR="00AB5F2F">
              <w:rPr>
                <w:rFonts w:ascii="Arial Narrow" w:hAnsi="Arial Narrow"/>
                <w:color w:val="000000"/>
                <w:sz w:val="20"/>
                <w:szCs w:val="20"/>
              </w:rPr>
              <w:t>/</w:t>
            </w:r>
            <w:r w:rsidR="008006DA">
              <w:rPr>
                <w:rFonts w:ascii="Arial Narrow" w:hAnsi="Arial Narrow"/>
                <w:color w:val="000000"/>
                <w:sz w:val="20"/>
                <w:szCs w:val="20"/>
              </w:rPr>
              <w:t>non allergic)</w:t>
            </w:r>
            <w:r w:rsidRPr="00A84EA2">
              <w:rPr>
                <w:rFonts w:ascii="Arial Narrow" w:hAnsi="Arial Narrow"/>
                <w:color w:val="000000"/>
                <w:sz w:val="20"/>
                <w:szCs w:val="20"/>
              </w:rPr>
              <w:t xml:space="preserve"> </w:t>
            </w:r>
          </w:p>
        </w:tc>
      </w:tr>
      <w:tr w:rsidR="00437FF9" w:rsidRPr="00133B19" w14:paraId="718C7156" w14:textId="77777777" w:rsidTr="000343C1">
        <w:trPr>
          <w:cantSplit/>
          <w:trHeight w:val="38"/>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F39387" w14:textId="77777777" w:rsidR="00437FF9" w:rsidRPr="00A84EA2" w:rsidRDefault="00437FF9" w:rsidP="000343C1">
            <w:pPr>
              <w:rPr>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6F5E95" w14:textId="354FCEDE" w:rsidR="00437FF9" w:rsidRPr="00A84EA2" w:rsidRDefault="00437FF9" w:rsidP="000343C1">
            <w:pPr>
              <w:rPr>
                <w:rFonts w:ascii="Arial Narrow" w:hAnsi="Arial Narrow"/>
                <w:color w:val="000000"/>
                <w:sz w:val="20"/>
                <w:szCs w:val="20"/>
              </w:rPr>
            </w:pPr>
            <w:r w:rsidRPr="00A84EA2">
              <w:rPr>
                <w:rFonts w:ascii="Arial Narrow" w:hAnsi="Arial Narrow"/>
                <w:b/>
                <w:bCs/>
                <w:color w:val="000000"/>
                <w:sz w:val="20"/>
                <w:szCs w:val="20"/>
              </w:rPr>
              <w:t>Treatment Phase:</w:t>
            </w:r>
            <w:r w:rsidRPr="00A84EA2">
              <w:rPr>
                <w:rFonts w:ascii="Arial Narrow" w:hAnsi="Arial Narrow"/>
                <w:color w:val="000000"/>
                <w:sz w:val="20"/>
                <w:szCs w:val="20"/>
              </w:rPr>
              <w:t xml:space="preserve"> Continuing treatment</w:t>
            </w:r>
            <w:r>
              <w:rPr>
                <w:rFonts w:ascii="Arial Narrow" w:hAnsi="Arial Narrow"/>
                <w:color w:val="000000"/>
                <w:sz w:val="20"/>
                <w:szCs w:val="20"/>
              </w:rPr>
              <w:t xml:space="preserve"> </w:t>
            </w:r>
          </w:p>
        </w:tc>
      </w:tr>
      <w:tr w:rsidR="00437FF9" w:rsidRPr="00133B19" w14:paraId="11CD2EAC"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E4F012" w14:textId="48941C0A"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DAB7E1" w14:textId="77777777" w:rsidR="00437FF9" w:rsidRPr="00A84EA2" w:rsidRDefault="00437FF9" w:rsidP="000343C1">
            <w:pPr>
              <w:rPr>
                <w:rFonts w:ascii="Arial Narrow" w:hAnsi="Arial Narrow"/>
                <w:b/>
                <w:bCs/>
                <w:color w:val="000000"/>
                <w:sz w:val="20"/>
                <w:szCs w:val="20"/>
              </w:rPr>
            </w:pPr>
            <w:r w:rsidRPr="00A84EA2">
              <w:rPr>
                <w:rFonts w:ascii="Arial Narrow" w:hAnsi="Arial Narrow"/>
                <w:b/>
                <w:bCs/>
                <w:color w:val="000000"/>
                <w:sz w:val="20"/>
                <w:szCs w:val="20"/>
              </w:rPr>
              <w:t>Treatment criteria:</w:t>
            </w:r>
          </w:p>
        </w:tc>
      </w:tr>
      <w:tr w:rsidR="00437FF9" w:rsidRPr="00133B19" w14:paraId="682D7A87"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8440BF" w14:textId="29AB77BC"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B4A511" w14:textId="77777777" w:rsidR="00437FF9" w:rsidRPr="00A84EA2" w:rsidRDefault="00437FF9" w:rsidP="000343C1">
            <w:pPr>
              <w:rPr>
                <w:rFonts w:ascii="Arial Narrow" w:hAnsi="Arial Narrow"/>
                <w:strike/>
                <w:color w:val="000000"/>
                <w:sz w:val="20"/>
                <w:szCs w:val="20"/>
              </w:rPr>
            </w:pPr>
            <w:r w:rsidRPr="00A84EA2">
              <w:rPr>
                <w:rFonts w:ascii="Arial Narrow" w:hAnsi="Arial Narrow" w:cs="Arial Narrow"/>
                <w:color w:val="000000"/>
                <w:sz w:val="20"/>
                <w:szCs w:val="20"/>
              </w:rPr>
              <w:t>Must be treated by a medical practitioner who is either a: (</w:t>
            </w:r>
            <w:proofErr w:type="spellStart"/>
            <w:r w:rsidRPr="00A84EA2">
              <w:rPr>
                <w:rFonts w:ascii="Arial Narrow" w:hAnsi="Arial Narrow" w:cs="Arial Narrow"/>
                <w:color w:val="000000"/>
                <w:sz w:val="20"/>
                <w:szCs w:val="20"/>
              </w:rPr>
              <w:t>i</w:t>
            </w:r>
            <w:proofErr w:type="spellEnd"/>
            <w:r w:rsidRPr="00A84EA2">
              <w:rPr>
                <w:rFonts w:ascii="Arial Narrow" w:hAnsi="Arial Narrow" w:cs="Arial Narrow"/>
                <w:color w:val="000000"/>
                <w:sz w:val="20"/>
                <w:szCs w:val="20"/>
              </w:rPr>
              <w:t xml:space="preserve">) respiratory physician, (ii) clinical immunologist, (iii) allergist, (iv) general physician experienced in the management of patients with severe asthma </w:t>
            </w:r>
          </w:p>
        </w:tc>
      </w:tr>
      <w:tr w:rsidR="00437FF9" w:rsidRPr="00133B19" w14:paraId="3CE9F8AE"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C288E7" w14:textId="319BD758"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0AC30F" w14:textId="77777777" w:rsidR="00437FF9" w:rsidRPr="00A84EA2" w:rsidRDefault="00437FF9" w:rsidP="000343C1">
            <w:pPr>
              <w:rPr>
                <w:rFonts w:ascii="Arial Narrow" w:hAnsi="Arial Narrow"/>
                <w:color w:val="000000"/>
                <w:sz w:val="20"/>
                <w:szCs w:val="20"/>
              </w:rPr>
            </w:pPr>
            <w:r w:rsidRPr="00A84EA2">
              <w:rPr>
                <w:rFonts w:ascii="Arial Narrow" w:hAnsi="Arial Narrow"/>
                <w:b/>
                <w:bCs/>
                <w:color w:val="000000"/>
                <w:sz w:val="20"/>
                <w:szCs w:val="20"/>
              </w:rPr>
              <w:t xml:space="preserve">Clinical criteria: </w:t>
            </w:r>
          </w:p>
        </w:tc>
      </w:tr>
      <w:tr w:rsidR="00437FF9" w:rsidRPr="00133B19" w14:paraId="40D9D3D5"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F60A11" w14:textId="6A40D6A3"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ED2CBB" w14:textId="77777777" w:rsidR="00437FF9" w:rsidRPr="00A84EA2" w:rsidRDefault="00437FF9" w:rsidP="000343C1">
            <w:pPr>
              <w:rPr>
                <w:rFonts w:ascii="Arial Narrow" w:eastAsia="Aptos" w:hAnsi="Arial Narrow"/>
                <w:color w:val="000000"/>
                <w:sz w:val="20"/>
                <w:szCs w:val="20"/>
              </w:rPr>
            </w:pPr>
            <w:r w:rsidRPr="00A84EA2">
              <w:rPr>
                <w:rFonts w:ascii="Arial Narrow" w:eastAsia="Aptos" w:hAnsi="Arial Narrow"/>
                <w:color w:val="000000"/>
                <w:sz w:val="20"/>
                <w:szCs w:val="20"/>
              </w:rPr>
              <w:t>Patient must have received this drug as their most recent course of PBS-subsidised biological agent treatment for this condition in this treatment cycle</w:t>
            </w:r>
          </w:p>
        </w:tc>
      </w:tr>
      <w:tr w:rsidR="00437FF9" w:rsidRPr="00133B19" w14:paraId="5CBA010C"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A05A4E" w14:textId="77777777"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B570ED" w14:textId="77777777" w:rsidR="00437FF9" w:rsidRPr="00A84EA2" w:rsidRDefault="00437FF9" w:rsidP="000343C1">
            <w:pPr>
              <w:rPr>
                <w:rFonts w:ascii="Arial Narrow" w:eastAsia="Aptos" w:hAnsi="Arial Narrow"/>
                <w:b/>
                <w:bCs/>
                <w:color w:val="000000"/>
                <w:sz w:val="20"/>
                <w:szCs w:val="20"/>
              </w:rPr>
            </w:pPr>
            <w:r w:rsidRPr="00A84EA2">
              <w:rPr>
                <w:rFonts w:ascii="Arial Narrow" w:hAnsi="Arial Narrow"/>
                <w:b/>
                <w:bCs/>
                <w:color w:val="000000"/>
                <w:sz w:val="20"/>
                <w:szCs w:val="20"/>
              </w:rPr>
              <w:t>AND</w:t>
            </w:r>
          </w:p>
        </w:tc>
      </w:tr>
      <w:tr w:rsidR="00437FF9" w:rsidRPr="00133B19" w14:paraId="063D1E6A"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6C7181A" w14:textId="5477184F"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F4891D" w14:textId="77777777" w:rsidR="00437FF9" w:rsidRPr="00A84EA2" w:rsidRDefault="00437FF9" w:rsidP="000343C1">
            <w:pPr>
              <w:rPr>
                <w:rFonts w:ascii="Arial Narrow" w:eastAsia="Aptos" w:hAnsi="Arial Narrow"/>
                <w:color w:val="000000"/>
                <w:sz w:val="20"/>
                <w:szCs w:val="20"/>
              </w:rPr>
            </w:pPr>
            <w:r w:rsidRPr="00A84EA2">
              <w:rPr>
                <w:rFonts w:ascii="Arial Narrow" w:hAnsi="Arial Narrow"/>
                <w:b/>
                <w:bCs/>
                <w:color w:val="000000"/>
                <w:sz w:val="20"/>
                <w:szCs w:val="20"/>
              </w:rPr>
              <w:t>Clinical criteria:</w:t>
            </w:r>
          </w:p>
        </w:tc>
      </w:tr>
      <w:tr w:rsidR="00437FF9" w:rsidRPr="00133B19" w14:paraId="31104A44"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C48C2A" w14:textId="2F413188"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422849" w14:textId="77777777" w:rsidR="00437FF9" w:rsidRPr="00A84EA2" w:rsidRDefault="00437FF9" w:rsidP="000343C1">
            <w:pPr>
              <w:rPr>
                <w:rFonts w:ascii="Arial Narrow" w:eastAsia="Aptos" w:hAnsi="Arial Narrow"/>
                <w:color w:val="000000"/>
                <w:sz w:val="20"/>
                <w:szCs w:val="20"/>
              </w:rPr>
            </w:pPr>
            <w:r w:rsidRPr="00A84EA2">
              <w:rPr>
                <w:rFonts w:ascii="Arial Narrow" w:eastAsia="Aptos" w:hAnsi="Arial Narrow"/>
                <w:color w:val="000000"/>
                <w:sz w:val="20"/>
                <w:szCs w:val="20"/>
              </w:rPr>
              <w:t>Patient must have demonstrated or sustained an adequate response to PBS-subsidised treatment with this drug for this condition</w:t>
            </w:r>
          </w:p>
        </w:tc>
      </w:tr>
      <w:tr w:rsidR="00437FF9" w:rsidRPr="00133B19" w14:paraId="5978E17F"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FDF30F" w14:textId="77777777"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6276EB" w14:textId="77777777" w:rsidR="00437FF9" w:rsidRPr="00A84EA2" w:rsidRDefault="00437FF9" w:rsidP="000343C1">
            <w:pPr>
              <w:rPr>
                <w:rFonts w:ascii="Arial Narrow" w:eastAsia="Aptos" w:hAnsi="Arial Narrow"/>
                <w:color w:val="000000"/>
                <w:sz w:val="20"/>
                <w:szCs w:val="20"/>
              </w:rPr>
            </w:pPr>
            <w:r w:rsidRPr="00A84EA2">
              <w:rPr>
                <w:rFonts w:ascii="Arial Narrow" w:hAnsi="Arial Narrow"/>
                <w:b/>
                <w:bCs/>
                <w:color w:val="000000"/>
                <w:sz w:val="20"/>
                <w:szCs w:val="20"/>
              </w:rPr>
              <w:t>AND</w:t>
            </w:r>
          </w:p>
        </w:tc>
      </w:tr>
      <w:tr w:rsidR="00437FF9" w:rsidRPr="00133B19" w14:paraId="6660C28C"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6FB3F6" w14:textId="7315FA28"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578A49" w14:textId="77777777" w:rsidR="00437FF9" w:rsidRPr="00A84EA2" w:rsidRDefault="00437FF9" w:rsidP="000343C1">
            <w:pPr>
              <w:rPr>
                <w:rFonts w:ascii="Arial Narrow" w:eastAsia="Aptos" w:hAnsi="Arial Narrow"/>
                <w:color w:val="000000"/>
                <w:sz w:val="20"/>
                <w:szCs w:val="20"/>
              </w:rPr>
            </w:pPr>
            <w:r w:rsidRPr="00A84EA2">
              <w:rPr>
                <w:rFonts w:ascii="Arial Narrow" w:hAnsi="Arial Narrow"/>
                <w:b/>
                <w:bCs/>
                <w:sz w:val="20"/>
                <w:szCs w:val="20"/>
              </w:rPr>
              <w:t>Clinical criteria:</w:t>
            </w:r>
          </w:p>
        </w:tc>
      </w:tr>
      <w:tr w:rsidR="00437FF9" w:rsidRPr="00133B19" w14:paraId="7E36E840"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145F42" w14:textId="2D2AC2E0"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973E1F" w14:textId="77777777" w:rsidR="00437FF9" w:rsidRPr="00A84EA2" w:rsidRDefault="00437FF9" w:rsidP="000343C1">
            <w:pPr>
              <w:rPr>
                <w:rFonts w:ascii="Arial Narrow" w:eastAsia="Aptos" w:hAnsi="Arial Narrow"/>
                <w:color w:val="000000"/>
                <w:sz w:val="20"/>
                <w:szCs w:val="20"/>
              </w:rPr>
            </w:pPr>
            <w:r w:rsidRPr="00A84EA2">
              <w:rPr>
                <w:rFonts w:ascii="Arial Narrow" w:hAnsi="Arial Narrow"/>
                <w:sz w:val="20"/>
                <w:szCs w:val="20"/>
              </w:rPr>
              <w:t>The treatment must not be used in combination with and within 4 weeks of another PBS-subsidised biological medicine prescribed for any of: (</w:t>
            </w:r>
            <w:proofErr w:type="spellStart"/>
            <w:r w:rsidRPr="00A84EA2">
              <w:rPr>
                <w:rFonts w:ascii="Arial Narrow" w:hAnsi="Arial Narrow"/>
                <w:sz w:val="20"/>
                <w:szCs w:val="20"/>
              </w:rPr>
              <w:t>i</w:t>
            </w:r>
            <w:proofErr w:type="spellEnd"/>
            <w:r w:rsidRPr="00A84EA2">
              <w:rPr>
                <w:rFonts w:ascii="Arial Narrow" w:hAnsi="Arial Narrow"/>
                <w:sz w:val="20"/>
                <w:szCs w:val="20"/>
              </w:rPr>
              <w:t>) nasal polyps, (ii) uncontrolled severe allergic asthma, (iii) uncontrolled severe asthma,</w:t>
            </w:r>
          </w:p>
        </w:tc>
      </w:tr>
      <w:tr w:rsidR="00437FF9" w:rsidRPr="00133B19" w14:paraId="3FE8E6EA"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78D9E9" w14:textId="77777777"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4C8076" w14:textId="77777777" w:rsidR="00437FF9" w:rsidRPr="00A84EA2" w:rsidRDefault="00437FF9" w:rsidP="000343C1">
            <w:pPr>
              <w:rPr>
                <w:rFonts w:ascii="Arial Narrow" w:eastAsia="Aptos" w:hAnsi="Arial Narrow"/>
                <w:color w:val="000000"/>
                <w:sz w:val="20"/>
                <w:szCs w:val="20"/>
              </w:rPr>
            </w:pPr>
            <w:r w:rsidRPr="00A84EA2">
              <w:rPr>
                <w:rFonts w:ascii="Arial Narrow" w:hAnsi="Arial Narrow"/>
                <w:b/>
                <w:bCs/>
                <w:color w:val="000000"/>
                <w:sz w:val="20"/>
                <w:szCs w:val="20"/>
              </w:rPr>
              <w:t>AND</w:t>
            </w:r>
          </w:p>
        </w:tc>
      </w:tr>
      <w:tr w:rsidR="00437FF9" w:rsidRPr="00133B19" w14:paraId="7E4583AF"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EF73C0" w14:textId="5C82C60B"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38774C" w14:textId="77777777" w:rsidR="00437FF9" w:rsidRPr="00A84EA2" w:rsidRDefault="00437FF9" w:rsidP="000343C1">
            <w:pPr>
              <w:rPr>
                <w:rFonts w:ascii="Arial Narrow" w:eastAsia="Aptos" w:hAnsi="Arial Narrow"/>
                <w:color w:val="000000"/>
                <w:sz w:val="20"/>
                <w:szCs w:val="20"/>
              </w:rPr>
            </w:pPr>
            <w:r w:rsidRPr="00A84EA2">
              <w:rPr>
                <w:rFonts w:ascii="Arial Narrow" w:hAnsi="Arial Narrow"/>
                <w:b/>
                <w:bCs/>
                <w:color w:val="000000"/>
                <w:sz w:val="20"/>
                <w:szCs w:val="20"/>
              </w:rPr>
              <w:t>Clinical criteria:</w:t>
            </w:r>
          </w:p>
        </w:tc>
      </w:tr>
      <w:tr w:rsidR="00437FF9" w:rsidRPr="00133B19" w14:paraId="2D226C43"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D9D20D" w14:textId="65A9E20F"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5C11C3" w14:textId="77777777" w:rsidR="00437FF9" w:rsidRPr="00A84EA2" w:rsidRDefault="00437FF9" w:rsidP="000343C1">
            <w:pPr>
              <w:rPr>
                <w:rFonts w:ascii="Arial Narrow" w:hAnsi="Arial Narrow"/>
                <w:color w:val="000000"/>
                <w:sz w:val="20"/>
                <w:szCs w:val="20"/>
              </w:rPr>
            </w:pPr>
            <w:r w:rsidRPr="00A84EA2">
              <w:rPr>
                <w:rFonts w:ascii="Arial Narrow" w:hAnsi="Arial Narrow"/>
                <w:color w:val="000000"/>
                <w:sz w:val="20"/>
                <w:szCs w:val="20"/>
              </w:rPr>
              <w:t>Patient must not receive more than 24 weeks of treatment under this restriction</w:t>
            </w:r>
          </w:p>
        </w:tc>
      </w:tr>
      <w:tr w:rsidR="00437FF9" w:rsidRPr="00133B19" w14:paraId="24EDA66E"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A01B16" w14:textId="41523430"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3BDF2D" w14:textId="77777777" w:rsidR="00437FF9" w:rsidRPr="00A84EA2" w:rsidRDefault="00437FF9" w:rsidP="000343C1">
            <w:pPr>
              <w:rPr>
                <w:rFonts w:ascii="Arial Narrow" w:hAnsi="Arial Narrow"/>
                <w:color w:val="000000"/>
                <w:sz w:val="20"/>
                <w:szCs w:val="20"/>
              </w:rPr>
            </w:pPr>
            <w:r w:rsidRPr="00A84EA2">
              <w:rPr>
                <w:rFonts w:ascii="Arial Narrow" w:hAnsi="Arial Narrow"/>
                <w:b/>
                <w:bCs/>
                <w:color w:val="000000"/>
                <w:sz w:val="20"/>
                <w:szCs w:val="20"/>
              </w:rPr>
              <w:t>Population criteria:</w:t>
            </w:r>
          </w:p>
        </w:tc>
      </w:tr>
      <w:tr w:rsidR="00437FF9" w:rsidRPr="00133B19" w14:paraId="4755C1F4"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167EB6" w14:textId="173E538E"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07E12A" w14:textId="77777777" w:rsidR="00437FF9" w:rsidRPr="00A84EA2" w:rsidRDefault="00437FF9" w:rsidP="000343C1">
            <w:pPr>
              <w:rPr>
                <w:rFonts w:ascii="Arial Narrow" w:hAnsi="Arial Narrow"/>
                <w:color w:val="000000"/>
                <w:sz w:val="20"/>
                <w:szCs w:val="20"/>
              </w:rPr>
            </w:pPr>
            <w:r w:rsidRPr="00A84EA2">
              <w:rPr>
                <w:rFonts w:ascii="Arial Narrow" w:hAnsi="Arial Narrow"/>
                <w:color w:val="000000"/>
                <w:sz w:val="20"/>
                <w:szCs w:val="20"/>
              </w:rPr>
              <w:t>Patients must be aged 12 years or older.</w:t>
            </w:r>
          </w:p>
        </w:tc>
      </w:tr>
      <w:tr w:rsidR="00437FF9" w:rsidRPr="00133B19" w14:paraId="78FF8850"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FE823C" w14:textId="4D183B89"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1D71469" w14:textId="77777777" w:rsidR="00437FF9" w:rsidRPr="00A84EA2" w:rsidRDefault="00437FF9" w:rsidP="000343C1">
            <w:pPr>
              <w:keepNext/>
              <w:keepLines/>
              <w:widowControl w:val="0"/>
              <w:rPr>
                <w:rFonts w:ascii="Arial Narrow" w:eastAsia="MS Gothic" w:hAnsi="Arial Narrow"/>
                <w:b/>
                <w:sz w:val="20"/>
              </w:rPr>
            </w:pPr>
            <w:r w:rsidRPr="00A84EA2">
              <w:rPr>
                <w:rFonts w:ascii="Arial Narrow" w:eastAsia="MS Gothic" w:hAnsi="Arial Narrow"/>
                <w:b/>
                <w:bCs/>
                <w:sz w:val="20"/>
              </w:rPr>
              <w:t>Prescribing Instructions:</w:t>
            </w:r>
          </w:p>
          <w:p w14:paraId="5336C71A"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An adequate response to this biological medicine is defined as:</w:t>
            </w:r>
          </w:p>
          <w:p w14:paraId="77810ACE"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(a) a reduction in the Asthma Control Questionnaire (ACQ-5) score of at least 0.5 from baseline,</w:t>
            </w:r>
          </w:p>
          <w:p w14:paraId="2C88834A"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OR</w:t>
            </w:r>
          </w:p>
          <w:p w14:paraId="0C216A81"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(b) maintenance oral corticosteroid dose reduced by at least 25% from baseline, and no deterioration in ACQ-5 score from baseline or an increase in ACQ-5 score from baseline less than or equal to 0.5.</w:t>
            </w:r>
          </w:p>
        </w:tc>
      </w:tr>
      <w:tr w:rsidR="00437FF9" w:rsidRPr="00133B19" w14:paraId="236DCD27" w14:textId="77777777" w:rsidTr="000343C1">
        <w:trPr>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1D60C4" w14:textId="35B0E584"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8163B36" w14:textId="77777777" w:rsidR="00437FF9" w:rsidRPr="00A84EA2" w:rsidRDefault="00437FF9" w:rsidP="000343C1">
            <w:pPr>
              <w:keepNext/>
              <w:keepLines/>
              <w:widowControl w:val="0"/>
              <w:rPr>
                <w:rFonts w:ascii="Arial Narrow" w:eastAsia="MS Gothic" w:hAnsi="Arial Narrow"/>
                <w:b/>
                <w:sz w:val="20"/>
              </w:rPr>
            </w:pPr>
            <w:r w:rsidRPr="00A84EA2">
              <w:rPr>
                <w:rFonts w:ascii="Arial Narrow" w:eastAsia="MS Gothic" w:hAnsi="Arial Narrow"/>
                <w:b/>
                <w:bCs/>
                <w:sz w:val="20"/>
              </w:rPr>
              <w:t>Prescribing Instructions:</w:t>
            </w:r>
          </w:p>
          <w:p w14:paraId="17EA51C6"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All applications for second and subsequent continuing treatments with this drug must include a measurement of response to the prior course of therapy. The Asthma Control Questionnaire (5 item version) assessment of the patient's response to the prior course of treatment or the assessment of oral corticosteroid dose, should be made from 20 weeks after the first dose of PBS-subsidised dose of this drug under this restriction so that there is adequate time for a response to be demonstrated and for the application for continuing therapy to be processed.</w:t>
            </w:r>
          </w:p>
          <w:p w14:paraId="134FD387" w14:textId="77777777" w:rsidR="00437FF9" w:rsidRPr="00A84EA2" w:rsidRDefault="00437FF9" w:rsidP="000343C1">
            <w:pPr>
              <w:keepNext/>
              <w:keepLines/>
              <w:widowControl w:val="0"/>
              <w:rPr>
                <w:rFonts w:ascii="Arial Narrow" w:eastAsia="MS Gothic" w:hAnsi="Arial Narrow"/>
                <w:bCs/>
                <w:sz w:val="20"/>
              </w:rPr>
            </w:pPr>
          </w:p>
          <w:p w14:paraId="7872972A"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The assessment should, where possible, be completed by the same physician who initiated treatment with this drug</w:t>
            </w:r>
            <w:r>
              <w:rPr>
                <w:rFonts w:ascii="Arial Narrow" w:eastAsia="MS Gothic" w:hAnsi="Arial Narrow"/>
                <w:bCs/>
                <w:sz w:val="20"/>
              </w:rPr>
              <w:t xml:space="preserve"> and </w:t>
            </w:r>
            <w:r w:rsidRPr="002F1F19">
              <w:rPr>
                <w:rFonts w:ascii="Arial Narrow" w:eastAsia="MS Gothic" w:hAnsi="Arial Narrow"/>
                <w:bCs/>
                <w:sz w:val="20"/>
              </w:rPr>
              <w:t>should be conducted within 4 weeks of the last dose of biological medicine</w:t>
            </w:r>
            <w:r w:rsidRPr="00A84EA2">
              <w:rPr>
                <w:rFonts w:ascii="Arial Narrow" w:eastAsia="MS Gothic" w:hAnsi="Arial Narrow"/>
                <w:bCs/>
                <w:sz w:val="20"/>
              </w:rPr>
              <w:t xml:space="preserve">. </w:t>
            </w:r>
          </w:p>
          <w:p w14:paraId="5F1E1E24" w14:textId="77777777" w:rsidR="00437FF9" w:rsidRPr="00A84EA2" w:rsidRDefault="00437FF9" w:rsidP="000343C1">
            <w:pPr>
              <w:keepNext/>
              <w:keepLines/>
              <w:widowControl w:val="0"/>
              <w:rPr>
                <w:rFonts w:ascii="Arial Narrow" w:eastAsia="MS Gothic" w:hAnsi="Arial Narrow"/>
                <w:bCs/>
                <w:sz w:val="20"/>
              </w:rPr>
            </w:pPr>
          </w:p>
          <w:p w14:paraId="21773CE5"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Where treatment was ceased for clinical reasons despite the patient experiencing improvement, an assessment of the patient's response to treatment made at the time of treatment cessation or retrospectively will be considered to determine whether the patient demonstrated or sustained an adequate response to treatment.</w:t>
            </w:r>
          </w:p>
          <w:p w14:paraId="7667F3A8" w14:textId="77777777" w:rsidR="00437FF9" w:rsidRPr="00A84EA2" w:rsidRDefault="00437FF9" w:rsidP="000343C1">
            <w:pPr>
              <w:keepNext/>
              <w:keepLines/>
              <w:widowControl w:val="0"/>
              <w:rPr>
                <w:rFonts w:ascii="Arial Narrow" w:eastAsia="MS Gothic" w:hAnsi="Arial Narrow"/>
                <w:bCs/>
                <w:sz w:val="20"/>
              </w:rPr>
            </w:pPr>
          </w:p>
          <w:p w14:paraId="0CFB6567"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A patient who fails to respond to treatment with this biological medicine for uncontrolled severe asthma will not be eligible to receive further PBS-subsidised treatment with this biological medicine for severe asthma within the current treatment cycle.</w:t>
            </w:r>
          </w:p>
        </w:tc>
      </w:tr>
      <w:tr w:rsidR="00437FF9" w:rsidRPr="00133B19" w14:paraId="2A643BB6" w14:textId="77777777" w:rsidTr="000343C1">
        <w:trPr>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641581" w14:textId="69E6E3BF" w:rsidR="00437FF9" w:rsidRPr="00A84EA2" w:rsidRDefault="00437FF9"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899C285" w14:textId="77777777" w:rsidR="00437FF9" w:rsidRPr="00A84EA2" w:rsidRDefault="00437FF9" w:rsidP="000343C1">
            <w:pPr>
              <w:keepNext/>
              <w:keepLines/>
              <w:widowControl w:val="0"/>
              <w:rPr>
                <w:rFonts w:ascii="Arial Narrow" w:eastAsia="MS Gothic" w:hAnsi="Arial Narrow"/>
                <w:b/>
                <w:sz w:val="20"/>
              </w:rPr>
            </w:pPr>
            <w:r w:rsidRPr="00A84EA2">
              <w:rPr>
                <w:rFonts w:ascii="Arial Narrow" w:eastAsia="MS Gothic" w:hAnsi="Arial Narrow"/>
                <w:b/>
                <w:bCs/>
                <w:sz w:val="20"/>
              </w:rPr>
              <w:t xml:space="preserve">Prescribing Instructions: </w:t>
            </w:r>
          </w:p>
          <w:p w14:paraId="0DC814D4"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The following information must be provided at the time of application and must be documented in the patient's medical records:</w:t>
            </w:r>
          </w:p>
          <w:p w14:paraId="4FD3B872"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(a) Asthma Control Questionnaire (ACQ-5) score; and</w:t>
            </w:r>
          </w:p>
          <w:p w14:paraId="0857C66F" w14:textId="77777777" w:rsidR="00437FF9" w:rsidRPr="00A84EA2" w:rsidRDefault="00437FF9" w:rsidP="000343C1">
            <w:pPr>
              <w:keepNext/>
              <w:keepLines/>
              <w:widowControl w:val="0"/>
              <w:rPr>
                <w:rFonts w:ascii="Arial Narrow" w:eastAsia="MS Gothic" w:hAnsi="Arial Narrow"/>
                <w:bCs/>
                <w:sz w:val="20"/>
              </w:rPr>
            </w:pPr>
            <w:r w:rsidRPr="00A84EA2">
              <w:rPr>
                <w:rFonts w:ascii="Arial Narrow" w:eastAsia="MS Gothic" w:hAnsi="Arial Narrow"/>
                <w:bCs/>
                <w:sz w:val="20"/>
              </w:rPr>
              <w:t>(b) If applicable, maintenance oral corticosteroid dose</w:t>
            </w:r>
            <w:r>
              <w:rPr>
                <w:rFonts w:ascii="Arial Narrow" w:eastAsia="MS Gothic" w:hAnsi="Arial Narrow"/>
                <w:bCs/>
                <w:sz w:val="20"/>
              </w:rPr>
              <w:t>.</w:t>
            </w:r>
          </w:p>
        </w:tc>
      </w:tr>
    </w:tbl>
    <w:p w14:paraId="62EF656E" w14:textId="77777777" w:rsidR="0006108D" w:rsidRDefault="0006108D" w:rsidP="0006108D">
      <w:pPr>
        <w:spacing w:before="120" w:after="120"/>
        <w:rPr>
          <w:rFonts w:asciiTheme="minorHAnsi" w:hAnsiTheme="minorHAnsi"/>
          <w:b/>
          <w:i/>
          <w:iCs/>
          <w:snapToGrid w:val="0"/>
          <w:lang w:val="en-GB" w:eastAsia="en-US"/>
        </w:rPr>
      </w:pPr>
    </w:p>
    <w:p w14:paraId="5511316D" w14:textId="444394EF" w:rsidR="00B5356A" w:rsidRDefault="00B5356A" w:rsidP="00B5356A">
      <w:pPr>
        <w:keepNext/>
        <w:keepLines/>
        <w:spacing w:before="120"/>
        <w:outlineLvl w:val="2"/>
        <w:rPr>
          <w:rFonts w:asciiTheme="minorHAnsi" w:eastAsiaTheme="majorEastAsia" w:hAnsiTheme="minorHAnsi" w:cstheme="majorBidi"/>
          <w:b/>
          <w:color w:val="000000" w:themeColor="text1"/>
        </w:rPr>
      </w:pPr>
      <w:r w:rsidRPr="004F56D0">
        <w:rPr>
          <w:rFonts w:asciiTheme="minorHAnsi" w:eastAsiaTheme="majorEastAsia" w:hAnsiTheme="minorHAnsi" w:cstheme="majorBidi"/>
          <w:b/>
          <w:color w:val="000000" w:themeColor="text1"/>
        </w:rPr>
        <w:t xml:space="preserve">Eosinophilic or allergic SUA </w:t>
      </w:r>
    </w:p>
    <w:p w14:paraId="5B30C361" w14:textId="35F1647D" w:rsidR="00CB0B1F" w:rsidRPr="00612993" w:rsidRDefault="00CB0B1F" w:rsidP="00612993">
      <w:pPr>
        <w:tabs>
          <w:tab w:val="left" w:pos="4395"/>
        </w:tabs>
        <w:spacing w:before="240" w:after="120"/>
        <w:rPr>
          <w:rFonts w:ascii="Arial Narrow" w:hAnsi="Arial Narrow" w:cs="Aptos"/>
          <w:color w:val="000000"/>
        </w:rPr>
      </w:pPr>
      <w:r w:rsidRPr="00612993">
        <w:rPr>
          <w:rFonts w:ascii="Arial Narrow" w:hAnsi="Arial Narrow" w:cs="Aptos"/>
          <w:color w:val="000000"/>
        </w:rPr>
        <w:t>Initial 1, Initial 2 and Grandfather</w:t>
      </w:r>
      <w:r w:rsidR="00514F91" w:rsidRPr="00612993">
        <w:rPr>
          <w:rFonts w:ascii="Arial Narrow" w:hAnsi="Arial Narrow" w:cs="Aptos"/>
          <w:color w:val="000000"/>
        </w:rPr>
        <w:t>ing</w:t>
      </w:r>
      <w:r w:rsidRPr="00612993">
        <w:rPr>
          <w:rFonts w:ascii="Arial Narrow" w:hAnsi="Arial Narrow" w:cs="Aptos"/>
          <w:color w:val="000000"/>
        </w:rPr>
        <w:t xml:space="preserve"> treatment phases:</w:t>
      </w:r>
    </w:p>
    <w:tbl>
      <w:tblPr>
        <w:tblW w:w="879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Initial 1, Initial 2 and Grandfathering treatment phases:"/>
      </w:tblPr>
      <w:tblGrid>
        <w:gridCol w:w="462"/>
        <w:gridCol w:w="690"/>
        <w:gridCol w:w="115"/>
        <w:gridCol w:w="260"/>
        <w:gridCol w:w="2296"/>
        <w:gridCol w:w="791"/>
        <w:gridCol w:w="792"/>
        <w:gridCol w:w="791"/>
        <w:gridCol w:w="792"/>
        <w:gridCol w:w="1787"/>
        <w:gridCol w:w="15"/>
      </w:tblGrid>
      <w:tr w:rsidR="00262553" w:rsidRPr="00133B19" w14:paraId="7D9756D5" w14:textId="77777777" w:rsidTr="000343C1">
        <w:trPr>
          <w:gridAfter w:val="1"/>
          <w:wAfter w:w="15" w:type="dxa"/>
          <w:cantSplit/>
          <w:trHeight w:val="20"/>
        </w:trPr>
        <w:tc>
          <w:tcPr>
            <w:tcW w:w="3823" w:type="dxa"/>
            <w:gridSpan w:val="5"/>
            <w:tcBorders>
              <w:top w:val="single" w:sz="4" w:space="0" w:color="auto"/>
              <w:left w:val="single" w:sz="4" w:space="0" w:color="auto"/>
              <w:bottom w:val="single" w:sz="4" w:space="0" w:color="auto"/>
              <w:right w:val="single" w:sz="4" w:space="0" w:color="auto"/>
            </w:tcBorders>
            <w:vAlign w:val="center"/>
            <w:hideMark/>
          </w:tcPr>
          <w:p w14:paraId="10014AE8" w14:textId="77777777" w:rsidR="00262553" w:rsidRPr="00133B19" w:rsidRDefault="00262553" w:rsidP="000343C1">
            <w:pPr>
              <w:keepLines/>
              <w:rPr>
                <w:rFonts w:ascii="Arial Narrow" w:hAnsi="Arial Narrow"/>
                <w:b/>
                <w:bCs/>
                <w:color w:val="000000"/>
                <w:sz w:val="20"/>
                <w:szCs w:val="20"/>
              </w:rPr>
            </w:pPr>
            <w:r w:rsidRPr="00133B19">
              <w:rPr>
                <w:rFonts w:ascii="Arial Narrow" w:hAnsi="Arial Narrow"/>
                <w:b/>
                <w:bCs/>
                <w:color w:val="000000"/>
                <w:sz w:val="20"/>
                <w:szCs w:val="20"/>
              </w:rPr>
              <w:t>MEDICINAL PRODUCT</w:t>
            </w:r>
          </w:p>
          <w:p w14:paraId="1CA366A6" w14:textId="77777777" w:rsidR="00262553" w:rsidRPr="00133B19" w:rsidRDefault="00262553" w:rsidP="000343C1">
            <w:pPr>
              <w:keepLines/>
              <w:rPr>
                <w:rFonts w:ascii="Arial Narrow" w:hAnsi="Arial Narrow"/>
                <w:b/>
                <w:color w:val="000000"/>
                <w:sz w:val="20"/>
                <w:szCs w:val="20"/>
              </w:rPr>
            </w:pPr>
            <w:r w:rsidRPr="00133B19">
              <w:rPr>
                <w:rFonts w:ascii="Arial Narrow" w:hAnsi="Arial Narrow"/>
                <w:b/>
                <w:bCs/>
                <w:color w:val="000000"/>
                <w:sz w:val="20"/>
                <w:szCs w:val="20"/>
              </w:rPr>
              <w:t>medicinal product pack</w:t>
            </w:r>
          </w:p>
        </w:tc>
        <w:tc>
          <w:tcPr>
            <w:tcW w:w="791" w:type="dxa"/>
            <w:tcBorders>
              <w:top w:val="single" w:sz="4" w:space="0" w:color="auto"/>
              <w:left w:val="single" w:sz="4" w:space="0" w:color="auto"/>
              <w:bottom w:val="single" w:sz="4" w:space="0" w:color="auto"/>
              <w:right w:val="single" w:sz="4" w:space="0" w:color="auto"/>
            </w:tcBorders>
            <w:vAlign w:val="center"/>
            <w:hideMark/>
          </w:tcPr>
          <w:p w14:paraId="43A5A2E8" w14:textId="77777777" w:rsidR="00262553" w:rsidRPr="00133B19" w:rsidRDefault="00262553" w:rsidP="000343C1">
            <w:pPr>
              <w:keepLines/>
              <w:jc w:val="center"/>
              <w:rPr>
                <w:rFonts w:ascii="Arial Narrow" w:hAnsi="Arial Narrow"/>
                <w:b/>
                <w:color w:val="000000"/>
                <w:sz w:val="20"/>
                <w:szCs w:val="20"/>
              </w:rPr>
            </w:pPr>
            <w:r w:rsidRPr="00133B19">
              <w:rPr>
                <w:rFonts w:ascii="Arial Narrow" w:hAnsi="Arial Narrow"/>
                <w:b/>
                <w:color w:val="000000"/>
                <w:sz w:val="20"/>
                <w:szCs w:val="20"/>
              </w:rPr>
              <w:t>PBS item code</w:t>
            </w:r>
          </w:p>
        </w:tc>
        <w:tc>
          <w:tcPr>
            <w:tcW w:w="792" w:type="dxa"/>
            <w:tcBorders>
              <w:top w:val="single" w:sz="4" w:space="0" w:color="auto"/>
              <w:left w:val="single" w:sz="4" w:space="0" w:color="auto"/>
              <w:bottom w:val="single" w:sz="4" w:space="0" w:color="auto"/>
              <w:right w:val="single" w:sz="4" w:space="0" w:color="auto"/>
            </w:tcBorders>
            <w:vAlign w:val="center"/>
            <w:hideMark/>
          </w:tcPr>
          <w:p w14:paraId="44676563" w14:textId="77777777" w:rsidR="00262553" w:rsidRPr="00133B19" w:rsidRDefault="00262553" w:rsidP="000343C1">
            <w:pPr>
              <w:keepLines/>
              <w:jc w:val="center"/>
              <w:rPr>
                <w:rFonts w:ascii="Arial Narrow" w:hAnsi="Arial Narrow"/>
                <w:b/>
                <w:color w:val="000000"/>
                <w:sz w:val="20"/>
                <w:szCs w:val="20"/>
              </w:rPr>
            </w:pPr>
            <w:r w:rsidRPr="00133B19">
              <w:rPr>
                <w:rFonts w:ascii="Arial Narrow" w:hAnsi="Arial Narrow"/>
                <w:b/>
                <w:color w:val="000000"/>
                <w:sz w:val="20"/>
                <w:szCs w:val="20"/>
              </w:rPr>
              <w:t>Max. qty packs</w:t>
            </w:r>
          </w:p>
        </w:tc>
        <w:tc>
          <w:tcPr>
            <w:tcW w:w="791" w:type="dxa"/>
            <w:tcBorders>
              <w:top w:val="single" w:sz="4" w:space="0" w:color="auto"/>
              <w:left w:val="single" w:sz="4" w:space="0" w:color="auto"/>
              <w:bottom w:val="single" w:sz="4" w:space="0" w:color="auto"/>
              <w:right w:val="single" w:sz="4" w:space="0" w:color="auto"/>
            </w:tcBorders>
            <w:vAlign w:val="center"/>
            <w:hideMark/>
          </w:tcPr>
          <w:p w14:paraId="4DA96F44" w14:textId="77777777" w:rsidR="00262553" w:rsidRPr="00133B19" w:rsidRDefault="00262553" w:rsidP="000343C1">
            <w:pPr>
              <w:keepLines/>
              <w:jc w:val="center"/>
              <w:rPr>
                <w:rFonts w:ascii="Arial Narrow" w:hAnsi="Arial Narrow"/>
                <w:b/>
                <w:color w:val="000000"/>
                <w:sz w:val="20"/>
                <w:szCs w:val="20"/>
              </w:rPr>
            </w:pPr>
            <w:r w:rsidRPr="00133B19">
              <w:rPr>
                <w:rFonts w:ascii="Arial Narrow" w:hAnsi="Arial Narrow"/>
                <w:b/>
                <w:color w:val="000000"/>
                <w:sz w:val="20"/>
                <w:szCs w:val="20"/>
              </w:rPr>
              <w:t>Max. qty units</w:t>
            </w:r>
          </w:p>
        </w:tc>
        <w:tc>
          <w:tcPr>
            <w:tcW w:w="792" w:type="dxa"/>
            <w:tcBorders>
              <w:top w:val="single" w:sz="4" w:space="0" w:color="auto"/>
              <w:left w:val="single" w:sz="4" w:space="0" w:color="auto"/>
              <w:bottom w:val="single" w:sz="4" w:space="0" w:color="auto"/>
              <w:right w:val="single" w:sz="4" w:space="0" w:color="auto"/>
            </w:tcBorders>
            <w:vAlign w:val="center"/>
            <w:hideMark/>
          </w:tcPr>
          <w:p w14:paraId="781E578B" w14:textId="77777777" w:rsidR="00262553" w:rsidRPr="00133B19" w:rsidRDefault="00262553" w:rsidP="000343C1">
            <w:pPr>
              <w:keepLines/>
              <w:jc w:val="center"/>
              <w:rPr>
                <w:rFonts w:ascii="Arial Narrow" w:hAnsi="Arial Narrow"/>
                <w:b/>
                <w:bCs/>
                <w:color w:val="000000"/>
                <w:sz w:val="20"/>
                <w:szCs w:val="20"/>
              </w:rPr>
            </w:pPr>
            <w:proofErr w:type="gramStart"/>
            <w:r w:rsidRPr="00133B19">
              <w:rPr>
                <w:rFonts w:ascii="Arial Narrow" w:hAnsi="Arial Narrow"/>
                <w:b/>
                <w:bCs/>
                <w:color w:val="000000"/>
                <w:sz w:val="20"/>
                <w:szCs w:val="20"/>
              </w:rPr>
              <w:t>№.of</w:t>
            </w:r>
            <w:proofErr w:type="gramEnd"/>
          </w:p>
          <w:p w14:paraId="3F117984" w14:textId="77777777" w:rsidR="00262553" w:rsidRPr="00133B19" w:rsidRDefault="00262553" w:rsidP="000343C1">
            <w:pPr>
              <w:keepLines/>
              <w:jc w:val="center"/>
              <w:rPr>
                <w:rFonts w:ascii="Arial Narrow" w:hAnsi="Arial Narrow"/>
                <w:b/>
                <w:bCs/>
                <w:color w:val="000000"/>
                <w:sz w:val="20"/>
                <w:szCs w:val="20"/>
              </w:rPr>
            </w:pPr>
            <w:proofErr w:type="spellStart"/>
            <w:r w:rsidRPr="00133B19">
              <w:rPr>
                <w:rFonts w:ascii="Arial Narrow" w:hAnsi="Arial Narrow"/>
                <w:b/>
                <w:bCs/>
                <w:color w:val="000000"/>
                <w:sz w:val="20"/>
                <w:szCs w:val="20"/>
              </w:rPr>
              <w:t>Rpts</w:t>
            </w:r>
            <w:proofErr w:type="spellEnd"/>
          </w:p>
        </w:tc>
        <w:tc>
          <w:tcPr>
            <w:tcW w:w="1787" w:type="dxa"/>
            <w:tcBorders>
              <w:top w:val="single" w:sz="4" w:space="0" w:color="auto"/>
              <w:left w:val="single" w:sz="4" w:space="0" w:color="auto"/>
              <w:bottom w:val="single" w:sz="4" w:space="0" w:color="auto"/>
              <w:right w:val="single" w:sz="4" w:space="0" w:color="auto"/>
            </w:tcBorders>
            <w:vAlign w:val="center"/>
            <w:hideMark/>
          </w:tcPr>
          <w:p w14:paraId="1C6F86E9" w14:textId="77777777" w:rsidR="00262553" w:rsidRPr="00133B19" w:rsidRDefault="00262553" w:rsidP="000343C1">
            <w:pPr>
              <w:keepLines/>
              <w:rPr>
                <w:rFonts w:ascii="Arial Narrow" w:hAnsi="Arial Narrow"/>
                <w:b/>
                <w:color w:val="000000"/>
                <w:sz w:val="20"/>
                <w:szCs w:val="20"/>
                <w:lang w:val="fr-FR"/>
              </w:rPr>
            </w:pPr>
            <w:r w:rsidRPr="00133B19">
              <w:rPr>
                <w:rFonts w:ascii="Arial Narrow" w:hAnsi="Arial Narrow"/>
                <w:b/>
                <w:color w:val="000000"/>
                <w:sz w:val="20"/>
                <w:szCs w:val="20"/>
              </w:rPr>
              <w:t>Available brands</w:t>
            </w:r>
          </w:p>
        </w:tc>
      </w:tr>
      <w:tr w:rsidR="00262553" w:rsidRPr="00133B19" w14:paraId="24485AA8" w14:textId="77777777" w:rsidTr="000343C1">
        <w:trPr>
          <w:gridAfter w:val="1"/>
          <w:wAfter w:w="15" w:type="dxa"/>
          <w:cantSplit/>
          <w:trHeight w:val="20"/>
        </w:trPr>
        <w:tc>
          <w:tcPr>
            <w:tcW w:w="8776" w:type="dxa"/>
            <w:gridSpan w:val="10"/>
            <w:tcBorders>
              <w:top w:val="single" w:sz="4" w:space="0" w:color="auto"/>
              <w:left w:val="single" w:sz="4" w:space="0" w:color="auto"/>
              <w:bottom w:val="single" w:sz="4" w:space="0" w:color="auto"/>
              <w:right w:val="single" w:sz="4" w:space="0" w:color="auto"/>
            </w:tcBorders>
            <w:vAlign w:val="center"/>
            <w:hideMark/>
          </w:tcPr>
          <w:p w14:paraId="31EB2071" w14:textId="77777777" w:rsidR="00262553" w:rsidRPr="00133B19" w:rsidRDefault="00262553" w:rsidP="000343C1">
            <w:pPr>
              <w:keepLines/>
              <w:rPr>
                <w:rFonts w:ascii="Arial Narrow" w:hAnsi="Arial Narrow"/>
                <w:color w:val="000000"/>
                <w:sz w:val="20"/>
                <w:szCs w:val="20"/>
              </w:rPr>
            </w:pPr>
            <w:r w:rsidRPr="00133B19">
              <w:rPr>
                <w:rFonts w:ascii="Arial Narrow" w:hAnsi="Arial Narrow"/>
                <w:color w:val="000000"/>
                <w:sz w:val="20"/>
                <w:szCs w:val="20"/>
              </w:rPr>
              <w:t>TEZEPELUMAB</w:t>
            </w:r>
          </w:p>
        </w:tc>
      </w:tr>
      <w:tr w:rsidR="00262553" w:rsidRPr="00133B19" w14:paraId="56668E3A" w14:textId="77777777" w:rsidTr="000343C1">
        <w:trPr>
          <w:gridAfter w:val="1"/>
          <w:wAfter w:w="15" w:type="dxa"/>
          <w:cantSplit/>
          <w:trHeight w:val="206"/>
        </w:trPr>
        <w:tc>
          <w:tcPr>
            <w:tcW w:w="3823" w:type="dxa"/>
            <w:gridSpan w:val="5"/>
            <w:tcBorders>
              <w:top w:val="single" w:sz="4" w:space="0" w:color="auto"/>
              <w:left w:val="single" w:sz="4" w:space="0" w:color="auto"/>
              <w:bottom w:val="single" w:sz="4" w:space="0" w:color="auto"/>
              <w:right w:val="single" w:sz="4" w:space="0" w:color="auto"/>
            </w:tcBorders>
            <w:vAlign w:val="center"/>
            <w:hideMark/>
          </w:tcPr>
          <w:p w14:paraId="06CA9D13" w14:textId="77777777" w:rsidR="00262553" w:rsidRPr="0098423F" w:rsidRDefault="00262553" w:rsidP="000343C1">
            <w:pPr>
              <w:keepLines/>
              <w:rPr>
                <w:rFonts w:ascii="Arial Narrow" w:hAnsi="Arial Narrow"/>
                <w:sz w:val="20"/>
                <w:szCs w:val="20"/>
              </w:rPr>
            </w:pPr>
            <w:proofErr w:type="spellStart"/>
            <w:r w:rsidRPr="0098423F">
              <w:rPr>
                <w:rFonts w:ascii="Arial Narrow" w:hAnsi="Arial Narrow"/>
                <w:sz w:val="20"/>
                <w:szCs w:val="20"/>
              </w:rPr>
              <w:t>tezepelumab</w:t>
            </w:r>
            <w:proofErr w:type="spellEnd"/>
            <w:r w:rsidRPr="0098423F">
              <w:rPr>
                <w:rFonts w:ascii="Arial Narrow" w:hAnsi="Arial Narrow"/>
                <w:sz w:val="20"/>
                <w:szCs w:val="20"/>
              </w:rPr>
              <w:t xml:space="preserve"> 210 mg/1.91 mL injection, 1.91 mL pen device</w:t>
            </w:r>
          </w:p>
        </w:tc>
        <w:tc>
          <w:tcPr>
            <w:tcW w:w="791" w:type="dxa"/>
            <w:tcBorders>
              <w:top w:val="single" w:sz="4" w:space="0" w:color="auto"/>
              <w:left w:val="single" w:sz="4" w:space="0" w:color="auto"/>
              <w:bottom w:val="single" w:sz="4" w:space="0" w:color="auto"/>
              <w:right w:val="single" w:sz="4" w:space="0" w:color="auto"/>
            </w:tcBorders>
            <w:vAlign w:val="center"/>
            <w:hideMark/>
          </w:tcPr>
          <w:p w14:paraId="25F8A4AA" w14:textId="77777777" w:rsidR="00262553" w:rsidRPr="00133B19" w:rsidRDefault="00262553" w:rsidP="000343C1">
            <w:pPr>
              <w:keepLines/>
              <w:jc w:val="center"/>
              <w:rPr>
                <w:rFonts w:ascii="Arial Narrow" w:hAnsi="Arial Narrow"/>
                <w:sz w:val="20"/>
                <w:szCs w:val="20"/>
              </w:rPr>
            </w:pPr>
            <w:r w:rsidRPr="00133B19">
              <w:rPr>
                <w:rFonts w:ascii="Arial Narrow" w:hAnsi="Arial Narrow"/>
                <w:sz w:val="20"/>
                <w:szCs w:val="20"/>
              </w:rPr>
              <w:t>NEW/</w:t>
            </w:r>
          </w:p>
          <w:p w14:paraId="4ED1E187" w14:textId="77777777" w:rsidR="00262553" w:rsidRPr="00133B19" w:rsidRDefault="00262553" w:rsidP="000343C1">
            <w:pPr>
              <w:keepLines/>
              <w:jc w:val="center"/>
              <w:rPr>
                <w:rFonts w:ascii="Arial Narrow" w:hAnsi="Arial Narrow"/>
                <w:sz w:val="20"/>
                <w:szCs w:val="20"/>
              </w:rPr>
            </w:pPr>
            <w:r w:rsidRPr="00133B19">
              <w:rPr>
                <w:rFonts w:ascii="Arial Narrow" w:hAnsi="Arial Narrow"/>
                <w:sz w:val="20"/>
                <w:szCs w:val="20"/>
              </w:rPr>
              <w:t>Public</w:t>
            </w:r>
          </w:p>
        </w:tc>
        <w:tc>
          <w:tcPr>
            <w:tcW w:w="792" w:type="dxa"/>
            <w:tcBorders>
              <w:top w:val="single" w:sz="4" w:space="0" w:color="auto"/>
              <w:left w:val="single" w:sz="4" w:space="0" w:color="auto"/>
              <w:bottom w:val="single" w:sz="4" w:space="0" w:color="auto"/>
              <w:right w:val="single" w:sz="4" w:space="0" w:color="auto"/>
            </w:tcBorders>
            <w:vAlign w:val="center"/>
            <w:hideMark/>
          </w:tcPr>
          <w:p w14:paraId="64C5D4BA" w14:textId="77777777" w:rsidR="00262553" w:rsidRPr="00133B19" w:rsidRDefault="00262553" w:rsidP="000343C1">
            <w:pPr>
              <w:keepLines/>
              <w:jc w:val="center"/>
              <w:rPr>
                <w:rFonts w:ascii="Arial Narrow" w:hAnsi="Arial Narrow"/>
                <w:sz w:val="20"/>
                <w:szCs w:val="20"/>
              </w:rPr>
            </w:pPr>
            <w:r w:rsidRPr="00133B19">
              <w:rPr>
                <w:rFonts w:ascii="Arial Narrow" w:hAnsi="Arial Narrow"/>
                <w:sz w:val="20"/>
                <w:szCs w:val="20"/>
              </w:rPr>
              <w:t>1</w:t>
            </w:r>
          </w:p>
        </w:tc>
        <w:tc>
          <w:tcPr>
            <w:tcW w:w="791" w:type="dxa"/>
            <w:tcBorders>
              <w:top w:val="single" w:sz="4" w:space="0" w:color="auto"/>
              <w:left w:val="single" w:sz="4" w:space="0" w:color="auto"/>
              <w:bottom w:val="single" w:sz="4" w:space="0" w:color="auto"/>
              <w:right w:val="single" w:sz="4" w:space="0" w:color="auto"/>
            </w:tcBorders>
            <w:vAlign w:val="center"/>
            <w:hideMark/>
          </w:tcPr>
          <w:p w14:paraId="147ED7DD" w14:textId="77777777" w:rsidR="00262553" w:rsidRPr="00133B19" w:rsidRDefault="00262553" w:rsidP="000343C1">
            <w:pPr>
              <w:keepLines/>
              <w:jc w:val="center"/>
              <w:rPr>
                <w:rFonts w:ascii="Arial Narrow" w:hAnsi="Arial Narrow"/>
                <w:sz w:val="20"/>
                <w:szCs w:val="20"/>
              </w:rPr>
            </w:pPr>
            <w:r w:rsidRPr="00133B19">
              <w:rPr>
                <w:rFonts w:ascii="Arial Narrow" w:hAnsi="Arial Narrow"/>
                <w:sz w:val="20"/>
                <w:szCs w:val="20"/>
              </w:rPr>
              <w:t>1</w:t>
            </w:r>
          </w:p>
        </w:tc>
        <w:tc>
          <w:tcPr>
            <w:tcW w:w="792" w:type="dxa"/>
            <w:tcBorders>
              <w:top w:val="single" w:sz="4" w:space="0" w:color="auto"/>
              <w:left w:val="single" w:sz="4" w:space="0" w:color="auto"/>
              <w:bottom w:val="single" w:sz="4" w:space="0" w:color="auto"/>
              <w:right w:val="single" w:sz="4" w:space="0" w:color="auto"/>
            </w:tcBorders>
            <w:vAlign w:val="center"/>
            <w:hideMark/>
          </w:tcPr>
          <w:p w14:paraId="612BE92A" w14:textId="77777777" w:rsidR="00262553" w:rsidRPr="00133B19" w:rsidRDefault="00262553" w:rsidP="000343C1">
            <w:pPr>
              <w:keepLines/>
              <w:jc w:val="center"/>
              <w:rPr>
                <w:rFonts w:ascii="Arial Narrow" w:hAnsi="Arial Narrow"/>
                <w:strike/>
                <w:color w:val="000000"/>
                <w:sz w:val="20"/>
                <w:szCs w:val="20"/>
              </w:rPr>
            </w:pPr>
            <w:r w:rsidRPr="02E8A7A0">
              <w:rPr>
                <w:rFonts w:ascii="Arial Narrow" w:hAnsi="Arial Narrow"/>
                <w:color w:val="000000" w:themeColor="text1"/>
                <w:sz w:val="20"/>
                <w:szCs w:val="20"/>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C9CCCB8" w14:textId="77777777" w:rsidR="00262553" w:rsidRPr="00133B19" w:rsidRDefault="00262553" w:rsidP="000343C1">
            <w:pPr>
              <w:keepLines/>
              <w:rPr>
                <w:rFonts w:ascii="Arial Narrow" w:hAnsi="Arial Narrow"/>
                <w:sz w:val="20"/>
                <w:szCs w:val="20"/>
              </w:rPr>
            </w:pPr>
            <w:proofErr w:type="spellStart"/>
            <w:r w:rsidRPr="00133B19">
              <w:rPr>
                <w:rFonts w:ascii="Arial Narrow" w:hAnsi="Arial Narrow"/>
                <w:sz w:val="20"/>
                <w:szCs w:val="20"/>
              </w:rPr>
              <w:t>Tezspire</w:t>
            </w:r>
            <w:proofErr w:type="spellEnd"/>
          </w:p>
        </w:tc>
      </w:tr>
      <w:tr w:rsidR="00262553" w:rsidRPr="00133B19" w14:paraId="20A4213A" w14:textId="77777777" w:rsidTr="000343C1">
        <w:trPr>
          <w:gridAfter w:val="1"/>
          <w:wAfter w:w="15" w:type="dxa"/>
          <w:cantSplit/>
          <w:trHeight w:val="20"/>
        </w:trPr>
        <w:tc>
          <w:tcPr>
            <w:tcW w:w="3823" w:type="dxa"/>
            <w:gridSpan w:val="5"/>
            <w:tcBorders>
              <w:top w:val="single" w:sz="4" w:space="0" w:color="auto"/>
              <w:left w:val="single" w:sz="4" w:space="0" w:color="auto"/>
              <w:bottom w:val="single" w:sz="4" w:space="0" w:color="auto"/>
              <w:right w:val="single" w:sz="4" w:space="0" w:color="auto"/>
            </w:tcBorders>
            <w:vAlign w:val="center"/>
            <w:hideMark/>
          </w:tcPr>
          <w:p w14:paraId="376B29C0" w14:textId="77777777" w:rsidR="00262553" w:rsidRPr="0098423F" w:rsidRDefault="00262553" w:rsidP="000343C1">
            <w:pPr>
              <w:keepLines/>
              <w:rPr>
                <w:rFonts w:ascii="Arial Narrow" w:hAnsi="Arial Narrow"/>
                <w:sz w:val="20"/>
                <w:szCs w:val="20"/>
              </w:rPr>
            </w:pPr>
            <w:proofErr w:type="spellStart"/>
            <w:r w:rsidRPr="0098423F">
              <w:rPr>
                <w:rFonts w:ascii="Arial Narrow" w:hAnsi="Arial Narrow"/>
                <w:sz w:val="20"/>
                <w:szCs w:val="20"/>
              </w:rPr>
              <w:t>tezepelumab</w:t>
            </w:r>
            <w:proofErr w:type="spellEnd"/>
            <w:r w:rsidRPr="0098423F">
              <w:rPr>
                <w:rFonts w:ascii="Arial Narrow" w:hAnsi="Arial Narrow"/>
                <w:sz w:val="20"/>
                <w:szCs w:val="20"/>
              </w:rPr>
              <w:t xml:space="preserve"> 210 mg/1.91 mL injection, 1.91 mL pen device</w:t>
            </w:r>
          </w:p>
        </w:tc>
        <w:tc>
          <w:tcPr>
            <w:tcW w:w="791" w:type="dxa"/>
            <w:tcBorders>
              <w:top w:val="single" w:sz="4" w:space="0" w:color="auto"/>
              <w:left w:val="single" w:sz="4" w:space="0" w:color="auto"/>
              <w:bottom w:val="single" w:sz="4" w:space="0" w:color="auto"/>
              <w:right w:val="single" w:sz="4" w:space="0" w:color="auto"/>
            </w:tcBorders>
            <w:vAlign w:val="center"/>
            <w:hideMark/>
          </w:tcPr>
          <w:p w14:paraId="252D8D0F" w14:textId="77777777" w:rsidR="00262553" w:rsidRPr="00133B19" w:rsidRDefault="00262553" w:rsidP="000343C1">
            <w:pPr>
              <w:keepLines/>
              <w:jc w:val="center"/>
              <w:rPr>
                <w:rFonts w:ascii="Arial Narrow" w:hAnsi="Arial Narrow"/>
                <w:sz w:val="20"/>
                <w:szCs w:val="20"/>
              </w:rPr>
            </w:pPr>
            <w:r w:rsidRPr="00133B19">
              <w:rPr>
                <w:rFonts w:ascii="Arial Narrow" w:hAnsi="Arial Narrow"/>
                <w:sz w:val="20"/>
                <w:szCs w:val="20"/>
              </w:rPr>
              <w:t>NEW/ Private</w:t>
            </w:r>
          </w:p>
        </w:tc>
        <w:tc>
          <w:tcPr>
            <w:tcW w:w="792" w:type="dxa"/>
            <w:tcBorders>
              <w:top w:val="single" w:sz="4" w:space="0" w:color="auto"/>
              <w:left w:val="single" w:sz="4" w:space="0" w:color="auto"/>
              <w:bottom w:val="single" w:sz="4" w:space="0" w:color="auto"/>
              <w:right w:val="single" w:sz="4" w:space="0" w:color="auto"/>
            </w:tcBorders>
            <w:vAlign w:val="center"/>
            <w:hideMark/>
          </w:tcPr>
          <w:p w14:paraId="5F8937E9" w14:textId="77777777" w:rsidR="00262553" w:rsidRPr="00133B19" w:rsidRDefault="00262553" w:rsidP="000343C1">
            <w:pPr>
              <w:keepLines/>
              <w:jc w:val="center"/>
              <w:rPr>
                <w:rFonts w:ascii="Arial Narrow" w:hAnsi="Arial Narrow"/>
                <w:sz w:val="20"/>
                <w:szCs w:val="20"/>
              </w:rPr>
            </w:pPr>
            <w:r w:rsidRPr="00133B19">
              <w:rPr>
                <w:rFonts w:ascii="Arial Narrow" w:hAnsi="Arial Narrow"/>
                <w:sz w:val="20"/>
                <w:szCs w:val="20"/>
              </w:rPr>
              <w:t>1</w:t>
            </w:r>
          </w:p>
        </w:tc>
        <w:tc>
          <w:tcPr>
            <w:tcW w:w="791" w:type="dxa"/>
            <w:tcBorders>
              <w:top w:val="single" w:sz="4" w:space="0" w:color="auto"/>
              <w:left w:val="single" w:sz="4" w:space="0" w:color="auto"/>
              <w:bottom w:val="single" w:sz="4" w:space="0" w:color="auto"/>
              <w:right w:val="single" w:sz="4" w:space="0" w:color="auto"/>
            </w:tcBorders>
            <w:vAlign w:val="center"/>
            <w:hideMark/>
          </w:tcPr>
          <w:p w14:paraId="2E32E014" w14:textId="77777777" w:rsidR="00262553" w:rsidRPr="00133B19" w:rsidRDefault="00262553" w:rsidP="000343C1">
            <w:pPr>
              <w:keepLines/>
              <w:jc w:val="center"/>
              <w:rPr>
                <w:rFonts w:ascii="Arial Narrow" w:hAnsi="Arial Narrow"/>
                <w:sz w:val="20"/>
                <w:szCs w:val="20"/>
              </w:rPr>
            </w:pPr>
            <w:r w:rsidRPr="00133B19">
              <w:rPr>
                <w:rFonts w:ascii="Arial Narrow" w:hAnsi="Arial Narrow"/>
                <w:sz w:val="20"/>
                <w:szCs w:val="20"/>
              </w:rPr>
              <w:t>1</w:t>
            </w:r>
          </w:p>
        </w:tc>
        <w:tc>
          <w:tcPr>
            <w:tcW w:w="792" w:type="dxa"/>
            <w:tcBorders>
              <w:top w:val="single" w:sz="4" w:space="0" w:color="auto"/>
              <w:left w:val="single" w:sz="4" w:space="0" w:color="auto"/>
              <w:bottom w:val="single" w:sz="4" w:space="0" w:color="auto"/>
              <w:right w:val="single" w:sz="4" w:space="0" w:color="auto"/>
            </w:tcBorders>
            <w:hideMark/>
          </w:tcPr>
          <w:p w14:paraId="70CB3176" w14:textId="77777777" w:rsidR="00262553" w:rsidRPr="00133B19" w:rsidRDefault="00262553" w:rsidP="000343C1">
            <w:pPr>
              <w:keepLines/>
              <w:jc w:val="center"/>
              <w:rPr>
                <w:rFonts w:ascii="Arial Narrow" w:hAnsi="Arial Narrow"/>
                <w:strike/>
                <w:color w:val="000000"/>
                <w:sz w:val="20"/>
                <w:szCs w:val="20"/>
              </w:rPr>
            </w:pPr>
            <w:r w:rsidRPr="00133B19">
              <w:rPr>
                <w:rFonts w:ascii="Arial Narrow" w:hAnsi="Arial Narrow"/>
                <w:color w:val="000000"/>
                <w:sz w:val="20"/>
                <w:szCs w:val="20"/>
              </w:rPr>
              <w:t>7</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E355FAC" w14:textId="77777777" w:rsidR="00262553" w:rsidRPr="00133B19" w:rsidRDefault="00262553" w:rsidP="000343C1">
            <w:pPr>
              <w:keepLines/>
              <w:rPr>
                <w:rFonts w:ascii="Arial Narrow" w:hAnsi="Arial Narrow"/>
                <w:sz w:val="20"/>
                <w:szCs w:val="20"/>
              </w:rPr>
            </w:pPr>
            <w:proofErr w:type="spellStart"/>
            <w:r w:rsidRPr="00133B19">
              <w:rPr>
                <w:rFonts w:ascii="Arial Narrow" w:hAnsi="Arial Narrow"/>
                <w:sz w:val="20"/>
                <w:szCs w:val="20"/>
              </w:rPr>
              <w:t>Tezspire</w:t>
            </w:r>
            <w:proofErr w:type="spellEnd"/>
          </w:p>
        </w:tc>
      </w:tr>
      <w:tr w:rsidR="00262553" w:rsidRPr="00133B19" w14:paraId="0F01FB1B" w14:textId="77777777" w:rsidTr="000343C1">
        <w:trPr>
          <w:gridAfter w:val="1"/>
          <w:wAfter w:w="15" w:type="dxa"/>
          <w:trHeight w:val="20"/>
        </w:trPr>
        <w:tc>
          <w:tcPr>
            <w:tcW w:w="8776" w:type="dxa"/>
            <w:gridSpan w:val="10"/>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9B7C72" w14:textId="77777777" w:rsidR="00262553" w:rsidRPr="00133B19" w:rsidRDefault="00262553" w:rsidP="000343C1">
            <w:pPr>
              <w:rPr>
                <w:rFonts w:ascii="Arial Narrow" w:hAnsi="Arial Narrow"/>
                <w:color w:val="000000"/>
                <w:sz w:val="20"/>
                <w:szCs w:val="20"/>
              </w:rPr>
            </w:pPr>
          </w:p>
        </w:tc>
      </w:tr>
      <w:tr w:rsidR="00262553" w:rsidRPr="00133B19" w14:paraId="72D3FC20" w14:textId="77777777" w:rsidTr="000343C1">
        <w:trPr>
          <w:gridAfter w:val="1"/>
          <w:wAfter w:w="15" w:type="dxa"/>
          <w:trHeight w:val="20"/>
        </w:trPr>
        <w:tc>
          <w:tcPr>
            <w:tcW w:w="8776" w:type="dxa"/>
            <w:gridSpan w:val="10"/>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0AFE8B" w14:textId="77777777" w:rsidR="00262553" w:rsidRPr="00133B19" w:rsidRDefault="00262553" w:rsidP="000343C1">
            <w:pPr>
              <w:keepLines/>
              <w:rPr>
                <w:rFonts w:ascii="Arial Narrow" w:hAnsi="Arial Narrow"/>
                <w:b/>
                <w:color w:val="000000"/>
                <w:sz w:val="20"/>
                <w:szCs w:val="20"/>
              </w:rPr>
            </w:pPr>
            <w:bookmarkStart w:id="139" w:name="_Hlk213072530"/>
            <w:r w:rsidRPr="00133B19">
              <w:rPr>
                <w:rFonts w:ascii="Arial Narrow" w:hAnsi="Arial Narrow"/>
                <w:b/>
                <w:color w:val="000000"/>
                <w:sz w:val="20"/>
                <w:szCs w:val="20"/>
              </w:rPr>
              <w:t>Restriction Summary [new1] / Treatment of Concept: [new1A]</w:t>
            </w:r>
          </w:p>
        </w:tc>
      </w:tr>
      <w:tr w:rsidR="00262553" w:rsidRPr="00133B19" w14:paraId="7A51B510" w14:textId="77777777" w:rsidTr="000343C1">
        <w:trPr>
          <w:gridAfter w:val="1"/>
          <w:wAfter w:w="15" w:type="dxa"/>
          <w:trHeight w:val="20"/>
        </w:trPr>
        <w:tc>
          <w:tcPr>
            <w:tcW w:w="1527" w:type="dxa"/>
            <w:gridSpan w:val="4"/>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97C4B77" w14:textId="77777777" w:rsidR="00262553" w:rsidRPr="00133B19" w:rsidRDefault="00262553" w:rsidP="000343C1">
            <w:pPr>
              <w:jc w:val="center"/>
              <w:rPr>
                <w:rFonts w:ascii="Arial Narrow" w:hAnsi="Arial Narrow"/>
                <w:b/>
                <w:color w:val="000000"/>
                <w:sz w:val="20"/>
                <w:szCs w:val="20"/>
              </w:rPr>
            </w:pPr>
            <w:r w:rsidRPr="00133B19">
              <w:rPr>
                <w:rFonts w:ascii="Arial Narrow" w:hAnsi="Arial Narrow"/>
                <w:b/>
                <w:color w:val="000000"/>
                <w:sz w:val="20"/>
                <w:szCs w:val="20"/>
              </w:rPr>
              <w:t xml:space="preserve">Concept ID </w:t>
            </w:r>
            <w:r w:rsidRPr="00133B19">
              <w:rPr>
                <w:rFonts w:ascii="Arial Narrow" w:hAnsi="Arial Narrow"/>
                <w:color w:val="000000"/>
                <w:sz w:val="20"/>
                <w:szCs w:val="20"/>
              </w:rPr>
              <w:t>(for internal Dept. use)</w:t>
            </w: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67E72D" w14:textId="77777777" w:rsidR="00262553" w:rsidRPr="00133B19" w:rsidRDefault="00262553" w:rsidP="000343C1">
            <w:pPr>
              <w:keepLines/>
              <w:rPr>
                <w:rFonts w:ascii="Arial Narrow" w:eastAsia="Calibri" w:hAnsi="Arial Narrow"/>
                <w:color w:val="000000"/>
                <w:sz w:val="20"/>
                <w:szCs w:val="20"/>
              </w:rPr>
            </w:pPr>
            <w:r w:rsidRPr="00133B19">
              <w:rPr>
                <w:rFonts w:ascii="Arial Narrow" w:hAnsi="Arial Narrow"/>
                <w:b/>
                <w:color w:val="000000"/>
                <w:sz w:val="20"/>
                <w:szCs w:val="20"/>
              </w:rPr>
              <w:t>Category / Program:</w:t>
            </w:r>
            <w:r w:rsidRPr="00133B19">
              <w:rPr>
                <w:rFonts w:ascii="Arial Narrow" w:hAnsi="Arial Narrow"/>
                <w:color w:val="000000"/>
                <w:sz w:val="20"/>
                <w:szCs w:val="20"/>
              </w:rPr>
              <w:t xml:space="preserve"> </w:t>
            </w:r>
          </w:p>
          <w:p w14:paraId="6D1C861B" w14:textId="77777777" w:rsidR="00262553" w:rsidRPr="00133B19" w:rsidRDefault="00262553" w:rsidP="000343C1">
            <w:pPr>
              <w:keepLines/>
              <w:rPr>
                <w:rFonts w:ascii="Arial Narrow" w:hAnsi="Arial Narrow"/>
                <w:color w:val="000000"/>
                <w:sz w:val="20"/>
                <w:szCs w:val="20"/>
              </w:rPr>
            </w:pPr>
            <w:r w:rsidRPr="00133B19">
              <w:rPr>
                <w:rFonts w:ascii="Arial Narrow" w:eastAsia="Calibri" w:hAnsi="Arial Narrow"/>
                <w:color w:val="000000"/>
                <w:sz w:val="20"/>
                <w:szCs w:val="20"/>
              </w:rPr>
              <w:fldChar w:fldCharType="begin">
                <w:ffData>
                  <w:name w:val=""/>
                  <w:enabled/>
                  <w:calcOnExit w:val="0"/>
                  <w:checkBox>
                    <w:sizeAuto/>
                    <w:default w:val="1"/>
                  </w:checkBox>
                </w:ffData>
              </w:fldChar>
            </w:r>
            <w:r w:rsidRPr="00133B19">
              <w:rPr>
                <w:rFonts w:ascii="Arial Narrow" w:eastAsia="Calibri" w:hAnsi="Arial Narrow"/>
                <w:color w:val="000000"/>
                <w:sz w:val="20"/>
                <w:szCs w:val="20"/>
              </w:rPr>
              <w:instrText xml:space="preserve"> FORMCHECKBOX </w:instrText>
            </w:r>
            <w:r w:rsidRPr="00133B19">
              <w:rPr>
                <w:rFonts w:ascii="Arial Narrow" w:eastAsia="Calibri" w:hAnsi="Arial Narrow"/>
                <w:color w:val="000000"/>
                <w:sz w:val="20"/>
                <w:szCs w:val="20"/>
              </w:rPr>
            </w:r>
            <w:r w:rsidRPr="00133B19">
              <w:rPr>
                <w:rFonts w:ascii="Arial Narrow" w:eastAsia="Calibri" w:hAnsi="Arial Narrow"/>
                <w:color w:val="000000"/>
                <w:sz w:val="20"/>
                <w:szCs w:val="20"/>
              </w:rPr>
              <w:fldChar w:fldCharType="separate"/>
            </w:r>
            <w:r w:rsidRPr="00133B19">
              <w:rPr>
                <w:rFonts w:ascii="Arial Narrow" w:eastAsia="Calibri" w:hAnsi="Arial Narrow"/>
                <w:color w:val="000000"/>
                <w:sz w:val="20"/>
                <w:szCs w:val="20"/>
              </w:rPr>
              <w:fldChar w:fldCharType="end"/>
            </w:r>
            <w:r w:rsidRPr="00133B19">
              <w:rPr>
                <w:rFonts w:ascii="Arial Narrow" w:eastAsia="Calibri" w:hAnsi="Arial Narrow"/>
                <w:color w:val="000000"/>
                <w:sz w:val="20"/>
                <w:szCs w:val="20"/>
              </w:rPr>
              <w:t xml:space="preserve"> Section 100 – Highly Specialised Drugs Program – Public (Code HB) / Private (Code HS)</w:t>
            </w:r>
          </w:p>
        </w:tc>
      </w:tr>
      <w:tr w:rsidR="00262553" w:rsidRPr="00133B19" w14:paraId="1C2DD20A" w14:textId="77777777" w:rsidTr="000343C1">
        <w:trPr>
          <w:gridAfter w:val="1"/>
          <w:wAfter w:w="15" w:type="dxa"/>
          <w:trHeight w:val="20"/>
        </w:trPr>
        <w:tc>
          <w:tcPr>
            <w:tcW w:w="1527" w:type="dxa"/>
            <w:gridSpan w:val="4"/>
            <w:vMerge/>
            <w:vAlign w:val="center"/>
            <w:hideMark/>
          </w:tcPr>
          <w:p w14:paraId="2B9C1F60" w14:textId="77777777" w:rsidR="00262553" w:rsidRPr="00133B19" w:rsidRDefault="00262553" w:rsidP="000343C1">
            <w:pPr>
              <w:rPr>
                <w:rFonts w:ascii="Arial Narrow" w:hAnsi="Arial Narrow"/>
                <w:b/>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6C6365" w14:textId="77777777" w:rsidR="00262553" w:rsidRPr="00133B19" w:rsidRDefault="00262553" w:rsidP="000343C1">
            <w:pPr>
              <w:keepLines/>
              <w:rPr>
                <w:rFonts w:ascii="Arial Narrow" w:hAnsi="Arial Narrow"/>
                <w:b/>
                <w:i/>
                <w:iCs/>
                <w:color w:val="000000"/>
                <w:sz w:val="20"/>
                <w:szCs w:val="20"/>
              </w:rPr>
            </w:pPr>
            <w:r w:rsidRPr="00133B19">
              <w:rPr>
                <w:rFonts w:ascii="Arial Narrow" w:hAnsi="Arial Narrow"/>
                <w:b/>
                <w:color w:val="000000"/>
                <w:sz w:val="20"/>
                <w:szCs w:val="20"/>
              </w:rPr>
              <w:t xml:space="preserve">Prescriber type: </w:t>
            </w:r>
            <w:r w:rsidRPr="00133B19">
              <w:rPr>
                <w:rFonts w:ascii="Arial Narrow" w:hAnsi="Arial Narrow"/>
                <w:i/>
                <w:iCs/>
                <w:color w:val="000000"/>
                <w:sz w:val="20"/>
                <w:szCs w:val="20"/>
              </w:rPr>
              <w:fldChar w:fldCharType="begin">
                <w:ffData>
                  <w:name w:val=""/>
                  <w:enabled/>
                  <w:calcOnExit w:val="0"/>
                  <w:checkBox>
                    <w:sizeAuto/>
                    <w:default w:val="1"/>
                  </w:checkBox>
                </w:ffData>
              </w:fldChar>
            </w:r>
            <w:r w:rsidRPr="00133B19">
              <w:rPr>
                <w:rFonts w:ascii="Arial Narrow" w:hAnsi="Arial Narrow"/>
                <w:i/>
                <w:iCs/>
                <w:color w:val="000000"/>
                <w:sz w:val="20"/>
                <w:szCs w:val="20"/>
              </w:rPr>
              <w:instrText xml:space="preserve"> FORMCHECKBOX </w:instrText>
            </w:r>
            <w:r w:rsidRPr="00133B19">
              <w:rPr>
                <w:rFonts w:ascii="Arial Narrow" w:hAnsi="Arial Narrow"/>
                <w:i/>
                <w:iCs/>
                <w:color w:val="000000"/>
                <w:sz w:val="20"/>
                <w:szCs w:val="20"/>
              </w:rPr>
            </w:r>
            <w:r w:rsidRPr="00133B19">
              <w:rPr>
                <w:rFonts w:ascii="Arial Narrow" w:hAnsi="Arial Narrow"/>
                <w:i/>
                <w:iCs/>
                <w:color w:val="000000"/>
                <w:sz w:val="20"/>
                <w:szCs w:val="20"/>
              </w:rPr>
              <w:fldChar w:fldCharType="separate"/>
            </w:r>
            <w:r w:rsidRPr="00133B19">
              <w:rPr>
                <w:rFonts w:ascii="Arial Narrow" w:hAnsi="Arial Narrow"/>
                <w:i/>
                <w:iCs/>
                <w:color w:val="000000"/>
                <w:sz w:val="20"/>
                <w:szCs w:val="20"/>
              </w:rPr>
              <w:fldChar w:fldCharType="end"/>
            </w:r>
            <w:r w:rsidRPr="0098423F">
              <w:rPr>
                <w:rFonts w:ascii="Arial Narrow" w:hAnsi="Arial Narrow"/>
                <w:color w:val="000000"/>
                <w:sz w:val="20"/>
                <w:szCs w:val="20"/>
              </w:rPr>
              <w:t>Medical Practitioners</w:t>
            </w:r>
            <w:r w:rsidRPr="00133B19">
              <w:rPr>
                <w:rFonts w:ascii="Arial Narrow" w:hAnsi="Arial Narrow"/>
                <w:i/>
                <w:iCs/>
                <w:color w:val="000000"/>
                <w:sz w:val="20"/>
                <w:szCs w:val="20"/>
              </w:rPr>
              <w:t xml:space="preserve"> </w:t>
            </w:r>
          </w:p>
        </w:tc>
      </w:tr>
      <w:tr w:rsidR="00262553" w:rsidRPr="00133B19" w14:paraId="202D329F" w14:textId="77777777" w:rsidTr="000343C1">
        <w:trPr>
          <w:gridAfter w:val="1"/>
          <w:wAfter w:w="15" w:type="dxa"/>
          <w:trHeight w:val="20"/>
        </w:trPr>
        <w:tc>
          <w:tcPr>
            <w:tcW w:w="1527" w:type="dxa"/>
            <w:gridSpan w:val="4"/>
            <w:vMerge/>
            <w:vAlign w:val="center"/>
            <w:hideMark/>
          </w:tcPr>
          <w:p w14:paraId="24DF93E4" w14:textId="77777777" w:rsidR="00262553" w:rsidRPr="00133B19" w:rsidRDefault="00262553" w:rsidP="000343C1">
            <w:pPr>
              <w:rPr>
                <w:rFonts w:ascii="Arial Narrow" w:hAnsi="Arial Narrow"/>
                <w:b/>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394588" w14:textId="77777777" w:rsidR="00262553" w:rsidRPr="00133B19" w:rsidRDefault="00262553" w:rsidP="00B5356A">
            <w:pPr>
              <w:keepLines/>
              <w:jc w:val="left"/>
              <w:rPr>
                <w:rFonts w:ascii="Arial Narrow" w:eastAsia="Calibri" w:hAnsi="Arial Narrow"/>
                <w:color w:val="000000"/>
                <w:sz w:val="20"/>
                <w:szCs w:val="20"/>
              </w:rPr>
            </w:pPr>
            <w:r w:rsidRPr="00133B19">
              <w:rPr>
                <w:rFonts w:ascii="Arial Narrow" w:hAnsi="Arial Narrow"/>
                <w:b/>
                <w:color w:val="000000"/>
                <w:sz w:val="20"/>
                <w:szCs w:val="20"/>
              </w:rPr>
              <w:t xml:space="preserve">Restriction type: </w:t>
            </w:r>
            <w:r w:rsidRPr="00133B19">
              <w:rPr>
                <w:rFonts w:ascii="Arial Narrow" w:eastAsia="Calibri" w:hAnsi="Arial Narrow"/>
                <w:color w:val="000000"/>
                <w:sz w:val="20"/>
                <w:szCs w:val="20"/>
              </w:rPr>
              <w:br/>
            </w:r>
            <w:r w:rsidRPr="00133B19">
              <w:rPr>
                <w:rFonts w:ascii="Arial Narrow" w:eastAsia="Calibri" w:hAnsi="Arial Narrow"/>
                <w:color w:val="000000"/>
                <w:sz w:val="20"/>
                <w:szCs w:val="20"/>
              </w:rPr>
              <w:fldChar w:fldCharType="begin">
                <w:ffData>
                  <w:name w:val=""/>
                  <w:enabled/>
                  <w:calcOnExit w:val="0"/>
                  <w:checkBox>
                    <w:sizeAuto/>
                    <w:default w:val="1"/>
                  </w:checkBox>
                </w:ffData>
              </w:fldChar>
            </w:r>
            <w:r w:rsidRPr="00133B19">
              <w:rPr>
                <w:rFonts w:ascii="Arial Narrow" w:eastAsia="Calibri" w:hAnsi="Arial Narrow"/>
                <w:color w:val="000000"/>
                <w:sz w:val="20"/>
                <w:szCs w:val="20"/>
              </w:rPr>
              <w:instrText xml:space="preserve"> FORMCHECKBOX </w:instrText>
            </w:r>
            <w:r w:rsidRPr="00133B19">
              <w:rPr>
                <w:rFonts w:ascii="Arial Narrow" w:eastAsia="Calibri" w:hAnsi="Arial Narrow"/>
                <w:color w:val="000000"/>
                <w:sz w:val="20"/>
                <w:szCs w:val="20"/>
              </w:rPr>
            </w:r>
            <w:r w:rsidRPr="00133B19">
              <w:rPr>
                <w:rFonts w:ascii="Arial Narrow" w:eastAsia="Calibri" w:hAnsi="Arial Narrow"/>
                <w:color w:val="000000"/>
                <w:sz w:val="20"/>
                <w:szCs w:val="20"/>
              </w:rPr>
              <w:fldChar w:fldCharType="separate"/>
            </w:r>
            <w:r w:rsidRPr="00133B19">
              <w:rPr>
                <w:rFonts w:ascii="Arial Narrow" w:eastAsia="Calibri" w:hAnsi="Arial Narrow"/>
                <w:color w:val="000000"/>
                <w:sz w:val="20"/>
                <w:szCs w:val="20"/>
              </w:rPr>
              <w:fldChar w:fldCharType="end"/>
            </w:r>
            <w:r w:rsidRPr="00133B19">
              <w:rPr>
                <w:rFonts w:ascii="Arial Narrow" w:eastAsia="Calibri" w:hAnsi="Arial Narrow"/>
                <w:color w:val="000000"/>
                <w:sz w:val="20"/>
                <w:szCs w:val="20"/>
              </w:rPr>
              <w:t>Authority Required (FULL assessment) in writing only via OPA/post/HPOS upload))</w:t>
            </w:r>
          </w:p>
        </w:tc>
      </w:tr>
      <w:tr w:rsidR="00262553" w:rsidRPr="00133B19" w14:paraId="3E9ACB7C" w14:textId="77777777" w:rsidTr="000343C1">
        <w:trPr>
          <w:gridAfter w:val="1"/>
          <w:wAfter w:w="15" w:type="dxa"/>
          <w:trHeight w:val="20"/>
        </w:trPr>
        <w:tc>
          <w:tcPr>
            <w:tcW w:w="1527" w:type="dxa"/>
            <w:gridSpan w:val="4"/>
            <w:vMerge/>
            <w:vAlign w:val="center"/>
            <w:hideMark/>
          </w:tcPr>
          <w:p w14:paraId="00FBCACB" w14:textId="77777777" w:rsidR="00262553" w:rsidRPr="00133B19" w:rsidRDefault="00262553" w:rsidP="000343C1">
            <w:pPr>
              <w:rPr>
                <w:rFonts w:ascii="Arial Narrow" w:hAnsi="Arial Narrow"/>
                <w:b/>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9F76BB" w14:textId="77777777" w:rsidR="00262553" w:rsidRPr="0098423F" w:rsidRDefault="00262553" w:rsidP="000343C1">
            <w:pPr>
              <w:keepLines/>
              <w:rPr>
                <w:rFonts w:ascii="Arial Narrow" w:hAnsi="Arial Narrow"/>
                <w:b/>
                <w:color w:val="000000"/>
                <w:sz w:val="20"/>
                <w:szCs w:val="20"/>
              </w:rPr>
            </w:pPr>
            <w:r w:rsidRPr="0098423F">
              <w:rPr>
                <w:rFonts w:ascii="Arial Narrow" w:hAnsi="Arial Narrow"/>
                <w:b/>
                <w:color w:val="000000"/>
                <w:sz w:val="20"/>
                <w:szCs w:val="20"/>
              </w:rPr>
              <w:t xml:space="preserve">Authority type: </w:t>
            </w:r>
            <w:r w:rsidRPr="0098423F">
              <w:rPr>
                <w:rFonts w:ascii="Arial Narrow" w:eastAsia="Calibri" w:hAnsi="Arial Narrow"/>
                <w:color w:val="000000"/>
                <w:sz w:val="20"/>
                <w:szCs w:val="20"/>
              </w:rPr>
              <w:fldChar w:fldCharType="begin">
                <w:ffData>
                  <w:name w:val=""/>
                  <w:enabled/>
                  <w:calcOnExit w:val="0"/>
                  <w:checkBox>
                    <w:sizeAuto/>
                    <w:default w:val="1"/>
                  </w:checkBox>
                </w:ffData>
              </w:fldChar>
            </w:r>
            <w:r w:rsidRPr="0098423F">
              <w:rPr>
                <w:rFonts w:ascii="Arial Narrow" w:eastAsia="Calibri" w:hAnsi="Arial Narrow"/>
                <w:color w:val="000000"/>
                <w:sz w:val="20"/>
                <w:szCs w:val="20"/>
              </w:rPr>
              <w:instrText xml:space="preserve"> FORMCHECKBOX </w:instrText>
            </w:r>
            <w:r w:rsidRPr="0098423F">
              <w:rPr>
                <w:rFonts w:ascii="Arial Narrow" w:eastAsia="Calibri" w:hAnsi="Arial Narrow"/>
                <w:color w:val="000000"/>
                <w:sz w:val="20"/>
                <w:szCs w:val="20"/>
              </w:rPr>
            </w:r>
            <w:r w:rsidRPr="0098423F">
              <w:rPr>
                <w:rFonts w:ascii="Arial Narrow" w:eastAsia="Calibri" w:hAnsi="Arial Narrow"/>
                <w:color w:val="000000"/>
                <w:sz w:val="20"/>
                <w:szCs w:val="20"/>
              </w:rPr>
              <w:fldChar w:fldCharType="separate"/>
            </w:r>
            <w:r w:rsidRPr="0098423F">
              <w:rPr>
                <w:rFonts w:ascii="Arial Narrow" w:eastAsia="Calibri" w:hAnsi="Arial Narrow"/>
                <w:color w:val="000000"/>
                <w:sz w:val="20"/>
                <w:szCs w:val="20"/>
              </w:rPr>
              <w:fldChar w:fldCharType="end"/>
            </w:r>
            <w:r w:rsidRPr="0098423F">
              <w:rPr>
                <w:rFonts w:ascii="Arial Narrow" w:eastAsia="Calibri" w:hAnsi="Arial Narrow"/>
                <w:color w:val="000000"/>
                <w:sz w:val="20"/>
                <w:szCs w:val="20"/>
              </w:rPr>
              <w:t xml:space="preserve"> Complex Authority Required (CAR)</w:t>
            </w:r>
          </w:p>
        </w:tc>
      </w:tr>
      <w:tr w:rsidR="00262553" w:rsidRPr="00133B19" w14:paraId="6059CAE5" w14:textId="77777777" w:rsidTr="000343C1">
        <w:trPr>
          <w:gridAfter w:val="1"/>
          <w:wAfter w:w="15" w:type="dxa"/>
          <w:trHeight w:val="38"/>
        </w:trPr>
        <w:tc>
          <w:tcPr>
            <w:tcW w:w="462" w:type="dxa"/>
            <w:vMerge w:val="restart"/>
            <w:tcBorders>
              <w:top w:val="single" w:sz="4" w:space="0" w:color="auto"/>
              <w:left w:val="single" w:sz="4" w:space="0" w:color="auto"/>
              <w:bottom w:val="single" w:sz="4" w:space="0" w:color="auto"/>
              <w:right w:val="single" w:sz="4" w:space="0" w:color="auto"/>
            </w:tcBorders>
            <w:vAlign w:val="center"/>
            <w:hideMark/>
          </w:tcPr>
          <w:p w14:paraId="537D3A66" w14:textId="77777777" w:rsidR="00262553" w:rsidRPr="00133B19" w:rsidRDefault="00262553" w:rsidP="000343C1">
            <w:pPr>
              <w:rPr>
                <w:rFonts w:ascii="Arial Narrow" w:hAnsi="Arial Narrow"/>
                <w:color w:val="000000"/>
                <w:sz w:val="20"/>
                <w:szCs w:val="20"/>
              </w:rPr>
            </w:pPr>
          </w:p>
        </w:tc>
        <w:tc>
          <w:tcPr>
            <w:tcW w:w="1065"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36398B" w14:textId="59BC0820"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4A3ED8" w14:textId="77777777" w:rsidR="00262553" w:rsidRPr="0098423F" w:rsidRDefault="00262553" w:rsidP="000343C1">
            <w:pPr>
              <w:rPr>
                <w:rFonts w:ascii="Arial Narrow" w:hAnsi="Arial Narrow"/>
                <w:b/>
                <w:bCs/>
                <w:color w:val="000000"/>
                <w:sz w:val="20"/>
                <w:szCs w:val="20"/>
              </w:rPr>
            </w:pPr>
            <w:r w:rsidRPr="0098423F">
              <w:rPr>
                <w:rFonts w:ascii="Arial Narrow" w:hAnsi="Arial Narrow"/>
                <w:b/>
                <w:bCs/>
                <w:color w:val="000000"/>
                <w:sz w:val="20"/>
                <w:szCs w:val="20"/>
              </w:rPr>
              <w:t xml:space="preserve">Administrative Advice: </w:t>
            </w:r>
            <w:r w:rsidRPr="0098423F">
              <w:rPr>
                <w:rFonts w:ascii="Arial Narrow" w:hAnsi="Arial Narrow"/>
                <w:bCs/>
                <w:color w:val="000000"/>
                <w:sz w:val="20"/>
                <w:szCs w:val="20"/>
              </w:rPr>
              <w:t>Special Pricing Arrangements apply.</w:t>
            </w:r>
          </w:p>
        </w:tc>
      </w:tr>
      <w:tr w:rsidR="00262553" w:rsidRPr="00133B19" w14:paraId="181AAC0F" w14:textId="77777777" w:rsidTr="000343C1">
        <w:trPr>
          <w:gridAfter w:val="1"/>
          <w:wAfter w:w="15" w:type="dxa"/>
          <w:trHeight w:val="20"/>
        </w:trPr>
        <w:tc>
          <w:tcPr>
            <w:tcW w:w="462" w:type="dxa"/>
            <w:vMerge/>
            <w:vAlign w:val="center"/>
          </w:tcPr>
          <w:p w14:paraId="6FC998A4" w14:textId="77777777" w:rsidR="00262553" w:rsidRPr="00133B19" w:rsidRDefault="00262553" w:rsidP="000343C1">
            <w:pPr>
              <w:rPr>
                <w:rFonts w:ascii="Arial Narrow" w:hAnsi="Arial Narrow"/>
                <w:color w:val="000000"/>
                <w:sz w:val="20"/>
                <w:szCs w:val="20"/>
              </w:rPr>
            </w:pPr>
          </w:p>
        </w:tc>
        <w:tc>
          <w:tcPr>
            <w:tcW w:w="1065"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F1C989" w14:textId="250542A3" w:rsidR="00262553" w:rsidRPr="00133B19" w:rsidRDefault="00262553" w:rsidP="000343C1">
            <w:pPr>
              <w:jc w:val="center"/>
              <w:rPr>
                <w:rFonts w:ascii="Arial Narrow" w:hAnsi="Arial Narrow"/>
                <w:bCs/>
                <w:i/>
                <w:i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CD4D49" w14:textId="77777777" w:rsidR="00262553" w:rsidRPr="0098423F" w:rsidRDefault="00262553" w:rsidP="000343C1">
            <w:pPr>
              <w:rPr>
                <w:rFonts w:ascii="Arial Narrow" w:hAnsi="Arial Narrow"/>
                <w:b/>
                <w:bCs/>
                <w:color w:val="000000"/>
                <w:sz w:val="20"/>
                <w:szCs w:val="20"/>
              </w:rPr>
            </w:pPr>
            <w:r w:rsidRPr="0098423F">
              <w:rPr>
                <w:rFonts w:ascii="Arial Narrow" w:hAnsi="Arial Narrow"/>
                <w:b/>
                <w:bCs/>
                <w:color w:val="000000"/>
                <w:sz w:val="20"/>
                <w:szCs w:val="20"/>
              </w:rPr>
              <w:t xml:space="preserve">Administrative Advice: </w:t>
            </w:r>
            <w:r w:rsidRPr="0098423F">
              <w:rPr>
                <w:rFonts w:ascii="Arial Narrow" w:hAnsi="Arial Narrow"/>
                <w:color w:val="000000"/>
                <w:sz w:val="20"/>
                <w:szCs w:val="20"/>
              </w:rPr>
              <w:t>Overarching new AA1 long note</w:t>
            </w:r>
          </w:p>
        </w:tc>
      </w:tr>
      <w:tr w:rsidR="00262553" w:rsidRPr="00133B19" w14:paraId="3EE22D0D" w14:textId="77777777" w:rsidTr="000343C1">
        <w:trPr>
          <w:gridAfter w:val="1"/>
          <w:wAfter w:w="15" w:type="dxa"/>
          <w:trHeight w:val="20"/>
        </w:trPr>
        <w:tc>
          <w:tcPr>
            <w:tcW w:w="462" w:type="dxa"/>
            <w:vMerge/>
            <w:vAlign w:val="center"/>
            <w:hideMark/>
          </w:tcPr>
          <w:p w14:paraId="52477A50" w14:textId="77777777" w:rsidR="00262553" w:rsidRPr="00133B19" w:rsidRDefault="00262553" w:rsidP="000343C1">
            <w:pPr>
              <w:rPr>
                <w:rFonts w:ascii="Arial Narrow" w:hAnsi="Arial Narrow"/>
                <w:color w:val="000000"/>
                <w:sz w:val="20"/>
                <w:szCs w:val="20"/>
              </w:rPr>
            </w:pPr>
          </w:p>
        </w:tc>
        <w:tc>
          <w:tcPr>
            <w:tcW w:w="1065"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2C381D" w14:textId="77777777" w:rsidR="00262553" w:rsidRPr="00133B19" w:rsidRDefault="00262553" w:rsidP="000343C1">
            <w:pPr>
              <w:jc w:val="center"/>
              <w:rPr>
                <w:rFonts w:ascii="Arial Narrow" w:hAnsi="Arial Narrow"/>
                <w:b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717D57" w14:textId="77777777" w:rsidR="00262553" w:rsidRPr="00133B19" w:rsidRDefault="00262553" w:rsidP="000343C1">
            <w:pPr>
              <w:rPr>
                <w:rFonts w:ascii="Arial Narrow" w:hAnsi="Arial Narrow"/>
                <w:color w:val="BFBFBF"/>
                <w:sz w:val="20"/>
                <w:szCs w:val="20"/>
              </w:rPr>
            </w:pPr>
            <w:proofErr w:type="spellStart"/>
            <w:r w:rsidRPr="00133B19">
              <w:rPr>
                <w:rFonts w:ascii="Arial Narrow" w:hAnsi="Arial Narrow"/>
                <w:b/>
                <w:bCs/>
                <w:color w:val="BFBFBF"/>
                <w:sz w:val="20"/>
                <w:szCs w:val="20"/>
              </w:rPr>
              <w:t>Episodicity</w:t>
            </w:r>
            <w:proofErr w:type="spellEnd"/>
            <w:r w:rsidRPr="00133B19">
              <w:rPr>
                <w:rFonts w:ascii="Arial Narrow" w:hAnsi="Arial Narrow"/>
                <w:b/>
                <w:bCs/>
                <w:color w:val="BFBFBF"/>
                <w:sz w:val="20"/>
                <w:szCs w:val="20"/>
              </w:rPr>
              <w:t>:</w:t>
            </w:r>
            <w:r w:rsidRPr="00133B19">
              <w:rPr>
                <w:rFonts w:ascii="Arial Narrow" w:hAnsi="Arial Narrow"/>
                <w:color w:val="BFBFBF"/>
                <w:sz w:val="20"/>
                <w:szCs w:val="20"/>
              </w:rPr>
              <w:t xml:space="preserve"> Active</w:t>
            </w:r>
          </w:p>
        </w:tc>
      </w:tr>
      <w:tr w:rsidR="00262553" w:rsidRPr="00133B19" w14:paraId="21D61629" w14:textId="77777777" w:rsidTr="000343C1">
        <w:trPr>
          <w:gridAfter w:val="1"/>
          <w:wAfter w:w="15" w:type="dxa"/>
          <w:trHeight w:val="20"/>
        </w:trPr>
        <w:tc>
          <w:tcPr>
            <w:tcW w:w="462" w:type="dxa"/>
            <w:tcBorders>
              <w:top w:val="single" w:sz="4" w:space="0" w:color="auto"/>
              <w:left w:val="single" w:sz="4" w:space="0" w:color="auto"/>
              <w:bottom w:val="single" w:sz="4" w:space="0" w:color="auto"/>
              <w:right w:val="single" w:sz="4" w:space="0" w:color="auto"/>
            </w:tcBorders>
            <w:vAlign w:val="center"/>
          </w:tcPr>
          <w:p w14:paraId="05E71947" w14:textId="77777777" w:rsidR="00262553" w:rsidRPr="00133B19" w:rsidRDefault="00262553" w:rsidP="000343C1">
            <w:pPr>
              <w:rPr>
                <w:rFonts w:ascii="Arial Narrow" w:hAnsi="Arial Narrow"/>
                <w:color w:val="000000"/>
                <w:sz w:val="20"/>
                <w:szCs w:val="20"/>
              </w:rPr>
            </w:pPr>
          </w:p>
        </w:tc>
        <w:tc>
          <w:tcPr>
            <w:tcW w:w="1065"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C16C32" w14:textId="77777777" w:rsidR="00262553" w:rsidRPr="00133B19" w:rsidRDefault="00262553" w:rsidP="000343C1">
            <w:pPr>
              <w:jc w:val="center"/>
              <w:rPr>
                <w:rFonts w:ascii="Arial Narrow" w:hAnsi="Arial Narrow"/>
                <w:b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6084DE" w14:textId="77777777" w:rsidR="00262553" w:rsidRPr="00133B19" w:rsidRDefault="00262553" w:rsidP="000343C1">
            <w:pPr>
              <w:rPr>
                <w:rFonts w:ascii="Arial Narrow" w:hAnsi="Arial Narrow"/>
                <w:color w:val="BFBFBF"/>
                <w:sz w:val="20"/>
                <w:szCs w:val="20"/>
              </w:rPr>
            </w:pPr>
            <w:r w:rsidRPr="00133B19">
              <w:rPr>
                <w:rFonts w:ascii="Arial Narrow" w:hAnsi="Arial Narrow"/>
                <w:b/>
                <w:bCs/>
                <w:color w:val="BFBFBF"/>
                <w:sz w:val="20"/>
                <w:szCs w:val="20"/>
              </w:rPr>
              <w:t>Severity:</w:t>
            </w:r>
            <w:r w:rsidRPr="00133B19">
              <w:rPr>
                <w:rFonts w:ascii="Arial Narrow" w:hAnsi="Arial Narrow"/>
                <w:color w:val="BFBFBF"/>
                <w:sz w:val="20"/>
                <w:szCs w:val="20"/>
              </w:rPr>
              <w:t xml:space="preserve"> Uncontrolled Severe</w:t>
            </w:r>
          </w:p>
        </w:tc>
      </w:tr>
      <w:tr w:rsidR="00262553" w:rsidRPr="00133B19" w14:paraId="786F99F9"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1CF0BF" w14:textId="55DA2268" w:rsidR="00262553" w:rsidRPr="00133B19" w:rsidRDefault="00262553" w:rsidP="000343C1">
            <w:pPr>
              <w:keepLines/>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4C9EA9" w14:textId="77777777" w:rsidR="00262553" w:rsidRPr="00133B19" w:rsidRDefault="00262553" w:rsidP="000343C1">
            <w:pPr>
              <w:keepLines/>
              <w:rPr>
                <w:rFonts w:ascii="Arial Narrow" w:hAnsi="Arial Narrow"/>
                <w:color w:val="000000"/>
                <w:sz w:val="20"/>
                <w:szCs w:val="20"/>
              </w:rPr>
            </w:pPr>
            <w:r w:rsidRPr="00133B19">
              <w:rPr>
                <w:rFonts w:ascii="Arial Narrow" w:hAnsi="Arial Narrow"/>
                <w:b/>
                <w:bCs/>
                <w:color w:val="000000"/>
                <w:sz w:val="20"/>
                <w:szCs w:val="20"/>
              </w:rPr>
              <w:t>Indication:</w:t>
            </w:r>
            <w:r w:rsidRPr="00133B19">
              <w:rPr>
                <w:rFonts w:ascii="Arial Narrow" w:hAnsi="Arial Narrow"/>
                <w:color w:val="000000"/>
                <w:sz w:val="20"/>
                <w:szCs w:val="20"/>
              </w:rPr>
              <w:t xml:space="preserve"> Uncontrolled severe asthma</w:t>
            </w:r>
          </w:p>
        </w:tc>
      </w:tr>
      <w:tr w:rsidR="00262553" w:rsidRPr="00133B19" w14:paraId="2EAA2E19" w14:textId="77777777" w:rsidTr="000343C1">
        <w:trPr>
          <w:gridAfter w:val="1"/>
          <w:wAfter w:w="15" w:type="dxa"/>
          <w:cantSplit/>
          <w:trHeight w:val="437"/>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72EAD4" w14:textId="77777777" w:rsidR="00262553" w:rsidRPr="00133B19" w:rsidRDefault="00262553" w:rsidP="000343C1"/>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A7AD25" w14:textId="77777777" w:rsidR="00262553" w:rsidRPr="00133B19" w:rsidRDefault="00262553" w:rsidP="000343C1">
            <w:pPr>
              <w:rPr>
                <w:rFonts w:ascii="Arial Narrow" w:hAnsi="Arial Narrow"/>
                <w:color w:val="000000"/>
                <w:sz w:val="20"/>
                <w:szCs w:val="20"/>
              </w:rPr>
            </w:pPr>
            <w:r w:rsidRPr="00133B19">
              <w:rPr>
                <w:rFonts w:ascii="Arial Narrow" w:hAnsi="Arial Narrow"/>
                <w:b/>
                <w:bCs/>
                <w:color w:val="000000"/>
                <w:sz w:val="20"/>
                <w:szCs w:val="20"/>
              </w:rPr>
              <w:t>Treatment Phase:</w:t>
            </w:r>
            <w:r w:rsidRPr="00133B19">
              <w:rPr>
                <w:rFonts w:ascii="Arial Narrow" w:hAnsi="Arial Narrow"/>
                <w:color w:val="000000"/>
                <w:sz w:val="20"/>
                <w:szCs w:val="20"/>
              </w:rPr>
              <w:t xml:space="preserve"> Initial treatment – </w:t>
            </w:r>
            <w:r w:rsidRPr="00133B19">
              <w:rPr>
                <w:rFonts w:ascii="Arial Narrow" w:hAnsi="Arial Narrow"/>
                <w:sz w:val="20"/>
                <w:szCs w:val="20"/>
              </w:rPr>
              <w:t>Initial 1 (New patients; or Recommencement of treatment in a new treatment cycle following a break in PBS subsidised biological medicine therapy)</w:t>
            </w:r>
          </w:p>
        </w:tc>
      </w:tr>
      <w:tr w:rsidR="00262553" w:rsidRPr="00133B19" w14:paraId="2D1D0736"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B73DC3" w14:textId="2C66DCA7"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C94305" w14:textId="77777777" w:rsidR="00262553" w:rsidRPr="00C66C3F" w:rsidRDefault="00262553" w:rsidP="000343C1">
            <w:pPr>
              <w:rPr>
                <w:rFonts w:ascii="Arial Narrow" w:hAnsi="Arial Narrow"/>
                <w:b/>
                <w:bCs/>
                <w:color w:val="000000"/>
                <w:sz w:val="20"/>
                <w:szCs w:val="20"/>
              </w:rPr>
            </w:pPr>
            <w:r w:rsidRPr="00C66C3F">
              <w:rPr>
                <w:rFonts w:ascii="Arial Narrow" w:hAnsi="Arial Narrow"/>
                <w:b/>
                <w:bCs/>
                <w:color w:val="000000"/>
                <w:sz w:val="20"/>
                <w:szCs w:val="20"/>
              </w:rPr>
              <w:t>Treatment criteria:</w:t>
            </w:r>
          </w:p>
        </w:tc>
      </w:tr>
      <w:tr w:rsidR="00262553" w:rsidRPr="00133B19" w14:paraId="6EF37BE9"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AA67C7" w14:textId="012BC997"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5C09DF" w14:textId="77777777" w:rsidR="00262553" w:rsidRPr="00C66C3F" w:rsidRDefault="00262553" w:rsidP="000343C1">
            <w:pPr>
              <w:rPr>
                <w:rFonts w:ascii="Arial Narrow" w:hAnsi="Arial Narrow"/>
                <w:strike/>
                <w:color w:val="000000"/>
                <w:sz w:val="20"/>
                <w:szCs w:val="20"/>
              </w:rPr>
            </w:pPr>
            <w:r w:rsidRPr="00C66C3F">
              <w:rPr>
                <w:rFonts w:ascii="Arial Narrow" w:hAnsi="Arial Narrow" w:cs="Arial Narrow"/>
                <w:color w:val="000000"/>
                <w:sz w:val="20"/>
                <w:szCs w:val="20"/>
              </w:rPr>
              <w:t>Must be treated by a medical practitioner who is either a: (</w:t>
            </w:r>
            <w:proofErr w:type="spellStart"/>
            <w:r w:rsidRPr="00C66C3F">
              <w:rPr>
                <w:rFonts w:ascii="Arial Narrow" w:hAnsi="Arial Narrow" w:cs="Arial Narrow"/>
                <w:color w:val="000000"/>
                <w:sz w:val="20"/>
                <w:szCs w:val="20"/>
              </w:rPr>
              <w:t>i</w:t>
            </w:r>
            <w:proofErr w:type="spellEnd"/>
            <w:r w:rsidRPr="00C66C3F">
              <w:rPr>
                <w:rFonts w:ascii="Arial Narrow" w:hAnsi="Arial Narrow" w:cs="Arial Narrow"/>
                <w:color w:val="000000"/>
                <w:sz w:val="20"/>
                <w:szCs w:val="20"/>
              </w:rPr>
              <w:t xml:space="preserve">) respiratory physician, (ii) clinical immunologist, (iii) allergist, (iv) general physician experienced in the management of patients with severe asthma </w:t>
            </w:r>
          </w:p>
        </w:tc>
      </w:tr>
      <w:tr w:rsidR="00262553" w:rsidRPr="00133B19" w14:paraId="35DCF725"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E599ED" w14:textId="07E14DF2"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C4ECB60" w14:textId="77777777" w:rsidR="00262553" w:rsidRPr="00133B19" w:rsidRDefault="00262553" w:rsidP="000343C1">
            <w:pPr>
              <w:rPr>
                <w:rFonts w:ascii="Arial Narrow" w:hAnsi="Arial Narrow"/>
                <w:color w:val="000000"/>
                <w:sz w:val="20"/>
                <w:szCs w:val="20"/>
              </w:rPr>
            </w:pPr>
            <w:r w:rsidRPr="00133B19">
              <w:rPr>
                <w:rFonts w:ascii="Arial Narrow" w:hAnsi="Arial Narrow"/>
                <w:b/>
                <w:bCs/>
                <w:color w:val="000000"/>
                <w:sz w:val="20"/>
                <w:szCs w:val="20"/>
              </w:rPr>
              <w:t xml:space="preserve">Clinical criteria: </w:t>
            </w:r>
          </w:p>
        </w:tc>
      </w:tr>
      <w:tr w:rsidR="00262553" w:rsidRPr="00133B19" w14:paraId="4ACB01CE" w14:textId="77777777" w:rsidTr="000343C1">
        <w:trPr>
          <w:gridAfter w:val="1"/>
          <w:wAfter w:w="15" w:type="dxa"/>
          <w:cantSplit/>
          <w:trHeight w:val="59"/>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02150A" w14:textId="2CD099E4"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EE0F3A" w14:textId="77777777" w:rsidR="00262553" w:rsidRPr="00133B19" w:rsidRDefault="00262553" w:rsidP="000343C1">
            <w:pPr>
              <w:rPr>
                <w:rFonts w:ascii="Arial Narrow" w:eastAsia="Aptos" w:hAnsi="Arial Narrow"/>
                <w:color w:val="000000"/>
                <w:sz w:val="20"/>
                <w:szCs w:val="20"/>
              </w:rPr>
            </w:pPr>
            <w:r w:rsidRPr="00133B19">
              <w:rPr>
                <w:rFonts w:ascii="Arial Narrow" w:eastAsia="Aptos" w:hAnsi="Arial Narrow"/>
                <w:color w:val="000000"/>
                <w:sz w:val="20"/>
                <w:szCs w:val="20"/>
              </w:rPr>
              <w:t>Patient must be under the care of the same physician for at least 6 months; or</w:t>
            </w:r>
          </w:p>
        </w:tc>
      </w:tr>
      <w:tr w:rsidR="00262553" w:rsidRPr="00133B19" w14:paraId="410D83B2"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111E97"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CF7021" w14:textId="77777777" w:rsidR="00262553" w:rsidRPr="00133B19" w:rsidRDefault="00262553" w:rsidP="000343C1">
            <w:pPr>
              <w:rPr>
                <w:rFonts w:ascii="Arial Narrow" w:eastAsia="Aptos" w:hAnsi="Arial Narrow"/>
                <w:b/>
                <w:bCs/>
                <w:color w:val="000000"/>
                <w:sz w:val="20"/>
                <w:szCs w:val="20"/>
              </w:rPr>
            </w:pPr>
            <w:r w:rsidRPr="00133B19">
              <w:rPr>
                <w:rFonts w:ascii="Arial Narrow" w:eastAsia="Aptos" w:hAnsi="Arial Narrow"/>
                <w:b/>
                <w:bCs/>
                <w:color w:val="000000"/>
                <w:sz w:val="20"/>
                <w:szCs w:val="20"/>
              </w:rPr>
              <w:t>OR</w:t>
            </w:r>
          </w:p>
        </w:tc>
      </w:tr>
      <w:tr w:rsidR="00262553" w:rsidRPr="00133B19" w14:paraId="7E372C07"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82181C" w14:textId="08EDCBAF"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E3B8D9" w14:textId="77777777" w:rsidR="00262553" w:rsidRPr="00C66C3F" w:rsidRDefault="00262553" w:rsidP="000343C1">
            <w:pPr>
              <w:rPr>
                <w:rFonts w:ascii="Arial Narrow" w:eastAsia="Aptos" w:hAnsi="Arial Narrow"/>
                <w:color w:val="000000"/>
                <w:sz w:val="20"/>
                <w:szCs w:val="20"/>
              </w:rPr>
            </w:pPr>
            <w:r w:rsidRPr="00C66C3F">
              <w:rPr>
                <w:rFonts w:ascii="Arial Narrow" w:eastAsia="Aptos" w:hAnsi="Arial Narrow"/>
                <w:color w:val="000000"/>
                <w:sz w:val="20"/>
                <w:szCs w:val="20"/>
              </w:rPr>
              <w:t>Patient must have been diagnosed by a multidisciplinary severe asthma clinic team.</w:t>
            </w:r>
          </w:p>
        </w:tc>
      </w:tr>
      <w:tr w:rsidR="00262553" w:rsidRPr="00133B19" w14:paraId="3B67302B"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A10886" w14:textId="77777777"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D0B973" w14:textId="77777777" w:rsidR="00262553" w:rsidRPr="00C66C3F" w:rsidRDefault="00262553" w:rsidP="000343C1">
            <w:pPr>
              <w:rPr>
                <w:rFonts w:ascii="Arial Narrow" w:eastAsia="Aptos" w:hAnsi="Arial Narrow"/>
                <w:color w:val="000000"/>
                <w:sz w:val="20"/>
                <w:szCs w:val="20"/>
              </w:rPr>
            </w:pPr>
            <w:r w:rsidRPr="00C66C3F">
              <w:rPr>
                <w:rFonts w:ascii="Arial Narrow" w:hAnsi="Arial Narrow"/>
                <w:b/>
                <w:bCs/>
                <w:color w:val="000000"/>
                <w:sz w:val="20"/>
                <w:szCs w:val="20"/>
              </w:rPr>
              <w:t>AND</w:t>
            </w:r>
          </w:p>
        </w:tc>
      </w:tr>
      <w:tr w:rsidR="00262553" w:rsidRPr="00133B19" w14:paraId="0D7C891D"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0AFAEBA" w14:textId="25ABB259"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CEC586" w14:textId="77777777" w:rsidR="00262553" w:rsidRPr="00C66C3F" w:rsidRDefault="00262553" w:rsidP="000343C1">
            <w:pPr>
              <w:rPr>
                <w:rFonts w:ascii="Arial Narrow" w:eastAsia="Aptos" w:hAnsi="Arial Narrow"/>
                <w:color w:val="000000"/>
                <w:sz w:val="20"/>
                <w:szCs w:val="20"/>
              </w:rPr>
            </w:pPr>
            <w:r w:rsidRPr="00C66C3F">
              <w:rPr>
                <w:rFonts w:ascii="Arial Narrow" w:hAnsi="Arial Narrow"/>
                <w:b/>
                <w:bCs/>
                <w:color w:val="000000"/>
                <w:sz w:val="20"/>
                <w:szCs w:val="20"/>
              </w:rPr>
              <w:t>Clinical criteria:</w:t>
            </w:r>
          </w:p>
        </w:tc>
      </w:tr>
      <w:tr w:rsidR="00262553" w:rsidRPr="00133B19" w14:paraId="1EA4D835"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DA4DE0C" w14:textId="27C20B04"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E75B42" w14:textId="77777777" w:rsidR="00262553" w:rsidRPr="00C66C3F" w:rsidRDefault="00262553" w:rsidP="000343C1">
            <w:pPr>
              <w:rPr>
                <w:rFonts w:ascii="Arial Narrow" w:eastAsia="Aptos" w:hAnsi="Arial Narrow"/>
                <w:color w:val="000000"/>
                <w:sz w:val="20"/>
                <w:szCs w:val="20"/>
              </w:rPr>
            </w:pPr>
            <w:r w:rsidRPr="00C66C3F">
              <w:rPr>
                <w:rFonts w:ascii="Arial Narrow" w:eastAsia="Aptos" w:hAnsi="Arial Narrow"/>
                <w:color w:val="000000"/>
                <w:sz w:val="20"/>
                <w:szCs w:val="20"/>
              </w:rPr>
              <w:t>Patient must not have received PBS-subsidised treatment with a biological medicine for severe asthma;</w:t>
            </w:r>
          </w:p>
        </w:tc>
      </w:tr>
      <w:tr w:rsidR="00262553" w:rsidRPr="00133B19" w14:paraId="40FB2281"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072BF1" w14:textId="77777777" w:rsidR="00262553" w:rsidRPr="00C66C3F" w:rsidRDefault="00262553" w:rsidP="000343C1">
            <w:pPr>
              <w:jc w:val="center"/>
              <w:rPr>
                <w:rFonts w:ascii="Arial Narrow" w:hAnsi="Arial Narrow"/>
                <w:b/>
                <w:b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2D895A" w14:textId="77777777" w:rsidR="00262553" w:rsidRPr="00C66C3F" w:rsidRDefault="00262553" w:rsidP="000343C1">
            <w:pPr>
              <w:rPr>
                <w:rFonts w:ascii="Arial Narrow" w:eastAsia="Aptos" w:hAnsi="Arial Narrow"/>
                <w:b/>
                <w:bCs/>
                <w:color w:val="000000"/>
                <w:sz w:val="20"/>
                <w:szCs w:val="20"/>
              </w:rPr>
            </w:pPr>
            <w:r w:rsidRPr="00C66C3F">
              <w:rPr>
                <w:rFonts w:ascii="Arial Narrow" w:eastAsia="Aptos" w:hAnsi="Arial Narrow"/>
                <w:b/>
                <w:bCs/>
                <w:color w:val="000000"/>
                <w:sz w:val="20"/>
                <w:szCs w:val="20"/>
              </w:rPr>
              <w:t>OR</w:t>
            </w:r>
          </w:p>
        </w:tc>
      </w:tr>
      <w:tr w:rsidR="00262553" w:rsidRPr="00133B19" w14:paraId="193BF049"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D677C69" w14:textId="5A2D579E"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1CC847" w14:textId="77777777" w:rsidR="00262553" w:rsidRPr="00C66C3F" w:rsidRDefault="00262553" w:rsidP="000343C1">
            <w:pPr>
              <w:rPr>
                <w:rFonts w:ascii="Arial Narrow" w:eastAsia="Aptos" w:hAnsi="Arial Narrow"/>
                <w:color w:val="000000"/>
                <w:sz w:val="20"/>
                <w:szCs w:val="20"/>
              </w:rPr>
            </w:pPr>
            <w:r w:rsidRPr="00C66C3F">
              <w:rPr>
                <w:rFonts w:ascii="Arial Narrow" w:eastAsia="Aptos" w:hAnsi="Arial Narrow"/>
                <w:color w:val="000000"/>
                <w:sz w:val="20"/>
                <w:szCs w:val="20"/>
              </w:rPr>
              <w:t>Patient must have had a break in treatment of at least 12 months from the most recently approved PBS-subsidised biological medicine for severe asthma.</w:t>
            </w:r>
          </w:p>
        </w:tc>
      </w:tr>
      <w:tr w:rsidR="00262553" w:rsidRPr="00133B19" w14:paraId="42077765"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7DE59B"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DE30EB" w14:textId="77777777" w:rsidR="00262553" w:rsidRPr="00133B19" w:rsidRDefault="00262553" w:rsidP="000343C1">
            <w:pPr>
              <w:rPr>
                <w:rFonts w:ascii="Arial Narrow" w:eastAsia="Aptos" w:hAnsi="Arial Narrow"/>
                <w:color w:val="000000"/>
                <w:sz w:val="20"/>
                <w:szCs w:val="20"/>
              </w:rPr>
            </w:pPr>
            <w:r w:rsidRPr="00133B19">
              <w:rPr>
                <w:rFonts w:ascii="Arial Narrow" w:hAnsi="Arial Narrow"/>
                <w:b/>
                <w:bCs/>
                <w:color w:val="000000"/>
                <w:sz w:val="20"/>
                <w:szCs w:val="20"/>
              </w:rPr>
              <w:t>AND</w:t>
            </w:r>
          </w:p>
        </w:tc>
      </w:tr>
      <w:tr w:rsidR="00262553" w:rsidRPr="00133B19" w14:paraId="54B9E717"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7C373B" w14:textId="0CA339F0" w:rsidR="00262553" w:rsidRPr="00133B19" w:rsidRDefault="00262553" w:rsidP="000343C1">
            <w:pPr>
              <w:jc w:val="center"/>
              <w:rPr>
                <w:rFonts w:ascii="Arial Narrow" w:hAnsi="Arial Narrow"/>
                <w:i/>
                <w:i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5FAE99" w14:textId="77777777" w:rsidR="00262553" w:rsidRPr="00133B19" w:rsidRDefault="00262553" w:rsidP="000343C1">
            <w:pPr>
              <w:rPr>
                <w:rFonts w:ascii="Arial Narrow" w:eastAsia="Aptos" w:hAnsi="Arial Narrow"/>
                <w:color w:val="000000"/>
                <w:sz w:val="20"/>
                <w:szCs w:val="20"/>
              </w:rPr>
            </w:pPr>
            <w:r w:rsidRPr="00133B19">
              <w:rPr>
                <w:rFonts w:ascii="Arial Narrow" w:hAnsi="Arial Narrow"/>
                <w:b/>
                <w:bCs/>
                <w:color w:val="000000"/>
                <w:sz w:val="20"/>
                <w:szCs w:val="20"/>
              </w:rPr>
              <w:t>Clinical criteria:</w:t>
            </w:r>
          </w:p>
        </w:tc>
      </w:tr>
      <w:tr w:rsidR="00262553" w:rsidRPr="00133B19" w14:paraId="64FA325C"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E35071" w14:textId="5C13FE31"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91FF40" w14:textId="77777777" w:rsidR="00262553" w:rsidRPr="00C66C3F" w:rsidRDefault="00262553" w:rsidP="000343C1">
            <w:pPr>
              <w:rPr>
                <w:rFonts w:ascii="Arial Narrow" w:eastAsia="Aptos" w:hAnsi="Arial Narrow"/>
                <w:color w:val="000000"/>
                <w:sz w:val="20"/>
                <w:szCs w:val="20"/>
              </w:rPr>
            </w:pPr>
            <w:r w:rsidRPr="00C66C3F">
              <w:rPr>
                <w:rFonts w:ascii="Arial Narrow" w:eastAsia="Aptos" w:hAnsi="Arial Narrow"/>
                <w:color w:val="000000"/>
                <w:sz w:val="20"/>
                <w:szCs w:val="20"/>
              </w:rPr>
              <w:t>Patient must have a diagnosis of asthma confirmed and documented in the patient's medical records by either a: (</w:t>
            </w:r>
            <w:proofErr w:type="spellStart"/>
            <w:r w:rsidRPr="00C66C3F">
              <w:rPr>
                <w:rFonts w:ascii="Arial Narrow" w:eastAsia="Aptos" w:hAnsi="Arial Narrow"/>
                <w:color w:val="000000"/>
                <w:sz w:val="20"/>
                <w:szCs w:val="20"/>
              </w:rPr>
              <w:t>i</w:t>
            </w:r>
            <w:proofErr w:type="spellEnd"/>
            <w:r w:rsidRPr="00C66C3F">
              <w:rPr>
                <w:rFonts w:ascii="Arial Narrow" w:eastAsia="Aptos" w:hAnsi="Arial Narrow"/>
                <w:color w:val="000000"/>
                <w:sz w:val="20"/>
                <w:szCs w:val="20"/>
              </w:rPr>
              <w:t>) respiratory physician, (ii) clinical immunologist, (iii) allergist, (iv) general physician experienced in the management of patients with severe asthma, defined by at least one of the following standard clinical features: (a) forced expiratory volume (FEV1) reversibility greater than or equal to 12% and greater than or equal to 200 mL at baseline within 30 minutes after administration of salbutamol (200 to 400 micrograms), (b) airway hyperresponsiveness defined as a greater than 20% decline in FEV1 during a direct bronchial provocation test or greater than 15% decline during an indirect bronchial provocation test, (c) peak expiratory flow (PEF) variability of greater than 15% between the two highest and two lowest peak expiratory flow rates during 14 days;</w:t>
            </w:r>
          </w:p>
        </w:tc>
      </w:tr>
      <w:tr w:rsidR="00262553" w:rsidRPr="00133B19" w14:paraId="746B9401" w14:textId="77777777" w:rsidTr="000343C1">
        <w:trPr>
          <w:gridAfter w:val="1"/>
          <w:wAfter w:w="15" w:type="dxa"/>
          <w:cantSplit/>
          <w:trHeight w:val="71"/>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D6AD3DA"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4E49A2" w14:textId="77777777" w:rsidR="00262553" w:rsidRPr="00133B19" w:rsidRDefault="00262553" w:rsidP="000343C1">
            <w:pPr>
              <w:rPr>
                <w:rFonts w:ascii="Arial Narrow" w:eastAsia="Aptos" w:hAnsi="Arial Narrow"/>
                <w:b/>
                <w:bCs/>
                <w:color w:val="000000"/>
                <w:sz w:val="20"/>
                <w:szCs w:val="20"/>
              </w:rPr>
            </w:pPr>
            <w:r w:rsidRPr="00133B19">
              <w:rPr>
                <w:rFonts w:ascii="Arial Narrow" w:eastAsia="Aptos" w:hAnsi="Arial Narrow"/>
                <w:b/>
                <w:bCs/>
                <w:color w:val="000000"/>
                <w:sz w:val="20"/>
                <w:szCs w:val="20"/>
              </w:rPr>
              <w:t>OR</w:t>
            </w:r>
          </w:p>
        </w:tc>
      </w:tr>
      <w:tr w:rsidR="00262553" w:rsidRPr="00133B19" w14:paraId="08488FF3"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19E77E" w14:textId="70F6BE82"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2D2B3CD" w14:textId="77777777" w:rsidR="00262553" w:rsidRPr="00C66C3F" w:rsidRDefault="00262553" w:rsidP="000343C1">
            <w:pPr>
              <w:rPr>
                <w:rFonts w:ascii="Arial Narrow" w:eastAsia="Aptos" w:hAnsi="Arial Narrow"/>
                <w:color w:val="000000"/>
                <w:sz w:val="20"/>
                <w:szCs w:val="20"/>
              </w:rPr>
            </w:pPr>
            <w:r w:rsidRPr="00C66C3F">
              <w:rPr>
                <w:rFonts w:ascii="Arial Narrow" w:eastAsia="Aptos" w:hAnsi="Arial Narrow"/>
                <w:color w:val="000000"/>
                <w:sz w:val="20"/>
                <w:szCs w:val="20"/>
              </w:rPr>
              <w:t>Patient must have a diagnosis of asthma from at least two physicians experienced in the management of patients with severe asthma with the details document in the patient’s medical records</w:t>
            </w:r>
            <w:r>
              <w:rPr>
                <w:rFonts w:ascii="Arial Narrow" w:eastAsia="Aptos" w:hAnsi="Arial Narrow"/>
                <w:color w:val="000000"/>
                <w:sz w:val="20"/>
                <w:szCs w:val="20"/>
              </w:rPr>
              <w:t>.</w:t>
            </w:r>
          </w:p>
        </w:tc>
      </w:tr>
      <w:tr w:rsidR="00262553" w:rsidRPr="00133B19" w14:paraId="380B90D1"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C713E6"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53485B" w14:textId="77777777" w:rsidR="00262553" w:rsidRPr="00133B19" w:rsidRDefault="00262553" w:rsidP="000343C1">
            <w:pPr>
              <w:rPr>
                <w:rFonts w:ascii="Arial Narrow" w:eastAsia="Aptos" w:hAnsi="Arial Narrow"/>
                <w:color w:val="000000"/>
                <w:sz w:val="20"/>
                <w:szCs w:val="20"/>
              </w:rPr>
            </w:pPr>
            <w:r w:rsidRPr="00133B19">
              <w:rPr>
                <w:rFonts w:ascii="Arial Narrow" w:hAnsi="Arial Narrow"/>
                <w:b/>
                <w:bCs/>
                <w:color w:val="000000"/>
                <w:sz w:val="20"/>
                <w:szCs w:val="20"/>
              </w:rPr>
              <w:t>AND</w:t>
            </w:r>
          </w:p>
        </w:tc>
      </w:tr>
      <w:tr w:rsidR="00262553" w:rsidRPr="00133B19" w14:paraId="44E92DC0"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BF7FE3" w14:textId="44F76674"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99F8C4" w14:textId="77777777" w:rsidR="00262553" w:rsidRPr="00133B19" w:rsidRDefault="00262553" w:rsidP="000343C1">
            <w:pPr>
              <w:rPr>
                <w:rFonts w:ascii="Arial Narrow" w:eastAsia="Aptos" w:hAnsi="Arial Narrow"/>
                <w:color w:val="000000"/>
                <w:sz w:val="20"/>
                <w:szCs w:val="20"/>
              </w:rPr>
            </w:pPr>
            <w:r w:rsidRPr="00133B19">
              <w:rPr>
                <w:rFonts w:ascii="Arial Narrow" w:hAnsi="Arial Narrow"/>
                <w:b/>
                <w:bCs/>
                <w:color w:val="000000"/>
                <w:sz w:val="20"/>
                <w:szCs w:val="20"/>
              </w:rPr>
              <w:t>Clinical criteria:</w:t>
            </w:r>
          </w:p>
        </w:tc>
      </w:tr>
      <w:tr w:rsidR="00262553" w:rsidRPr="00133B19" w14:paraId="34B5D950"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8D0195" w14:textId="25385145"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827B01" w14:textId="77777777" w:rsidR="00262553" w:rsidRPr="00133B19" w:rsidRDefault="00262553" w:rsidP="000343C1">
            <w:pPr>
              <w:rPr>
                <w:rFonts w:ascii="Arial Narrow" w:eastAsia="Aptos" w:hAnsi="Arial Narrow"/>
                <w:color w:val="000000"/>
                <w:sz w:val="20"/>
                <w:szCs w:val="20"/>
              </w:rPr>
            </w:pPr>
            <w:r w:rsidRPr="00133B19">
              <w:rPr>
                <w:rFonts w:ascii="Arial Narrow" w:eastAsia="Aptos" w:hAnsi="Arial Narrow"/>
                <w:color w:val="000000"/>
                <w:sz w:val="20"/>
                <w:szCs w:val="20"/>
              </w:rPr>
              <w:t>Patient must have a duration of asthma of at least 1 year.</w:t>
            </w:r>
          </w:p>
        </w:tc>
      </w:tr>
      <w:tr w:rsidR="00262553" w:rsidRPr="00133B19" w14:paraId="5244C376"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5EA6F5"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37D720" w14:textId="77777777" w:rsidR="00262553" w:rsidRPr="00133B19" w:rsidRDefault="00262553" w:rsidP="000343C1">
            <w:pPr>
              <w:rPr>
                <w:rFonts w:ascii="Arial Narrow" w:eastAsia="Aptos" w:hAnsi="Arial Narrow"/>
                <w:color w:val="000000"/>
                <w:sz w:val="20"/>
                <w:szCs w:val="20"/>
              </w:rPr>
            </w:pPr>
            <w:r w:rsidRPr="00133B19">
              <w:rPr>
                <w:rFonts w:ascii="Arial Narrow" w:hAnsi="Arial Narrow"/>
                <w:b/>
                <w:bCs/>
                <w:color w:val="000000"/>
                <w:sz w:val="20"/>
                <w:szCs w:val="20"/>
              </w:rPr>
              <w:t>AND</w:t>
            </w:r>
          </w:p>
        </w:tc>
      </w:tr>
      <w:tr w:rsidR="00262553" w:rsidRPr="00133B19" w14:paraId="61E37E09"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0B61BB" w14:textId="7D954E42" w:rsidR="00262553" w:rsidRPr="00133B19" w:rsidRDefault="00262553" w:rsidP="000343C1">
            <w:pPr>
              <w:jc w:val="center"/>
              <w:rPr>
                <w:rFonts w:ascii="Arial Narrow" w:hAnsi="Arial Narrow"/>
                <w:b/>
                <w:b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B110EF" w14:textId="77777777" w:rsidR="00262553" w:rsidRPr="00133B19" w:rsidRDefault="00262553" w:rsidP="000343C1">
            <w:pPr>
              <w:rPr>
                <w:rFonts w:ascii="Arial Narrow" w:eastAsia="Aptos" w:hAnsi="Arial Narrow"/>
                <w:color w:val="000000"/>
                <w:sz w:val="20"/>
                <w:szCs w:val="20"/>
              </w:rPr>
            </w:pPr>
            <w:r w:rsidRPr="00133B19">
              <w:rPr>
                <w:rFonts w:ascii="Arial Narrow" w:hAnsi="Arial Narrow"/>
                <w:b/>
                <w:bCs/>
                <w:color w:val="000000"/>
                <w:sz w:val="20"/>
                <w:szCs w:val="20"/>
              </w:rPr>
              <w:t>Clinical criteria:</w:t>
            </w:r>
          </w:p>
        </w:tc>
      </w:tr>
      <w:tr w:rsidR="00262553" w:rsidRPr="00133B19" w14:paraId="1DFB8A32"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66F79B"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35FB6E" w14:textId="77777777" w:rsidR="00262553" w:rsidRPr="0098423F" w:rsidRDefault="00262553" w:rsidP="000343C1">
            <w:pPr>
              <w:rPr>
                <w:rFonts w:ascii="Arial Narrow" w:eastAsia="Aptos" w:hAnsi="Arial Narrow"/>
                <w:color w:val="000000"/>
                <w:sz w:val="20"/>
                <w:szCs w:val="20"/>
              </w:rPr>
            </w:pPr>
            <w:r w:rsidRPr="0098423F">
              <w:rPr>
                <w:rFonts w:ascii="Arial Narrow" w:eastAsia="Aptos" w:hAnsi="Arial Narrow"/>
                <w:color w:val="000000" w:themeColor="text1"/>
                <w:sz w:val="20"/>
                <w:szCs w:val="20"/>
              </w:rPr>
              <w:t xml:space="preserve">Patient must have blood eosinophil count of at least 300 cells per microlitre in the 12 months prior to initiating treatment with this </w:t>
            </w:r>
            <w:proofErr w:type="gramStart"/>
            <w:r w:rsidRPr="0098423F">
              <w:rPr>
                <w:rFonts w:ascii="Arial Narrow" w:eastAsia="Aptos" w:hAnsi="Arial Narrow"/>
                <w:color w:val="000000" w:themeColor="text1"/>
                <w:sz w:val="20"/>
                <w:szCs w:val="20"/>
              </w:rPr>
              <w:t>drug;</w:t>
            </w:r>
            <w:proofErr w:type="gramEnd"/>
          </w:p>
        </w:tc>
      </w:tr>
      <w:tr w:rsidR="00262553" w:rsidRPr="00133B19" w14:paraId="6A448A33"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F174D5"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1BF2F6" w14:textId="77777777" w:rsidR="00262553" w:rsidRPr="00133B19" w:rsidRDefault="00262553" w:rsidP="000343C1">
            <w:pPr>
              <w:rPr>
                <w:rFonts w:ascii="Arial Narrow" w:eastAsia="Aptos" w:hAnsi="Arial Narrow"/>
                <w:b/>
                <w:bCs/>
                <w:color w:val="000000"/>
                <w:sz w:val="20"/>
                <w:szCs w:val="20"/>
              </w:rPr>
            </w:pPr>
            <w:r w:rsidRPr="00133B19">
              <w:rPr>
                <w:rFonts w:ascii="Arial Narrow" w:eastAsia="Aptos" w:hAnsi="Arial Narrow"/>
                <w:b/>
                <w:bCs/>
                <w:color w:val="000000"/>
                <w:sz w:val="20"/>
                <w:szCs w:val="20"/>
              </w:rPr>
              <w:t>OR</w:t>
            </w:r>
          </w:p>
        </w:tc>
      </w:tr>
      <w:tr w:rsidR="00262553" w:rsidRPr="00133B19" w14:paraId="6DA09B62"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76C7A1"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D5440F" w14:textId="77777777" w:rsidR="00262553" w:rsidRPr="00C66C3F" w:rsidRDefault="00262553" w:rsidP="000343C1">
            <w:pPr>
              <w:rPr>
                <w:rFonts w:ascii="Arial Narrow" w:eastAsia="Aptos" w:hAnsi="Arial Narrow"/>
                <w:color w:val="000000"/>
                <w:sz w:val="20"/>
                <w:szCs w:val="20"/>
              </w:rPr>
            </w:pPr>
            <w:r w:rsidRPr="0098423F">
              <w:rPr>
                <w:rFonts w:ascii="Arial Narrow" w:eastAsia="Aptos" w:hAnsi="Arial Narrow"/>
                <w:color w:val="000000" w:themeColor="text1"/>
                <w:sz w:val="20"/>
                <w:szCs w:val="20"/>
              </w:rPr>
              <w:t xml:space="preserve">Patient must have blood eosinophil count of at least 150 cells per microlitre while receiving treatment with oral corticosteroids in the 12 months prior to initiating treatment with this </w:t>
            </w:r>
            <w:proofErr w:type="gramStart"/>
            <w:r w:rsidRPr="0098423F">
              <w:rPr>
                <w:rFonts w:ascii="Arial Narrow" w:eastAsia="Aptos" w:hAnsi="Arial Narrow"/>
                <w:color w:val="000000" w:themeColor="text1"/>
                <w:sz w:val="20"/>
                <w:szCs w:val="20"/>
              </w:rPr>
              <w:t>drug</w:t>
            </w:r>
            <w:r w:rsidRPr="02E8A7A0">
              <w:rPr>
                <w:rFonts w:ascii="Arial Narrow" w:eastAsia="Aptos" w:hAnsi="Arial Narrow"/>
                <w:color w:val="000000" w:themeColor="text1"/>
                <w:sz w:val="20"/>
                <w:szCs w:val="20"/>
              </w:rPr>
              <w:t>;</w:t>
            </w:r>
            <w:proofErr w:type="gramEnd"/>
          </w:p>
        </w:tc>
      </w:tr>
      <w:tr w:rsidR="00262553" w:rsidRPr="00133B19" w14:paraId="359DBF2C"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75F7B0"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ABF9DF" w14:textId="77777777" w:rsidR="00262553" w:rsidRPr="00133B19" w:rsidRDefault="00262553" w:rsidP="000343C1">
            <w:pPr>
              <w:rPr>
                <w:rFonts w:ascii="Arial Narrow" w:eastAsia="Aptos" w:hAnsi="Arial Narrow"/>
                <w:b/>
                <w:bCs/>
                <w:iCs/>
                <w:color w:val="000000"/>
                <w:sz w:val="20"/>
                <w:szCs w:val="20"/>
              </w:rPr>
            </w:pPr>
            <w:r w:rsidRPr="00133B19">
              <w:rPr>
                <w:rFonts w:ascii="Arial Narrow" w:eastAsia="Aptos" w:hAnsi="Arial Narrow"/>
                <w:b/>
                <w:bCs/>
                <w:iCs/>
                <w:color w:val="000000"/>
                <w:sz w:val="20"/>
                <w:szCs w:val="20"/>
              </w:rPr>
              <w:t>OR</w:t>
            </w:r>
          </w:p>
        </w:tc>
      </w:tr>
      <w:tr w:rsidR="00262553" w:rsidRPr="00133B19" w14:paraId="6C4C6B41"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BBC8AE"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0EC946" w14:textId="77777777" w:rsidR="00262553" w:rsidRPr="00C66C3F" w:rsidRDefault="00262553" w:rsidP="000343C1">
            <w:pPr>
              <w:rPr>
                <w:rFonts w:ascii="Arial Narrow" w:eastAsia="Aptos" w:hAnsi="Arial Narrow"/>
                <w:color w:val="000000"/>
                <w:sz w:val="20"/>
                <w:szCs w:val="20"/>
              </w:rPr>
            </w:pPr>
            <w:r w:rsidRPr="02E8A7A0">
              <w:rPr>
                <w:rFonts w:ascii="Arial Narrow" w:eastAsia="Aptos" w:hAnsi="Arial Narrow"/>
                <w:color w:val="000000" w:themeColor="text1"/>
                <w:sz w:val="20"/>
                <w:szCs w:val="20"/>
              </w:rPr>
              <w:t>Patient must have total serum human immunoglobulin E of at least 30 IU/mL, measured in the 12 months prior to initiating</w:t>
            </w:r>
            <w:r w:rsidRPr="02E8A7A0">
              <w:rPr>
                <w:rFonts w:ascii="Arial Narrow" w:eastAsia="Aptos" w:hAnsi="Arial Narrow"/>
                <w:i/>
                <w:iCs/>
                <w:color w:val="000000" w:themeColor="text1"/>
                <w:sz w:val="20"/>
                <w:szCs w:val="20"/>
              </w:rPr>
              <w:t xml:space="preserve"> </w:t>
            </w:r>
            <w:r w:rsidRPr="0098423F">
              <w:rPr>
                <w:rFonts w:ascii="Arial Narrow" w:eastAsia="Aptos" w:hAnsi="Arial Narrow"/>
                <w:color w:val="000000" w:themeColor="text1"/>
                <w:sz w:val="20"/>
                <w:szCs w:val="20"/>
              </w:rPr>
              <w:t>treatment with</w:t>
            </w:r>
            <w:r w:rsidRPr="02E8A7A0">
              <w:rPr>
                <w:rFonts w:ascii="Arial Narrow" w:eastAsia="Aptos" w:hAnsi="Arial Narrow"/>
                <w:color w:val="000000" w:themeColor="text1"/>
                <w:sz w:val="20"/>
                <w:szCs w:val="20"/>
              </w:rPr>
              <w:t xml:space="preserve"> this drug that has past or current evidence of atopy, documented by either: (</w:t>
            </w:r>
            <w:proofErr w:type="spellStart"/>
            <w:r w:rsidRPr="02E8A7A0">
              <w:rPr>
                <w:rFonts w:ascii="Arial Narrow" w:eastAsia="Aptos" w:hAnsi="Arial Narrow"/>
                <w:color w:val="000000" w:themeColor="text1"/>
                <w:sz w:val="20"/>
                <w:szCs w:val="20"/>
              </w:rPr>
              <w:t>i</w:t>
            </w:r>
            <w:proofErr w:type="spellEnd"/>
            <w:r w:rsidRPr="02E8A7A0">
              <w:rPr>
                <w:rFonts w:ascii="Arial Narrow" w:eastAsia="Aptos" w:hAnsi="Arial Narrow"/>
                <w:color w:val="000000" w:themeColor="text1"/>
                <w:sz w:val="20"/>
                <w:szCs w:val="20"/>
              </w:rPr>
              <w:t>) skin prick testing; (ii) an in vitro measure of specific IgE</w:t>
            </w:r>
            <w:r>
              <w:rPr>
                <w:rFonts w:ascii="Arial Narrow" w:eastAsia="Aptos" w:hAnsi="Arial Narrow"/>
                <w:color w:val="000000" w:themeColor="text1"/>
                <w:sz w:val="20"/>
                <w:szCs w:val="20"/>
              </w:rPr>
              <w:t>.</w:t>
            </w:r>
          </w:p>
        </w:tc>
      </w:tr>
      <w:tr w:rsidR="00262553" w:rsidRPr="00133B19" w14:paraId="7844593D"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BB7ADF" w14:textId="77777777" w:rsidR="00262553" w:rsidRPr="00133B19" w:rsidRDefault="00262553" w:rsidP="000343C1"/>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65AA56" w14:textId="77777777" w:rsidR="00262553" w:rsidRPr="00133B19" w:rsidRDefault="00262553" w:rsidP="000343C1">
            <w:pPr>
              <w:rPr>
                <w:rFonts w:ascii="Arial Narrow" w:hAnsi="Arial Narrow"/>
                <w:color w:val="000000"/>
                <w:sz w:val="20"/>
                <w:szCs w:val="20"/>
              </w:rPr>
            </w:pPr>
            <w:r w:rsidRPr="00133B19">
              <w:rPr>
                <w:rFonts w:ascii="Arial Narrow" w:hAnsi="Arial Narrow"/>
                <w:b/>
                <w:bCs/>
                <w:color w:val="000000"/>
                <w:sz w:val="20"/>
                <w:szCs w:val="20"/>
              </w:rPr>
              <w:t>AND</w:t>
            </w:r>
          </w:p>
        </w:tc>
      </w:tr>
      <w:tr w:rsidR="00262553" w:rsidRPr="00133B19" w14:paraId="6B93C88E"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207B9C" w14:textId="63E82BB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32F2A8" w14:textId="77777777" w:rsidR="00262553" w:rsidRPr="00133B19" w:rsidRDefault="00262553" w:rsidP="000343C1">
            <w:pPr>
              <w:rPr>
                <w:rFonts w:ascii="Arial Narrow" w:hAnsi="Arial Narrow"/>
                <w:color w:val="000000"/>
                <w:sz w:val="20"/>
                <w:szCs w:val="20"/>
              </w:rPr>
            </w:pPr>
            <w:r w:rsidRPr="00133B19">
              <w:rPr>
                <w:rFonts w:ascii="Arial Narrow" w:hAnsi="Arial Narrow"/>
                <w:b/>
                <w:bCs/>
                <w:color w:val="000000"/>
                <w:sz w:val="20"/>
                <w:szCs w:val="20"/>
              </w:rPr>
              <w:t>Clinical criteria:</w:t>
            </w:r>
          </w:p>
        </w:tc>
      </w:tr>
      <w:tr w:rsidR="00262553" w:rsidRPr="00133B19" w14:paraId="11AB9ADF"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81F243" w14:textId="5CE2017E"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37C5C9" w14:textId="77777777" w:rsidR="00262553" w:rsidRPr="00133B19" w:rsidRDefault="00262553" w:rsidP="000343C1">
            <w:pPr>
              <w:rPr>
                <w:rFonts w:ascii="Arial Narrow" w:eastAsia="Aptos" w:hAnsi="Arial Narrow"/>
                <w:color w:val="000000"/>
                <w:sz w:val="20"/>
                <w:szCs w:val="20"/>
              </w:rPr>
            </w:pPr>
            <w:r w:rsidRPr="00133B19">
              <w:rPr>
                <w:rFonts w:ascii="Arial Narrow" w:eastAsia="Aptos" w:hAnsi="Arial Narrow"/>
                <w:color w:val="000000"/>
                <w:sz w:val="20"/>
                <w:szCs w:val="20"/>
              </w:rPr>
              <w:t>Patient must have failed to achieve adequate control with optimised asthma therapy, despite formal assessment of and adherence to correct inhaler technique, which has been documented in the patient’s medical records.</w:t>
            </w:r>
          </w:p>
        </w:tc>
      </w:tr>
      <w:tr w:rsidR="00262553" w:rsidRPr="00133B19" w14:paraId="0F39EAEE"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61113C"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DF1BCA" w14:textId="77777777" w:rsidR="00262553" w:rsidRPr="00133B19" w:rsidRDefault="00262553" w:rsidP="000343C1">
            <w:pPr>
              <w:rPr>
                <w:rFonts w:ascii="Arial Narrow" w:eastAsia="Aptos" w:hAnsi="Arial Narrow"/>
                <w:color w:val="000000"/>
                <w:sz w:val="20"/>
                <w:szCs w:val="20"/>
              </w:rPr>
            </w:pPr>
            <w:r w:rsidRPr="00133B19">
              <w:rPr>
                <w:rFonts w:ascii="Arial Narrow" w:hAnsi="Arial Narrow"/>
                <w:b/>
                <w:bCs/>
                <w:color w:val="000000"/>
                <w:sz w:val="20"/>
                <w:szCs w:val="20"/>
              </w:rPr>
              <w:t>AND</w:t>
            </w:r>
          </w:p>
        </w:tc>
      </w:tr>
      <w:tr w:rsidR="00262553" w:rsidRPr="00133B19" w14:paraId="5848A1CA"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F65812" w14:textId="65601BD5"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9D7970" w14:textId="77777777" w:rsidR="00262553" w:rsidRPr="00133B19" w:rsidRDefault="00262553" w:rsidP="000343C1">
            <w:pPr>
              <w:rPr>
                <w:rFonts w:ascii="Arial Narrow" w:eastAsia="Aptos" w:hAnsi="Arial Narrow"/>
                <w:color w:val="000000"/>
                <w:sz w:val="20"/>
                <w:szCs w:val="20"/>
              </w:rPr>
            </w:pPr>
            <w:r w:rsidRPr="00133B19">
              <w:rPr>
                <w:rFonts w:ascii="Arial Narrow" w:hAnsi="Arial Narrow"/>
                <w:b/>
                <w:bCs/>
                <w:color w:val="000000"/>
                <w:sz w:val="20"/>
                <w:szCs w:val="20"/>
              </w:rPr>
              <w:t>Clinical criteria:</w:t>
            </w:r>
          </w:p>
        </w:tc>
      </w:tr>
      <w:tr w:rsidR="00262553" w:rsidRPr="00133B19" w14:paraId="4215952A"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73B5FF" w14:textId="3318AB26"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19DBE3" w14:textId="77777777" w:rsidR="00262553" w:rsidRPr="00133B19" w:rsidRDefault="00262553" w:rsidP="000343C1">
            <w:pPr>
              <w:rPr>
                <w:rFonts w:ascii="Arial Narrow" w:hAnsi="Arial Narrow"/>
                <w:color w:val="000000"/>
                <w:sz w:val="20"/>
                <w:szCs w:val="20"/>
              </w:rPr>
            </w:pPr>
            <w:r w:rsidRPr="00133B19">
              <w:rPr>
                <w:rFonts w:ascii="Arial Narrow" w:hAnsi="Arial Narrow"/>
                <w:color w:val="000000"/>
                <w:sz w:val="20"/>
                <w:szCs w:val="20"/>
              </w:rPr>
              <w:t>Patient must not receive more than 32 weeks of treatment under this restriction.</w:t>
            </w:r>
          </w:p>
        </w:tc>
      </w:tr>
      <w:tr w:rsidR="00262553" w:rsidRPr="00133B19" w14:paraId="662463E2"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085648" w14:textId="77777777" w:rsidR="00262553" w:rsidRPr="00133B19"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E2E2D2" w14:textId="77777777" w:rsidR="00262553" w:rsidRPr="00A94E46" w:rsidRDefault="00262553" w:rsidP="000343C1">
            <w:pPr>
              <w:rPr>
                <w:rFonts w:ascii="Arial Narrow" w:hAnsi="Arial Narrow"/>
                <w:color w:val="000000"/>
                <w:sz w:val="20"/>
                <w:szCs w:val="20"/>
              </w:rPr>
            </w:pPr>
            <w:r w:rsidRPr="00A94E46">
              <w:rPr>
                <w:rFonts w:ascii="Arial Narrow" w:hAnsi="Arial Narrow"/>
                <w:b/>
                <w:bCs/>
                <w:color w:val="000000"/>
                <w:sz w:val="20"/>
                <w:szCs w:val="20"/>
              </w:rPr>
              <w:t>AND</w:t>
            </w:r>
          </w:p>
        </w:tc>
      </w:tr>
      <w:tr w:rsidR="00262553" w:rsidRPr="00133B19" w14:paraId="09C5A9F2"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18CDE3" w14:textId="546A9271"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9F4FCF" w14:textId="77777777" w:rsidR="00262553" w:rsidRPr="00C66C3F" w:rsidRDefault="00262553" w:rsidP="000343C1">
            <w:pPr>
              <w:rPr>
                <w:rFonts w:ascii="Arial Narrow" w:hAnsi="Arial Narrow"/>
                <w:color w:val="000000"/>
                <w:sz w:val="20"/>
                <w:szCs w:val="20"/>
              </w:rPr>
            </w:pPr>
            <w:r w:rsidRPr="00C66C3F">
              <w:rPr>
                <w:rFonts w:ascii="Arial Narrow" w:hAnsi="Arial Narrow"/>
                <w:b/>
                <w:bCs/>
                <w:color w:val="000000"/>
                <w:sz w:val="20"/>
                <w:szCs w:val="20"/>
              </w:rPr>
              <w:t>Clinical criteria:</w:t>
            </w:r>
          </w:p>
        </w:tc>
      </w:tr>
      <w:tr w:rsidR="00262553" w:rsidRPr="00133B19" w14:paraId="5376D67A"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15520C" w14:textId="1780D763"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F98BD8"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The treatment must not be used in combination with and within 4 weeks of another PBS-subsidised biological medicine prescribed for any of: (</w:t>
            </w:r>
            <w:proofErr w:type="spellStart"/>
            <w:r w:rsidRPr="00C66C3F">
              <w:rPr>
                <w:rFonts w:ascii="Arial Narrow" w:hAnsi="Arial Narrow"/>
                <w:color w:val="000000"/>
                <w:sz w:val="20"/>
                <w:szCs w:val="20"/>
              </w:rPr>
              <w:t>i</w:t>
            </w:r>
            <w:proofErr w:type="spellEnd"/>
            <w:r w:rsidRPr="00C66C3F">
              <w:rPr>
                <w:rFonts w:ascii="Arial Narrow" w:hAnsi="Arial Narrow"/>
                <w:color w:val="000000"/>
                <w:sz w:val="20"/>
                <w:szCs w:val="20"/>
              </w:rPr>
              <w:t>) nasal polyps, (ii) uncontrolled severe allergic asthma, (iii) uncontrolled severe asthma</w:t>
            </w:r>
          </w:p>
        </w:tc>
      </w:tr>
      <w:tr w:rsidR="00262553" w:rsidRPr="00133B19" w14:paraId="4B1A4662"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10EEDA6" w14:textId="44D3BEBE"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BFBF4B" w14:textId="77777777" w:rsidR="00262553" w:rsidRPr="00C66C3F" w:rsidRDefault="00262553" w:rsidP="000343C1">
            <w:pPr>
              <w:rPr>
                <w:rFonts w:ascii="Arial Narrow" w:hAnsi="Arial Narrow"/>
                <w:color w:val="000000"/>
                <w:sz w:val="20"/>
                <w:szCs w:val="20"/>
              </w:rPr>
            </w:pPr>
            <w:r w:rsidRPr="00C66C3F">
              <w:rPr>
                <w:rFonts w:ascii="Arial Narrow" w:hAnsi="Arial Narrow"/>
                <w:b/>
                <w:bCs/>
                <w:color w:val="000000"/>
                <w:sz w:val="20"/>
                <w:szCs w:val="20"/>
              </w:rPr>
              <w:t>Population criteria:</w:t>
            </w:r>
          </w:p>
        </w:tc>
      </w:tr>
      <w:tr w:rsidR="00262553" w:rsidRPr="00133B19" w14:paraId="4184A21F"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0B08E6" w14:textId="0A494755"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613D97"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Patients must be aged 12 years or older.</w:t>
            </w:r>
          </w:p>
        </w:tc>
      </w:tr>
      <w:tr w:rsidR="00262553" w:rsidRPr="00133B19" w14:paraId="218DE176"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4C580E" w14:textId="38424638"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3DACDEE" w14:textId="77777777" w:rsidR="00262553" w:rsidRPr="00C66C3F" w:rsidRDefault="00262553" w:rsidP="000343C1">
            <w:pPr>
              <w:keepNext/>
              <w:keepLines/>
              <w:widowControl w:val="0"/>
              <w:rPr>
                <w:rFonts w:ascii="Arial Narrow" w:eastAsia="MS Gothic" w:hAnsi="Arial Narrow"/>
                <w:b/>
                <w:sz w:val="20"/>
              </w:rPr>
            </w:pPr>
            <w:r w:rsidRPr="00C66C3F">
              <w:rPr>
                <w:rFonts w:ascii="Arial Narrow" w:eastAsia="MS Gothic" w:hAnsi="Arial Narrow"/>
                <w:b/>
                <w:bCs/>
                <w:sz w:val="20"/>
              </w:rPr>
              <w:t>Prescribing Instructions:</w:t>
            </w:r>
          </w:p>
          <w:p w14:paraId="3C1AE9D2" w14:textId="77777777" w:rsidR="00262553" w:rsidRPr="00C66C3F" w:rsidRDefault="00262553" w:rsidP="000343C1">
            <w:pPr>
              <w:keepNext/>
              <w:keepLines/>
              <w:widowControl w:val="0"/>
              <w:rPr>
                <w:rFonts w:ascii="Arial Narrow" w:eastAsia="MS Gothic" w:hAnsi="Arial Narrow"/>
                <w:bCs/>
                <w:sz w:val="20"/>
              </w:rPr>
            </w:pPr>
            <w:r w:rsidRPr="00C66C3F">
              <w:rPr>
                <w:rFonts w:ascii="Arial Narrow" w:eastAsia="MS Gothic" w:hAnsi="Arial Narrow"/>
                <w:bCs/>
                <w:sz w:val="20"/>
              </w:rPr>
              <w:t>Optimised asthma therapy includes adherence to maximal inhaled therapy, including high dose inhaled corticosteroid (ICS) plus long-acting beta-2 agonist (LABA) therapy for at least 12 months, unless contraindicated or not tolerated.</w:t>
            </w:r>
          </w:p>
          <w:p w14:paraId="6F88E644" w14:textId="77777777" w:rsidR="00262553" w:rsidRPr="00C66C3F" w:rsidRDefault="00262553" w:rsidP="000343C1">
            <w:pPr>
              <w:keepNext/>
              <w:keepLines/>
              <w:widowControl w:val="0"/>
              <w:rPr>
                <w:rFonts w:ascii="Arial Narrow" w:eastAsia="MS Gothic" w:hAnsi="Arial Narrow"/>
                <w:bCs/>
                <w:sz w:val="20"/>
              </w:rPr>
            </w:pPr>
          </w:p>
          <w:p w14:paraId="71F6BBC1" w14:textId="77777777" w:rsidR="00262553" w:rsidRPr="00C66C3F" w:rsidRDefault="00262553" w:rsidP="000343C1">
            <w:pPr>
              <w:keepNext/>
              <w:keepLines/>
              <w:widowControl w:val="0"/>
              <w:rPr>
                <w:rFonts w:ascii="Arial Narrow" w:eastAsia="MS Gothic" w:hAnsi="Arial Narrow"/>
                <w:bCs/>
                <w:sz w:val="20"/>
              </w:rPr>
            </w:pPr>
            <w:r w:rsidRPr="00C66C3F">
              <w:rPr>
                <w:rFonts w:ascii="Arial Narrow" w:eastAsia="MS Gothic" w:hAnsi="Arial Narrow"/>
                <w:bCs/>
                <w:sz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262553" w:rsidRPr="00133B19" w14:paraId="5413FD71" w14:textId="77777777" w:rsidTr="000343C1">
        <w:trPr>
          <w:gridAfter w:val="1"/>
          <w:wAfter w:w="15" w:type="dxa"/>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0F3991" w14:textId="618CB0FA" w:rsidR="00262553" w:rsidRPr="00A94E46"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2205760" w14:textId="77777777" w:rsidR="00262553" w:rsidRPr="00C66C3F" w:rsidRDefault="00262553" w:rsidP="000343C1">
            <w:pPr>
              <w:rPr>
                <w:rFonts w:ascii="Arial Narrow" w:hAnsi="Arial Narrow"/>
                <w:b/>
                <w:bCs/>
                <w:color w:val="000000"/>
                <w:sz w:val="20"/>
                <w:szCs w:val="20"/>
              </w:rPr>
            </w:pPr>
            <w:r w:rsidRPr="00C66C3F">
              <w:rPr>
                <w:rFonts w:ascii="Arial Narrow" w:hAnsi="Arial Narrow"/>
                <w:b/>
                <w:bCs/>
                <w:color w:val="000000"/>
                <w:sz w:val="20"/>
                <w:szCs w:val="20"/>
              </w:rPr>
              <w:t>Prescribing Instructions:</w:t>
            </w:r>
          </w:p>
          <w:p w14:paraId="5DC4E6B3"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The following initiation criteria indicate failure to achieve adequate control and must be demonstrated in all patients at the time of the application:</w:t>
            </w:r>
          </w:p>
          <w:p w14:paraId="65D33F5C" w14:textId="77777777" w:rsidR="00262553" w:rsidRPr="00C66C3F" w:rsidRDefault="00262553" w:rsidP="000343C1">
            <w:pPr>
              <w:rPr>
                <w:rFonts w:ascii="Arial Narrow" w:hAnsi="Arial Narrow"/>
                <w:color w:val="000000"/>
                <w:sz w:val="20"/>
                <w:szCs w:val="20"/>
              </w:rPr>
            </w:pPr>
          </w:p>
          <w:p w14:paraId="7432A08F" w14:textId="77777777" w:rsidR="00262553" w:rsidRPr="00C66C3F" w:rsidRDefault="00262553" w:rsidP="000343C1">
            <w:pPr>
              <w:rPr>
                <w:rFonts w:ascii="Arial Narrow" w:hAnsi="Arial Narrow"/>
                <w:color w:val="000000"/>
                <w:sz w:val="20"/>
                <w:szCs w:val="20"/>
              </w:rPr>
            </w:pPr>
            <w:r w:rsidRPr="02E8A7A0">
              <w:rPr>
                <w:rFonts w:ascii="Arial Narrow" w:hAnsi="Arial Narrow"/>
                <w:color w:val="000000" w:themeColor="text1"/>
                <w:sz w:val="20"/>
                <w:szCs w:val="20"/>
              </w:rPr>
              <w:t>(a) an Asthma Control Questionnaire (ACQ-5) score of at least 2.0, as assessed in the month prior to initiating this drug, AND</w:t>
            </w:r>
          </w:p>
          <w:p w14:paraId="55467C9E" w14:textId="77777777" w:rsidR="00262553" w:rsidRPr="00C66C3F" w:rsidRDefault="00262553" w:rsidP="000343C1">
            <w:pPr>
              <w:rPr>
                <w:rFonts w:ascii="Arial Narrow" w:hAnsi="Arial Narrow"/>
                <w:color w:val="000000"/>
                <w:sz w:val="20"/>
                <w:szCs w:val="20"/>
              </w:rPr>
            </w:pPr>
          </w:p>
          <w:p w14:paraId="0C279E2E" w14:textId="77777777" w:rsidR="00262553" w:rsidRPr="00C66C3F" w:rsidRDefault="00262553" w:rsidP="000343C1">
            <w:pPr>
              <w:rPr>
                <w:rFonts w:ascii="Arial Narrow" w:hAnsi="Arial Narrow"/>
                <w:color w:val="000000"/>
                <w:sz w:val="20"/>
                <w:szCs w:val="20"/>
              </w:rPr>
            </w:pPr>
            <w:r w:rsidRPr="02E8A7A0">
              <w:rPr>
                <w:rFonts w:ascii="Arial Narrow" w:hAnsi="Arial Narrow"/>
                <w:color w:val="000000" w:themeColor="text1"/>
                <w:sz w:val="20"/>
                <w:szCs w:val="20"/>
              </w:rPr>
              <w:t>(b) while receiving optimised asthma therapy in the 12 months prior to initiating this drug,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66EC09F3" w14:textId="77777777" w:rsidR="00262553" w:rsidRPr="00C66C3F" w:rsidRDefault="00262553" w:rsidP="000343C1">
            <w:pPr>
              <w:rPr>
                <w:rFonts w:ascii="Arial Narrow" w:hAnsi="Arial Narrow"/>
                <w:color w:val="000000"/>
                <w:sz w:val="20"/>
                <w:szCs w:val="20"/>
              </w:rPr>
            </w:pPr>
          </w:p>
          <w:p w14:paraId="084694CF"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p>
          <w:p w14:paraId="16C78166" w14:textId="77777777" w:rsidR="00262553" w:rsidRPr="00C66C3F" w:rsidRDefault="00262553" w:rsidP="000343C1">
            <w:pPr>
              <w:rPr>
                <w:rFonts w:ascii="Arial Narrow" w:hAnsi="Arial Narrow"/>
                <w:bCs/>
                <w:color w:val="000000"/>
                <w:sz w:val="20"/>
                <w:szCs w:val="20"/>
              </w:rPr>
            </w:pPr>
          </w:p>
          <w:p w14:paraId="7EBBE25E" w14:textId="77777777" w:rsidR="00262553" w:rsidRPr="00C66C3F" w:rsidRDefault="00262553" w:rsidP="000343C1">
            <w:pPr>
              <w:rPr>
                <w:rFonts w:ascii="Arial Narrow" w:hAnsi="Arial Narrow"/>
                <w:bCs/>
                <w:color w:val="000000"/>
                <w:sz w:val="20"/>
                <w:szCs w:val="20"/>
              </w:rPr>
            </w:pPr>
            <w:r w:rsidRPr="00C66C3F">
              <w:rPr>
                <w:rFonts w:ascii="Arial Narrow" w:hAnsi="Arial Narrow"/>
                <w:bCs/>
                <w:color w:val="000000"/>
                <w:sz w:val="20"/>
                <w:szCs w:val="20"/>
              </w:rPr>
              <w:t>This assessment, which will be used to determine eligibility for the first continuing treatment, should be conducted within 4 weeks of the last dose of biological medicine. To avoid an interruption of supply for the first continuing treatment, the assessment should be provided no later than 2 weeks prior to the patient completing their current treatment course, unless the patient is currently on a treatment break.</w:t>
            </w:r>
          </w:p>
          <w:p w14:paraId="08E838D2" w14:textId="77777777" w:rsidR="00262553" w:rsidRPr="00C66C3F" w:rsidRDefault="00262553" w:rsidP="000343C1">
            <w:pPr>
              <w:rPr>
                <w:rFonts w:ascii="Arial Narrow" w:hAnsi="Arial Narrow"/>
                <w:bCs/>
                <w:color w:val="000000"/>
                <w:sz w:val="20"/>
                <w:szCs w:val="20"/>
              </w:rPr>
            </w:pPr>
          </w:p>
          <w:p w14:paraId="4FD88FC1" w14:textId="77777777" w:rsidR="00262553" w:rsidRPr="00C66C3F" w:rsidRDefault="00262553" w:rsidP="000343C1">
            <w:pPr>
              <w:rPr>
                <w:rFonts w:ascii="Arial Narrow" w:hAnsi="Arial Narrow"/>
                <w:bCs/>
                <w:color w:val="000000"/>
                <w:sz w:val="20"/>
                <w:szCs w:val="20"/>
              </w:rPr>
            </w:pPr>
            <w:r w:rsidRPr="00C66C3F">
              <w:rPr>
                <w:rFonts w:ascii="Arial Narrow" w:hAnsi="Arial Narrow"/>
                <w:bCs/>
                <w:color w:val="000000"/>
                <w:sz w:val="20"/>
                <w:szCs w:val="20"/>
              </w:rPr>
              <w:t xml:space="preserve">If a patient fails to demonstrate a response to treatment with this </w:t>
            </w:r>
            <w:proofErr w:type="gramStart"/>
            <w:r w:rsidRPr="00C66C3F">
              <w:rPr>
                <w:rFonts w:ascii="Arial Narrow" w:hAnsi="Arial Narrow"/>
                <w:bCs/>
                <w:color w:val="000000"/>
                <w:sz w:val="20"/>
                <w:szCs w:val="20"/>
              </w:rPr>
              <w:t>drug</w:t>
            </w:r>
            <w:proofErr w:type="gramEnd"/>
            <w:r w:rsidRPr="00C66C3F">
              <w:rPr>
                <w:rFonts w:ascii="Arial Narrow" w:hAnsi="Arial Narrow"/>
                <w:bCs/>
                <w:color w:val="000000"/>
                <w:sz w:val="20"/>
                <w:szCs w:val="20"/>
              </w:rPr>
              <w:t xml:space="preserve"> they will not be eligible to receive further PBS-subsidised treatment with this drug for this condition within the same treatment cycle.</w:t>
            </w:r>
          </w:p>
          <w:p w14:paraId="420FB32F" w14:textId="77777777" w:rsidR="00262553" w:rsidRPr="00C66C3F" w:rsidRDefault="00262553" w:rsidP="000343C1">
            <w:pPr>
              <w:rPr>
                <w:rFonts w:ascii="Arial Narrow" w:hAnsi="Arial Narrow"/>
                <w:bCs/>
                <w:color w:val="000000"/>
                <w:sz w:val="20"/>
                <w:szCs w:val="20"/>
              </w:rPr>
            </w:pPr>
          </w:p>
          <w:p w14:paraId="6F59E445" w14:textId="77777777" w:rsidR="00262553" w:rsidRPr="00C66C3F" w:rsidRDefault="00262553" w:rsidP="000343C1">
            <w:pPr>
              <w:rPr>
                <w:rFonts w:ascii="Arial Narrow" w:hAnsi="Arial Narrow"/>
                <w:color w:val="000000"/>
                <w:sz w:val="20"/>
                <w:szCs w:val="20"/>
              </w:rPr>
            </w:pPr>
            <w:r w:rsidRPr="02E8A7A0">
              <w:rPr>
                <w:rFonts w:ascii="Arial Narrow" w:hAnsi="Arial Narrow"/>
                <w:color w:val="000000" w:themeColor="text1"/>
                <w:sz w:val="20"/>
                <w:szCs w:val="20"/>
              </w:rPr>
              <w:t xml:space="preserve">A treatment break in PBS-subsidised biological medicine therapy of at least 12 months must be observed in a patient who has either failed to achieve or sustain a response to treatment with </w:t>
            </w:r>
            <w:r w:rsidRPr="0098423F">
              <w:rPr>
                <w:rFonts w:ascii="Arial Narrow" w:hAnsi="Arial Narrow"/>
                <w:color w:val="000000" w:themeColor="text1"/>
                <w:sz w:val="20"/>
                <w:szCs w:val="20"/>
              </w:rPr>
              <w:t>all eligible</w:t>
            </w:r>
            <w:r w:rsidRPr="02E8A7A0">
              <w:rPr>
                <w:rFonts w:ascii="Arial Narrow" w:hAnsi="Arial Narrow"/>
                <w:color w:val="000000" w:themeColor="text1"/>
                <w:sz w:val="20"/>
                <w:szCs w:val="20"/>
              </w:rPr>
              <w:t xml:space="preserve"> biological medicines within the same treatment cycle.</w:t>
            </w:r>
          </w:p>
          <w:p w14:paraId="66970EDE" w14:textId="77777777" w:rsidR="00262553" w:rsidRPr="00C66C3F" w:rsidRDefault="00262553" w:rsidP="000343C1">
            <w:pPr>
              <w:rPr>
                <w:rFonts w:ascii="Arial Narrow" w:hAnsi="Arial Narrow"/>
                <w:bCs/>
                <w:color w:val="000000"/>
                <w:sz w:val="20"/>
                <w:szCs w:val="20"/>
              </w:rPr>
            </w:pPr>
          </w:p>
          <w:p w14:paraId="4C2258C1" w14:textId="77777777" w:rsidR="00262553" w:rsidRPr="00C66C3F" w:rsidRDefault="00262553" w:rsidP="000343C1">
            <w:pPr>
              <w:rPr>
                <w:rFonts w:ascii="Arial Narrow" w:hAnsi="Arial Narrow"/>
                <w:bCs/>
                <w:color w:val="000000"/>
                <w:sz w:val="20"/>
                <w:szCs w:val="20"/>
              </w:rPr>
            </w:pPr>
            <w:r w:rsidRPr="00C66C3F">
              <w:rPr>
                <w:rFonts w:ascii="Arial Narrow" w:hAnsi="Arial Narrow"/>
                <w:bCs/>
                <w:color w:val="000000"/>
                <w:sz w:val="20"/>
                <w:szCs w:val="20"/>
              </w:rP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5CB3B27D" w14:textId="77777777" w:rsidR="00262553" w:rsidRPr="00C66C3F" w:rsidRDefault="00262553" w:rsidP="000343C1">
            <w:pPr>
              <w:rPr>
                <w:rFonts w:ascii="Arial Narrow" w:hAnsi="Arial Narrow"/>
                <w:bCs/>
                <w:color w:val="000000"/>
                <w:sz w:val="20"/>
                <w:szCs w:val="20"/>
              </w:rPr>
            </w:pPr>
            <w:r w:rsidRPr="00C66C3F">
              <w:rPr>
                <w:rFonts w:ascii="Arial Narrow" w:hAnsi="Arial Narrow"/>
                <w:bCs/>
                <w:color w:val="000000"/>
                <w:sz w:val="20"/>
                <w:szCs w:val="20"/>
              </w:rPr>
              <w:t>There is no limit to the number of treatment cycles that a patient may undertake in their lifetime.</w:t>
            </w:r>
          </w:p>
          <w:p w14:paraId="74D33F19" w14:textId="77777777" w:rsidR="00262553" w:rsidRPr="00C66C3F" w:rsidRDefault="00262553" w:rsidP="000343C1">
            <w:pPr>
              <w:rPr>
                <w:rFonts w:ascii="Arial Narrow" w:hAnsi="Arial Narrow"/>
                <w:bCs/>
                <w:color w:val="000000"/>
                <w:sz w:val="20"/>
                <w:szCs w:val="20"/>
              </w:rPr>
            </w:pPr>
          </w:p>
          <w:p w14:paraId="67288C2E" w14:textId="77777777" w:rsidR="00262553" w:rsidRPr="00C66C3F" w:rsidRDefault="00262553" w:rsidP="000343C1">
            <w:pPr>
              <w:rPr>
                <w:rFonts w:ascii="Arial Narrow" w:hAnsi="Arial Narrow"/>
                <w:bCs/>
                <w:color w:val="000000"/>
                <w:sz w:val="20"/>
                <w:szCs w:val="20"/>
              </w:rPr>
            </w:pPr>
            <w:r w:rsidRPr="00C66C3F">
              <w:rPr>
                <w:rFonts w:ascii="Arial Narrow" w:hAnsi="Arial Narrow"/>
                <w:bCs/>
                <w:color w:val="000000"/>
                <w:sz w:val="20"/>
                <w:szCs w:val="20"/>
              </w:rPr>
              <w:t>A multidisciplinary severe asthma clinic team comprises of:</w:t>
            </w:r>
          </w:p>
          <w:p w14:paraId="1996A258" w14:textId="77777777" w:rsidR="00262553" w:rsidRPr="00C66C3F" w:rsidRDefault="00262553" w:rsidP="000343C1">
            <w:pPr>
              <w:rPr>
                <w:rFonts w:ascii="Arial Narrow" w:hAnsi="Arial Narrow"/>
                <w:bCs/>
                <w:color w:val="000000"/>
                <w:sz w:val="20"/>
                <w:szCs w:val="20"/>
              </w:rPr>
            </w:pPr>
            <w:r w:rsidRPr="00C66C3F">
              <w:rPr>
                <w:rFonts w:ascii="Arial Narrow" w:hAnsi="Arial Narrow"/>
                <w:bCs/>
                <w:color w:val="000000"/>
                <w:sz w:val="20"/>
                <w:szCs w:val="20"/>
              </w:rPr>
              <w:t>(</w:t>
            </w:r>
            <w:proofErr w:type="spellStart"/>
            <w:r w:rsidRPr="00C66C3F">
              <w:rPr>
                <w:rFonts w:ascii="Arial Narrow" w:hAnsi="Arial Narrow"/>
                <w:bCs/>
                <w:color w:val="000000"/>
                <w:sz w:val="20"/>
                <w:szCs w:val="20"/>
              </w:rPr>
              <w:t>i</w:t>
            </w:r>
            <w:proofErr w:type="spellEnd"/>
            <w:r w:rsidRPr="00C66C3F">
              <w:rPr>
                <w:rFonts w:ascii="Arial Narrow" w:hAnsi="Arial Narrow"/>
                <w:bCs/>
                <w:color w:val="000000"/>
                <w:sz w:val="20"/>
                <w:szCs w:val="20"/>
              </w:rPr>
              <w:t>) A respiratory physician; and</w:t>
            </w:r>
          </w:p>
          <w:p w14:paraId="42DED772" w14:textId="77777777" w:rsidR="00262553" w:rsidRPr="00C66C3F" w:rsidRDefault="00262553" w:rsidP="000343C1">
            <w:pPr>
              <w:rPr>
                <w:rFonts w:ascii="Arial Narrow" w:hAnsi="Arial Narrow"/>
                <w:bCs/>
                <w:color w:val="000000"/>
                <w:sz w:val="20"/>
                <w:szCs w:val="20"/>
              </w:rPr>
            </w:pPr>
            <w:r w:rsidRPr="00C66C3F">
              <w:rPr>
                <w:rFonts w:ascii="Arial Narrow" w:hAnsi="Arial Narrow"/>
                <w:bCs/>
                <w:color w:val="000000"/>
                <w:sz w:val="20"/>
                <w:szCs w:val="20"/>
              </w:rPr>
              <w:t>(ii) A pharmacist, nurse or asthma educator.</w:t>
            </w:r>
          </w:p>
          <w:p w14:paraId="79FC0335" w14:textId="77777777" w:rsidR="00262553" w:rsidRPr="00C66C3F" w:rsidRDefault="00262553" w:rsidP="000343C1">
            <w:pPr>
              <w:rPr>
                <w:rFonts w:ascii="Arial Narrow" w:hAnsi="Arial Narrow"/>
                <w:bCs/>
                <w:color w:val="000000"/>
                <w:sz w:val="20"/>
                <w:szCs w:val="20"/>
              </w:rPr>
            </w:pPr>
            <w:r w:rsidRPr="00C66C3F">
              <w:rPr>
                <w:rFonts w:ascii="Arial Narrow" w:hAnsi="Arial Narrow"/>
                <w:bCs/>
                <w:color w:val="000000"/>
                <w:sz w:val="20"/>
                <w:szCs w:val="20"/>
              </w:rPr>
              <w:t xml:space="preserve">At the time of the authority application, medical practitioners should request up to 7 repeats to provide for an initial course of </w:t>
            </w:r>
            <w:proofErr w:type="spellStart"/>
            <w:r w:rsidRPr="00C66C3F">
              <w:rPr>
                <w:rFonts w:ascii="Arial Narrow" w:hAnsi="Arial Narrow"/>
                <w:bCs/>
                <w:color w:val="000000"/>
                <w:sz w:val="20"/>
                <w:szCs w:val="20"/>
              </w:rPr>
              <w:t>tezepelumab</w:t>
            </w:r>
            <w:proofErr w:type="spellEnd"/>
            <w:r w:rsidRPr="00C66C3F">
              <w:rPr>
                <w:rFonts w:ascii="Arial Narrow" w:hAnsi="Arial Narrow"/>
                <w:bCs/>
                <w:color w:val="000000"/>
                <w:sz w:val="20"/>
                <w:szCs w:val="20"/>
              </w:rPr>
              <w:t xml:space="preserve"> sufficient for up to 32 weeks of therapy, at a dose of 210 mg every four weeks.</w:t>
            </w:r>
          </w:p>
        </w:tc>
      </w:tr>
      <w:tr w:rsidR="00262553" w:rsidRPr="00133B19" w14:paraId="02DDB5ED"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EEB530" w14:textId="2CA8E0DC"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A9C3CF" w14:textId="77777777" w:rsidR="00262553" w:rsidRPr="00C66C3F" w:rsidRDefault="00262553" w:rsidP="000343C1">
            <w:pPr>
              <w:rPr>
                <w:rFonts w:ascii="Arial Narrow" w:hAnsi="Arial Narrow"/>
                <w:b/>
                <w:bCs/>
                <w:color w:val="000000"/>
                <w:sz w:val="20"/>
                <w:szCs w:val="20"/>
              </w:rPr>
            </w:pPr>
            <w:r w:rsidRPr="00C66C3F">
              <w:rPr>
                <w:rFonts w:ascii="Arial Narrow" w:hAnsi="Arial Narrow"/>
                <w:b/>
                <w:bCs/>
                <w:color w:val="000000"/>
                <w:sz w:val="20"/>
                <w:szCs w:val="20"/>
              </w:rPr>
              <w:t xml:space="preserve">Prescribing Instructions: </w:t>
            </w:r>
          </w:p>
          <w:p w14:paraId="30C9C014"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The following must be provided at the time of application and documented in the patient's medical records:</w:t>
            </w:r>
          </w:p>
          <w:p w14:paraId="46DA9DFA"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(a) details (treatment, date of commencement, duration of therapy) of prior optimised asthma drug therapy; and</w:t>
            </w:r>
          </w:p>
          <w:p w14:paraId="4BEB4A13"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(b) If applicable, details of contraindications and/or intolerances of a severity necessitating permanent treatment withdrawal to standard therapy according to the relevant TGA-approved Product Information; and</w:t>
            </w:r>
          </w:p>
          <w:p w14:paraId="1C8594F8"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(c) details of severe exacerbation/s experienced in the 12 months prior to receiving this drug, while receiving optimised asthma therapy (date and treatment); and</w:t>
            </w:r>
          </w:p>
          <w:p w14:paraId="4BB0AE4F"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(d) Asthma Control Questionnaire (ACQ-5) score; and</w:t>
            </w:r>
          </w:p>
          <w:p w14:paraId="541BD9B9"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(e) if applicable, the eosinophil count and date; and</w:t>
            </w:r>
          </w:p>
          <w:p w14:paraId="4B7C83EB" w14:textId="77777777" w:rsidR="00262553" w:rsidRPr="00C66C3F" w:rsidRDefault="00262553" w:rsidP="000343C1">
            <w:pPr>
              <w:rPr>
                <w:rFonts w:ascii="Arial Narrow" w:hAnsi="Arial Narrow"/>
                <w:b/>
                <w:bCs/>
                <w:color w:val="000000"/>
                <w:sz w:val="20"/>
                <w:szCs w:val="20"/>
              </w:rPr>
            </w:pPr>
            <w:r w:rsidRPr="00C66C3F">
              <w:rPr>
                <w:rFonts w:ascii="Arial Narrow" w:hAnsi="Arial Narrow"/>
                <w:color w:val="000000"/>
                <w:sz w:val="20"/>
                <w:szCs w:val="20"/>
              </w:rPr>
              <w:t>(f) if applicable, the IgE result and date.</w:t>
            </w:r>
          </w:p>
        </w:tc>
      </w:tr>
      <w:tr w:rsidR="00262553" w:rsidRPr="00133B19" w14:paraId="1824C99C"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E98F9A0" w14:textId="65C72BB1" w:rsidR="00262553" w:rsidRPr="00C66C3F"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AD2F45" w14:textId="77777777" w:rsidR="00262553" w:rsidRPr="00C66C3F" w:rsidRDefault="00262553" w:rsidP="000343C1">
            <w:pPr>
              <w:rPr>
                <w:rFonts w:ascii="Arial Narrow" w:hAnsi="Arial Narrow"/>
                <w:b/>
                <w:bCs/>
                <w:color w:val="000000"/>
                <w:sz w:val="20"/>
                <w:szCs w:val="20"/>
              </w:rPr>
            </w:pPr>
            <w:r w:rsidRPr="00C66C3F">
              <w:rPr>
                <w:rFonts w:ascii="Arial Narrow" w:hAnsi="Arial Narrow"/>
                <w:b/>
                <w:bCs/>
                <w:color w:val="000000"/>
                <w:sz w:val="20"/>
                <w:szCs w:val="20"/>
              </w:rPr>
              <w:t xml:space="preserve">Administrative Advice: </w:t>
            </w:r>
          </w:p>
          <w:p w14:paraId="17FB20C4" w14:textId="77777777" w:rsidR="00262553" w:rsidRPr="00C66C3F" w:rsidRDefault="00262553" w:rsidP="000343C1">
            <w:pPr>
              <w:rPr>
                <w:rFonts w:ascii="Arial Narrow" w:hAnsi="Arial Narrow"/>
                <w:color w:val="000000"/>
                <w:sz w:val="20"/>
                <w:szCs w:val="20"/>
              </w:rPr>
            </w:pPr>
            <w:r w:rsidRPr="00C66C3F">
              <w:rPr>
                <w:rFonts w:ascii="Arial Narrow" w:hAnsi="Arial Narrow"/>
                <w:color w:val="000000"/>
                <w:sz w:val="20"/>
                <w:szCs w:val="20"/>
              </w:rPr>
              <w:t>For copies of the ACQ and the calculation sheets please contact AstraZeneca Medical Information on 1800 805 342.</w:t>
            </w:r>
          </w:p>
        </w:tc>
      </w:tr>
      <w:tr w:rsidR="00262553" w:rsidRPr="00133B19" w14:paraId="032F9FAB"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57274F" w14:textId="24E401FD" w:rsidR="00262553" w:rsidRPr="00C66C3F" w:rsidRDefault="00262553" w:rsidP="000343C1">
            <w:pPr>
              <w:jc w:val="center"/>
              <w:rPr>
                <w:rFonts w:ascii="Arial Narrow" w:hAnsi="Arial Narrow"/>
                <w:b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8BE008" w14:textId="77777777" w:rsidR="00262553" w:rsidRPr="00C66C3F" w:rsidRDefault="00262553" w:rsidP="000343C1">
            <w:pPr>
              <w:ind w:left="-57"/>
              <w:rPr>
                <w:rFonts w:ascii="Arial Narrow" w:hAnsi="Arial Narrow"/>
                <w:b/>
                <w:bCs/>
                <w:color w:val="000000"/>
                <w:sz w:val="20"/>
                <w:szCs w:val="20"/>
              </w:rPr>
            </w:pPr>
            <w:r w:rsidRPr="00C66C3F">
              <w:rPr>
                <w:rFonts w:ascii="Arial Narrow" w:hAnsi="Arial Narrow"/>
                <w:b/>
                <w:bCs/>
                <w:color w:val="000000"/>
                <w:sz w:val="20"/>
                <w:szCs w:val="20"/>
              </w:rPr>
              <w:t>Administrative Advice:</w:t>
            </w:r>
          </w:p>
          <w:p w14:paraId="591E870B" w14:textId="77777777" w:rsidR="00262553" w:rsidRPr="00C66C3F" w:rsidRDefault="00262553" w:rsidP="000343C1">
            <w:pPr>
              <w:ind w:left="-57"/>
              <w:rPr>
                <w:rFonts w:ascii="Arial Narrow" w:hAnsi="Arial Narrow"/>
                <w:color w:val="000000"/>
                <w:sz w:val="20"/>
                <w:szCs w:val="20"/>
              </w:rPr>
            </w:pPr>
            <w:r w:rsidRPr="00C66C3F">
              <w:rPr>
                <w:rFonts w:ascii="Arial Narrow" w:hAnsi="Arial Narrow"/>
                <w:color w:val="000000"/>
                <w:sz w:val="20"/>
                <w:szCs w:val="20"/>
              </w:rPr>
              <w:t xml:space="preserve">Formal assessment and correction of inhaler technique should be performed in accordance with the National Asthma Council (NAC) Information Paper for Health Professionals on Inhaler Technique (available at </w:t>
            </w:r>
            <w:r w:rsidRPr="00C66C3F">
              <w:rPr>
                <w:rFonts w:ascii="Arial Narrow" w:hAnsi="Arial Narrow"/>
                <w:sz w:val="20"/>
                <w:szCs w:val="20"/>
              </w:rPr>
              <w:t>www.nationalasthma</w:t>
            </w:r>
            <w:r w:rsidRPr="00C66C3F">
              <w:rPr>
                <w:rFonts w:ascii="Arial Narrow" w:hAnsi="Arial Narrow"/>
                <w:color w:val="000000"/>
                <w:sz w:val="20"/>
                <w:szCs w:val="20"/>
              </w:rPr>
              <w:t>.org.au); the assessment and adherence to correct technique should be documented in the patient’s medical records. Patients can obtain support with inhaler technique through their local Asthma Foundation (1800 645 130).</w:t>
            </w:r>
          </w:p>
        </w:tc>
      </w:tr>
      <w:tr w:rsidR="00262553" w:rsidRPr="00133B19" w14:paraId="73C98A80" w14:textId="77777777" w:rsidTr="000343C1">
        <w:trPr>
          <w:gridAfter w:val="1"/>
          <w:wAfter w:w="15" w:type="dxa"/>
          <w:cantSplit/>
          <w:trHeight w:val="499"/>
        </w:trPr>
        <w:tc>
          <w:tcPr>
            <w:tcW w:w="8776" w:type="dxa"/>
            <w:gridSpan w:val="10"/>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0D2176" w14:textId="77777777" w:rsidR="00262553" w:rsidRPr="00133B19" w:rsidRDefault="00262553" w:rsidP="000343C1">
            <w:pPr>
              <w:ind w:left="-57"/>
              <w:rPr>
                <w:rFonts w:ascii="Arial Narrow" w:hAnsi="Arial Narrow"/>
                <w:b/>
                <w:sz w:val="20"/>
                <w:szCs w:val="20"/>
              </w:rPr>
            </w:pPr>
          </w:p>
        </w:tc>
      </w:tr>
      <w:tr w:rsidR="00262553" w:rsidRPr="00133B19" w14:paraId="66DD1A5C" w14:textId="77777777" w:rsidTr="000343C1">
        <w:trPr>
          <w:gridAfter w:val="1"/>
          <w:wAfter w:w="15" w:type="dxa"/>
          <w:cantSplit/>
          <w:trHeight w:val="117"/>
        </w:trPr>
        <w:tc>
          <w:tcPr>
            <w:tcW w:w="8776" w:type="dxa"/>
            <w:gridSpan w:val="10"/>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D35128" w14:textId="77777777" w:rsidR="00262553" w:rsidRPr="00133B19" w:rsidRDefault="00262553" w:rsidP="000343C1">
            <w:pPr>
              <w:ind w:left="-57"/>
              <w:rPr>
                <w:rFonts w:ascii="Arial Narrow" w:hAnsi="Arial Narrow"/>
                <w:b/>
                <w:sz w:val="20"/>
                <w:szCs w:val="20"/>
              </w:rPr>
            </w:pPr>
            <w:r w:rsidRPr="00133B19">
              <w:rPr>
                <w:rFonts w:ascii="Arial Narrow" w:hAnsi="Arial Narrow"/>
                <w:b/>
                <w:sz w:val="20"/>
                <w:szCs w:val="20"/>
              </w:rPr>
              <w:t>Restriction Summary [new2] / Treatment of Concept: [new2A]</w:t>
            </w:r>
          </w:p>
        </w:tc>
      </w:tr>
      <w:tr w:rsidR="00262553" w:rsidRPr="00133B19" w14:paraId="08A04475" w14:textId="77777777" w:rsidTr="000343C1">
        <w:trPr>
          <w:gridAfter w:val="1"/>
          <w:wAfter w:w="15" w:type="dxa"/>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B49296B" w14:textId="77777777" w:rsidR="00262553" w:rsidRPr="00133B19" w:rsidRDefault="00262553" w:rsidP="000343C1">
            <w:pPr>
              <w:jc w:val="center"/>
              <w:rPr>
                <w:rFonts w:ascii="Arial Narrow" w:hAnsi="Arial Narrow"/>
                <w:b/>
                <w:sz w:val="20"/>
                <w:szCs w:val="20"/>
              </w:rPr>
            </w:pPr>
            <w:r w:rsidRPr="00133B19">
              <w:rPr>
                <w:rFonts w:ascii="Arial Narrow" w:hAnsi="Arial Narrow"/>
                <w:b/>
                <w:sz w:val="20"/>
                <w:szCs w:val="20"/>
              </w:rPr>
              <w:t xml:space="preserve">Concept ID </w:t>
            </w:r>
            <w:r w:rsidRPr="00133B19">
              <w:rPr>
                <w:rFonts w:ascii="Arial Narrow" w:hAnsi="Arial Narrow"/>
                <w:sz w:val="20"/>
                <w:szCs w:val="20"/>
              </w:rPr>
              <w:t>(for internal Dept. use)</w:t>
            </w: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C6BA39" w14:textId="77777777" w:rsidR="00262553" w:rsidRPr="00133B19" w:rsidRDefault="00262553" w:rsidP="000343C1">
            <w:pPr>
              <w:keepLines/>
              <w:rPr>
                <w:rFonts w:ascii="Arial Narrow" w:eastAsia="Calibri" w:hAnsi="Arial Narrow"/>
                <w:sz w:val="20"/>
                <w:szCs w:val="20"/>
              </w:rPr>
            </w:pPr>
            <w:r w:rsidRPr="00133B19">
              <w:rPr>
                <w:rFonts w:ascii="Arial Narrow" w:hAnsi="Arial Narrow"/>
                <w:b/>
                <w:sz w:val="20"/>
                <w:szCs w:val="20"/>
              </w:rPr>
              <w:t>Category / Program:</w:t>
            </w:r>
            <w:r w:rsidRPr="00133B19">
              <w:rPr>
                <w:rFonts w:ascii="Arial Narrow" w:hAnsi="Arial Narrow"/>
                <w:sz w:val="20"/>
                <w:szCs w:val="20"/>
              </w:rPr>
              <w:t xml:space="preserve"> </w:t>
            </w:r>
          </w:p>
          <w:p w14:paraId="72E2FA11" w14:textId="77777777" w:rsidR="00262553" w:rsidRPr="00133B19" w:rsidRDefault="00262553" w:rsidP="000343C1">
            <w:pPr>
              <w:keepLines/>
              <w:rPr>
                <w:rFonts w:ascii="Arial Narrow" w:hAnsi="Arial Narrow"/>
                <w:b/>
                <w:sz w:val="20"/>
                <w:szCs w:val="20"/>
              </w:rPr>
            </w:pPr>
            <w:r w:rsidRPr="00133B19">
              <w:rPr>
                <w:rFonts w:ascii="Arial Narrow" w:eastAsia="Calibri" w:hAnsi="Arial Narrow"/>
                <w:sz w:val="20"/>
                <w:szCs w:val="20"/>
              </w:rPr>
              <w:fldChar w:fldCharType="begin">
                <w:ffData>
                  <w:name w:val=""/>
                  <w:enabled/>
                  <w:calcOnExit w:val="0"/>
                  <w:checkBox>
                    <w:sizeAuto/>
                    <w:default w:val="1"/>
                  </w:checkBox>
                </w:ffData>
              </w:fldChar>
            </w:r>
            <w:r w:rsidRPr="00133B19">
              <w:rPr>
                <w:rFonts w:ascii="Arial Narrow" w:eastAsia="Calibri" w:hAnsi="Arial Narrow"/>
                <w:sz w:val="20"/>
                <w:szCs w:val="20"/>
              </w:rPr>
              <w:instrText xml:space="preserve"> FORMCHECKBOX </w:instrText>
            </w:r>
            <w:r w:rsidRPr="00133B19">
              <w:rPr>
                <w:rFonts w:ascii="Arial Narrow" w:eastAsia="Calibri" w:hAnsi="Arial Narrow"/>
                <w:sz w:val="20"/>
                <w:szCs w:val="20"/>
              </w:rPr>
            </w:r>
            <w:r w:rsidRPr="00133B19">
              <w:rPr>
                <w:rFonts w:ascii="Arial Narrow" w:eastAsia="Calibri" w:hAnsi="Arial Narrow"/>
                <w:sz w:val="20"/>
                <w:szCs w:val="20"/>
              </w:rPr>
              <w:fldChar w:fldCharType="separate"/>
            </w:r>
            <w:r w:rsidRPr="00133B19">
              <w:rPr>
                <w:rFonts w:ascii="Arial Narrow" w:eastAsia="Calibri" w:hAnsi="Arial Narrow"/>
                <w:sz w:val="20"/>
                <w:szCs w:val="20"/>
              </w:rPr>
              <w:fldChar w:fldCharType="end"/>
            </w:r>
            <w:r w:rsidRPr="00133B19">
              <w:rPr>
                <w:rFonts w:ascii="Arial Narrow" w:eastAsia="Calibri" w:hAnsi="Arial Narrow"/>
                <w:sz w:val="20"/>
                <w:szCs w:val="20"/>
              </w:rPr>
              <w:t xml:space="preserve"> Section 100 – Highly Specialised Drugs Program – Public (Code HB) / Private (Code HS)</w:t>
            </w:r>
          </w:p>
        </w:tc>
      </w:tr>
      <w:tr w:rsidR="00262553" w:rsidRPr="00133B19" w14:paraId="53C39D6B" w14:textId="77777777" w:rsidTr="000343C1">
        <w:trPr>
          <w:gridAfter w:val="1"/>
          <w:wAfter w:w="15" w:type="dxa"/>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76EEDBC" w14:textId="77777777" w:rsidR="00262553" w:rsidRPr="00133B19" w:rsidRDefault="00262553" w:rsidP="000343C1">
            <w:pP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A305BC" w14:textId="77777777" w:rsidR="00262553" w:rsidRPr="00133B19" w:rsidRDefault="00262553" w:rsidP="000343C1">
            <w:pPr>
              <w:keepLines/>
              <w:rPr>
                <w:rFonts w:ascii="Arial Narrow" w:hAnsi="Arial Narrow"/>
                <w:b/>
                <w:sz w:val="20"/>
                <w:szCs w:val="20"/>
              </w:rPr>
            </w:pPr>
            <w:r w:rsidRPr="00133B19">
              <w:rPr>
                <w:rFonts w:ascii="Arial Narrow" w:hAnsi="Arial Narrow"/>
                <w:b/>
                <w:sz w:val="20"/>
                <w:szCs w:val="20"/>
              </w:rPr>
              <w:t xml:space="preserve">Prescriber type: </w:t>
            </w:r>
          </w:p>
          <w:p w14:paraId="1A1FDF3B" w14:textId="77777777" w:rsidR="00262553" w:rsidRPr="00133B19" w:rsidRDefault="00262553" w:rsidP="000343C1">
            <w:pPr>
              <w:keepLines/>
              <w:rPr>
                <w:rFonts w:ascii="Arial Narrow" w:hAnsi="Arial Narrow"/>
                <w:b/>
                <w:sz w:val="20"/>
                <w:szCs w:val="20"/>
              </w:rPr>
            </w:pPr>
            <w:r w:rsidRPr="00133B19">
              <w:rPr>
                <w:rFonts w:ascii="Arial Narrow" w:hAnsi="Arial Narrow"/>
                <w:sz w:val="20"/>
                <w:szCs w:val="20"/>
              </w:rPr>
              <w:fldChar w:fldCharType="begin">
                <w:ffData>
                  <w:name w:val=""/>
                  <w:enabled/>
                  <w:calcOnExit w:val="0"/>
                  <w:checkBox>
                    <w:sizeAuto/>
                    <w:default w:val="1"/>
                  </w:checkBox>
                </w:ffData>
              </w:fldChar>
            </w:r>
            <w:r w:rsidRPr="00133B19">
              <w:rPr>
                <w:rFonts w:ascii="Arial Narrow" w:hAnsi="Arial Narrow"/>
                <w:sz w:val="20"/>
                <w:szCs w:val="20"/>
              </w:rPr>
              <w:instrText xml:space="preserve"> FORMCHECKBOX </w:instrText>
            </w:r>
            <w:r w:rsidRPr="00133B19">
              <w:rPr>
                <w:rFonts w:ascii="Arial Narrow" w:hAnsi="Arial Narrow"/>
                <w:sz w:val="20"/>
                <w:szCs w:val="20"/>
              </w:rPr>
            </w:r>
            <w:r w:rsidRPr="00133B19">
              <w:rPr>
                <w:rFonts w:ascii="Arial Narrow" w:hAnsi="Arial Narrow"/>
                <w:sz w:val="20"/>
                <w:szCs w:val="20"/>
              </w:rPr>
              <w:fldChar w:fldCharType="separate"/>
            </w:r>
            <w:r w:rsidRPr="00133B19">
              <w:rPr>
                <w:rFonts w:ascii="Arial Narrow" w:hAnsi="Arial Narrow"/>
                <w:sz w:val="20"/>
                <w:szCs w:val="20"/>
              </w:rPr>
              <w:fldChar w:fldCharType="end"/>
            </w:r>
            <w:r w:rsidRPr="00133B19">
              <w:rPr>
                <w:rFonts w:ascii="Arial Narrow" w:hAnsi="Arial Narrow"/>
                <w:sz w:val="20"/>
                <w:szCs w:val="20"/>
              </w:rPr>
              <w:t xml:space="preserve">Medical Practitioners </w:t>
            </w:r>
          </w:p>
        </w:tc>
      </w:tr>
      <w:tr w:rsidR="00262553" w:rsidRPr="00133B19" w14:paraId="4D9CE320" w14:textId="77777777" w:rsidTr="000343C1">
        <w:trPr>
          <w:gridAfter w:val="1"/>
          <w:wAfter w:w="15" w:type="dxa"/>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27AFA8D" w14:textId="77777777" w:rsidR="00262553" w:rsidRPr="00133B19" w:rsidRDefault="00262553" w:rsidP="000343C1">
            <w:pP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EA9D30" w14:textId="77777777" w:rsidR="00262553" w:rsidRPr="00133B19" w:rsidRDefault="00262553" w:rsidP="00B5356A">
            <w:pPr>
              <w:keepLines/>
              <w:jc w:val="left"/>
              <w:rPr>
                <w:rFonts w:ascii="Arial Narrow" w:hAnsi="Arial Narrow"/>
                <w:b/>
                <w:sz w:val="20"/>
                <w:szCs w:val="20"/>
              </w:rPr>
            </w:pPr>
            <w:r w:rsidRPr="00133B19">
              <w:rPr>
                <w:rFonts w:ascii="Arial Narrow" w:hAnsi="Arial Narrow"/>
                <w:b/>
                <w:sz w:val="20"/>
                <w:szCs w:val="20"/>
              </w:rPr>
              <w:t>Restriction</w:t>
            </w:r>
            <w:r>
              <w:rPr>
                <w:rFonts w:ascii="Arial Narrow" w:hAnsi="Arial Narrow"/>
                <w:b/>
                <w:sz w:val="20"/>
                <w:szCs w:val="20"/>
              </w:rPr>
              <w:t xml:space="preserve"> </w:t>
            </w:r>
            <w:r w:rsidRPr="00133B19">
              <w:rPr>
                <w:rFonts w:ascii="Arial Narrow" w:hAnsi="Arial Narrow"/>
                <w:b/>
                <w:sz w:val="20"/>
                <w:szCs w:val="20"/>
              </w:rPr>
              <w:t xml:space="preserve">type: </w:t>
            </w:r>
            <w:r w:rsidRPr="00133B19">
              <w:rPr>
                <w:rFonts w:ascii="Arial Narrow" w:eastAsia="Calibri" w:hAnsi="Arial Narrow"/>
                <w:sz w:val="20"/>
                <w:szCs w:val="20"/>
              </w:rPr>
              <w:br/>
            </w:r>
            <w:r w:rsidRPr="00133B19">
              <w:rPr>
                <w:rFonts w:ascii="Arial Narrow" w:eastAsia="Calibri" w:hAnsi="Arial Narrow"/>
                <w:sz w:val="20"/>
                <w:szCs w:val="20"/>
              </w:rPr>
              <w:fldChar w:fldCharType="begin">
                <w:ffData>
                  <w:name w:val=""/>
                  <w:enabled/>
                  <w:calcOnExit w:val="0"/>
                  <w:checkBox>
                    <w:sizeAuto/>
                    <w:default w:val="1"/>
                  </w:checkBox>
                </w:ffData>
              </w:fldChar>
            </w:r>
            <w:r w:rsidRPr="00133B19">
              <w:rPr>
                <w:rFonts w:ascii="Arial Narrow" w:eastAsia="Calibri" w:hAnsi="Arial Narrow"/>
                <w:sz w:val="20"/>
                <w:szCs w:val="20"/>
              </w:rPr>
              <w:instrText xml:space="preserve"> FORMCHECKBOX </w:instrText>
            </w:r>
            <w:r w:rsidRPr="00133B19">
              <w:rPr>
                <w:rFonts w:ascii="Arial Narrow" w:eastAsia="Calibri" w:hAnsi="Arial Narrow"/>
                <w:sz w:val="20"/>
                <w:szCs w:val="20"/>
              </w:rPr>
            </w:r>
            <w:r w:rsidRPr="00133B19">
              <w:rPr>
                <w:rFonts w:ascii="Arial Narrow" w:eastAsia="Calibri" w:hAnsi="Arial Narrow"/>
                <w:sz w:val="20"/>
                <w:szCs w:val="20"/>
              </w:rPr>
              <w:fldChar w:fldCharType="separate"/>
            </w:r>
            <w:r w:rsidRPr="00133B19">
              <w:rPr>
                <w:rFonts w:ascii="Arial Narrow" w:eastAsia="Calibri" w:hAnsi="Arial Narrow"/>
                <w:sz w:val="20"/>
                <w:szCs w:val="20"/>
              </w:rPr>
              <w:fldChar w:fldCharType="end"/>
            </w:r>
            <w:r w:rsidRPr="00133B19">
              <w:rPr>
                <w:rFonts w:ascii="Arial Narrow" w:eastAsia="Calibri" w:hAnsi="Arial Narrow"/>
                <w:sz w:val="20"/>
                <w:szCs w:val="20"/>
              </w:rPr>
              <w:t xml:space="preserve">Authority Required (FULL assessment) in writing only via OPA/post/HPOS upload) </w:t>
            </w:r>
          </w:p>
        </w:tc>
      </w:tr>
      <w:tr w:rsidR="00262553" w:rsidRPr="00133B19" w14:paraId="08F28B9B" w14:textId="77777777" w:rsidTr="000343C1">
        <w:trPr>
          <w:gridAfter w:val="1"/>
          <w:wAfter w:w="15" w:type="dxa"/>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6C20E4E" w14:textId="77777777" w:rsidR="00262553" w:rsidRPr="00133B19" w:rsidRDefault="00262553" w:rsidP="000343C1">
            <w:pP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AB8B59" w14:textId="77777777" w:rsidR="00262553" w:rsidRPr="00133B19" w:rsidRDefault="00262553" w:rsidP="000343C1">
            <w:pPr>
              <w:keepLines/>
              <w:rPr>
                <w:rFonts w:ascii="Arial Narrow" w:eastAsia="Calibri" w:hAnsi="Arial Narrow"/>
                <w:sz w:val="20"/>
                <w:szCs w:val="20"/>
              </w:rPr>
            </w:pPr>
            <w:r w:rsidRPr="00133B19">
              <w:rPr>
                <w:rFonts w:ascii="Arial Narrow" w:hAnsi="Arial Narrow"/>
                <w:b/>
                <w:sz w:val="20"/>
                <w:szCs w:val="20"/>
              </w:rPr>
              <w:t xml:space="preserve">Authority type: </w:t>
            </w:r>
          </w:p>
          <w:p w14:paraId="290D93F9" w14:textId="77777777" w:rsidR="00262553" w:rsidRPr="00133B19" w:rsidRDefault="00262553" w:rsidP="000343C1">
            <w:pPr>
              <w:keepLines/>
              <w:rPr>
                <w:rFonts w:ascii="Arial Narrow" w:hAnsi="Arial Narrow"/>
                <w:b/>
                <w:sz w:val="20"/>
                <w:szCs w:val="20"/>
              </w:rPr>
            </w:pPr>
            <w:r w:rsidRPr="00133B19">
              <w:rPr>
                <w:rFonts w:ascii="Arial Narrow" w:eastAsia="Calibri" w:hAnsi="Arial Narrow"/>
                <w:sz w:val="20"/>
                <w:szCs w:val="20"/>
              </w:rPr>
              <w:fldChar w:fldCharType="begin">
                <w:ffData>
                  <w:name w:val=""/>
                  <w:enabled/>
                  <w:calcOnExit w:val="0"/>
                  <w:checkBox>
                    <w:sizeAuto/>
                    <w:default w:val="1"/>
                  </w:checkBox>
                </w:ffData>
              </w:fldChar>
            </w:r>
            <w:r w:rsidRPr="00133B19">
              <w:rPr>
                <w:rFonts w:ascii="Arial Narrow" w:eastAsia="Calibri" w:hAnsi="Arial Narrow"/>
                <w:sz w:val="20"/>
                <w:szCs w:val="20"/>
              </w:rPr>
              <w:instrText xml:space="preserve"> FORMCHECKBOX </w:instrText>
            </w:r>
            <w:r w:rsidRPr="00133B19">
              <w:rPr>
                <w:rFonts w:ascii="Arial Narrow" w:eastAsia="Calibri" w:hAnsi="Arial Narrow"/>
                <w:sz w:val="20"/>
                <w:szCs w:val="20"/>
              </w:rPr>
            </w:r>
            <w:r w:rsidRPr="00133B19">
              <w:rPr>
                <w:rFonts w:ascii="Arial Narrow" w:eastAsia="Calibri" w:hAnsi="Arial Narrow"/>
                <w:sz w:val="20"/>
                <w:szCs w:val="20"/>
              </w:rPr>
              <w:fldChar w:fldCharType="separate"/>
            </w:r>
            <w:r w:rsidRPr="00133B19">
              <w:rPr>
                <w:rFonts w:ascii="Arial Narrow" w:eastAsia="Calibri" w:hAnsi="Arial Narrow"/>
                <w:sz w:val="20"/>
                <w:szCs w:val="20"/>
              </w:rPr>
              <w:fldChar w:fldCharType="end"/>
            </w:r>
            <w:r w:rsidRPr="00133B19">
              <w:rPr>
                <w:rFonts w:ascii="Arial Narrow" w:eastAsia="Calibri" w:hAnsi="Arial Narrow"/>
                <w:sz w:val="20"/>
                <w:szCs w:val="20"/>
              </w:rPr>
              <w:t xml:space="preserve"> Complex Authority Required (CAR)</w:t>
            </w:r>
          </w:p>
        </w:tc>
      </w:tr>
      <w:tr w:rsidR="00262553" w:rsidRPr="00133B19" w14:paraId="5B69A2AC" w14:textId="77777777" w:rsidTr="000343C1">
        <w:trPr>
          <w:gridAfter w:val="1"/>
          <w:wAfter w:w="15" w:type="dxa"/>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E26C1C" w14:textId="77777777" w:rsidR="00262553" w:rsidRPr="00133B19" w:rsidRDefault="00262553" w:rsidP="000343C1">
            <w:pP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5A4DDC" w14:textId="77777777" w:rsidR="00262553" w:rsidRPr="00133B19" w:rsidRDefault="00262553" w:rsidP="000343C1">
            <w:pPr>
              <w:keepLines/>
              <w:rPr>
                <w:rFonts w:ascii="Arial Narrow" w:hAnsi="Arial Narrow"/>
                <w:b/>
                <w:sz w:val="20"/>
                <w:szCs w:val="20"/>
              </w:rPr>
            </w:pPr>
            <w:proofErr w:type="spellStart"/>
            <w:r w:rsidRPr="00133B19">
              <w:rPr>
                <w:rFonts w:ascii="Arial Narrow" w:hAnsi="Arial Narrow"/>
                <w:b/>
                <w:bCs/>
                <w:color w:val="BFBFBF"/>
                <w:sz w:val="20"/>
                <w:szCs w:val="20"/>
              </w:rPr>
              <w:t>Episodicity</w:t>
            </w:r>
            <w:proofErr w:type="spellEnd"/>
            <w:r w:rsidRPr="00133B19">
              <w:rPr>
                <w:rFonts w:ascii="Arial Narrow" w:hAnsi="Arial Narrow"/>
                <w:b/>
                <w:bCs/>
                <w:color w:val="BFBFBF"/>
                <w:sz w:val="20"/>
                <w:szCs w:val="20"/>
              </w:rPr>
              <w:t>:</w:t>
            </w:r>
            <w:r w:rsidRPr="00133B19">
              <w:rPr>
                <w:rFonts w:ascii="Arial Narrow" w:hAnsi="Arial Narrow"/>
                <w:color w:val="BFBFBF"/>
                <w:sz w:val="20"/>
                <w:szCs w:val="20"/>
              </w:rPr>
              <w:t xml:space="preserve"> Active</w:t>
            </w:r>
          </w:p>
        </w:tc>
      </w:tr>
      <w:tr w:rsidR="00262553" w:rsidRPr="00133B19" w14:paraId="23E3ED15" w14:textId="77777777" w:rsidTr="000343C1">
        <w:trPr>
          <w:gridAfter w:val="1"/>
          <w:wAfter w:w="15" w:type="dxa"/>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9291B3" w14:textId="77777777" w:rsidR="00262553" w:rsidRPr="00133B19" w:rsidRDefault="00262553" w:rsidP="000343C1">
            <w:pP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EC6B79" w14:textId="77777777" w:rsidR="00262553" w:rsidRPr="00133B19" w:rsidRDefault="00262553" w:rsidP="000343C1">
            <w:pPr>
              <w:keepLines/>
              <w:rPr>
                <w:rFonts w:ascii="Arial Narrow" w:hAnsi="Arial Narrow"/>
                <w:b/>
                <w:sz w:val="20"/>
                <w:szCs w:val="20"/>
              </w:rPr>
            </w:pPr>
            <w:r w:rsidRPr="00133B19">
              <w:rPr>
                <w:rFonts w:ascii="Arial Narrow" w:hAnsi="Arial Narrow"/>
                <w:b/>
                <w:bCs/>
                <w:color w:val="BFBFBF"/>
                <w:sz w:val="20"/>
                <w:szCs w:val="20"/>
              </w:rPr>
              <w:t>Severity:</w:t>
            </w:r>
            <w:r w:rsidRPr="00133B19">
              <w:rPr>
                <w:rFonts w:ascii="Arial Narrow" w:hAnsi="Arial Narrow"/>
                <w:color w:val="BFBFBF"/>
                <w:sz w:val="20"/>
                <w:szCs w:val="20"/>
              </w:rPr>
              <w:t xml:space="preserve"> Uncontrolled Severe</w:t>
            </w:r>
          </w:p>
        </w:tc>
      </w:tr>
      <w:tr w:rsidR="00262553" w:rsidRPr="00133B19" w14:paraId="17705323"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A0AF639" w14:textId="5A2D14D6" w:rsidR="00262553" w:rsidRPr="00133B19" w:rsidRDefault="00262553" w:rsidP="000343C1">
            <w:pPr>
              <w:keepLines/>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94E05F" w14:textId="77777777" w:rsidR="00262553" w:rsidRPr="00133B19" w:rsidRDefault="00262553" w:rsidP="000343C1">
            <w:pPr>
              <w:keepLines/>
              <w:rPr>
                <w:rFonts w:ascii="Arial Narrow" w:hAnsi="Arial Narrow"/>
                <w:b/>
                <w:bCs/>
                <w:sz w:val="20"/>
                <w:szCs w:val="20"/>
              </w:rPr>
            </w:pPr>
            <w:r w:rsidRPr="00133B19">
              <w:rPr>
                <w:rFonts w:ascii="Arial Narrow" w:hAnsi="Arial Narrow"/>
                <w:b/>
                <w:bCs/>
                <w:sz w:val="20"/>
                <w:szCs w:val="20"/>
              </w:rPr>
              <w:t>Indication:</w:t>
            </w:r>
            <w:r w:rsidRPr="00133B19">
              <w:rPr>
                <w:rFonts w:ascii="Arial Narrow" w:hAnsi="Arial Narrow"/>
                <w:sz w:val="20"/>
                <w:szCs w:val="20"/>
              </w:rPr>
              <w:t xml:space="preserve"> Uncontrolled severe asthma</w:t>
            </w:r>
          </w:p>
        </w:tc>
      </w:tr>
      <w:tr w:rsidR="00262553" w:rsidRPr="00133B19" w14:paraId="5DE89C0E"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322926" w14:textId="77777777"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6182ED" w14:textId="77777777" w:rsidR="00262553" w:rsidRPr="00133B19" w:rsidRDefault="00262553" w:rsidP="000343C1">
            <w:pPr>
              <w:rPr>
                <w:rFonts w:ascii="Arial Narrow" w:hAnsi="Arial Narrow"/>
                <w:b/>
                <w:bCs/>
                <w:sz w:val="20"/>
                <w:szCs w:val="20"/>
              </w:rPr>
            </w:pPr>
            <w:r w:rsidRPr="00133B19">
              <w:rPr>
                <w:rFonts w:ascii="Arial Narrow" w:hAnsi="Arial Narrow"/>
                <w:b/>
                <w:bCs/>
                <w:sz w:val="20"/>
                <w:szCs w:val="20"/>
              </w:rPr>
              <w:t>Treatment Phase:</w:t>
            </w:r>
            <w:r w:rsidRPr="00133B19">
              <w:rPr>
                <w:rFonts w:ascii="Arial Narrow" w:hAnsi="Arial Narrow"/>
                <w:sz w:val="20"/>
                <w:szCs w:val="20"/>
              </w:rPr>
              <w:t xml:space="preserve"> Initial treatment – Initial 2 (Change of treatment)</w:t>
            </w:r>
          </w:p>
        </w:tc>
      </w:tr>
      <w:tr w:rsidR="00262553" w:rsidRPr="00133B19" w14:paraId="12A0EE71"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B7BCBF" w14:textId="0E852BFD"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D0C84D" w14:textId="77777777" w:rsidR="00262553" w:rsidRPr="00133B19" w:rsidRDefault="00262553" w:rsidP="000343C1">
            <w:pPr>
              <w:rPr>
                <w:rFonts w:ascii="Arial Narrow" w:hAnsi="Arial Narrow"/>
                <w:b/>
                <w:bCs/>
                <w:sz w:val="20"/>
                <w:szCs w:val="20"/>
              </w:rPr>
            </w:pPr>
            <w:r w:rsidRPr="00133B19">
              <w:rPr>
                <w:rFonts w:ascii="Arial Narrow" w:hAnsi="Arial Narrow"/>
                <w:b/>
                <w:bCs/>
                <w:sz w:val="20"/>
                <w:szCs w:val="20"/>
              </w:rPr>
              <w:t>Clinical criteria:</w:t>
            </w:r>
          </w:p>
        </w:tc>
      </w:tr>
      <w:tr w:rsidR="00262553" w:rsidRPr="00133B19" w14:paraId="7422272D"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2E82EEE" w14:textId="25F53F03"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5D3E0B" w14:textId="77777777" w:rsidR="00262553" w:rsidRPr="00133B19" w:rsidRDefault="00262553" w:rsidP="000343C1">
            <w:pPr>
              <w:rPr>
                <w:rFonts w:ascii="Arial Narrow" w:eastAsia="Aptos" w:hAnsi="Arial Narrow"/>
                <w:sz w:val="20"/>
                <w:szCs w:val="20"/>
              </w:rPr>
            </w:pPr>
            <w:r w:rsidRPr="00133B19">
              <w:rPr>
                <w:rFonts w:ascii="Arial Narrow" w:eastAsia="Aptos" w:hAnsi="Arial Narrow"/>
                <w:sz w:val="20"/>
                <w:szCs w:val="20"/>
              </w:rPr>
              <w:t xml:space="preserve">Patient must be under the care of the same physician for at least 6 months; </w:t>
            </w:r>
          </w:p>
        </w:tc>
      </w:tr>
      <w:tr w:rsidR="00262553" w:rsidRPr="00133B19" w14:paraId="4272D2E2"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D45DADD" w14:textId="77777777"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EA3151" w14:textId="77777777" w:rsidR="00262553" w:rsidRPr="00133B19" w:rsidRDefault="00262553" w:rsidP="000343C1">
            <w:pPr>
              <w:rPr>
                <w:rFonts w:ascii="Arial Narrow" w:eastAsia="Aptos" w:hAnsi="Arial Narrow"/>
                <w:b/>
                <w:bCs/>
                <w:sz w:val="20"/>
                <w:szCs w:val="20"/>
              </w:rPr>
            </w:pPr>
            <w:r w:rsidRPr="00133B19">
              <w:rPr>
                <w:rFonts w:ascii="Arial Narrow" w:eastAsia="Aptos" w:hAnsi="Arial Narrow"/>
                <w:b/>
                <w:bCs/>
                <w:sz w:val="20"/>
                <w:szCs w:val="20"/>
              </w:rPr>
              <w:t>OR</w:t>
            </w:r>
          </w:p>
        </w:tc>
      </w:tr>
      <w:tr w:rsidR="00262553" w:rsidRPr="00133B19" w14:paraId="31C4563F"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10F581" w14:textId="4C7F0F1C"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7A721B2" w14:textId="77777777" w:rsidR="00262553" w:rsidRPr="00133B19" w:rsidRDefault="00262553" w:rsidP="000343C1">
            <w:pPr>
              <w:rPr>
                <w:rFonts w:ascii="Arial Narrow" w:eastAsia="Aptos" w:hAnsi="Arial Narrow"/>
                <w:sz w:val="20"/>
                <w:szCs w:val="20"/>
              </w:rPr>
            </w:pPr>
            <w:r w:rsidRPr="00133B19">
              <w:rPr>
                <w:rFonts w:ascii="Arial Narrow" w:eastAsia="Aptos" w:hAnsi="Arial Narrow"/>
                <w:sz w:val="20"/>
                <w:szCs w:val="20"/>
              </w:rPr>
              <w:t>Patient must have been diagnosed by a multidisciplinary severe asthma clinic team.</w:t>
            </w:r>
          </w:p>
        </w:tc>
      </w:tr>
      <w:tr w:rsidR="00262553" w:rsidRPr="00133B19" w14:paraId="7D065AA5"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2D8BA6" w14:textId="77777777"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533432" w14:textId="77777777" w:rsidR="00262553" w:rsidRPr="00133B19" w:rsidRDefault="00262553" w:rsidP="000343C1">
            <w:pPr>
              <w:rPr>
                <w:rFonts w:ascii="Arial Narrow" w:hAnsi="Arial Narrow"/>
                <w:b/>
                <w:bCs/>
                <w:sz w:val="20"/>
                <w:szCs w:val="20"/>
              </w:rPr>
            </w:pPr>
            <w:r w:rsidRPr="00133B19">
              <w:rPr>
                <w:rFonts w:ascii="Arial Narrow" w:hAnsi="Arial Narrow"/>
                <w:b/>
                <w:bCs/>
                <w:sz w:val="20"/>
                <w:szCs w:val="20"/>
              </w:rPr>
              <w:t>AND</w:t>
            </w:r>
          </w:p>
        </w:tc>
      </w:tr>
      <w:tr w:rsidR="00262553" w:rsidRPr="00133B19" w14:paraId="6BEF327F"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D06F23" w14:textId="417387C7"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449405" w14:textId="77777777" w:rsidR="00262553" w:rsidRPr="00133B19" w:rsidRDefault="00262553" w:rsidP="000343C1">
            <w:pPr>
              <w:rPr>
                <w:rFonts w:ascii="Arial Narrow" w:hAnsi="Arial Narrow"/>
                <w:b/>
                <w:bCs/>
                <w:sz w:val="20"/>
                <w:szCs w:val="20"/>
              </w:rPr>
            </w:pPr>
            <w:r w:rsidRPr="00133B19">
              <w:rPr>
                <w:rFonts w:ascii="Arial Narrow" w:hAnsi="Arial Narrow"/>
                <w:b/>
                <w:bCs/>
                <w:sz w:val="20"/>
                <w:szCs w:val="20"/>
              </w:rPr>
              <w:t>Clinical criteria:</w:t>
            </w:r>
          </w:p>
        </w:tc>
      </w:tr>
      <w:tr w:rsidR="00262553" w:rsidRPr="00133B19" w14:paraId="18CE9AD5"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711232" w14:textId="082CB8A2"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D3DCE8" w14:textId="77777777" w:rsidR="00262553" w:rsidRPr="00133B19" w:rsidRDefault="00262553" w:rsidP="000343C1">
            <w:pPr>
              <w:rPr>
                <w:rFonts w:ascii="Arial Narrow" w:eastAsia="Aptos" w:hAnsi="Arial Narrow"/>
                <w:sz w:val="20"/>
                <w:szCs w:val="20"/>
              </w:rPr>
            </w:pPr>
            <w:r w:rsidRPr="00133B19">
              <w:rPr>
                <w:rFonts w:ascii="Arial Narrow" w:eastAsia="Aptos" w:hAnsi="Arial Narrow"/>
                <w:sz w:val="20"/>
                <w:szCs w:val="20"/>
              </w:rPr>
              <w:t>Patient must have received prior PBS-subsidised treatment with a biological medicine for severe asthma in this treatment cycle.</w:t>
            </w:r>
          </w:p>
        </w:tc>
      </w:tr>
      <w:tr w:rsidR="00262553" w:rsidRPr="00133B19" w14:paraId="5925036C"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169C18" w14:textId="77777777" w:rsidR="00262553" w:rsidRPr="00133B19" w:rsidRDefault="00262553" w:rsidP="000343C1">
            <w:pPr>
              <w:jc w:val="center"/>
              <w:rPr>
                <w:rFonts w:ascii="Arial Narrow" w:hAnsi="Arial Narrow"/>
                <w:color w:val="000000"/>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6F1FD6" w14:textId="77777777" w:rsidR="00262553" w:rsidRPr="00133B19" w:rsidRDefault="00262553" w:rsidP="000343C1">
            <w:pPr>
              <w:rPr>
                <w:rFonts w:ascii="Arial Narrow" w:hAnsi="Arial Narrow"/>
                <w:b/>
                <w:bCs/>
                <w:color w:val="000000"/>
                <w:sz w:val="20"/>
                <w:szCs w:val="20"/>
              </w:rPr>
            </w:pPr>
            <w:r w:rsidRPr="00133B19">
              <w:rPr>
                <w:rFonts w:ascii="Arial Narrow" w:hAnsi="Arial Narrow"/>
                <w:b/>
                <w:bCs/>
                <w:color w:val="000000"/>
                <w:sz w:val="20"/>
                <w:szCs w:val="20"/>
              </w:rPr>
              <w:t>AND</w:t>
            </w:r>
          </w:p>
        </w:tc>
      </w:tr>
      <w:tr w:rsidR="00262553" w:rsidRPr="00133B19" w14:paraId="156617CB"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01264A" w14:textId="36B3E270" w:rsidR="00262553" w:rsidRPr="00133B19" w:rsidRDefault="00262553" w:rsidP="000343C1">
            <w:pPr>
              <w:jc w:val="center"/>
              <w:rPr>
                <w:rFonts w:ascii="Arial Narrow" w:hAnsi="Arial Narrow"/>
                <w:color w:val="000000"/>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26DFD7" w14:textId="77777777" w:rsidR="00262553" w:rsidRPr="00133B19" w:rsidRDefault="00262553" w:rsidP="000343C1">
            <w:pPr>
              <w:rPr>
                <w:rFonts w:ascii="Arial Narrow" w:hAnsi="Arial Narrow"/>
                <w:b/>
                <w:bCs/>
                <w:color w:val="000000"/>
                <w:sz w:val="20"/>
                <w:szCs w:val="20"/>
              </w:rPr>
            </w:pPr>
            <w:r w:rsidRPr="00133B19">
              <w:rPr>
                <w:rFonts w:ascii="Arial Narrow" w:hAnsi="Arial Narrow"/>
                <w:b/>
                <w:bCs/>
                <w:color w:val="000000"/>
                <w:sz w:val="20"/>
                <w:szCs w:val="20"/>
              </w:rPr>
              <w:t>Clinical criteria:</w:t>
            </w:r>
          </w:p>
        </w:tc>
      </w:tr>
      <w:tr w:rsidR="00262553" w:rsidRPr="00133B19" w14:paraId="1A529C09"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AB94AD" w14:textId="594F688B" w:rsidR="00262553" w:rsidRPr="00133B19" w:rsidRDefault="00262553" w:rsidP="000343C1">
            <w:pPr>
              <w:jc w:val="center"/>
              <w:rPr>
                <w:rFonts w:ascii="Arial Narrow" w:hAnsi="Arial Narrow"/>
                <w:color w:val="000000"/>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7360BA" w14:textId="77777777" w:rsidR="00262553" w:rsidRPr="00133B19" w:rsidRDefault="00262553" w:rsidP="000343C1">
            <w:pPr>
              <w:rPr>
                <w:rFonts w:ascii="Arial Narrow" w:eastAsia="Aptos" w:hAnsi="Arial Narrow"/>
                <w:color w:val="000000"/>
                <w:sz w:val="20"/>
                <w:szCs w:val="20"/>
              </w:rPr>
            </w:pPr>
            <w:r w:rsidRPr="00133B19">
              <w:rPr>
                <w:rFonts w:ascii="Arial Narrow" w:eastAsia="Aptos" w:hAnsi="Arial Narrow"/>
                <w:color w:val="000000"/>
                <w:sz w:val="20"/>
                <w:szCs w:val="20"/>
              </w:rPr>
              <w:t>Patient must not have failed, or ceased to respond to, PBS-subsidised treatment with this drug for severe asthma during the current treatment cycle.</w:t>
            </w:r>
          </w:p>
        </w:tc>
      </w:tr>
      <w:tr w:rsidR="00262553" w:rsidRPr="00133B19" w14:paraId="329E39C0"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38BE4A" w14:textId="77777777"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E8FF7E" w14:textId="77777777" w:rsidR="00262553" w:rsidRPr="00133B19" w:rsidRDefault="00262553" w:rsidP="000343C1">
            <w:pPr>
              <w:rPr>
                <w:rFonts w:ascii="Arial Narrow" w:hAnsi="Arial Narrow"/>
                <w:b/>
                <w:bCs/>
                <w:sz w:val="20"/>
                <w:szCs w:val="20"/>
              </w:rPr>
            </w:pPr>
            <w:r w:rsidRPr="00133B19">
              <w:rPr>
                <w:rFonts w:ascii="Arial Narrow" w:hAnsi="Arial Narrow"/>
                <w:b/>
                <w:bCs/>
                <w:sz w:val="20"/>
                <w:szCs w:val="20"/>
              </w:rPr>
              <w:t>AND</w:t>
            </w:r>
          </w:p>
        </w:tc>
      </w:tr>
      <w:tr w:rsidR="00262553" w:rsidRPr="00133B19" w14:paraId="0DEC98FC"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1A3E55" w14:textId="566A8A31"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D63CF0" w14:textId="77777777" w:rsidR="00262553" w:rsidRPr="00133B19" w:rsidRDefault="00262553" w:rsidP="000343C1">
            <w:pPr>
              <w:rPr>
                <w:rFonts w:ascii="Arial Narrow" w:hAnsi="Arial Narrow"/>
                <w:b/>
                <w:bCs/>
                <w:sz w:val="20"/>
                <w:szCs w:val="20"/>
              </w:rPr>
            </w:pPr>
            <w:r w:rsidRPr="00133B19">
              <w:rPr>
                <w:rFonts w:ascii="Arial Narrow" w:hAnsi="Arial Narrow"/>
                <w:b/>
                <w:bCs/>
                <w:sz w:val="20"/>
                <w:szCs w:val="20"/>
              </w:rPr>
              <w:t>Clinical criteria:</w:t>
            </w:r>
          </w:p>
        </w:tc>
      </w:tr>
      <w:tr w:rsidR="00262553" w:rsidRPr="00133B19" w14:paraId="0525D9CB"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B5AE33" w14:textId="504450A4"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E8AC45" w14:textId="77777777" w:rsidR="00262553" w:rsidRPr="00133B19" w:rsidRDefault="00262553" w:rsidP="000343C1">
            <w:pPr>
              <w:autoSpaceDE w:val="0"/>
              <w:autoSpaceDN w:val="0"/>
              <w:adjustRightInd w:val="0"/>
              <w:rPr>
                <w:rFonts w:ascii="Arial Narrow" w:hAnsi="Arial Narrow"/>
                <w:sz w:val="20"/>
                <w:szCs w:val="20"/>
              </w:rPr>
            </w:pPr>
            <w:r w:rsidRPr="02E8A7A0">
              <w:rPr>
                <w:rFonts w:ascii="Arial Narrow" w:hAnsi="Arial Narrow"/>
                <w:sz w:val="20"/>
                <w:szCs w:val="20"/>
              </w:rPr>
              <w:t xml:space="preserve">Patient must have had a blood eosinophil count greater than or equal to 300 cells per microlitre and that is no older than 12 months immediately prior to commencing biological medicine treatment for severe </w:t>
            </w:r>
            <w:proofErr w:type="gramStart"/>
            <w:r w:rsidRPr="02E8A7A0">
              <w:rPr>
                <w:rFonts w:ascii="Arial Narrow" w:hAnsi="Arial Narrow"/>
                <w:sz w:val="20"/>
                <w:szCs w:val="20"/>
              </w:rPr>
              <w:t>asthma;</w:t>
            </w:r>
            <w:proofErr w:type="gramEnd"/>
          </w:p>
        </w:tc>
      </w:tr>
      <w:tr w:rsidR="00262553" w:rsidRPr="00133B19" w14:paraId="5653595E"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20E4A4" w14:textId="77777777"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F01B47" w14:textId="77777777" w:rsidR="00262553" w:rsidRPr="00133B19" w:rsidRDefault="00262553" w:rsidP="000343C1">
            <w:pPr>
              <w:autoSpaceDE w:val="0"/>
              <w:autoSpaceDN w:val="0"/>
              <w:adjustRightInd w:val="0"/>
              <w:rPr>
                <w:rFonts w:ascii="Arial Narrow" w:hAnsi="Arial Narrow"/>
                <w:b/>
                <w:bCs/>
                <w:sz w:val="20"/>
                <w:szCs w:val="20"/>
              </w:rPr>
            </w:pPr>
            <w:r w:rsidRPr="00133B19">
              <w:rPr>
                <w:rFonts w:ascii="Arial Narrow" w:hAnsi="Arial Narrow"/>
                <w:b/>
                <w:bCs/>
                <w:sz w:val="20"/>
                <w:szCs w:val="20"/>
              </w:rPr>
              <w:t>OR</w:t>
            </w:r>
          </w:p>
        </w:tc>
      </w:tr>
      <w:tr w:rsidR="00262553" w:rsidRPr="00133B19" w14:paraId="0BDF8D3D"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985E89" w14:textId="67D6916C"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6FA37C" w14:textId="77777777" w:rsidR="00262553" w:rsidRPr="00133B19" w:rsidRDefault="00262553" w:rsidP="000343C1">
            <w:pPr>
              <w:autoSpaceDE w:val="0"/>
              <w:autoSpaceDN w:val="0"/>
              <w:adjustRightInd w:val="0"/>
              <w:rPr>
                <w:rFonts w:ascii="Arial Narrow" w:hAnsi="Arial Narrow"/>
                <w:sz w:val="20"/>
                <w:szCs w:val="20"/>
              </w:rPr>
            </w:pPr>
            <w:r w:rsidRPr="02E8A7A0">
              <w:rPr>
                <w:rFonts w:ascii="Arial Narrow" w:hAnsi="Arial Narrow"/>
                <w:sz w:val="20"/>
                <w:szCs w:val="20"/>
              </w:rPr>
              <w:t xml:space="preserve">Patient must have had a blood eosinophil count greater than or equal to 150 cells per microlitre while receiving treatment with oral corticosteroids and that is no older than 12 months immediately prior to commencing biological medicine treatment for severe </w:t>
            </w:r>
            <w:proofErr w:type="gramStart"/>
            <w:r w:rsidRPr="02E8A7A0">
              <w:rPr>
                <w:rFonts w:ascii="Arial Narrow" w:hAnsi="Arial Narrow"/>
                <w:sz w:val="20"/>
                <w:szCs w:val="20"/>
              </w:rPr>
              <w:t>asthma;</w:t>
            </w:r>
            <w:proofErr w:type="gramEnd"/>
          </w:p>
        </w:tc>
      </w:tr>
      <w:tr w:rsidR="00262553" w:rsidRPr="00133B19" w14:paraId="6C2ABE52"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A3A11B0" w14:textId="77777777"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C54D14" w14:textId="77777777" w:rsidR="00262553" w:rsidRPr="00133B19" w:rsidRDefault="00262553" w:rsidP="000343C1">
            <w:pPr>
              <w:autoSpaceDE w:val="0"/>
              <w:autoSpaceDN w:val="0"/>
              <w:adjustRightInd w:val="0"/>
              <w:rPr>
                <w:rFonts w:ascii="Arial Narrow" w:hAnsi="Arial Narrow"/>
                <w:b/>
                <w:bCs/>
                <w:iCs/>
                <w:sz w:val="20"/>
                <w:szCs w:val="20"/>
              </w:rPr>
            </w:pPr>
            <w:r w:rsidRPr="00133B19">
              <w:rPr>
                <w:rFonts w:ascii="Arial Narrow" w:hAnsi="Arial Narrow"/>
                <w:b/>
                <w:bCs/>
                <w:iCs/>
                <w:sz w:val="20"/>
                <w:szCs w:val="20"/>
              </w:rPr>
              <w:t>OR</w:t>
            </w:r>
          </w:p>
        </w:tc>
      </w:tr>
      <w:tr w:rsidR="00262553" w:rsidRPr="00133B19" w14:paraId="70BC7856"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D4499F" w14:textId="2D95C104" w:rsidR="00262553" w:rsidRPr="00133B19"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194016" w14:textId="77777777" w:rsidR="00262553" w:rsidRPr="00133B19" w:rsidRDefault="00262553" w:rsidP="000343C1">
            <w:pPr>
              <w:autoSpaceDE w:val="0"/>
              <w:autoSpaceDN w:val="0"/>
              <w:adjustRightInd w:val="0"/>
              <w:rPr>
                <w:rFonts w:ascii="Arial Narrow" w:hAnsi="Arial Narrow"/>
                <w:sz w:val="20"/>
                <w:szCs w:val="20"/>
              </w:rPr>
            </w:pPr>
            <w:r w:rsidRPr="02E8A7A0">
              <w:rPr>
                <w:rFonts w:ascii="Arial Narrow" w:hAnsi="Arial Narrow"/>
                <w:sz w:val="20"/>
                <w:szCs w:val="20"/>
              </w:rPr>
              <w:t xml:space="preserve">Patient must have each of: </w:t>
            </w:r>
            <w:proofErr w:type="spellStart"/>
            <w:r w:rsidRPr="02E8A7A0">
              <w:rPr>
                <w:rFonts w:ascii="Arial Narrow" w:hAnsi="Arial Narrow"/>
                <w:sz w:val="20"/>
                <w:szCs w:val="20"/>
              </w:rPr>
              <w:t>i</w:t>
            </w:r>
            <w:proofErr w:type="spellEnd"/>
            <w:r w:rsidRPr="02E8A7A0">
              <w:rPr>
                <w:rFonts w:ascii="Arial Narrow" w:hAnsi="Arial Narrow"/>
                <w:sz w:val="20"/>
                <w:szCs w:val="20"/>
              </w:rPr>
              <w:t>) total serum human immunoglobulin E greater than or equal to 30 IU/mL measured no more than 12 months prior to initiating PBS-subsidised treatment with a biological medicine for severe asthma, ii) past or current evidence of atopy, documented by skin prick testing or an in vitro measure of specific IgE in the past 12 months or in the 12 months prior to initiating treatment with a biological medicine for severe asthma.</w:t>
            </w:r>
          </w:p>
        </w:tc>
      </w:tr>
      <w:tr w:rsidR="00262553" w:rsidRPr="00133B19" w14:paraId="2F29B67F"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616E43" w14:textId="77777777" w:rsidR="00262553" w:rsidRPr="00ED4766"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CFACEB" w14:textId="77777777" w:rsidR="00262553" w:rsidRPr="00ED4766" w:rsidRDefault="00262553" w:rsidP="000343C1">
            <w:pPr>
              <w:autoSpaceDE w:val="0"/>
              <w:autoSpaceDN w:val="0"/>
              <w:adjustRightInd w:val="0"/>
              <w:rPr>
                <w:rFonts w:ascii="Arial Narrow" w:hAnsi="Arial Narrow"/>
                <w:b/>
                <w:bCs/>
                <w:sz w:val="20"/>
                <w:szCs w:val="20"/>
              </w:rPr>
            </w:pPr>
            <w:r w:rsidRPr="00ED4766">
              <w:rPr>
                <w:rFonts w:ascii="Arial Narrow" w:hAnsi="Arial Narrow"/>
                <w:b/>
                <w:bCs/>
                <w:sz w:val="20"/>
                <w:szCs w:val="20"/>
              </w:rPr>
              <w:t>AND</w:t>
            </w:r>
          </w:p>
        </w:tc>
      </w:tr>
      <w:tr w:rsidR="00262553" w:rsidRPr="00133B19" w14:paraId="199EA150"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4AFB2E" w14:textId="651A75B1" w:rsidR="00262553" w:rsidRPr="00ED4766"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92F3C5" w14:textId="77777777" w:rsidR="00262553" w:rsidRPr="00ED4766" w:rsidRDefault="00262553" w:rsidP="000343C1">
            <w:pPr>
              <w:autoSpaceDE w:val="0"/>
              <w:autoSpaceDN w:val="0"/>
              <w:adjustRightInd w:val="0"/>
              <w:rPr>
                <w:rFonts w:ascii="Arial Narrow" w:hAnsi="Arial Narrow"/>
                <w:b/>
                <w:bCs/>
                <w:sz w:val="20"/>
                <w:szCs w:val="20"/>
              </w:rPr>
            </w:pPr>
            <w:r w:rsidRPr="00ED4766">
              <w:rPr>
                <w:rFonts w:ascii="Arial Narrow" w:hAnsi="Arial Narrow"/>
                <w:b/>
                <w:bCs/>
                <w:sz w:val="20"/>
                <w:szCs w:val="20"/>
              </w:rPr>
              <w:t>Clinical criteria:</w:t>
            </w:r>
          </w:p>
        </w:tc>
      </w:tr>
      <w:tr w:rsidR="00262553" w:rsidRPr="00133B19" w14:paraId="6FBA6DEA"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9F3E3F" w14:textId="69685CDB" w:rsidR="00262553" w:rsidRPr="00ED4766"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23DBF6" w14:textId="77777777" w:rsidR="00262553" w:rsidRPr="00ED4766" w:rsidRDefault="00262553" w:rsidP="000343C1">
            <w:pPr>
              <w:autoSpaceDE w:val="0"/>
              <w:autoSpaceDN w:val="0"/>
              <w:adjustRightInd w:val="0"/>
              <w:rPr>
                <w:rFonts w:ascii="Arial Narrow" w:hAnsi="Arial Narrow"/>
                <w:sz w:val="20"/>
                <w:szCs w:val="20"/>
              </w:rPr>
            </w:pPr>
            <w:r w:rsidRPr="00ED4766">
              <w:rPr>
                <w:rFonts w:ascii="Arial Narrow" w:hAnsi="Arial Narrow"/>
                <w:sz w:val="20"/>
                <w:szCs w:val="20"/>
              </w:rPr>
              <w:t>Patient must not receive more than 32 weeks of treatment under this restriction</w:t>
            </w:r>
          </w:p>
        </w:tc>
      </w:tr>
      <w:tr w:rsidR="00262553" w:rsidRPr="00133B19" w14:paraId="27A057DD"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17AC75" w14:textId="77777777" w:rsidR="00262553" w:rsidRPr="00ED4766"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3FE77C" w14:textId="77777777" w:rsidR="00262553" w:rsidRPr="00ED4766" w:rsidRDefault="00262553" w:rsidP="000343C1">
            <w:pPr>
              <w:autoSpaceDE w:val="0"/>
              <w:autoSpaceDN w:val="0"/>
              <w:adjustRightInd w:val="0"/>
              <w:rPr>
                <w:rFonts w:ascii="Arial Narrow" w:hAnsi="Arial Narrow"/>
                <w:sz w:val="20"/>
                <w:szCs w:val="20"/>
              </w:rPr>
            </w:pPr>
            <w:r w:rsidRPr="00ED4766">
              <w:rPr>
                <w:rFonts w:ascii="Arial Narrow" w:hAnsi="Arial Narrow"/>
                <w:b/>
                <w:bCs/>
                <w:sz w:val="20"/>
                <w:szCs w:val="20"/>
              </w:rPr>
              <w:t>AND</w:t>
            </w:r>
          </w:p>
        </w:tc>
      </w:tr>
      <w:tr w:rsidR="00262553" w:rsidRPr="00133B19" w14:paraId="4394DF8F"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578EA1" w14:textId="63BF215C" w:rsidR="00262553" w:rsidRPr="00ED4766"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078C0F" w14:textId="77777777" w:rsidR="00262553" w:rsidRPr="00ED4766" w:rsidRDefault="00262553" w:rsidP="000343C1">
            <w:pPr>
              <w:autoSpaceDE w:val="0"/>
              <w:autoSpaceDN w:val="0"/>
              <w:adjustRightInd w:val="0"/>
              <w:rPr>
                <w:rFonts w:ascii="Arial Narrow" w:hAnsi="Arial Narrow"/>
                <w:sz w:val="20"/>
                <w:szCs w:val="20"/>
              </w:rPr>
            </w:pPr>
            <w:r w:rsidRPr="00ED4766">
              <w:rPr>
                <w:rFonts w:ascii="Arial Narrow" w:hAnsi="Arial Narrow"/>
                <w:b/>
                <w:bCs/>
                <w:sz w:val="20"/>
                <w:szCs w:val="20"/>
              </w:rPr>
              <w:t>Clinical criteria:</w:t>
            </w:r>
          </w:p>
        </w:tc>
      </w:tr>
      <w:tr w:rsidR="00262553" w:rsidRPr="00133B19" w14:paraId="6F42FB3E"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514F0F" w14:textId="366FC487" w:rsidR="00262553" w:rsidRPr="00C66C3F" w:rsidRDefault="00262553" w:rsidP="000343C1">
            <w:pPr>
              <w:jc w:val="center"/>
              <w:rPr>
                <w:rFonts w:ascii="Arial Narrow" w:hAnsi="Arial Narrow"/>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52D1AE" w14:textId="77777777" w:rsidR="00262553" w:rsidRPr="00C66C3F" w:rsidRDefault="00262553" w:rsidP="000343C1">
            <w:pPr>
              <w:autoSpaceDE w:val="0"/>
              <w:autoSpaceDN w:val="0"/>
              <w:adjustRightInd w:val="0"/>
              <w:rPr>
                <w:rFonts w:ascii="Arial Narrow" w:hAnsi="Arial Narrow"/>
                <w:sz w:val="20"/>
                <w:szCs w:val="20"/>
              </w:rPr>
            </w:pPr>
            <w:r w:rsidRPr="00C66C3F">
              <w:rPr>
                <w:rFonts w:ascii="Arial Narrow" w:hAnsi="Arial Narrow"/>
                <w:sz w:val="20"/>
                <w:szCs w:val="20"/>
              </w:rPr>
              <w:t>The treatment must not be used in combination with and within 4 weeks of another PBS-subsidised biological medicine prescribed for any of: (</w:t>
            </w:r>
            <w:proofErr w:type="spellStart"/>
            <w:r w:rsidRPr="00C66C3F">
              <w:rPr>
                <w:rFonts w:ascii="Arial Narrow" w:hAnsi="Arial Narrow"/>
                <w:sz w:val="20"/>
                <w:szCs w:val="20"/>
              </w:rPr>
              <w:t>i</w:t>
            </w:r>
            <w:proofErr w:type="spellEnd"/>
            <w:r w:rsidRPr="00C66C3F">
              <w:rPr>
                <w:rFonts w:ascii="Arial Narrow" w:hAnsi="Arial Narrow"/>
                <w:sz w:val="20"/>
                <w:szCs w:val="20"/>
              </w:rPr>
              <w:t>) nasal polyps, (ii) uncontrolled severe allergic asthma, (iii) uncontrolled severe asthma,</w:t>
            </w:r>
          </w:p>
        </w:tc>
      </w:tr>
      <w:tr w:rsidR="00262553" w:rsidRPr="00133B19" w14:paraId="469E4FA0"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7AD5D1A" w14:textId="78D33D6A" w:rsidR="00262553" w:rsidRPr="00C66C3F" w:rsidRDefault="00262553" w:rsidP="000343C1">
            <w:pPr>
              <w:jc w:val="center"/>
              <w:rPr>
                <w:rFonts w:ascii="Arial Narrow" w:hAnsi="Arial Narrow"/>
                <w:color w:val="000000"/>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D997B8" w14:textId="77777777" w:rsidR="00262553" w:rsidRPr="00C66C3F" w:rsidRDefault="00262553" w:rsidP="000343C1">
            <w:pPr>
              <w:rPr>
                <w:rFonts w:ascii="Arial Narrow" w:hAnsi="Arial Narrow"/>
                <w:b/>
                <w:bCs/>
                <w:color w:val="000000"/>
                <w:sz w:val="20"/>
                <w:szCs w:val="20"/>
              </w:rPr>
            </w:pPr>
            <w:r w:rsidRPr="00C66C3F">
              <w:rPr>
                <w:rFonts w:ascii="Arial Narrow" w:hAnsi="Arial Narrow"/>
                <w:b/>
                <w:bCs/>
                <w:color w:val="000000"/>
                <w:sz w:val="20"/>
                <w:szCs w:val="20"/>
              </w:rPr>
              <w:t>Treatment criteria:</w:t>
            </w:r>
          </w:p>
        </w:tc>
      </w:tr>
      <w:tr w:rsidR="00262553" w:rsidRPr="00133B19" w14:paraId="061B8F84"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261888A" w14:textId="5AE80B8F" w:rsidR="00262553" w:rsidRPr="00C66C3F" w:rsidRDefault="00262553" w:rsidP="000343C1">
            <w:pPr>
              <w:jc w:val="center"/>
              <w:rPr>
                <w:rFonts w:ascii="Arial Narrow" w:hAnsi="Arial Narrow"/>
                <w:color w:val="000000"/>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BFE0B0" w14:textId="77777777" w:rsidR="00262553" w:rsidRPr="00C66C3F" w:rsidRDefault="00262553" w:rsidP="000343C1">
            <w:pPr>
              <w:rPr>
                <w:rFonts w:ascii="Arial Narrow" w:hAnsi="Arial Narrow" w:cs="Arial Narrow"/>
                <w:color w:val="000000"/>
                <w:sz w:val="20"/>
                <w:szCs w:val="20"/>
              </w:rPr>
            </w:pPr>
            <w:r w:rsidRPr="00C66C3F">
              <w:rPr>
                <w:rFonts w:ascii="Arial Narrow" w:hAnsi="Arial Narrow" w:cs="Arial Narrow"/>
                <w:color w:val="000000"/>
                <w:sz w:val="20"/>
                <w:szCs w:val="20"/>
              </w:rPr>
              <w:t>Must be treated by a medical practitioner who is either a: (</w:t>
            </w:r>
            <w:proofErr w:type="spellStart"/>
            <w:r w:rsidRPr="00C66C3F">
              <w:rPr>
                <w:rFonts w:ascii="Arial Narrow" w:hAnsi="Arial Narrow" w:cs="Arial Narrow"/>
                <w:color w:val="000000"/>
                <w:sz w:val="20"/>
                <w:szCs w:val="20"/>
              </w:rPr>
              <w:t>i</w:t>
            </w:r>
            <w:proofErr w:type="spellEnd"/>
            <w:r w:rsidRPr="00C66C3F">
              <w:rPr>
                <w:rFonts w:ascii="Arial Narrow" w:hAnsi="Arial Narrow" w:cs="Arial Narrow"/>
                <w:color w:val="000000"/>
                <w:sz w:val="20"/>
                <w:szCs w:val="20"/>
              </w:rPr>
              <w:t>) respiratory physician, (ii) clinical immunologist, (iii) allergist, (iv) general physician experienced in the management of patients with severe asthma</w:t>
            </w:r>
          </w:p>
        </w:tc>
      </w:tr>
      <w:tr w:rsidR="00262553" w:rsidRPr="00133B19" w14:paraId="5408C8B5"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5D6AAE" w14:textId="13105720" w:rsidR="00262553" w:rsidRPr="00133B19" w:rsidRDefault="00262553" w:rsidP="000343C1">
            <w:pPr>
              <w:jc w:val="center"/>
              <w:rPr>
                <w:rFonts w:ascii="Arial Narrow" w:hAnsi="Arial Narrow"/>
                <w:color w:val="000000"/>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D28A1A" w14:textId="77777777" w:rsidR="00262553" w:rsidRPr="00133B19" w:rsidRDefault="00262553" w:rsidP="000343C1">
            <w:pPr>
              <w:rPr>
                <w:rFonts w:ascii="Arial Narrow" w:hAnsi="Arial Narrow"/>
                <w:b/>
                <w:bCs/>
                <w:color w:val="000000"/>
                <w:sz w:val="20"/>
                <w:szCs w:val="20"/>
              </w:rPr>
            </w:pPr>
            <w:r w:rsidRPr="00133B19">
              <w:rPr>
                <w:rFonts w:ascii="Arial Narrow" w:hAnsi="Arial Narrow"/>
                <w:b/>
                <w:bCs/>
                <w:color w:val="000000"/>
                <w:sz w:val="20"/>
                <w:szCs w:val="20"/>
              </w:rPr>
              <w:t>Population criteria:</w:t>
            </w:r>
          </w:p>
        </w:tc>
      </w:tr>
      <w:tr w:rsidR="00262553" w:rsidRPr="00133B19" w14:paraId="4BBEE798"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08A99C" w14:textId="74EB28DC" w:rsidR="00262553" w:rsidRPr="00133B19" w:rsidRDefault="00262553" w:rsidP="000343C1">
            <w:pPr>
              <w:jc w:val="center"/>
              <w:rPr>
                <w:rFonts w:ascii="Arial Narrow" w:hAnsi="Arial Narrow"/>
                <w:color w:val="000000"/>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5FA80E" w14:textId="77777777" w:rsidR="00262553" w:rsidRPr="00133B19" w:rsidRDefault="00262553" w:rsidP="000343C1">
            <w:pPr>
              <w:keepNext/>
              <w:keepLines/>
              <w:widowControl w:val="0"/>
              <w:rPr>
                <w:rFonts w:ascii="Arial Narrow" w:eastAsia="MS Gothic" w:hAnsi="Arial Narrow"/>
                <w:bCs/>
                <w:sz w:val="20"/>
              </w:rPr>
            </w:pPr>
            <w:r w:rsidRPr="00133B19">
              <w:rPr>
                <w:rFonts w:ascii="Arial Narrow" w:eastAsia="MS Gothic" w:hAnsi="Arial Narrow"/>
                <w:bCs/>
                <w:sz w:val="20"/>
              </w:rPr>
              <w:t>Patients must be aged 12 years or older.</w:t>
            </w:r>
          </w:p>
        </w:tc>
      </w:tr>
      <w:tr w:rsidR="00262553" w:rsidRPr="00133B19" w14:paraId="3AAFE78A" w14:textId="77777777" w:rsidTr="00435940">
        <w:trPr>
          <w:gridAfter w:val="1"/>
          <w:wAfter w:w="15" w:type="dxa"/>
          <w:cantSplit/>
          <w:trHeight w:val="4924"/>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E4D22B" w14:textId="23FD6F89" w:rsidR="00262553" w:rsidRPr="00133B19" w:rsidRDefault="00262553" w:rsidP="000343C1">
            <w:pPr>
              <w:jc w:val="center"/>
              <w:rPr>
                <w:rFonts w:ascii="Arial Narrow" w:hAnsi="Arial Narrow"/>
                <w:i/>
                <w:iCs/>
                <w:color w:val="000000"/>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5F75FE" w14:textId="77777777" w:rsidR="00262553" w:rsidRPr="00133B19" w:rsidRDefault="00262553" w:rsidP="000343C1">
            <w:pPr>
              <w:rPr>
                <w:rFonts w:ascii="Arial Narrow" w:hAnsi="Arial Narrow"/>
                <w:b/>
                <w:bCs/>
                <w:color w:val="000000"/>
                <w:sz w:val="20"/>
                <w:szCs w:val="20"/>
              </w:rPr>
            </w:pPr>
            <w:r>
              <w:rPr>
                <w:rFonts w:ascii="Arial Narrow" w:hAnsi="Arial Narrow"/>
                <w:b/>
                <w:bCs/>
                <w:color w:val="000000"/>
                <w:sz w:val="20"/>
                <w:szCs w:val="20"/>
              </w:rPr>
              <w:t>P</w:t>
            </w:r>
            <w:r w:rsidRPr="00133B19">
              <w:rPr>
                <w:rFonts w:ascii="Arial Narrow" w:hAnsi="Arial Narrow"/>
                <w:b/>
                <w:bCs/>
                <w:color w:val="000000"/>
                <w:sz w:val="20"/>
                <w:szCs w:val="20"/>
              </w:rPr>
              <w:t>rescribing Instructions:</w:t>
            </w:r>
          </w:p>
          <w:p w14:paraId="2C3E57DC" w14:textId="77777777" w:rsidR="00262553" w:rsidRPr="00133B19" w:rsidRDefault="00262553" w:rsidP="000343C1">
            <w:pPr>
              <w:rPr>
                <w:rFonts w:ascii="Arial Narrow" w:hAnsi="Arial Narrow"/>
                <w:color w:val="000000"/>
                <w:sz w:val="20"/>
                <w:szCs w:val="20"/>
              </w:rPr>
            </w:pPr>
            <w:r w:rsidRPr="00133B19">
              <w:rPr>
                <w:rFonts w:ascii="Arial Narrow" w:hAnsi="Arial Narrow"/>
                <w:color w:val="000000"/>
                <w:sz w:val="20"/>
                <w:szCs w:val="20"/>
              </w:rPr>
              <w:t>An application for a patient who has received PBS-subsidised biological medicine treatment for severe asthma who wishes to change therapy to this biological medicine, must be accompanied by the results of an ACQ-5 assessment of the patient's most recent course of PBS-subsidised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p>
          <w:p w14:paraId="6EBD6172" w14:textId="77777777" w:rsidR="00262553" w:rsidRPr="00133B19" w:rsidRDefault="00262553" w:rsidP="000343C1">
            <w:pPr>
              <w:rPr>
                <w:rFonts w:ascii="Arial Narrow" w:hAnsi="Arial Narrow"/>
                <w:color w:val="000000"/>
                <w:sz w:val="20"/>
                <w:szCs w:val="20"/>
              </w:rPr>
            </w:pPr>
            <w:r w:rsidRPr="00133B19">
              <w:rPr>
                <w:rFonts w:ascii="Arial Narrow" w:hAnsi="Arial Narrow"/>
                <w:color w:val="000000"/>
                <w:sz w:val="20"/>
                <w:szCs w:val="20"/>
              </w:rPr>
              <w:t>An ACQ-5 assessment of the patient may be made at the time of application for treatment (to establish a new baseline score), but should be made again around 28 weeks after the first PBS-subsidised dose of this biological medicine under this restriction so that there is adequate time for a response to be demonstrated and for the application for the first continuing therapy to be processed.</w:t>
            </w:r>
          </w:p>
          <w:p w14:paraId="72503A0A" w14:textId="77777777" w:rsidR="00262553" w:rsidRDefault="00262553" w:rsidP="000343C1">
            <w:pPr>
              <w:rPr>
                <w:rFonts w:ascii="Arial Narrow" w:eastAsia="Arial Narrow" w:hAnsi="Arial Narrow" w:cs="Arial Narrow"/>
                <w:sz w:val="20"/>
                <w:szCs w:val="20"/>
              </w:rPr>
            </w:pPr>
            <w:r w:rsidRPr="00F74396">
              <w:rPr>
                <w:rFonts w:ascii="Arial Narrow" w:eastAsia="Open Sans" w:hAnsi="Arial Narrow" w:cs="Open Sans"/>
                <w:color w:val="222222"/>
                <w:sz w:val="20"/>
                <w:szCs w:val="20"/>
              </w:rPr>
              <w:t>This assessment, which will be used to determine eligibility for the first continuing treatment, should be conducted within 4 weeks of the last dose of biological medicine. Where a response assessment is not undertaken and provided, the patient will be deemed to have failed to respond to treatment with this biological medicine.</w:t>
            </w:r>
          </w:p>
          <w:p w14:paraId="0ACF7391" w14:textId="77777777" w:rsidR="00262553" w:rsidRPr="00133B19" w:rsidRDefault="00262553" w:rsidP="000343C1">
            <w:pPr>
              <w:rPr>
                <w:rFonts w:ascii="Arial Narrow" w:hAnsi="Arial Narrow"/>
                <w:color w:val="000000"/>
                <w:sz w:val="20"/>
                <w:szCs w:val="20"/>
              </w:rPr>
            </w:pPr>
            <w:r w:rsidRPr="00133B19">
              <w:rPr>
                <w:rFonts w:ascii="Arial Narrow" w:hAnsi="Arial Narrow"/>
                <w:color w:val="000000"/>
                <w:sz w:val="20"/>
                <w:szCs w:val="20"/>
              </w:rPr>
              <w:t xml:space="preserve">At the time of the authority application, medical practitioners should request up to 7 repeats to provide for an initial course of </w:t>
            </w:r>
            <w:proofErr w:type="spellStart"/>
            <w:r w:rsidRPr="00133B19">
              <w:rPr>
                <w:rFonts w:ascii="Arial Narrow" w:hAnsi="Arial Narrow"/>
                <w:color w:val="000000"/>
                <w:sz w:val="20"/>
                <w:szCs w:val="20"/>
              </w:rPr>
              <w:t>tezepelumab</w:t>
            </w:r>
            <w:proofErr w:type="spellEnd"/>
            <w:r w:rsidRPr="00133B19">
              <w:rPr>
                <w:rFonts w:ascii="Arial Narrow" w:hAnsi="Arial Narrow"/>
                <w:color w:val="000000"/>
                <w:sz w:val="20"/>
                <w:szCs w:val="20"/>
              </w:rPr>
              <w:t xml:space="preserve"> sufficient for up to 32 weeks of therapy, at a dose of 210 mg every four weeks.</w:t>
            </w:r>
          </w:p>
          <w:p w14:paraId="539144BC" w14:textId="77777777" w:rsidR="00262553" w:rsidRDefault="00262553" w:rsidP="000343C1">
            <w:pPr>
              <w:rPr>
                <w:rFonts w:ascii="Arial Narrow" w:hAnsi="Arial Narrow"/>
                <w:color w:val="000000"/>
                <w:sz w:val="20"/>
                <w:szCs w:val="20"/>
              </w:rPr>
            </w:pPr>
            <w:r w:rsidRPr="00E22151">
              <w:rPr>
                <w:rFonts w:ascii="Arial Narrow" w:hAnsi="Arial Narrow"/>
                <w:color w:val="000000"/>
                <w:sz w:val="20"/>
                <w:szCs w:val="20"/>
              </w:rPr>
              <w:t>A multidisciplinary severe asthma clinic team comprises of:</w:t>
            </w:r>
          </w:p>
          <w:p w14:paraId="0706CFF2"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w:t>
            </w:r>
            <w:proofErr w:type="spellStart"/>
            <w:r w:rsidRPr="00E22151">
              <w:rPr>
                <w:rFonts w:ascii="Arial Narrow" w:hAnsi="Arial Narrow"/>
                <w:color w:val="000000"/>
                <w:sz w:val="20"/>
                <w:szCs w:val="20"/>
              </w:rPr>
              <w:t>i</w:t>
            </w:r>
            <w:proofErr w:type="spellEnd"/>
            <w:r w:rsidRPr="00E22151">
              <w:rPr>
                <w:rFonts w:ascii="Arial Narrow" w:hAnsi="Arial Narrow"/>
                <w:color w:val="000000"/>
                <w:sz w:val="20"/>
                <w:szCs w:val="20"/>
              </w:rPr>
              <w:t>) A respiratory physician; and</w:t>
            </w:r>
          </w:p>
          <w:p w14:paraId="2B641CC1" w14:textId="77777777" w:rsidR="00262553" w:rsidRPr="00133B19" w:rsidRDefault="00262553" w:rsidP="000343C1">
            <w:pPr>
              <w:rPr>
                <w:rFonts w:ascii="Arial Narrow" w:hAnsi="Arial Narrow"/>
                <w:i/>
                <w:iCs/>
                <w:color w:val="000000"/>
                <w:sz w:val="20"/>
                <w:szCs w:val="20"/>
              </w:rPr>
            </w:pPr>
            <w:r w:rsidRPr="00E22151">
              <w:rPr>
                <w:rFonts w:ascii="Arial Narrow" w:hAnsi="Arial Narrow"/>
                <w:color w:val="000000"/>
                <w:sz w:val="20"/>
                <w:szCs w:val="20"/>
              </w:rPr>
              <w:t>(ii) A pharmacist, nurse or asthma educator.</w:t>
            </w:r>
          </w:p>
        </w:tc>
      </w:tr>
      <w:tr w:rsidR="00262553" w:rsidRPr="00133B19" w14:paraId="2B17AA9C"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52614B" w14:textId="4CAC8F98" w:rsidR="00262553" w:rsidRPr="00E22151" w:rsidRDefault="00262553" w:rsidP="000343C1">
            <w:pPr>
              <w:jc w:val="center"/>
              <w:rPr>
                <w:rFonts w:ascii="Arial Narrow" w:hAnsi="Arial Narrow"/>
                <w:color w:val="000000"/>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6B2AA7" w14:textId="77777777" w:rsidR="00262553" w:rsidRPr="00E22151" w:rsidRDefault="00262553" w:rsidP="000343C1">
            <w:pPr>
              <w:rPr>
                <w:rFonts w:ascii="Arial Narrow" w:hAnsi="Arial Narrow"/>
                <w:b/>
                <w:bCs/>
                <w:color w:val="000000"/>
                <w:sz w:val="20"/>
                <w:szCs w:val="20"/>
              </w:rPr>
            </w:pPr>
            <w:r w:rsidRPr="00E22151">
              <w:rPr>
                <w:rFonts w:ascii="Arial Narrow" w:hAnsi="Arial Narrow"/>
                <w:b/>
                <w:bCs/>
                <w:color w:val="000000"/>
                <w:sz w:val="20"/>
                <w:szCs w:val="20"/>
              </w:rPr>
              <w:t>Prescribing Instructions:</w:t>
            </w:r>
          </w:p>
          <w:p w14:paraId="0250092F"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The authority application must be made in writing and must include:</w:t>
            </w:r>
          </w:p>
          <w:p w14:paraId="537D129C"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(1) details of the proposed prescription; and</w:t>
            </w:r>
          </w:p>
          <w:p w14:paraId="003FCFE8"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(2) a completed authority application form relevant to the indication and treatment phase (the latest version is located on the website specified in the Administrative Advice).</w:t>
            </w:r>
          </w:p>
        </w:tc>
      </w:tr>
      <w:tr w:rsidR="00262553" w:rsidRPr="00133B19" w14:paraId="4773E4CB" w14:textId="77777777" w:rsidTr="000343C1">
        <w:trPr>
          <w:gridAfter w:val="1"/>
          <w:wAfter w:w="15" w:type="dxa"/>
          <w:cantSplit/>
          <w:trHeight w:val="20"/>
        </w:trPr>
        <w:tc>
          <w:tcPr>
            <w:tcW w:w="115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F8E669" w14:textId="130D963C" w:rsidR="00262553" w:rsidRPr="00E22151" w:rsidRDefault="00262553" w:rsidP="000343C1">
            <w:pPr>
              <w:jc w:val="center"/>
              <w:rPr>
                <w:rFonts w:ascii="Arial Narrow" w:hAnsi="Arial Narrow"/>
                <w:color w:val="000000"/>
                <w:sz w:val="20"/>
                <w:szCs w:val="20"/>
              </w:rPr>
            </w:pPr>
          </w:p>
        </w:tc>
        <w:tc>
          <w:tcPr>
            <w:tcW w:w="7624"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AC13CC" w14:textId="77777777" w:rsidR="00262553" w:rsidRPr="00E22151" w:rsidRDefault="00262553" w:rsidP="000343C1">
            <w:pPr>
              <w:rPr>
                <w:rFonts w:ascii="Arial Narrow" w:hAnsi="Arial Narrow"/>
                <w:b/>
                <w:bCs/>
                <w:color w:val="000000"/>
                <w:sz w:val="20"/>
                <w:szCs w:val="20"/>
              </w:rPr>
            </w:pPr>
            <w:r w:rsidRPr="00E22151">
              <w:rPr>
                <w:rFonts w:ascii="Arial Narrow" w:hAnsi="Arial Narrow"/>
                <w:b/>
                <w:bCs/>
                <w:color w:val="000000"/>
                <w:sz w:val="20"/>
                <w:szCs w:val="20"/>
              </w:rPr>
              <w:t>Prescribing Instructions:</w:t>
            </w:r>
          </w:p>
          <w:p w14:paraId="7C806826"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The following must be provided at the time of application and documented in the patient's medical records:</w:t>
            </w:r>
          </w:p>
          <w:p w14:paraId="6528817F"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(a) Asthma Control Questionnaire (ACQ-5 item version) score (where a new baseline is being submitted or where the patient has responded to prior treatment); and</w:t>
            </w:r>
          </w:p>
          <w:p w14:paraId="5DFCE38A"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(b) details (treatment, date of commencement, duration of therapy) of prior biological medicine treatment; and</w:t>
            </w:r>
          </w:p>
          <w:p w14:paraId="49B20F62"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(c) if applicable, the eosinophil count and date; and</w:t>
            </w:r>
          </w:p>
          <w:p w14:paraId="4F04EBCE"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(d) if applicable, the dose of the maintenance oral corticosteroid (where the response criteria or baseline is based on corticosteroid dose); and</w:t>
            </w:r>
          </w:p>
          <w:p w14:paraId="0AD72970"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(e) if applicable, the IgE result and date; and</w:t>
            </w:r>
          </w:p>
          <w:p w14:paraId="7B5D5ADE" w14:textId="77777777" w:rsidR="00262553" w:rsidRPr="00E22151" w:rsidRDefault="00262553" w:rsidP="000343C1">
            <w:pPr>
              <w:rPr>
                <w:rFonts w:ascii="Arial Narrow" w:hAnsi="Arial Narrow"/>
                <w:color w:val="000000"/>
                <w:sz w:val="20"/>
                <w:szCs w:val="20"/>
              </w:rPr>
            </w:pPr>
            <w:r w:rsidRPr="00E22151">
              <w:rPr>
                <w:rFonts w:ascii="Arial Narrow" w:hAnsi="Arial Narrow"/>
                <w:color w:val="000000"/>
                <w:sz w:val="20"/>
                <w:szCs w:val="20"/>
              </w:rPr>
              <w:t>(f) the reason for switching therapy (e.g. failure of prior therapy, partial response to prior therapy, adverse event to prior therapy).</w:t>
            </w:r>
          </w:p>
        </w:tc>
      </w:tr>
      <w:bookmarkEnd w:id="139"/>
      <w:tr w:rsidR="00262553" w:rsidRPr="005A578E" w14:paraId="2B826022" w14:textId="77777777" w:rsidTr="000343C1">
        <w:trPr>
          <w:gridAfter w:val="1"/>
          <w:wAfter w:w="15" w:type="dxa"/>
          <w:cantSplit/>
          <w:trHeight w:val="530"/>
        </w:trPr>
        <w:tc>
          <w:tcPr>
            <w:tcW w:w="8776" w:type="dxa"/>
            <w:gridSpan w:val="10"/>
            <w:tcBorders>
              <w:top w:val="single" w:sz="4" w:space="0" w:color="auto"/>
              <w:left w:val="single" w:sz="4" w:space="0" w:color="auto"/>
              <w:right w:val="single" w:sz="4" w:space="0" w:color="auto"/>
            </w:tcBorders>
            <w:tcMar>
              <w:top w:w="15" w:type="dxa"/>
              <w:left w:w="108" w:type="dxa"/>
              <w:bottom w:w="15" w:type="dxa"/>
              <w:right w:w="108" w:type="dxa"/>
            </w:tcMar>
            <w:vAlign w:val="center"/>
          </w:tcPr>
          <w:p w14:paraId="441D1A2F" w14:textId="77777777" w:rsidR="00262553" w:rsidRPr="005A578E" w:rsidRDefault="00262553" w:rsidP="000343C1">
            <w:pPr>
              <w:rPr>
                <w:rFonts w:ascii="Arial Narrow" w:hAnsi="Arial Narrow"/>
                <w:b/>
                <w:bCs/>
                <w:color w:val="000000"/>
                <w:sz w:val="20"/>
                <w:szCs w:val="20"/>
              </w:rPr>
            </w:pPr>
          </w:p>
        </w:tc>
      </w:tr>
      <w:tr w:rsidR="00262553" w:rsidRPr="005A578E" w14:paraId="1FC06D27" w14:textId="77777777" w:rsidTr="000343C1">
        <w:trPr>
          <w:gridAfter w:val="1"/>
          <w:wAfter w:w="15" w:type="dxa"/>
          <w:trHeight w:val="20"/>
        </w:trPr>
        <w:tc>
          <w:tcPr>
            <w:tcW w:w="8776" w:type="dxa"/>
            <w:gridSpan w:val="10"/>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AEB0C6" w14:textId="77777777" w:rsidR="00262553" w:rsidRPr="005A578E" w:rsidRDefault="00262553" w:rsidP="000343C1">
            <w:pPr>
              <w:keepLines/>
              <w:rPr>
                <w:rFonts w:ascii="Arial Narrow" w:hAnsi="Arial Narrow"/>
                <w:b/>
                <w:color w:val="000000"/>
                <w:sz w:val="20"/>
                <w:szCs w:val="20"/>
              </w:rPr>
            </w:pPr>
            <w:r w:rsidRPr="005A578E">
              <w:rPr>
                <w:rFonts w:ascii="Arial Narrow" w:hAnsi="Arial Narrow"/>
                <w:b/>
                <w:color w:val="000000"/>
                <w:sz w:val="20"/>
                <w:szCs w:val="20"/>
              </w:rPr>
              <w:t>Restriction Summary [new3] / Treatment of Concept: [new3A]</w:t>
            </w:r>
          </w:p>
        </w:tc>
      </w:tr>
      <w:tr w:rsidR="00262553" w:rsidRPr="005A578E" w14:paraId="14B5F819" w14:textId="77777777" w:rsidTr="000343C1">
        <w:trPr>
          <w:gridAfter w:val="1"/>
          <w:wAfter w:w="15" w:type="dxa"/>
          <w:trHeight w:val="20"/>
        </w:trPr>
        <w:tc>
          <w:tcPr>
            <w:tcW w:w="1527" w:type="dxa"/>
            <w:gridSpan w:val="4"/>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428471D" w14:textId="77777777" w:rsidR="00262553" w:rsidRPr="005A578E" w:rsidRDefault="00262553" w:rsidP="000343C1">
            <w:pPr>
              <w:jc w:val="center"/>
              <w:rPr>
                <w:rFonts w:ascii="Arial Narrow" w:hAnsi="Arial Narrow"/>
                <w:b/>
                <w:color w:val="000000"/>
                <w:sz w:val="20"/>
                <w:szCs w:val="20"/>
              </w:rPr>
            </w:pPr>
            <w:r w:rsidRPr="005A578E">
              <w:rPr>
                <w:rFonts w:ascii="Arial Narrow" w:hAnsi="Arial Narrow"/>
                <w:b/>
                <w:color w:val="000000"/>
                <w:sz w:val="20"/>
                <w:szCs w:val="20"/>
              </w:rPr>
              <w:t xml:space="preserve">Concept ID </w:t>
            </w:r>
            <w:r w:rsidRPr="005A578E">
              <w:rPr>
                <w:rFonts w:ascii="Arial Narrow" w:hAnsi="Arial Narrow"/>
                <w:color w:val="000000"/>
                <w:sz w:val="20"/>
                <w:szCs w:val="20"/>
              </w:rPr>
              <w:t>(for internal Dept. use)</w:t>
            </w: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3CE421" w14:textId="77777777" w:rsidR="00262553" w:rsidRPr="005A578E" w:rsidRDefault="00262553" w:rsidP="000343C1">
            <w:pPr>
              <w:keepLines/>
              <w:rPr>
                <w:rFonts w:ascii="Arial Narrow" w:eastAsia="Calibri" w:hAnsi="Arial Narrow"/>
                <w:color w:val="000000"/>
                <w:sz w:val="20"/>
                <w:szCs w:val="20"/>
              </w:rPr>
            </w:pPr>
            <w:r w:rsidRPr="005A578E">
              <w:rPr>
                <w:rFonts w:ascii="Arial Narrow" w:hAnsi="Arial Narrow"/>
                <w:b/>
                <w:color w:val="000000"/>
                <w:sz w:val="20"/>
                <w:szCs w:val="20"/>
              </w:rPr>
              <w:t>Category / Program:</w:t>
            </w:r>
            <w:r w:rsidRPr="005A578E">
              <w:rPr>
                <w:rFonts w:ascii="Arial Narrow" w:hAnsi="Arial Narrow"/>
                <w:color w:val="000000"/>
                <w:sz w:val="20"/>
                <w:szCs w:val="20"/>
              </w:rPr>
              <w:t xml:space="preserve"> </w:t>
            </w:r>
          </w:p>
          <w:p w14:paraId="23086922" w14:textId="77777777" w:rsidR="00262553" w:rsidRPr="005A578E" w:rsidRDefault="00262553" w:rsidP="000343C1">
            <w:pPr>
              <w:keepLines/>
              <w:rPr>
                <w:rFonts w:ascii="Arial Narrow" w:hAnsi="Arial Narrow"/>
                <w:color w:val="000000"/>
                <w:sz w:val="20"/>
                <w:szCs w:val="20"/>
              </w:rPr>
            </w:pPr>
            <w:r w:rsidRPr="005A578E">
              <w:rPr>
                <w:rFonts w:ascii="Arial Narrow" w:eastAsia="Calibri" w:hAnsi="Arial Narrow"/>
                <w:color w:val="000000"/>
                <w:sz w:val="20"/>
                <w:szCs w:val="20"/>
              </w:rPr>
              <w:fldChar w:fldCharType="begin">
                <w:ffData>
                  <w:name w:val=""/>
                  <w:enabled/>
                  <w:calcOnExit w:val="0"/>
                  <w:checkBox>
                    <w:sizeAuto/>
                    <w:default w:val="1"/>
                  </w:checkBox>
                </w:ffData>
              </w:fldChar>
            </w:r>
            <w:r w:rsidRPr="005A578E">
              <w:rPr>
                <w:rFonts w:ascii="Arial Narrow" w:eastAsia="Calibri" w:hAnsi="Arial Narrow"/>
                <w:color w:val="000000"/>
                <w:sz w:val="20"/>
                <w:szCs w:val="20"/>
              </w:rPr>
              <w:instrText xml:space="preserve"> FORMCHECKBOX </w:instrText>
            </w:r>
            <w:r w:rsidRPr="005A578E">
              <w:rPr>
                <w:rFonts w:ascii="Arial Narrow" w:eastAsia="Calibri" w:hAnsi="Arial Narrow"/>
                <w:color w:val="000000"/>
                <w:sz w:val="20"/>
                <w:szCs w:val="20"/>
              </w:rPr>
            </w:r>
            <w:r w:rsidRPr="005A578E">
              <w:rPr>
                <w:rFonts w:ascii="Arial Narrow" w:eastAsia="Calibri" w:hAnsi="Arial Narrow"/>
                <w:color w:val="000000"/>
                <w:sz w:val="20"/>
                <w:szCs w:val="20"/>
              </w:rPr>
              <w:fldChar w:fldCharType="separate"/>
            </w:r>
            <w:r w:rsidRPr="005A578E">
              <w:rPr>
                <w:rFonts w:ascii="Arial Narrow" w:eastAsia="Calibri" w:hAnsi="Arial Narrow"/>
                <w:color w:val="000000"/>
                <w:sz w:val="20"/>
                <w:szCs w:val="20"/>
              </w:rPr>
              <w:fldChar w:fldCharType="end"/>
            </w:r>
            <w:r w:rsidRPr="005A578E">
              <w:rPr>
                <w:rFonts w:ascii="Arial Narrow" w:eastAsia="Calibri" w:hAnsi="Arial Narrow"/>
                <w:color w:val="000000"/>
                <w:sz w:val="20"/>
                <w:szCs w:val="20"/>
              </w:rPr>
              <w:t xml:space="preserve"> Section 100 – Highly Specialised Drugs Program – Public (Code HB) / Private (Code HS)</w:t>
            </w:r>
          </w:p>
        </w:tc>
      </w:tr>
      <w:tr w:rsidR="00262553" w:rsidRPr="005A578E" w14:paraId="1086F36A" w14:textId="77777777" w:rsidTr="000343C1">
        <w:trPr>
          <w:gridAfter w:val="1"/>
          <w:wAfter w:w="15" w:type="dxa"/>
          <w:trHeight w:val="20"/>
        </w:trPr>
        <w:tc>
          <w:tcPr>
            <w:tcW w:w="1527" w:type="dxa"/>
            <w:gridSpan w:val="4"/>
            <w:vMerge/>
            <w:vAlign w:val="center"/>
            <w:hideMark/>
          </w:tcPr>
          <w:p w14:paraId="23FB9A25" w14:textId="77777777" w:rsidR="00262553" w:rsidRPr="005A578E" w:rsidRDefault="00262553" w:rsidP="000343C1">
            <w:pPr>
              <w:rPr>
                <w:rFonts w:ascii="Arial Narrow" w:hAnsi="Arial Narrow"/>
                <w:b/>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5546BA" w14:textId="77777777" w:rsidR="00262553" w:rsidRPr="005A578E" w:rsidRDefault="00262553" w:rsidP="000343C1">
            <w:pPr>
              <w:keepLines/>
              <w:rPr>
                <w:rFonts w:ascii="Arial Narrow" w:hAnsi="Arial Narrow"/>
                <w:b/>
                <w:color w:val="000000"/>
                <w:sz w:val="20"/>
                <w:szCs w:val="20"/>
              </w:rPr>
            </w:pPr>
            <w:r w:rsidRPr="005A578E">
              <w:rPr>
                <w:rFonts w:ascii="Arial Narrow" w:hAnsi="Arial Narrow"/>
                <w:b/>
                <w:color w:val="000000"/>
                <w:sz w:val="20"/>
                <w:szCs w:val="20"/>
              </w:rPr>
              <w:t xml:space="preserve">Prescriber type: </w:t>
            </w:r>
            <w:r w:rsidRPr="005A578E">
              <w:rPr>
                <w:rFonts w:ascii="Arial Narrow" w:hAnsi="Arial Narrow"/>
                <w:color w:val="000000"/>
                <w:sz w:val="20"/>
                <w:szCs w:val="20"/>
              </w:rPr>
              <w:fldChar w:fldCharType="begin">
                <w:ffData>
                  <w:name w:val=""/>
                  <w:enabled/>
                  <w:calcOnExit w:val="0"/>
                  <w:checkBox>
                    <w:sizeAuto/>
                    <w:default w:val="1"/>
                  </w:checkBox>
                </w:ffData>
              </w:fldChar>
            </w:r>
            <w:r w:rsidRPr="005A578E">
              <w:rPr>
                <w:rFonts w:ascii="Arial Narrow" w:hAnsi="Arial Narrow"/>
                <w:color w:val="000000"/>
                <w:sz w:val="20"/>
                <w:szCs w:val="20"/>
              </w:rPr>
              <w:instrText xml:space="preserve"> FORMCHECKBOX </w:instrText>
            </w:r>
            <w:r w:rsidRPr="005A578E">
              <w:rPr>
                <w:rFonts w:ascii="Arial Narrow" w:hAnsi="Arial Narrow"/>
                <w:color w:val="000000"/>
                <w:sz w:val="20"/>
                <w:szCs w:val="20"/>
              </w:rPr>
            </w:r>
            <w:r w:rsidRPr="005A578E">
              <w:rPr>
                <w:rFonts w:ascii="Arial Narrow" w:hAnsi="Arial Narrow"/>
                <w:color w:val="000000"/>
                <w:sz w:val="20"/>
                <w:szCs w:val="20"/>
              </w:rPr>
              <w:fldChar w:fldCharType="separate"/>
            </w:r>
            <w:r w:rsidRPr="005A578E">
              <w:rPr>
                <w:rFonts w:ascii="Arial Narrow" w:hAnsi="Arial Narrow"/>
                <w:color w:val="000000"/>
                <w:sz w:val="20"/>
                <w:szCs w:val="20"/>
              </w:rPr>
              <w:fldChar w:fldCharType="end"/>
            </w:r>
            <w:r w:rsidRPr="005A578E">
              <w:rPr>
                <w:rFonts w:ascii="Arial Narrow" w:hAnsi="Arial Narrow"/>
                <w:color w:val="000000"/>
                <w:sz w:val="20"/>
                <w:szCs w:val="20"/>
              </w:rPr>
              <w:t xml:space="preserve">Medical Practitioners </w:t>
            </w:r>
          </w:p>
        </w:tc>
      </w:tr>
      <w:tr w:rsidR="00262553" w:rsidRPr="005A578E" w14:paraId="36449BEF" w14:textId="77777777" w:rsidTr="000343C1">
        <w:trPr>
          <w:gridAfter w:val="1"/>
          <w:wAfter w:w="15" w:type="dxa"/>
          <w:trHeight w:val="20"/>
        </w:trPr>
        <w:tc>
          <w:tcPr>
            <w:tcW w:w="1527" w:type="dxa"/>
            <w:gridSpan w:val="4"/>
            <w:vMerge/>
            <w:vAlign w:val="center"/>
            <w:hideMark/>
          </w:tcPr>
          <w:p w14:paraId="2434D292" w14:textId="77777777" w:rsidR="00262553" w:rsidRPr="005A578E" w:rsidRDefault="00262553" w:rsidP="000343C1">
            <w:pPr>
              <w:rPr>
                <w:rFonts w:ascii="Arial Narrow" w:hAnsi="Arial Narrow"/>
                <w:b/>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7EF333" w14:textId="77777777" w:rsidR="00262553" w:rsidRPr="005A578E" w:rsidRDefault="00262553" w:rsidP="00DB4AC3">
            <w:pPr>
              <w:keepLines/>
              <w:jc w:val="left"/>
              <w:rPr>
                <w:rFonts w:ascii="Arial Narrow" w:eastAsia="Calibri" w:hAnsi="Arial Narrow"/>
                <w:color w:val="000000"/>
                <w:sz w:val="20"/>
                <w:szCs w:val="20"/>
              </w:rPr>
            </w:pPr>
            <w:r w:rsidRPr="005A578E">
              <w:rPr>
                <w:rFonts w:ascii="Arial Narrow" w:hAnsi="Arial Narrow"/>
                <w:b/>
                <w:color w:val="000000"/>
                <w:sz w:val="20"/>
                <w:szCs w:val="20"/>
              </w:rPr>
              <w:t xml:space="preserve">Restriction type: </w:t>
            </w:r>
            <w:r w:rsidRPr="005A578E">
              <w:rPr>
                <w:rFonts w:ascii="Arial Narrow" w:eastAsia="Calibri" w:hAnsi="Arial Narrow"/>
                <w:color w:val="000000"/>
                <w:sz w:val="20"/>
                <w:szCs w:val="20"/>
              </w:rPr>
              <w:br/>
            </w:r>
            <w:r w:rsidRPr="005A578E">
              <w:rPr>
                <w:rFonts w:ascii="Arial Narrow" w:eastAsia="Calibri" w:hAnsi="Arial Narrow"/>
                <w:color w:val="000000"/>
                <w:sz w:val="20"/>
                <w:szCs w:val="20"/>
              </w:rPr>
              <w:fldChar w:fldCharType="begin">
                <w:ffData>
                  <w:name w:val=""/>
                  <w:enabled/>
                  <w:calcOnExit w:val="0"/>
                  <w:checkBox>
                    <w:sizeAuto/>
                    <w:default w:val="1"/>
                  </w:checkBox>
                </w:ffData>
              </w:fldChar>
            </w:r>
            <w:r w:rsidRPr="005A578E">
              <w:rPr>
                <w:rFonts w:ascii="Arial Narrow" w:eastAsia="Calibri" w:hAnsi="Arial Narrow"/>
                <w:color w:val="000000"/>
                <w:sz w:val="20"/>
                <w:szCs w:val="20"/>
              </w:rPr>
              <w:instrText xml:space="preserve"> FORMCHECKBOX </w:instrText>
            </w:r>
            <w:r w:rsidRPr="005A578E">
              <w:rPr>
                <w:rFonts w:ascii="Arial Narrow" w:eastAsia="Calibri" w:hAnsi="Arial Narrow"/>
                <w:color w:val="000000"/>
                <w:sz w:val="20"/>
                <w:szCs w:val="20"/>
              </w:rPr>
            </w:r>
            <w:r w:rsidRPr="005A578E">
              <w:rPr>
                <w:rFonts w:ascii="Arial Narrow" w:eastAsia="Calibri" w:hAnsi="Arial Narrow"/>
                <w:color w:val="000000"/>
                <w:sz w:val="20"/>
                <w:szCs w:val="20"/>
              </w:rPr>
              <w:fldChar w:fldCharType="separate"/>
            </w:r>
            <w:r w:rsidRPr="005A578E">
              <w:rPr>
                <w:rFonts w:ascii="Arial Narrow" w:eastAsia="Calibri" w:hAnsi="Arial Narrow"/>
                <w:color w:val="000000"/>
                <w:sz w:val="20"/>
                <w:szCs w:val="20"/>
              </w:rPr>
              <w:fldChar w:fldCharType="end"/>
            </w:r>
            <w:r w:rsidRPr="005A578E">
              <w:rPr>
                <w:rFonts w:ascii="Arial Narrow" w:eastAsia="Calibri" w:hAnsi="Arial Narrow"/>
                <w:color w:val="000000"/>
                <w:sz w:val="20"/>
                <w:szCs w:val="20"/>
              </w:rPr>
              <w:t>Authority Required (FULL assessment) in writing only via OPA/post/HPOS upload))</w:t>
            </w:r>
          </w:p>
        </w:tc>
      </w:tr>
      <w:tr w:rsidR="00262553" w:rsidRPr="005A578E" w14:paraId="1457464F" w14:textId="77777777" w:rsidTr="000343C1">
        <w:trPr>
          <w:gridAfter w:val="1"/>
          <w:wAfter w:w="15" w:type="dxa"/>
          <w:trHeight w:val="20"/>
        </w:trPr>
        <w:tc>
          <w:tcPr>
            <w:tcW w:w="1527" w:type="dxa"/>
            <w:gridSpan w:val="4"/>
            <w:vMerge/>
            <w:vAlign w:val="center"/>
            <w:hideMark/>
          </w:tcPr>
          <w:p w14:paraId="011EE057" w14:textId="77777777" w:rsidR="00262553" w:rsidRPr="005A578E" w:rsidRDefault="00262553" w:rsidP="000343C1">
            <w:pPr>
              <w:rPr>
                <w:rFonts w:ascii="Arial Narrow" w:hAnsi="Arial Narrow"/>
                <w:b/>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912C25" w14:textId="77777777" w:rsidR="00262553" w:rsidRPr="005A578E" w:rsidRDefault="00262553" w:rsidP="000343C1">
            <w:pPr>
              <w:keepLines/>
              <w:rPr>
                <w:rFonts w:ascii="Arial Narrow" w:hAnsi="Arial Narrow"/>
                <w:b/>
                <w:color w:val="000000"/>
                <w:sz w:val="20"/>
                <w:szCs w:val="20"/>
              </w:rPr>
            </w:pPr>
            <w:r w:rsidRPr="005A578E">
              <w:rPr>
                <w:rFonts w:ascii="Arial Narrow" w:hAnsi="Arial Narrow"/>
                <w:b/>
                <w:color w:val="000000"/>
                <w:sz w:val="20"/>
                <w:szCs w:val="20"/>
              </w:rPr>
              <w:t xml:space="preserve">Authority type: </w:t>
            </w:r>
            <w:r w:rsidRPr="005A578E">
              <w:rPr>
                <w:rFonts w:ascii="Arial Narrow" w:eastAsia="Calibri" w:hAnsi="Arial Narrow"/>
                <w:color w:val="000000"/>
                <w:sz w:val="20"/>
                <w:szCs w:val="20"/>
              </w:rPr>
              <w:fldChar w:fldCharType="begin">
                <w:ffData>
                  <w:name w:val=""/>
                  <w:enabled/>
                  <w:calcOnExit w:val="0"/>
                  <w:checkBox>
                    <w:sizeAuto/>
                    <w:default w:val="1"/>
                  </w:checkBox>
                </w:ffData>
              </w:fldChar>
            </w:r>
            <w:r w:rsidRPr="005A578E">
              <w:rPr>
                <w:rFonts w:ascii="Arial Narrow" w:eastAsia="Calibri" w:hAnsi="Arial Narrow"/>
                <w:color w:val="000000"/>
                <w:sz w:val="20"/>
                <w:szCs w:val="20"/>
              </w:rPr>
              <w:instrText xml:space="preserve"> FORMCHECKBOX </w:instrText>
            </w:r>
            <w:r w:rsidRPr="005A578E">
              <w:rPr>
                <w:rFonts w:ascii="Arial Narrow" w:eastAsia="Calibri" w:hAnsi="Arial Narrow"/>
                <w:color w:val="000000"/>
                <w:sz w:val="20"/>
                <w:szCs w:val="20"/>
              </w:rPr>
            </w:r>
            <w:r w:rsidRPr="005A578E">
              <w:rPr>
                <w:rFonts w:ascii="Arial Narrow" w:eastAsia="Calibri" w:hAnsi="Arial Narrow"/>
                <w:color w:val="000000"/>
                <w:sz w:val="20"/>
                <w:szCs w:val="20"/>
              </w:rPr>
              <w:fldChar w:fldCharType="separate"/>
            </w:r>
            <w:r w:rsidRPr="005A578E">
              <w:rPr>
                <w:rFonts w:ascii="Arial Narrow" w:eastAsia="Calibri" w:hAnsi="Arial Narrow"/>
                <w:color w:val="000000"/>
                <w:sz w:val="20"/>
                <w:szCs w:val="20"/>
              </w:rPr>
              <w:fldChar w:fldCharType="end"/>
            </w:r>
            <w:r w:rsidRPr="005A578E">
              <w:rPr>
                <w:rFonts w:ascii="Arial Narrow" w:eastAsia="Calibri" w:hAnsi="Arial Narrow"/>
                <w:color w:val="000000"/>
                <w:sz w:val="20"/>
                <w:szCs w:val="20"/>
              </w:rPr>
              <w:t xml:space="preserve"> Complex Authority Required (CAR)</w:t>
            </w:r>
          </w:p>
        </w:tc>
      </w:tr>
      <w:tr w:rsidR="00262553" w:rsidRPr="005A578E" w14:paraId="58E63C92" w14:textId="77777777" w:rsidTr="000343C1">
        <w:trPr>
          <w:gridAfter w:val="1"/>
          <w:wAfter w:w="15" w:type="dxa"/>
          <w:trHeight w:val="38"/>
        </w:trPr>
        <w:tc>
          <w:tcPr>
            <w:tcW w:w="462" w:type="dxa"/>
            <w:vMerge w:val="restart"/>
            <w:tcBorders>
              <w:top w:val="single" w:sz="4" w:space="0" w:color="auto"/>
              <w:left w:val="single" w:sz="4" w:space="0" w:color="auto"/>
              <w:bottom w:val="single" w:sz="4" w:space="0" w:color="auto"/>
              <w:right w:val="single" w:sz="4" w:space="0" w:color="auto"/>
            </w:tcBorders>
            <w:vAlign w:val="center"/>
            <w:hideMark/>
          </w:tcPr>
          <w:p w14:paraId="733112E2" w14:textId="77777777" w:rsidR="00262553" w:rsidRPr="005A578E" w:rsidRDefault="00262553" w:rsidP="000343C1">
            <w:pPr>
              <w:rPr>
                <w:rFonts w:ascii="Arial Narrow" w:hAnsi="Arial Narrow"/>
                <w:color w:val="000000"/>
                <w:sz w:val="20"/>
                <w:szCs w:val="20"/>
              </w:rPr>
            </w:pPr>
          </w:p>
        </w:tc>
        <w:tc>
          <w:tcPr>
            <w:tcW w:w="1065"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CAE69EA" w14:textId="0B493160"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221758" w14:textId="77777777" w:rsidR="00262553" w:rsidRPr="005A578E" w:rsidRDefault="00262553" w:rsidP="000343C1">
            <w:pPr>
              <w:rPr>
                <w:rFonts w:ascii="Arial Narrow" w:hAnsi="Arial Narrow"/>
                <w:b/>
                <w:bCs/>
                <w:color w:val="000000"/>
                <w:sz w:val="20"/>
                <w:szCs w:val="20"/>
              </w:rPr>
            </w:pPr>
            <w:r w:rsidRPr="005A578E">
              <w:rPr>
                <w:rFonts w:ascii="Arial Narrow" w:hAnsi="Arial Narrow"/>
                <w:b/>
                <w:bCs/>
                <w:color w:val="000000"/>
                <w:sz w:val="20"/>
                <w:szCs w:val="20"/>
              </w:rPr>
              <w:t xml:space="preserve">Administrative Advice: </w:t>
            </w:r>
            <w:r w:rsidRPr="005A578E">
              <w:rPr>
                <w:rFonts w:ascii="Arial Narrow" w:hAnsi="Arial Narrow"/>
                <w:bCs/>
                <w:color w:val="000000"/>
                <w:sz w:val="20"/>
                <w:szCs w:val="20"/>
              </w:rPr>
              <w:t>Special Pricing Arrangements apply.</w:t>
            </w:r>
          </w:p>
        </w:tc>
      </w:tr>
      <w:tr w:rsidR="00262553" w:rsidRPr="005A578E" w14:paraId="68F81F8B" w14:textId="77777777" w:rsidTr="000343C1">
        <w:trPr>
          <w:gridAfter w:val="1"/>
          <w:wAfter w:w="15" w:type="dxa"/>
          <w:trHeight w:val="20"/>
        </w:trPr>
        <w:tc>
          <w:tcPr>
            <w:tcW w:w="462" w:type="dxa"/>
            <w:vMerge/>
            <w:vAlign w:val="center"/>
          </w:tcPr>
          <w:p w14:paraId="13AE9052" w14:textId="77777777" w:rsidR="00262553" w:rsidRPr="005A578E" w:rsidRDefault="00262553" w:rsidP="000343C1">
            <w:pPr>
              <w:rPr>
                <w:rFonts w:ascii="Arial Narrow" w:hAnsi="Arial Narrow"/>
                <w:color w:val="000000"/>
                <w:sz w:val="20"/>
                <w:szCs w:val="20"/>
              </w:rPr>
            </w:pPr>
          </w:p>
        </w:tc>
        <w:tc>
          <w:tcPr>
            <w:tcW w:w="1065"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E3671E" w14:textId="6B3E91FE" w:rsidR="00262553" w:rsidRPr="005A578E" w:rsidRDefault="00262553" w:rsidP="000343C1">
            <w:pPr>
              <w:jc w:val="center"/>
              <w:rPr>
                <w:rFonts w:ascii="Arial Narrow" w:hAnsi="Arial Narrow"/>
                <w:b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F7AEC1" w14:textId="77777777" w:rsidR="00262553" w:rsidRPr="005A578E" w:rsidRDefault="00262553" w:rsidP="000343C1">
            <w:pPr>
              <w:rPr>
                <w:rFonts w:ascii="Arial Narrow" w:hAnsi="Arial Narrow"/>
                <w:b/>
                <w:bCs/>
                <w:color w:val="000000"/>
                <w:sz w:val="20"/>
                <w:szCs w:val="20"/>
              </w:rPr>
            </w:pPr>
            <w:r w:rsidRPr="005A578E">
              <w:rPr>
                <w:rFonts w:ascii="Arial Narrow" w:hAnsi="Arial Narrow"/>
                <w:b/>
                <w:bCs/>
                <w:color w:val="000000"/>
                <w:sz w:val="20"/>
                <w:szCs w:val="20"/>
              </w:rPr>
              <w:t xml:space="preserve">Administrative Advice: </w:t>
            </w:r>
            <w:r w:rsidRPr="005A578E">
              <w:rPr>
                <w:rFonts w:ascii="Arial Narrow" w:hAnsi="Arial Narrow"/>
                <w:color w:val="000000"/>
                <w:sz w:val="20"/>
                <w:szCs w:val="20"/>
              </w:rPr>
              <w:t>Overarching new AA1 long note</w:t>
            </w:r>
          </w:p>
        </w:tc>
      </w:tr>
      <w:tr w:rsidR="00262553" w:rsidRPr="005A578E" w14:paraId="44B06994" w14:textId="77777777" w:rsidTr="000343C1">
        <w:trPr>
          <w:gridAfter w:val="1"/>
          <w:wAfter w:w="15" w:type="dxa"/>
          <w:trHeight w:val="20"/>
        </w:trPr>
        <w:tc>
          <w:tcPr>
            <w:tcW w:w="462" w:type="dxa"/>
            <w:vMerge/>
            <w:vAlign w:val="center"/>
            <w:hideMark/>
          </w:tcPr>
          <w:p w14:paraId="11DEF409" w14:textId="77777777" w:rsidR="00262553" w:rsidRPr="005A578E" w:rsidRDefault="00262553" w:rsidP="000343C1">
            <w:pPr>
              <w:rPr>
                <w:rFonts w:ascii="Arial Narrow" w:hAnsi="Arial Narrow"/>
                <w:color w:val="000000"/>
                <w:sz w:val="20"/>
                <w:szCs w:val="20"/>
              </w:rPr>
            </w:pPr>
          </w:p>
        </w:tc>
        <w:tc>
          <w:tcPr>
            <w:tcW w:w="1065"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44BD42" w14:textId="77777777" w:rsidR="00262553" w:rsidRPr="005A578E" w:rsidRDefault="00262553" w:rsidP="000343C1">
            <w:pPr>
              <w:jc w:val="center"/>
              <w:rPr>
                <w:rFonts w:ascii="Arial Narrow" w:hAnsi="Arial Narrow"/>
                <w:b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1D6B76" w14:textId="77777777" w:rsidR="00262553" w:rsidRPr="005A578E" w:rsidRDefault="00262553" w:rsidP="000343C1">
            <w:pPr>
              <w:rPr>
                <w:rFonts w:ascii="Arial Narrow" w:hAnsi="Arial Narrow"/>
                <w:color w:val="BFBFBF"/>
                <w:sz w:val="20"/>
                <w:szCs w:val="20"/>
              </w:rPr>
            </w:pPr>
            <w:proofErr w:type="spellStart"/>
            <w:r w:rsidRPr="005A578E">
              <w:rPr>
                <w:rFonts w:ascii="Arial Narrow" w:hAnsi="Arial Narrow"/>
                <w:b/>
                <w:bCs/>
                <w:color w:val="BFBFBF"/>
                <w:sz w:val="20"/>
                <w:szCs w:val="20"/>
              </w:rPr>
              <w:t>Episodicity</w:t>
            </w:r>
            <w:proofErr w:type="spellEnd"/>
            <w:r w:rsidRPr="005A578E">
              <w:rPr>
                <w:rFonts w:ascii="Arial Narrow" w:hAnsi="Arial Narrow"/>
                <w:b/>
                <w:bCs/>
                <w:color w:val="BFBFBF"/>
                <w:sz w:val="20"/>
                <w:szCs w:val="20"/>
              </w:rPr>
              <w:t>:</w:t>
            </w:r>
            <w:r w:rsidRPr="005A578E">
              <w:rPr>
                <w:rFonts w:ascii="Arial Narrow" w:hAnsi="Arial Narrow"/>
                <w:color w:val="BFBFBF"/>
                <w:sz w:val="20"/>
                <w:szCs w:val="20"/>
              </w:rPr>
              <w:t xml:space="preserve"> Active</w:t>
            </w:r>
          </w:p>
        </w:tc>
      </w:tr>
      <w:tr w:rsidR="00262553" w:rsidRPr="005A578E" w14:paraId="1CE7D4B2" w14:textId="77777777" w:rsidTr="000343C1">
        <w:trPr>
          <w:gridAfter w:val="1"/>
          <w:wAfter w:w="15" w:type="dxa"/>
          <w:trHeight w:val="20"/>
        </w:trPr>
        <w:tc>
          <w:tcPr>
            <w:tcW w:w="462" w:type="dxa"/>
            <w:tcBorders>
              <w:top w:val="single" w:sz="4" w:space="0" w:color="auto"/>
              <w:left w:val="single" w:sz="4" w:space="0" w:color="auto"/>
              <w:bottom w:val="single" w:sz="4" w:space="0" w:color="auto"/>
              <w:right w:val="single" w:sz="4" w:space="0" w:color="auto"/>
            </w:tcBorders>
            <w:vAlign w:val="center"/>
          </w:tcPr>
          <w:p w14:paraId="3ECF3931" w14:textId="77777777" w:rsidR="00262553" w:rsidRPr="005A578E" w:rsidRDefault="00262553" w:rsidP="000343C1">
            <w:pPr>
              <w:rPr>
                <w:rFonts w:ascii="Arial Narrow" w:hAnsi="Arial Narrow"/>
                <w:color w:val="000000"/>
                <w:sz w:val="20"/>
                <w:szCs w:val="20"/>
              </w:rPr>
            </w:pPr>
          </w:p>
        </w:tc>
        <w:tc>
          <w:tcPr>
            <w:tcW w:w="1065" w:type="dxa"/>
            <w:gridSpan w:val="3"/>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D1F241" w14:textId="77777777" w:rsidR="00262553" w:rsidRPr="005A578E" w:rsidRDefault="00262553" w:rsidP="000343C1">
            <w:pPr>
              <w:jc w:val="center"/>
              <w:rPr>
                <w:rFonts w:ascii="Arial Narrow" w:hAnsi="Arial Narrow"/>
                <w:b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477F34" w14:textId="77777777" w:rsidR="00262553" w:rsidRPr="005A578E" w:rsidRDefault="00262553" w:rsidP="000343C1">
            <w:pPr>
              <w:rPr>
                <w:rFonts w:ascii="Arial Narrow" w:hAnsi="Arial Narrow"/>
                <w:color w:val="BFBFBF"/>
                <w:sz w:val="20"/>
                <w:szCs w:val="20"/>
              </w:rPr>
            </w:pPr>
            <w:r w:rsidRPr="005A578E">
              <w:rPr>
                <w:rFonts w:ascii="Arial Narrow" w:hAnsi="Arial Narrow"/>
                <w:b/>
                <w:bCs/>
                <w:color w:val="BFBFBF"/>
                <w:sz w:val="20"/>
                <w:szCs w:val="20"/>
              </w:rPr>
              <w:t>Severity:</w:t>
            </w:r>
            <w:r w:rsidRPr="005A578E">
              <w:rPr>
                <w:rFonts w:ascii="Arial Narrow" w:hAnsi="Arial Narrow"/>
                <w:color w:val="BFBFBF"/>
                <w:sz w:val="20"/>
                <w:szCs w:val="20"/>
              </w:rPr>
              <w:t xml:space="preserve"> Uncontrolled Severe</w:t>
            </w:r>
          </w:p>
        </w:tc>
      </w:tr>
      <w:tr w:rsidR="00262553" w:rsidRPr="005A578E" w14:paraId="18716D55"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D76C3C" w14:textId="5A73B1C9" w:rsidR="00262553" w:rsidRPr="005A578E" w:rsidRDefault="00262553" w:rsidP="000343C1">
            <w:pPr>
              <w:keepLines/>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5FFCC8" w14:textId="77777777" w:rsidR="00262553" w:rsidRPr="005A578E" w:rsidRDefault="00262553" w:rsidP="000343C1">
            <w:pPr>
              <w:keepLines/>
              <w:rPr>
                <w:rFonts w:ascii="Arial Narrow" w:hAnsi="Arial Narrow"/>
                <w:color w:val="000000"/>
                <w:sz w:val="20"/>
                <w:szCs w:val="20"/>
              </w:rPr>
            </w:pPr>
            <w:r w:rsidRPr="005A578E">
              <w:rPr>
                <w:rFonts w:ascii="Arial Narrow" w:hAnsi="Arial Narrow"/>
                <w:b/>
                <w:bCs/>
                <w:color w:val="000000"/>
                <w:sz w:val="20"/>
                <w:szCs w:val="20"/>
              </w:rPr>
              <w:t>Indication:</w:t>
            </w:r>
            <w:r w:rsidRPr="005A578E">
              <w:rPr>
                <w:rFonts w:ascii="Arial Narrow" w:hAnsi="Arial Narrow"/>
                <w:color w:val="000000"/>
                <w:sz w:val="20"/>
                <w:szCs w:val="20"/>
              </w:rPr>
              <w:t xml:space="preserve"> Uncontrolled severe asthma</w:t>
            </w:r>
          </w:p>
        </w:tc>
      </w:tr>
      <w:tr w:rsidR="00262553" w:rsidRPr="005A578E" w14:paraId="45EA543A" w14:textId="77777777" w:rsidTr="000343C1">
        <w:trPr>
          <w:gridAfter w:val="1"/>
          <w:wAfter w:w="15" w:type="dxa"/>
          <w:cantSplit/>
          <w:trHeight w:val="437"/>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7C2634" w14:textId="77777777" w:rsidR="00262553" w:rsidRPr="005A578E" w:rsidRDefault="00262553" w:rsidP="000343C1"/>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D267F0" w14:textId="77777777" w:rsidR="00262553" w:rsidRPr="005A578E" w:rsidRDefault="00262553" w:rsidP="000343C1">
            <w:pPr>
              <w:rPr>
                <w:rFonts w:ascii="Arial Narrow" w:hAnsi="Arial Narrow"/>
                <w:color w:val="000000"/>
                <w:sz w:val="20"/>
                <w:szCs w:val="20"/>
              </w:rPr>
            </w:pPr>
            <w:r w:rsidRPr="005A578E">
              <w:rPr>
                <w:rFonts w:ascii="Arial Narrow" w:hAnsi="Arial Narrow"/>
                <w:b/>
                <w:bCs/>
                <w:color w:val="000000"/>
                <w:sz w:val="20"/>
                <w:szCs w:val="20"/>
              </w:rPr>
              <w:t>Treatment Phase:</w:t>
            </w:r>
            <w:r w:rsidRPr="005A578E">
              <w:rPr>
                <w:rFonts w:ascii="Arial Narrow" w:hAnsi="Arial Narrow"/>
                <w:color w:val="000000"/>
                <w:sz w:val="20"/>
                <w:szCs w:val="20"/>
              </w:rPr>
              <w:t xml:space="preserve"> Transitioning from non-PBS to PBS-subsidised supply – Grandfathering arrangements</w:t>
            </w:r>
          </w:p>
        </w:tc>
      </w:tr>
      <w:tr w:rsidR="00262553" w:rsidRPr="005A578E" w14:paraId="0640E504"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AE2098" w14:textId="2378573E"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2533CC" w14:textId="77777777" w:rsidR="00262553" w:rsidRPr="005A578E" w:rsidRDefault="00262553" w:rsidP="000343C1">
            <w:pPr>
              <w:rPr>
                <w:rFonts w:ascii="Arial Narrow" w:hAnsi="Arial Narrow"/>
                <w:b/>
                <w:bCs/>
                <w:color w:val="000000"/>
                <w:sz w:val="20"/>
                <w:szCs w:val="20"/>
              </w:rPr>
            </w:pPr>
            <w:r w:rsidRPr="005A578E">
              <w:rPr>
                <w:rFonts w:ascii="Arial Narrow" w:hAnsi="Arial Narrow"/>
                <w:b/>
                <w:bCs/>
                <w:color w:val="000000"/>
                <w:sz w:val="20"/>
                <w:szCs w:val="20"/>
              </w:rPr>
              <w:t>Treatment criteria:</w:t>
            </w:r>
          </w:p>
        </w:tc>
      </w:tr>
      <w:tr w:rsidR="00262553" w:rsidRPr="005A578E" w14:paraId="70168CA2"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9E7E02" w14:textId="5AB7BC9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54C502" w14:textId="77777777" w:rsidR="00262553" w:rsidRPr="005A578E" w:rsidRDefault="00262553" w:rsidP="000343C1">
            <w:pPr>
              <w:rPr>
                <w:rFonts w:ascii="Arial Narrow" w:hAnsi="Arial Narrow"/>
                <w:strike/>
                <w:color w:val="000000"/>
                <w:sz w:val="20"/>
                <w:szCs w:val="20"/>
              </w:rPr>
            </w:pPr>
            <w:r w:rsidRPr="005A578E">
              <w:rPr>
                <w:rFonts w:ascii="Arial Narrow" w:hAnsi="Arial Narrow" w:cs="Arial Narrow"/>
                <w:color w:val="000000"/>
                <w:sz w:val="20"/>
                <w:szCs w:val="20"/>
              </w:rPr>
              <w:t>Must be treated by a medical practitioner who is either a: (</w:t>
            </w:r>
            <w:proofErr w:type="spellStart"/>
            <w:r w:rsidRPr="005A578E">
              <w:rPr>
                <w:rFonts w:ascii="Arial Narrow" w:hAnsi="Arial Narrow" w:cs="Arial Narrow"/>
                <w:color w:val="000000"/>
                <w:sz w:val="20"/>
                <w:szCs w:val="20"/>
              </w:rPr>
              <w:t>i</w:t>
            </w:r>
            <w:proofErr w:type="spellEnd"/>
            <w:r w:rsidRPr="005A578E">
              <w:rPr>
                <w:rFonts w:ascii="Arial Narrow" w:hAnsi="Arial Narrow" w:cs="Arial Narrow"/>
                <w:color w:val="000000"/>
                <w:sz w:val="20"/>
                <w:szCs w:val="20"/>
              </w:rPr>
              <w:t xml:space="preserve">) respiratory physician, (ii) clinical immunologist, (iii) allergist, (iv) general physician experienced in the management of patients with severe asthma </w:t>
            </w:r>
          </w:p>
        </w:tc>
      </w:tr>
      <w:tr w:rsidR="00262553" w:rsidRPr="005A578E" w14:paraId="3B2C91AE"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1E0875"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372FAC" w14:textId="77777777" w:rsidR="00262553" w:rsidRPr="005A578E" w:rsidRDefault="00262553" w:rsidP="000343C1">
            <w:pPr>
              <w:rPr>
                <w:rFonts w:ascii="Arial Narrow" w:hAnsi="Arial Narrow" w:cs="Arial Narrow"/>
                <w:b/>
                <w:bCs/>
                <w:color w:val="000000"/>
                <w:sz w:val="20"/>
                <w:szCs w:val="20"/>
              </w:rPr>
            </w:pPr>
            <w:r w:rsidRPr="005A578E">
              <w:rPr>
                <w:rFonts w:ascii="Arial Narrow" w:hAnsi="Arial Narrow" w:cs="Arial Narrow"/>
                <w:b/>
                <w:bCs/>
                <w:color w:val="000000"/>
                <w:sz w:val="20"/>
                <w:szCs w:val="20"/>
              </w:rPr>
              <w:t>Clinical criteria:</w:t>
            </w:r>
          </w:p>
        </w:tc>
      </w:tr>
      <w:tr w:rsidR="00262553" w:rsidRPr="005A578E" w14:paraId="52B5E92E"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DDA2E4"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BEE722" w14:textId="77777777" w:rsidR="00262553" w:rsidRPr="005A578E" w:rsidRDefault="00262553" w:rsidP="000343C1">
            <w:pPr>
              <w:rPr>
                <w:rFonts w:ascii="Arial Narrow" w:hAnsi="Arial Narrow" w:cs="Arial Narrow"/>
                <w:color w:val="000000"/>
                <w:sz w:val="20"/>
                <w:szCs w:val="20"/>
              </w:rPr>
            </w:pPr>
            <w:r w:rsidRPr="005A578E">
              <w:rPr>
                <w:rFonts w:ascii="Arial Narrow" w:hAnsi="Arial Narrow" w:cs="Arial Narrow"/>
                <w:color w:val="000000"/>
                <w:sz w:val="20"/>
                <w:szCs w:val="20"/>
              </w:rPr>
              <w:t>Patient must have received non-PBS-subsidised treatment with this biological medicine for this PBS-indication prior to [listing date]</w:t>
            </w:r>
          </w:p>
        </w:tc>
      </w:tr>
      <w:tr w:rsidR="00262553" w:rsidRPr="005A578E" w14:paraId="339DF600"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BF5DC8"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7D93DA" w14:textId="77777777" w:rsidR="00262553" w:rsidRPr="005A578E" w:rsidRDefault="00262553" w:rsidP="000343C1">
            <w:pPr>
              <w:rPr>
                <w:rFonts w:ascii="Arial Narrow" w:eastAsia="Aptos" w:hAnsi="Arial Narrow"/>
                <w:color w:val="000000"/>
                <w:sz w:val="20"/>
                <w:szCs w:val="20"/>
              </w:rPr>
            </w:pPr>
            <w:r w:rsidRPr="005A578E">
              <w:rPr>
                <w:rFonts w:ascii="Arial Narrow" w:hAnsi="Arial Narrow"/>
                <w:b/>
                <w:bCs/>
                <w:color w:val="000000"/>
                <w:sz w:val="20"/>
                <w:szCs w:val="20"/>
              </w:rPr>
              <w:t>AND</w:t>
            </w:r>
          </w:p>
        </w:tc>
      </w:tr>
      <w:tr w:rsidR="00262553" w:rsidRPr="005A578E" w14:paraId="66BA8ABE"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F335BE" w14:textId="55CAC93E"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618867" w14:textId="77777777" w:rsidR="00262553" w:rsidRPr="005A578E" w:rsidRDefault="00262553" w:rsidP="000343C1">
            <w:pPr>
              <w:rPr>
                <w:rFonts w:ascii="Arial Narrow" w:eastAsia="Aptos" w:hAnsi="Arial Narrow"/>
                <w:color w:val="000000"/>
                <w:sz w:val="20"/>
                <w:szCs w:val="20"/>
              </w:rPr>
            </w:pPr>
            <w:r w:rsidRPr="005A578E">
              <w:rPr>
                <w:rFonts w:ascii="Arial Narrow" w:hAnsi="Arial Narrow"/>
                <w:b/>
                <w:bCs/>
                <w:color w:val="000000"/>
                <w:sz w:val="20"/>
                <w:szCs w:val="20"/>
              </w:rPr>
              <w:t>Clinical criteria:</w:t>
            </w:r>
          </w:p>
        </w:tc>
      </w:tr>
      <w:tr w:rsidR="00262553" w:rsidRPr="005A578E" w14:paraId="447B39AB"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698520" w14:textId="5F9727F0"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24D7E4" w14:textId="77777777" w:rsidR="00262553" w:rsidRPr="005A578E" w:rsidRDefault="00262553" w:rsidP="000343C1">
            <w:pPr>
              <w:rPr>
                <w:rFonts w:ascii="Arial Narrow" w:eastAsia="Aptos" w:hAnsi="Arial Narrow"/>
                <w:color w:val="000000"/>
                <w:sz w:val="20"/>
                <w:szCs w:val="20"/>
              </w:rPr>
            </w:pPr>
            <w:r w:rsidRPr="005A578E">
              <w:rPr>
                <w:rFonts w:ascii="Arial Narrow" w:eastAsia="Aptos" w:hAnsi="Arial Narrow"/>
                <w:color w:val="000000"/>
                <w:sz w:val="20"/>
                <w:szCs w:val="20"/>
              </w:rPr>
              <w:t>Patient must have a diagnosis of asthma confirmed and documented in the patient's medical records by either a: (</w:t>
            </w:r>
            <w:proofErr w:type="spellStart"/>
            <w:r w:rsidRPr="005A578E">
              <w:rPr>
                <w:rFonts w:ascii="Arial Narrow" w:eastAsia="Aptos" w:hAnsi="Arial Narrow"/>
                <w:color w:val="000000"/>
                <w:sz w:val="20"/>
                <w:szCs w:val="20"/>
              </w:rPr>
              <w:t>i</w:t>
            </w:r>
            <w:proofErr w:type="spellEnd"/>
            <w:r w:rsidRPr="005A578E">
              <w:rPr>
                <w:rFonts w:ascii="Arial Narrow" w:eastAsia="Aptos" w:hAnsi="Arial Narrow"/>
                <w:color w:val="000000"/>
                <w:sz w:val="20"/>
                <w:szCs w:val="20"/>
              </w:rPr>
              <w:t>) respiratory physician, (ii) clinical immunologist, (iii) allergist, (iv) general physician experienced in the management of patients with severe asthma, defined by at least one of the following standard clinical features: (a) forced expiratory volume (FEV1) reversibility greater than or equal to 12% and greater than or equal to 200 mL at baseline within 30 minutes after administration of salbutamol (200 to 400 micrograms), (b) airway hyperresponsiveness defined as a greater than 20% decline in FEV1 during a direct bronchial provocation test or greater than 15% decline during an indirect bronchial provocation test, (c) peak expiratory flow (PEF) variability of greater than 15% between the two highest and two lowest peak expiratory flow rates during 14 days;</w:t>
            </w:r>
          </w:p>
        </w:tc>
      </w:tr>
      <w:tr w:rsidR="00262553" w:rsidRPr="005A578E" w14:paraId="5040FC15" w14:textId="77777777" w:rsidTr="000343C1">
        <w:trPr>
          <w:gridAfter w:val="1"/>
          <w:wAfter w:w="15" w:type="dxa"/>
          <w:cantSplit/>
          <w:trHeight w:val="71"/>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602811"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EDF0EF" w14:textId="77777777" w:rsidR="00262553" w:rsidRPr="005A578E" w:rsidRDefault="00262553" w:rsidP="000343C1">
            <w:pPr>
              <w:rPr>
                <w:rFonts w:ascii="Arial Narrow" w:eastAsia="Aptos" w:hAnsi="Arial Narrow"/>
                <w:b/>
                <w:bCs/>
                <w:color w:val="000000"/>
                <w:sz w:val="20"/>
                <w:szCs w:val="20"/>
              </w:rPr>
            </w:pPr>
            <w:r w:rsidRPr="005A578E">
              <w:rPr>
                <w:rFonts w:ascii="Arial Narrow" w:eastAsia="Aptos" w:hAnsi="Arial Narrow"/>
                <w:b/>
                <w:bCs/>
                <w:color w:val="000000"/>
                <w:sz w:val="20"/>
                <w:szCs w:val="20"/>
              </w:rPr>
              <w:t>OR</w:t>
            </w:r>
          </w:p>
        </w:tc>
      </w:tr>
      <w:tr w:rsidR="00262553" w:rsidRPr="005A578E" w14:paraId="719E753E"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1383D3"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B51975" w14:textId="77777777" w:rsidR="00262553" w:rsidRPr="005A578E" w:rsidRDefault="00262553" w:rsidP="000343C1">
            <w:pPr>
              <w:rPr>
                <w:rFonts w:ascii="Arial Narrow" w:eastAsia="Aptos" w:hAnsi="Arial Narrow"/>
                <w:color w:val="000000"/>
                <w:sz w:val="20"/>
                <w:szCs w:val="20"/>
              </w:rPr>
            </w:pPr>
            <w:r w:rsidRPr="005A578E">
              <w:rPr>
                <w:rFonts w:ascii="Arial Narrow" w:eastAsia="Aptos" w:hAnsi="Arial Narrow"/>
                <w:color w:val="000000"/>
                <w:sz w:val="20"/>
                <w:szCs w:val="20"/>
              </w:rPr>
              <w:t>Patient must have</w:t>
            </w:r>
            <w:r>
              <w:rPr>
                <w:rFonts w:ascii="Arial Narrow" w:eastAsia="Aptos" w:hAnsi="Arial Narrow"/>
                <w:color w:val="000000"/>
                <w:sz w:val="20"/>
                <w:szCs w:val="20"/>
              </w:rPr>
              <w:t xml:space="preserve"> had</w:t>
            </w:r>
            <w:r w:rsidRPr="005A578E">
              <w:rPr>
                <w:rFonts w:ascii="Arial Narrow" w:eastAsia="Aptos" w:hAnsi="Arial Narrow"/>
                <w:color w:val="000000"/>
                <w:sz w:val="20"/>
                <w:szCs w:val="20"/>
              </w:rPr>
              <w:t xml:space="preserve"> a diagnosis of asthma from at least two physicians experienced in the management of patients with severe asthma with the details document in the patient’s medical records</w:t>
            </w:r>
            <w:r>
              <w:rPr>
                <w:rFonts w:ascii="Arial Narrow" w:eastAsia="Aptos" w:hAnsi="Arial Narrow"/>
                <w:color w:val="000000"/>
                <w:sz w:val="20"/>
                <w:szCs w:val="20"/>
              </w:rPr>
              <w:t xml:space="preserve"> prior to initiation of non-PBS-subsidised treatment with this drug for this condition</w:t>
            </w:r>
          </w:p>
        </w:tc>
      </w:tr>
      <w:tr w:rsidR="00262553" w:rsidRPr="005A578E" w14:paraId="7CB74A61"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04C042"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50A42E" w14:textId="77777777" w:rsidR="00262553" w:rsidRPr="005A578E" w:rsidRDefault="00262553" w:rsidP="000343C1">
            <w:pPr>
              <w:rPr>
                <w:rFonts w:ascii="Arial Narrow" w:eastAsia="Aptos" w:hAnsi="Arial Narrow"/>
                <w:color w:val="000000"/>
                <w:sz w:val="20"/>
                <w:szCs w:val="20"/>
              </w:rPr>
            </w:pPr>
            <w:r w:rsidRPr="005A578E">
              <w:rPr>
                <w:rFonts w:ascii="Arial Narrow" w:hAnsi="Arial Narrow"/>
                <w:b/>
                <w:bCs/>
                <w:color w:val="000000"/>
                <w:sz w:val="20"/>
                <w:szCs w:val="20"/>
              </w:rPr>
              <w:t>AND</w:t>
            </w:r>
          </w:p>
        </w:tc>
      </w:tr>
      <w:tr w:rsidR="00262553" w:rsidRPr="005A578E" w14:paraId="3CFBBA20"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AD6AFE" w14:textId="44E408EA"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DEE6092" w14:textId="77777777" w:rsidR="00262553" w:rsidRPr="005A578E" w:rsidRDefault="00262553" w:rsidP="000343C1">
            <w:pPr>
              <w:rPr>
                <w:rFonts w:ascii="Arial Narrow" w:eastAsia="Aptos" w:hAnsi="Arial Narrow"/>
                <w:color w:val="000000"/>
                <w:sz w:val="20"/>
                <w:szCs w:val="20"/>
              </w:rPr>
            </w:pPr>
            <w:r w:rsidRPr="005A578E">
              <w:rPr>
                <w:rFonts w:ascii="Arial Narrow" w:hAnsi="Arial Narrow"/>
                <w:b/>
                <w:bCs/>
                <w:color w:val="000000"/>
                <w:sz w:val="20"/>
                <w:szCs w:val="20"/>
              </w:rPr>
              <w:t>Clinical criteria:</w:t>
            </w:r>
          </w:p>
        </w:tc>
      </w:tr>
      <w:tr w:rsidR="00262553" w:rsidRPr="005A578E" w14:paraId="2AD8AE8D"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20257C" w14:textId="7B36D3F8"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4AC0F2" w14:textId="77777777" w:rsidR="00262553" w:rsidRPr="005A578E" w:rsidRDefault="00262553" w:rsidP="000343C1">
            <w:pPr>
              <w:rPr>
                <w:rFonts w:ascii="Arial Narrow" w:eastAsia="Aptos" w:hAnsi="Arial Narrow"/>
                <w:color w:val="000000"/>
                <w:sz w:val="20"/>
                <w:szCs w:val="20"/>
              </w:rPr>
            </w:pPr>
            <w:r w:rsidRPr="005A578E">
              <w:rPr>
                <w:rFonts w:ascii="Arial Narrow" w:eastAsia="Aptos" w:hAnsi="Arial Narrow"/>
                <w:color w:val="000000"/>
                <w:sz w:val="20"/>
                <w:szCs w:val="20"/>
              </w:rPr>
              <w:t xml:space="preserve">Patient must have had a duration of asthma of at least 1 year prior to </w:t>
            </w:r>
            <w:r w:rsidRPr="005A578E">
              <w:rPr>
                <w:rFonts w:ascii="Arial Narrow" w:hAnsi="Arial Narrow"/>
                <w:color w:val="000000" w:themeColor="text1"/>
                <w:sz w:val="20"/>
                <w:szCs w:val="20"/>
              </w:rPr>
              <w:t>initiating non-PBS-subsidised treatment with this drug for this condition.</w:t>
            </w:r>
          </w:p>
        </w:tc>
      </w:tr>
      <w:tr w:rsidR="00262553" w:rsidRPr="005A578E" w14:paraId="4DEDF8A0"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AD1842"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888F4A" w14:textId="77777777" w:rsidR="00262553" w:rsidRPr="005A578E" w:rsidRDefault="00262553" w:rsidP="000343C1">
            <w:pPr>
              <w:rPr>
                <w:rFonts w:ascii="Arial Narrow" w:eastAsia="Aptos" w:hAnsi="Arial Narrow"/>
                <w:color w:val="000000"/>
                <w:sz w:val="20"/>
                <w:szCs w:val="20"/>
              </w:rPr>
            </w:pPr>
            <w:r w:rsidRPr="005A578E">
              <w:rPr>
                <w:rFonts w:ascii="Arial Narrow" w:hAnsi="Arial Narrow"/>
                <w:b/>
                <w:bCs/>
                <w:color w:val="000000"/>
                <w:sz w:val="20"/>
                <w:szCs w:val="20"/>
              </w:rPr>
              <w:t>AND</w:t>
            </w:r>
          </w:p>
        </w:tc>
      </w:tr>
      <w:tr w:rsidR="00262553" w:rsidRPr="005A578E" w14:paraId="07EE7292"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67FDF3" w14:textId="2DB72108" w:rsidR="00262553" w:rsidRPr="005A578E" w:rsidRDefault="00262553" w:rsidP="000343C1">
            <w:pPr>
              <w:jc w:val="center"/>
              <w:rPr>
                <w:rFonts w:ascii="Arial Narrow" w:hAnsi="Arial Narrow"/>
                <w:b/>
                <w:b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86155D" w14:textId="77777777" w:rsidR="00262553" w:rsidRPr="005A578E" w:rsidRDefault="00262553" w:rsidP="000343C1">
            <w:pPr>
              <w:rPr>
                <w:rFonts w:ascii="Arial Narrow" w:eastAsia="Aptos" w:hAnsi="Arial Narrow"/>
                <w:color w:val="000000"/>
                <w:sz w:val="20"/>
                <w:szCs w:val="20"/>
              </w:rPr>
            </w:pPr>
            <w:r w:rsidRPr="005A578E">
              <w:rPr>
                <w:rFonts w:ascii="Arial Narrow" w:hAnsi="Arial Narrow"/>
                <w:b/>
                <w:bCs/>
                <w:color w:val="000000"/>
                <w:sz w:val="20"/>
                <w:szCs w:val="20"/>
              </w:rPr>
              <w:t>Clinical criteria:</w:t>
            </w:r>
          </w:p>
        </w:tc>
      </w:tr>
      <w:tr w:rsidR="00262553" w:rsidRPr="005A578E" w14:paraId="009B8639"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1AE0016"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463CE8" w14:textId="77777777" w:rsidR="00262553" w:rsidRPr="005A578E" w:rsidRDefault="00262553" w:rsidP="000343C1">
            <w:pPr>
              <w:rPr>
                <w:rFonts w:ascii="Arial Narrow" w:eastAsia="Aptos" w:hAnsi="Arial Narrow"/>
                <w:color w:val="000000"/>
                <w:sz w:val="20"/>
                <w:szCs w:val="20"/>
              </w:rPr>
            </w:pPr>
            <w:r w:rsidRPr="02E8A7A0">
              <w:rPr>
                <w:rFonts w:ascii="Arial Narrow" w:eastAsia="Aptos" w:hAnsi="Arial Narrow"/>
                <w:color w:val="000000" w:themeColor="text1"/>
                <w:sz w:val="20"/>
                <w:szCs w:val="20"/>
              </w:rPr>
              <w:t xml:space="preserve">Patient must have had blood eosinophil count at least 300 cells per microlitre in the 12 months </w:t>
            </w:r>
            <w:r w:rsidRPr="02E8A7A0">
              <w:rPr>
                <w:rFonts w:ascii="Arial Narrow" w:hAnsi="Arial Narrow"/>
                <w:color w:val="000000" w:themeColor="text1"/>
                <w:sz w:val="20"/>
                <w:szCs w:val="20"/>
              </w:rPr>
              <w:t>prior to initiation of non-PBS-subsidised treatment with this drug for this condition.</w:t>
            </w:r>
            <w:r w:rsidRPr="02E8A7A0">
              <w:rPr>
                <w:rFonts w:ascii="Arial Narrow" w:eastAsia="Aptos" w:hAnsi="Arial Narrow"/>
                <w:color w:val="000000" w:themeColor="text1"/>
                <w:sz w:val="20"/>
                <w:szCs w:val="20"/>
              </w:rPr>
              <w:t>;</w:t>
            </w:r>
          </w:p>
        </w:tc>
      </w:tr>
      <w:tr w:rsidR="00262553" w:rsidRPr="005A578E" w14:paraId="6101E17D"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78E896"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7F9EF4" w14:textId="77777777" w:rsidR="00262553" w:rsidRPr="005A578E" w:rsidRDefault="00262553" w:rsidP="000343C1">
            <w:pPr>
              <w:rPr>
                <w:rFonts w:ascii="Arial Narrow" w:eastAsia="Aptos" w:hAnsi="Arial Narrow"/>
                <w:b/>
                <w:bCs/>
                <w:color w:val="000000"/>
                <w:sz w:val="20"/>
                <w:szCs w:val="20"/>
              </w:rPr>
            </w:pPr>
            <w:r w:rsidRPr="005A578E">
              <w:rPr>
                <w:rFonts w:ascii="Arial Narrow" w:eastAsia="Aptos" w:hAnsi="Arial Narrow"/>
                <w:b/>
                <w:bCs/>
                <w:color w:val="000000"/>
                <w:sz w:val="20"/>
                <w:szCs w:val="20"/>
              </w:rPr>
              <w:t>OR</w:t>
            </w:r>
          </w:p>
        </w:tc>
      </w:tr>
      <w:tr w:rsidR="00262553" w:rsidRPr="005A578E" w14:paraId="2C228408"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345300"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60F1A2" w14:textId="77777777" w:rsidR="00262553" w:rsidRPr="005A578E" w:rsidRDefault="00262553" w:rsidP="000343C1">
            <w:pPr>
              <w:rPr>
                <w:rFonts w:ascii="Arial Narrow" w:eastAsia="Aptos" w:hAnsi="Arial Narrow"/>
                <w:color w:val="000000"/>
                <w:sz w:val="20"/>
                <w:szCs w:val="20"/>
              </w:rPr>
            </w:pPr>
            <w:r w:rsidRPr="005A578E">
              <w:rPr>
                <w:rFonts w:ascii="Arial Narrow" w:eastAsia="Aptos" w:hAnsi="Arial Narrow"/>
                <w:color w:val="000000"/>
                <w:sz w:val="20"/>
                <w:szCs w:val="20"/>
              </w:rPr>
              <w:t xml:space="preserve">Patient must have had blood eosinophil count at least 150 cells per microlitre while receiving treatment with oral corticosteroids in the 12 months </w:t>
            </w:r>
            <w:r w:rsidRPr="005A578E">
              <w:rPr>
                <w:rFonts w:ascii="Arial Narrow" w:hAnsi="Arial Narrow"/>
                <w:color w:val="000000" w:themeColor="text1"/>
                <w:sz w:val="20"/>
                <w:szCs w:val="20"/>
              </w:rPr>
              <w:t xml:space="preserve">prior to </w:t>
            </w:r>
            <w:r>
              <w:rPr>
                <w:rFonts w:ascii="Arial Narrow" w:hAnsi="Arial Narrow"/>
                <w:color w:val="000000" w:themeColor="text1"/>
                <w:sz w:val="20"/>
                <w:szCs w:val="20"/>
              </w:rPr>
              <w:t>initiation of</w:t>
            </w:r>
            <w:r w:rsidRPr="005A578E">
              <w:rPr>
                <w:rFonts w:ascii="Arial Narrow" w:hAnsi="Arial Narrow"/>
                <w:color w:val="000000" w:themeColor="text1"/>
                <w:sz w:val="20"/>
                <w:szCs w:val="20"/>
              </w:rPr>
              <w:t xml:space="preserve"> non-PBS-subsidised treatment with this drug for this condition.</w:t>
            </w:r>
          </w:p>
        </w:tc>
      </w:tr>
      <w:tr w:rsidR="00262553" w:rsidRPr="005A578E" w14:paraId="15B1B752"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2FF8E1"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26B9EA4" w14:textId="77777777" w:rsidR="00262553" w:rsidRPr="005A578E" w:rsidRDefault="00262553" w:rsidP="000343C1">
            <w:pPr>
              <w:rPr>
                <w:rFonts w:ascii="Arial Narrow" w:eastAsia="Aptos" w:hAnsi="Arial Narrow"/>
                <w:b/>
                <w:bCs/>
                <w:color w:val="000000"/>
                <w:sz w:val="20"/>
                <w:szCs w:val="20"/>
              </w:rPr>
            </w:pPr>
            <w:r w:rsidRPr="005A578E">
              <w:rPr>
                <w:rFonts w:ascii="Arial Narrow" w:eastAsia="Aptos" w:hAnsi="Arial Narrow"/>
                <w:b/>
                <w:bCs/>
                <w:color w:val="000000"/>
                <w:sz w:val="20"/>
                <w:szCs w:val="20"/>
              </w:rPr>
              <w:t>OR</w:t>
            </w:r>
          </w:p>
        </w:tc>
      </w:tr>
      <w:tr w:rsidR="00262553" w:rsidRPr="005A578E" w14:paraId="203978A8"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DD2920A"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396DE2" w14:textId="77777777" w:rsidR="00262553" w:rsidRPr="005A578E" w:rsidRDefault="00262553" w:rsidP="000343C1">
            <w:pPr>
              <w:rPr>
                <w:rFonts w:ascii="Arial Narrow" w:eastAsia="Aptos" w:hAnsi="Arial Narrow"/>
                <w:color w:val="000000"/>
                <w:sz w:val="20"/>
                <w:szCs w:val="20"/>
              </w:rPr>
            </w:pPr>
            <w:r w:rsidRPr="005A578E">
              <w:rPr>
                <w:rFonts w:ascii="Arial Narrow" w:eastAsia="Aptos" w:hAnsi="Arial Narrow"/>
                <w:color w:val="000000"/>
                <w:sz w:val="20"/>
                <w:szCs w:val="20"/>
              </w:rPr>
              <w:t>Patient must have had total serum human immunoglobulin E of at least 30 IU/mL, measured in the 12 months prior to i</w:t>
            </w:r>
            <w:r>
              <w:rPr>
                <w:rFonts w:ascii="Arial Narrow" w:eastAsia="Aptos" w:hAnsi="Arial Narrow"/>
                <w:color w:val="000000"/>
                <w:sz w:val="20"/>
                <w:szCs w:val="20"/>
              </w:rPr>
              <w:t xml:space="preserve">nitiation of </w:t>
            </w:r>
            <w:r w:rsidRPr="005A578E">
              <w:rPr>
                <w:rFonts w:ascii="Arial Narrow" w:eastAsia="Aptos" w:hAnsi="Arial Narrow"/>
                <w:color w:val="000000"/>
                <w:sz w:val="20"/>
                <w:szCs w:val="20"/>
              </w:rPr>
              <w:t>non-PBS subsidised treatment with this drug for this condition that had past or current evidence of atopy, documented by either: (</w:t>
            </w:r>
            <w:proofErr w:type="spellStart"/>
            <w:r w:rsidRPr="005A578E">
              <w:rPr>
                <w:rFonts w:ascii="Arial Narrow" w:eastAsia="Aptos" w:hAnsi="Arial Narrow"/>
                <w:color w:val="000000"/>
                <w:sz w:val="20"/>
                <w:szCs w:val="20"/>
              </w:rPr>
              <w:t>i</w:t>
            </w:r>
            <w:proofErr w:type="spellEnd"/>
            <w:r w:rsidRPr="005A578E">
              <w:rPr>
                <w:rFonts w:ascii="Arial Narrow" w:eastAsia="Aptos" w:hAnsi="Arial Narrow"/>
                <w:color w:val="000000"/>
                <w:sz w:val="20"/>
                <w:szCs w:val="20"/>
              </w:rPr>
              <w:t>) skin prick testing; (ii) an in vitro measure of specific IgE</w:t>
            </w:r>
            <w:r>
              <w:rPr>
                <w:rFonts w:ascii="Arial Narrow" w:eastAsia="Aptos" w:hAnsi="Arial Narrow"/>
                <w:color w:val="000000"/>
                <w:sz w:val="20"/>
                <w:szCs w:val="20"/>
              </w:rPr>
              <w:t xml:space="preserve"> </w:t>
            </w:r>
            <w:r w:rsidRPr="004C09ED">
              <w:rPr>
                <w:rFonts w:ascii="Arial Narrow" w:eastAsia="Aptos" w:hAnsi="Arial Narrow"/>
                <w:color w:val="000000"/>
                <w:sz w:val="20"/>
                <w:szCs w:val="20"/>
              </w:rPr>
              <w:t xml:space="preserve">no more than 12 months prior to initiation of </w:t>
            </w:r>
            <w:r>
              <w:rPr>
                <w:rFonts w:ascii="Arial Narrow" w:eastAsia="Aptos" w:hAnsi="Arial Narrow"/>
                <w:color w:val="000000"/>
                <w:sz w:val="20"/>
                <w:szCs w:val="20"/>
              </w:rPr>
              <w:t>non-</w:t>
            </w:r>
            <w:r w:rsidRPr="004C09ED">
              <w:rPr>
                <w:rFonts w:ascii="Arial Narrow" w:eastAsia="Aptos" w:hAnsi="Arial Narrow"/>
                <w:color w:val="000000"/>
                <w:sz w:val="20"/>
                <w:szCs w:val="20"/>
              </w:rPr>
              <w:t>PBS-subsidised treatment with this drug for this condition</w:t>
            </w:r>
          </w:p>
        </w:tc>
      </w:tr>
      <w:tr w:rsidR="00262553" w:rsidRPr="005A578E" w14:paraId="036F8DAB"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D67AC1" w14:textId="77777777" w:rsidR="00262553" w:rsidRPr="005A578E" w:rsidRDefault="00262553" w:rsidP="000343C1"/>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302104" w14:textId="77777777" w:rsidR="00262553" w:rsidRPr="005A578E" w:rsidRDefault="00262553" w:rsidP="000343C1">
            <w:pPr>
              <w:rPr>
                <w:rFonts w:ascii="Arial Narrow" w:hAnsi="Arial Narrow"/>
                <w:color w:val="000000"/>
                <w:sz w:val="20"/>
                <w:szCs w:val="20"/>
              </w:rPr>
            </w:pPr>
            <w:r w:rsidRPr="005A578E">
              <w:rPr>
                <w:rFonts w:ascii="Arial Narrow" w:hAnsi="Arial Narrow"/>
                <w:b/>
                <w:bCs/>
                <w:color w:val="000000"/>
                <w:sz w:val="20"/>
                <w:szCs w:val="20"/>
              </w:rPr>
              <w:t>AND</w:t>
            </w:r>
          </w:p>
        </w:tc>
      </w:tr>
      <w:tr w:rsidR="00262553" w:rsidRPr="005A578E" w14:paraId="15C0D48D"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9A8C38"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023BE6" w14:textId="77777777" w:rsidR="00262553" w:rsidRPr="005A578E" w:rsidRDefault="00262553" w:rsidP="000343C1">
            <w:pPr>
              <w:rPr>
                <w:rFonts w:ascii="Arial Narrow" w:hAnsi="Arial Narrow"/>
                <w:color w:val="000000"/>
                <w:sz w:val="20"/>
                <w:szCs w:val="20"/>
              </w:rPr>
            </w:pPr>
            <w:r w:rsidRPr="005A578E">
              <w:rPr>
                <w:rFonts w:ascii="Arial Narrow" w:hAnsi="Arial Narrow"/>
                <w:b/>
                <w:bCs/>
                <w:color w:val="000000"/>
                <w:sz w:val="20"/>
                <w:szCs w:val="20"/>
              </w:rPr>
              <w:t>Clinical criteria:</w:t>
            </w:r>
          </w:p>
        </w:tc>
      </w:tr>
      <w:tr w:rsidR="00262553" w:rsidRPr="005A578E" w14:paraId="1FAF2C1F"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A6F194"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8E71C4" w14:textId="77777777" w:rsidR="00262553" w:rsidRPr="005A578E" w:rsidRDefault="00262553" w:rsidP="000343C1">
            <w:pPr>
              <w:rPr>
                <w:rFonts w:ascii="Arial Narrow" w:eastAsia="Aptos" w:hAnsi="Arial Narrow"/>
                <w:color w:val="000000"/>
                <w:sz w:val="20"/>
                <w:szCs w:val="20"/>
                <w:lang w:eastAsia="en-US"/>
              </w:rPr>
            </w:pPr>
            <w:r w:rsidRPr="00922A3B">
              <w:rPr>
                <w:rFonts w:ascii="Arial Narrow" w:eastAsia="Aptos" w:hAnsi="Arial Narrow"/>
                <w:color w:val="000000"/>
                <w:sz w:val="20"/>
                <w:szCs w:val="20"/>
              </w:rPr>
              <w:t>Patient must have documented a failure to achieve adequate control with optimised asthma therapy, despite formal assessment of and adherence to correct inhaler technique, prior to initiating non-PBS-subsidised treatment with this drug for this condition</w:t>
            </w:r>
            <w:r>
              <w:rPr>
                <w:rFonts w:ascii="Arial Narrow" w:eastAsia="Aptos" w:hAnsi="Arial Narrow"/>
                <w:color w:val="000000"/>
                <w:sz w:val="20"/>
                <w:szCs w:val="20"/>
              </w:rPr>
              <w:t>.</w:t>
            </w:r>
          </w:p>
        </w:tc>
      </w:tr>
      <w:tr w:rsidR="00262553" w:rsidRPr="005A578E" w14:paraId="2D3ECBA9"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3C526B"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328C58" w14:textId="77777777" w:rsidR="00262553" w:rsidRPr="005A578E" w:rsidRDefault="00262553" w:rsidP="000343C1">
            <w:pPr>
              <w:rPr>
                <w:rFonts w:ascii="Arial Narrow" w:eastAsia="Aptos" w:hAnsi="Arial Narrow"/>
                <w:color w:val="000000"/>
                <w:sz w:val="20"/>
                <w:szCs w:val="20"/>
              </w:rPr>
            </w:pPr>
            <w:r w:rsidRPr="005A578E">
              <w:rPr>
                <w:rFonts w:ascii="Arial Narrow" w:hAnsi="Arial Narrow"/>
                <w:b/>
                <w:bCs/>
                <w:color w:val="000000"/>
                <w:sz w:val="20"/>
                <w:szCs w:val="20"/>
              </w:rPr>
              <w:t>AND</w:t>
            </w:r>
          </w:p>
        </w:tc>
      </w:tr>
      <w:tr w:rsidR="00262553" w:rsidRPr="005A578E" w14:paraId="7A8519E0"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D17D501" w14:textId="657AF942"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53738F" w14:textId="77777777" w:rsidR="00262553" w:rsidRPr="00922A3B" w:rsidRDefault="00262553" w:rsidP="000343C1">
            <w:pPr>
              <w:rPr>
                <w:rFonts w:ascii="Arial Narrow" w:hAnsi="Arial Narrow"/>
                <w:b/>
                <w:bCs/>
                <w:color w:val="000000"/>
                <w:sz w:val="20"/>
                <w:szCs w:val="20"/>
              </w:rPr>
            </w:pPr>
            <w:r w:rsidRPr="00922A3B">
              <w:rPr>
                <w:rFonts w:ascii="Arial Narrow" w:hAnsi="Arial Narrow"/>
                <w:b/>
                <w:bCs/>
                <w:color w:val="000000"/>
                <w:sz w:val="20"/>
                <w:szCs w:val="20"/>
              </w:rPr>
              <w:t>Clinical criteria:</w:t>
            </w:r>
          </w:p>
        </w:tc>
      </w:tr>
      <w:tr w:rsidR="00262553" w:rsidRPr="005A578E" w14:paraId="2D39FD51"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3E99FD" w14:textId="1A114FFE"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A6633C" w14:textId="77777777" w:rsidR="00262553" w:rsidRPr="00922A3B" w:rsidRDefault="00262553" w:rsidP="000343C1">
            <w:pPr>
              <w:rPr>
                <w:rFonts w:ascii="Arial Narrow" w:hAnsi="Arial Narrow"/>
                <w:b/>
                <w:bCs/>
                <w:color w:val="000000"/>
                <w:sz w:val="20"/>
                <w:szCs w:val="20"/>
              </w:rPr>
            </w:pPr>
            <w:r w:rsidRPr="00922A3B">
              <w:rPr>
                <w:rFonts w:ascii="Arial Narrow" w:hAnsi="Arial Narrow"/>
                <w:color w:val="000000"/>
                <w:sz w:val="20"/>
                <w:szCs w:val="20"/>
              </w:rPr>
              <w:t>Patient must have demonstrated or sustained an adequate response to treatment with this drug if the patient has received at least 28 weeks of treatment with this drug for this condition.</w:t>
            </w:r>
          </w:p>
        </w:tc>
      </w:tr>
      <w:tr w:rsidR="00262553" w:rsidRPr="005A578E" w14:paraId="395A9EE4"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B7E478"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C4937B" w14:textId="77777777" w:rsidR="00262553" w:rsidRPr="005A578E" w:rsidRDefault="00262553" w:rsidP="000343C1">
            <w:pPr>
              <w:rPr>
                <w:rFonts w:ascii="Arial Narrow" w:hAnsi="Arial Narrow"/>
                <w:b/>
                <w:bCs/>
                <w:color w:val="000000"/>
                <w:sz w:val="20"/>
                <w:szCs w:val="20"/>
                <w:highlight w:val="yellow"/>
              </w:rPr>
            </w:pPr>
            <w:r w:rsidRPr="005A578E">
              <w:rPr>
                <w:rFonts w:ascii="Arial Narrow" w:hAnsi="Arial Narrow"/>
                <w:b/>
                <w:bCs/>
                <w:color w:val="000000"/>
                <w:sz w:val="20"/>
                <w:szCs w:val="20"/>
              </w:rPr>
              <w:t>AND</w:t>
            </w:r>
          </w:p>
        </w:tc>
      </w:tr>
      <w:tr w:rsidR="00262553" w:rsidRPr="005A578E" w14:paraId="6557CC34"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8E560F" w14:textId="41E1D938"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88775C" w14:textId="77777777" w:rsidR="00262553" w:rsidRPr="005A578E" w:rsidRDefault="00262553" w:rsidP="000343C1">
            <w:pPr>
              <w:rPr>
                <w:rFonts w:ascii="Arial Narrow" w:eastAsia="Aptos" w:hAnsi="Arial Narrow"/>
                <w:color w:val="000000"/>
                <w:sz w:val="20"/>
                <w:szCs w:val="20"/>
              </w:rPr>
            </w:pPr>
            <w:r w:rsidRPr="005A578E">
              <w:rPr>
                <w:rFonts w:ascii="Arial Narrow" w:hAnsi="Arial Narrow"/>
                <w:b/>
                <w:bCs/>
                <w:color w:val="000000"/>
                <w:sz w:val="20"/>
                <w:szCs w:val="20"/>
              </w:rPr>
              <w:t>Clinical criteria:</w:t>
            </w:r>
          </w:p>
        </w:tc>
      </w:tr>
      <w:tr w:rsidR="00262553" w:rsidRPr="005A578E" w14:paraId="30EA6A0B"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41C12D" w14:textId="10570B2B"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9CD6D5"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Patient must not receive more than 32 weeks of treatment under this restriction.</w:t>
            </w:r>
          </w:p>
        </w:tc>
      </w:tr>
      <w:tr w:rsidR="00262553" w:rsidRPr="005A578E" w14:paraId="74444790"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F2F878" w14:textId="7777777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32F095" w14:textId="77777777" w:rsidR="00262553" w:rsidRPr="005A578E" w:rsidRDefault="00262553" w:rsidP="000343C1">
            <w:pPr>
              <w:rPr>
                <w:rFonts w:ascii="Arial Narrow" w:hAnsi="Arial Narrow"/>
                <w:color w:val="000000"/>
                <w:sz w:val="20"/>
                <w:szCs w:val="20"/>
              </w:rPr>
            </w:pPr>
            <w:r w:rsidRPr="005A578E">
              <w:rPr>
                <w:rFonts w:ascii="Arial Narrow" w:hAnsi="Arial Narrow"/>
                <w:b/>
                <w:bCs/>
                <w:color w:val="000000"/>
                <w:sz w:val="20"/>
                <w:szCs w:val="20"/>
              </w:rPr>
              <w:t>AND</w:t>
            </w:r>
          </w:p>
        </w:tc>
      </w:tr>
      <w:tr w:rsidR="00262553" w:rsidRPr="005A578E" w14:paraId="3E3604C3"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7A4B6E" w14:textId="5C34A93A"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ACBF5C" w14:textId="77777777" w:rsidR="00262553" w:rsidRPr="005A578E" w:rsidRDefault="00262553" w:rsidP="000343C1">
            <w:pPr>
              <w:rPr>
                <w:rFonts w:ascii="Arial Narrow" w:hAnsi="Arial Narrow"/>
                <w:color w:val="000000"/>
                <w:sz w:val="20"/>
                <w:szCs w:val="20"/>
              </w:rPr>
            </w:pPr>
            <w:r w:rsidRPr="005A578E">
              <w:rPr>
                <w:rFonts w:ascii="Arial Narrow" w:hAnsi="Arial Narrow"/>
                <w:b/>
                <w:bCs/>
                <w:sz w:val="20"/>
                <w:szCs w:val="20"/>
              </w:rPr>
              <w:t>Clinical criteria:</w:t>
            </w:r>
          </w:p>
        </w:tc>
      </w:tr>
      <w:tr w:rsidR="00262553" w:rsidRPr="005A578E" w14:paraId="4D626EDA"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618C99" w14:textId="6B4D0D6B"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5BA8AA" w14:textId="77777777" w:rsidR="00262553" w:rsidRPr="005A578E" w:rsidRDefault="00262553" w:rsidP="000343C1">
            <w:pPr>
              <w:rPr>
                <w:rFonts w:ascii="Arial Narrow" w:hAnsi="Arial Narrow"/>
                <w:color w:val="000000"/>
                <w:sz w:val="20"/>
                <w:szCs w:val="20"/>
              </w:rPr>
            </w:pPr>
            <w:r w:rsidRPr="005A578E">
              <w:rPr>
                <w:rFonts w:ascii="Arial Narrow" w:hAnsi="Arial Narrow"/>
                <w:sz w:val="20"/>
                <w:szCs w:val="20"/>
              </w:rPr>
              <w:t>The treatment must not be used in combination with and within 4 weeks of another PBS-subsidised biological medicine prescribed for any of: (</w:t>
            </w:r>
            <w:proofErr w:type="spellStart"/>
            <w:r w:rsidRPr="005A578E">
              <w:rPr>
                <w:rFonts w:ascii="Arial Narrow" w:hAnsi="Arial Narrow"/>
                <w:sz w:val="20"/>
                <w:szCs w:val="20"/>
              </w:rPr>
              <w:t>i</w:t>
            </w:r>
            <w:proofErr w:type="spellEnd"/>
            <w:r w:rsidRPr="005A578E">
              <w:rPr>
                <w:rFonts w:ascii="Arial Narrow" w:hAnsi="Arial Narrow"/>
                <w:sz w:val="20"/>
                <w:szCs w:val="20"/>
              </w:rPr>
              <w:t>) nasal polyps, (ii) uncontrolled severe allergic asthma, (iii) uncontrolled severe asthma,</w:t>
            </w:r>
          </w:p>
        </w:tc>
      </w:tr>
      <w:tr w:rsidR="00262553" w:rsidRPr="005A578E" w14:paraId="2B6011B3"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438D04" w14:textId="0608C05B"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85BAE7" w14:textId="77777777" w:rsidR="00262553" w:rsidRPr="005A578E" w:rsidRDefault="00262553" w:rsidP="000343C1">
            <w:pPr>
              <w:rPr>
                <w:rFonts w:ascii="Arial Narrow" w:hAnsi="Arial Narrow"/>
                <w:color w:val="000000"/>
                <w:sz w:val="20"/>
                <w:szCs w:val="20"/>
              </w:rPr>
            </w:pPr>
            <w:r w:rsidRPr="005A578E">
              <w:rPr>
                <w:rFonts w:ascii="Arial Narrow" w:hAnsi="Arial Narrow"/>
                <w:b/>
                <w:bCs/>
                <w:color w:val="000000"/>
                <w:sz w:val="20"/>
                <w:szCs w:val="20"/>
              </w:rPr>
              <w:t>Population criteria:</w:t>
            </w:r>
          </w:p>
        </w:tc>
      </w:tr>
      <w:tr w:rsidR="00262553" w:rsidRPr="005A578E" w14:paraId="372C31E2"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93DB71" w14:textId="62A36CBB"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56489C"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Patients must be aged 12 years or older.</w:t>
            </w:r>
          </w:p>
        </w:tc>
      </w:tr>
      <w:tr w:rsidR="00262553" w:rsidRPr="005A578E" w14:paraId="1351722C" w14:textId="77777777" w:rsidTr="000343C1">
        <w:trPr>
          <w:gridAfter w:val="1"/>
          <w:wAfter w:w="15" w:type="dxa"/>
          <w:cantSplit/>
          <w:trHeight w:val="20"/>
        </w:trPr>
        <w:tc>
          <w:tcPr>
            <w:tcW w:w="1527" w:type="dxa"/>
            <w:gridSpan w:val="4"/>
            <w:tcMar>
              <w:top w:w="15" w:type="dxa"/>
              <w:left w:w="108" w:type="dxa"/>
              <w:bottom w:w="15" w:type="dxa"/>
              <w:right w:w="108" w:type="dxa"/>
            </w:tcMar>
          </w:tcPr>
          <w:p w14:paraId="35828132" w14:textId="328F3506" w:rsidR="00262553" w:rsidRPr="005A578E" w:rsidRDefault="00262553" w:rsidP="000343C1">
            <w:pPr>
              <w:jc w:val="center"/>
              <w:rPr>
                <w:rFonts w:ascii="Arial Narrow" w:hAnsi="Arial Narrow"/>
                <w:color w:val="000000"/>
                <w:sz w:val="20"/>
                <w:szCs w:val="20"/>
              </w:rPr>
            </w:pPr>
          </w:p>
        </w:tc>
        <w:tc>
          <w:tcPr>
            <w:tcW w:w="7249" w:type="dxa"/>
            <w:gridSpan w:val="6"/>
            <w:tcMar>
              <w:top w:w="15" w:type="dxa"/>
              <w:left w:w="108" w:type="dxa"/>
              <w:bottom w:w="15" w:type="dxa"/>
              <w:right w:w="108" w:type="dxa"/>
            </w:tcMar>
          </w:tcPr>
          <w:p w14:paraId="6AA329B0" w14:textId="77777777" w:rsidR="00262553" w:rsidRPr="005A578E" w:rsidRDefault="00262553" w:rsidP="000343C1">
            <w:pPr>
              <w:ind w:left="-57"/>
              <w:rPr>
                <w:rFonts w:ascii="Arial Narrow" w:hAnsi="Arial Narrow"/>
                <w:b/>
                <w:bCs/>
                <w:sz w:val="20"/>
                <w:szCs w:val="20"/>
              </w:rPr>
            </w:pPr>
            <w:r w:rsidRPr="005A578E">
              <w:rPr>
                <w:rFonts w:ascii="Arial Narrow" w:hAnsi="Arial Narrow"/>
                <w:b/>
                <w:bCs/>
                <w:sz w:val="20"/>
                <w:szCs w:val="20"/>
              </w:rPr>
              <w:t xml:space="preserve">Administrative Advice: </w:t>
            </w:r>
          </w:p>
          <w:p w14:paraId="10832C91" w14:textId="77777777" w:rsidR="00262553" w:rsidRPr="005A578E" w:rsidRDefault="00262553" w:rsidP="000343C1">
            <w:pPr>
              <w:ind w:left="-57"/>
              <w:rPr>
                <w:rFonts w:ascii="Arial Narrow" w:hAnsi="Arial Narrow"/>
                <w:b/>
                <w:bCs/>
                <w:sz w:val="20"/>
                <w:szCs w:val="20"/>
              </w:rPr>
            </w:pPr>
            <w:r w:rsidRPr="005A578E">
              <w:rPr>
                <w:rFonts w:ascii="Arial Narrow" w:hAnsi="Arial Narrow"/>
                <w:sz w:val="20"/>
                <w:szCs w:val="20"/>
              </w:rPr>
              <w:t>This grandfather restriction will cease to operate from 12 months after the date specified in the clinical criteria.</w:t>
            </w:r>
          </w:p>
        </w:tc>
      </w:tr>
      <w:tr w:rsidR="00262553" w:rsidRPr="005A578E" w14:paraId="60F566A8"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95BE01" w14:textId="3AF20105"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9A6F2CC" w14:textId="77777777" w:rsidR="00262553" w:rsidRPr="005A578E" w:rsidRDefault="00262553" w:rsidP="000343C1">
            <w:pPr>
              <w:keepNext/>
              <w:keepLines/>
              <w:widowControl w:val="0"/>
              <w:rPr>
                <w:rFonts w:ascii="Arial Narrow" w:eastAsia="MS Gothic" w:hAnsi="Arial Narrow"/>
                <w:b/>
                <w:sz w:val="20"/>
              </w:rPr>
            </w:pPr>
            <w:r w:rsidRPr="005A578E">
              <w:rPr>
                <w:rFonts w:ascii="Arial Narrow" w:eastAsia="MS Gothic" w:hAnsi="Arial Narrow"/>
                <w:b/>
                <w:bCs/>
                <w:sz w:val="20"/>
              </w:rPr>
              <w:t>Prescribing Instructions:</w:t>
            </w:r>
          </w:p>
          <w:p w14:paraId="04BD4C10" w14:textId="77777777" w:rsidR="00262553" w:rsidRPr="005A578E" w:rsidRDefault="00262553" w:rsidP="000343C1">
            <w:pPr>
              <w:keepNext/>
              <w:keepLines/>
              <w:widowControl w:val="0"/>
              <w:rPr>
                <w:rFonts w:ascii="Arial Narrow" w:eastAsia="MS Gothic" w:hAnsi="Arial Narrow"/>
                <w:bCs/>
                <w:sz w:val="20"/>
              </w:rPr>
            </w:pPr>
            <w:r w:rsidRPr="005A578E">
              <w:rPr>
                <w:rFonts w:ascii="Arial Narrow" w:eastAsia="MS Gothic" w:hAnsi="Arial Narrow"/>
                <w:bCs/>
                <w:sz w:val="20"/>
              </w:rPr>
              <w:t>Optimised asthma therapy includes adherence to maximal inhaled therapy, including high dose inhaled corticosteroid (ICS) plus long-acting beta-2 agonist (LABA) therapy for at least 12 months, unless contraindicated or not tolerated.</w:t>
            </w:r>
          </w:p>
          <w:p w14:paraId="6D1BAE05" w14:textId="77777777" w:rsidR="00262553" w:rsidRPr="005A578E" w:rsidRDefault="00262553" w:rsidP="000343C1">
            <w:pPr>
              <w:keepNext/>
              <w:keepLines/>
              <w:widowControl w:val="0"/>
              <w:rPr>
                <w:rFonts w:ascii="Arial Narrow" w:eastAsia="MS Gothic" w:hAnsi="Arial Narrow"/>
                <w:bCs/>
                <w:sz w:val="20"/>
              </w:rPr>
            </w:pPr>
          </w:p>
          <w:p w14:paraId="59EFD619" w14:textId="77777777" w:rsidR="00262553" w:rsidRPr="005A578E" w:rsidRDefault="00262553" w:rsidP="000343C1">
            <w:pPr>
              <w:keepNext/>
              <w:keepLines/>
              <w:widowControl w:val="0"/>
              <w:rPr>
                <w:rFonts w:ascii="Arial Narrow" w:eastAsia="MS Gothic" w:hAnsi="Arial Narrow"/>
                <w:bCs/>
                <w:sz w:val="20"/>
              </w:rPr>
            </w:pPr>
            <w:r w:rsidRPr="005A578E">
              <w:rPr>
                <w:rFonts w:ascii="Arial Narrow" w:eastAsia="MS Gothic" w:hAnsi="Arial Narrow"/>
                <w:bCs/>
                <w:sz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262553" w:rsidRPr="005A578E" w14:paraId="547A0901" w14:textId="77777777" w:rsidTr="000343C1">
        <w:trPr>
          <w:gridAfter w:val="1"/>
          <w:wAfter w:w="15" w:type="dxa"/>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70123F" w14:textId="711DEE7C"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378E537" w14:textId="77777777" w:rsidR="00262553" w:rsidRPr="005A578E" w:rsidRDefault="00262553" w:rsidP="000343C1">
            <w:pPr>
              <w:rPr>
                <w:rFonts w:ascii="Arial Narrow" w:hAnsi="Arial Narrow"/>
                <w:b/>
                <w:bCs/>
                <w:color w:val="000000"/>
                <w:sz w:val="20"/>
                <w:szCs w:val="20"/>
              </w:rPr>
            </w:pPr>
            <w:r w:rsidRPr="005A578E">
              <w:rPr>
                <w:rFonts w:ascii="Arial Narrow" w:hAnsi="Arial Narrow"/>
                <w:b/>
                <w:bCs/>
                <w:color w:val="000000"/>
                <w:sz w:val="20"/>
                <w:szCs w:val="20"/>
              </w:rPr>
              <w:t>Prescribing Instructions:</w:t>
            </w:r>
          </w:p>
          <w:p w14:paraId="4FFE18CA"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The following initiation criteria indicate failure to achieve adequate control and must be demonstrated in all patients at the time of the application:</w:t>
            </w:r>
          </w:p>
          <w:p w14:paraId="6209E4DB" w14:textId="77777777" w:rsidR="00262553" w:rsidRPr="005A578E" w:rsidRDefault="00262553" w:rsidP="000343C1">
            <w:pPr>
              <w:rPr>
                <w:rFonts w:ascii="Arial Narrow" w:hAnsi="Arial Narrow"/>
                <w:color w:val="000000"/>
                <w:sz w:val="20"/>
                <w:szCs w:val="20"/>
              </w:rPr>
            </w:pPr>
          </w:p>
          <w:p w14:paraId="309D9FD8" w14:textId="77777777" w:rsidR="00262553" w:rsidRPr="005A578E" w:rsidRDefault="00262553" w:rsidP="000343C1">
            <w:pPr>
              <w:rPr>
                <w:rFonts w:ascii="Arial Narrow" w:hAnsi="Arial Narrow"/>
                <w:color w:val="000000"/>
                <w:sz w:val="20"/>
                <w:szCs w:val="20"/>
              </w:rPr>
            </w:pPr>
            <w:r w:rsidRPr="02E8A7A0">
              <w:rPr>
                <w:rFonts w:ascii="Arial Narrow" w:hAnsi="Arial Narrow"/>
                <w:color w:val="000000" w:themeColor="text1"/>
                <w:sz w:val="20"/>
                <w:szCs w:val="20"/>
              </w:rPr>
              <w:t>(a) an Asthma Control Questionnaire (ACQ-5) score of at least 2.0, as assessed in the month prior to starting treatment with this drug, AND</w:t>
            </w:r>
          </w:p>
          <w:p w14:paraId="2A09E5BB" w14:textId="77777777" w:rsidR="00262553" w:rsidRPr="005A578E" w:rsidRDefault="00262553" w:rsidP="000343C1">
            <w:pPr>
              <w:rPr>
                <w:rFonts w:ascii="Arial Narrow" w:hAnsi="Arial Narrow"/>
                <w:color w:val="000000"/>
                <w:sz w:val="20"/>
                <w:szCs w:val="20"/>
              </w:rPr>
            </w:pPr>
          </w:p>
          <w:p w14:paraId="58BEFC9E" w14:textId="77777777" w:rsidR="00262553" w:rsidRPr="005A578E" w:rsidRDefault="00262553" w:rsidP="000343C1">
            <w:pPr>
              <w:rPr>
                <w:rFonts w:ascii="Arial Narrow" w:hAnsi="Arial Narrow"/>
                <w:color w:val="000000"/>
                <w:sz w:val="20"/>
                <w:szCs w:val="20"/>
              </w:rPr>
            </w:pPr>
            <w:r w:rsidRPr="02E8A7A0">
              <w:rPr>
                <w:rFonts w:ascii="Arial Narrow" w:hAnsi="Arial Narrow"/>
                <w:color w:val="000000" w:themeColor="text1"/>
                <w:sz w:val="20"/>
                <w:szCs w:val="20"/>
              </w:rPr>
              <w:t>(b) while receiving optimised asthma therapy in the12 months prior to starting treatment with this drug,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31EE1064" w14:textId="77777777" w:rsidR="00262553" w:rsidRPr="005A578E" w:rsidRDefault="00262553" w:rsidP="000343C1">
            <w:pPr>
              <w:rPr>
                <w:rFonts w:ascii="Arial Narrow" w:hAnsi="Arial Narrow"/>
                <w:color w:val="000000"/>
                <w:sz w:val="20"/>
                <w:szCs w:val="20"/>
              </w:rPr>
            </w:pPr>
          </w:p>
          <w:p w14:paraId="14F7A1C0"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p>
          <w:p w14:paraId="7B04F8EB" w14:textId="77777777" w:rsidR="00262553" w:rsidRPr="005A578E" w:rsidRDefault="00262553" w:rsidP="000343C1">
            <w:pPr>
              <w:rPr>
                <w:rFonts w:ascii="Arial Narrow" w:hAnsi="Arial Narrow"/>
                <w:bCs/>
                <w:color w:val="000000"/>
                <w:sz w:val="20"/>
                <w:szCs w:val="20"/>
              </w:rPr>
            </w:pPr>
          </w:p>
          <w:p w14:paraId="08CE5C17" w14:textId="77777777" w:rsidR="00262553" w:rsidRPr="005A578E" w:rsidRDefault="00262553" w:rsidP="000343C1">
            <w:pPr>
              <w:rPr>
                <w:rFonts w:ascii="Arial Narrow" w:hAnsi="Arial Narrow"/>
                <w:bCs/>
                <w:color w:val="000000"/>
                <w:sz w:val="20"/>
                <w:szCs w:val="20"/>
              </w:rPr>
            </w:pPr>
            <w:r w:rsidRPr="005A578E">
              <w:rPr>
                <w:rFonts w:ascii="Arial Narrow" w:hAnsi="Arial Narrow"/>
                <w:bCs/>
                <w:color w:val="000000"/>
                <w:sz w:val="20"/>
                <w:szCs w:val="20"/>
              </w:rPr>
              <w:t>This assessment, which will be used to determine eligibility for the first continuing treatment, should be conducted within 4 weeks of the last dose of biological medicine. To avoid an interruption of supply for the first continuing treatment, the assessment should be provided no later than 2 weeks prior to the patient completing their current treatment course, unless the patient is currently on a treatment break.</w:t>
            </w:r>
          </w:p>
          <w:p w14:paraId="6FAF96A0" w14:textId="77777777" w:rsidR="00262553" w:rsidRPr="005A578E" w:rsidRDefault="00262553" w:rsidP="000343C1">
            <w:pPr>
              <w:rPr>
                <w:rFonts w:ascii="Arial Narrow" w:hAnsi="Arial Narrow"/>
                <w:bCs/>
                <w:color w:val="000000"/>
                <w:sz w:val="20"/>
                <w:szCs w:val="20"/>
              </w:rPr>
            </w:pPr>
          </w:p>
          <w:p w14:paraId="3E3261C6" w14:textId="77777777" w:rsidR="00262553" w:rsidRPr="005A578E" w:rsidRDefault="00262553" w:rsidP="000343C1">
            <w:pPr>
              <w:rPr>
                <w:rFonts w:ascii="Arial Narrow" w:hAnsi="Arial Narrow"/>
                <w:bCs/>
                <w:color w:val="000000"/>
                <w:sz w:val="20"/>
                <w:szCs w:val="20"/>
              </w:rPr>
            </w:pPr>
            <w:r w:rsidRPr="005A578E">
              <w:rPr>
                <w:rFonts w:ascii="Arial Narrow" w:hAnsi="Arial Narrow"/>
                <w:bCs/>
                <w:color w:val="000000"/>
                <w:sz w:val="20"/>
                <w:szCs w:val="20"/>
              </w:rPr>
              <w:t xml:space="preserve">If a patient fails to demonstrate a response to treatment with this </w:t>
            </w:r>
            <w:proofErr w:type="gramStart"/>
            <w:r w:rsidRPr="005A578E">
              <w:rPr>
                <w:rFonts w:ascii="Arial Narrow" w:hAnsi="Arial Narrow"/>
                <w:bCs/>
                <w:color w:val="000000"/>
                <w:sz w:val="20"/>
                <w:szCs w:val="20"/>
              </w:rPr>
              <w:t>drug</w:t>
            </w:r>
            <w:proofErr w:type="gramEnd"/>
            <w:r w:rsidRPr="005A578E">
              <w:rPr>
                <w:rFonts w:ascii="Arial Narrow" w:hAnsi="Arial Narrow"/>
                <w:bCs/>
                <w:color w:val="000000"/>
                <w:sz w:val="20"/>
                <w:szCs w:val="20"/>
              </w:rPr>
              <w:t xml:space="preserve"> they will not be eligible to receive further PBS-subsidised treatment with this drug for this condition within the same treatment cycle.</w:t>
            </w:r>
          </w:p>
          <w:p w14:paraId="2DDDC744" w14:textId="77777777" w:rsidR="00262553" w:rsidRPr="005A578E" w:rsidRDefault="00262553" w:rsidP="000343C1">
            <w:pPr>
              <w:rPr>
                <w:rFonts w:ascii="Arial Narrow" w:hAnsi="Arial Narrow"/>
                <w:bCs/>
                <w:color w:val="000000"/>
                <w:sz w:val="20"/>
                <w:szCs w:val="20"/>
              </w:rPr>
            </w:pPr>
          </w:p>
          <w:p w14:paraId="3032497B" w14:textId="77777777" w:rsidR="00262553" w:rsidRPr="005A578E" w:rsidRDefault="00262553" w:rsidP="000343C1">
            <w:pPr>
              <w:rPr>
                <w:rFonts w:ascii="Arial Narrow" w:hAnsi="Arial Narrow"/>
                <w:bCs/>
                <w:color w:val="000000"/>
                <w:sz w:val="20"/>
                <w:szCs w:val="20"/>
              </w:rPr>
            </w:pPr>
            <w:r w:rsidRPr="005A578E">
              <w:rPr>
                <w:rFonts w:ascii="Arial Narrow" w:hAnsi="Arial Narrow"/>
                <w:bCs/>
                <w:color w:val="000000"/>
                <w:sz w:val="20"/>
                <w:szCs w:val="20"/>
              </w:rPr>
              <w:t>A treatment break in PBS-subsidised biological medicine therapy of at least 12 months must be observed in a patient who has either failed to achieve or sustain a response to treatment with all</w:t>
            </w:r>
            <w:r>
              <w:rPr>
                <w:rFonts w:ascii="Arial Narrow" w:hAnsi="Arial Narrow"/>
                <w:bCs/>
                <w:color w:val="000000"/>
                <w:sz w:val="20"/>
                <w:szCs w:val="20"/>
              </w:rPr>
              <w:t xml:space="preserve"> eligible </w:t>
            </w:r>
            <w:r w:rsidRPr="005A578E">
              <w:rPr>
                <w:rFonts w:ascii="Arial Narrow" w:hAnsi="Arial Narrow"/>
                <w:bCs/>
                <w:color w:val="000000"/>
                <w:sz w:val="20"/>
                <w:szCs w:val="20"/>
              </w:rPr>
              <w:t>biological medicines within the same treatment cycle.</w:t>
            </w:r>
          </w:p>
          <w:p w14:paraId="1439BBFE" w14:textId="77777777" w:rsidR="00262553" w:rsidRPr="005A578E" w:rsidRDefault="00262553" w:rsidP="000343C1">
            <w:pPr>
              <w:rPr>
                <w:rFonts w:ascii="Arial Narrow" w:hAnsi="Arial Narrow"/>
                <w:bCs/>
                <w:color w:val="000000"/>
                <w:sz w:val="20"/>
                <w:szCs w:val="20"/>
              </w:rPr>
            </w:pPr>
          </w:p>
          <w:p w14:paraId="05EDBD9E" w14:textId="77777777" w:rsidR="00262553" w:rsidRPr="005A578E" w:rsidRDefault="00262553" w:rsidP="000343C1">
            <w:pPr>
              <w:rPr>
                <w:rFonts w:ascii="Arial Narrow" w:hAnsi="Arial Narrow"/>
                <w:bCs/>
                <w:color w:val="000000"/>
                <w:sz w:val="20"/>
                <w:szCs w:val="20"/>
              </w:rPr>
            </w:pPr>
            <w:r w:rsidRPr="005A578E">
              <w:rPr>
                <w:rFonts w:ascii="Arial Narrow" w:hAnsi="Arial Narrow"/>
                <w:bCs/>
                <w:color w:val="000000"/>
                <w:sz w:val="20"/>
                <w:szCs w:val="20"/>
              </w:rP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0C900EAC" w14:textId="77777777" w:rsidR="00262553" w:rsidRPr="005A578E" w:rsidRDefault="00262553" w:rsidP="000343C1">
            <w:pPr>
              <w:rPr>
                <w:rFonts w:ascii="Arial Narrow" w:hAnsi="Arial Narrow"/>
                <w:bCs/>
                <w:color w:val="000000"/>
                <w:sz w:val="20"/>
                <w:szCs w:val="20"/>
              </w:rPr>
            </w:pPr>
            <w:r w:rsidRPr="005A578E">
              <w:rPr>
                <w:rFonts w:ascii="Arial Narrow" w:hAnsi="Arial Narrow"/>
                <w:bCs/>
                <w:color w:val="000000"/>
                <w:sz w:val="20"/>
                <w:szCs w:val="20"/>
              </w:rPr>
              <w:t>There is no limit to the number of treatment cycles that a patient may undertake in their lifetime.</w:t>
            </w:r>
          </w:p>
          <w:p w14:paraId="0D8F9FC6" w14:textId="77777777" w:rsidR="00262553" w:rsidRPr="005A578E" w:rsidRDefault="00262553" w:rsidP="000343C1">
            <w:pPr>
              <w:rPr>
                <w:rFonts w:ascii="Arial Narrow" w:hAnsi="Arial Narrow"/>
                <w:bCs/>
                <w:color w:val="000000"/>
                <w:sz w:val="20"/>
                <w:szCs w:val="20"/>
              </w:rPr>
            </w:pPr>
          </w:p>
          <w:p w14:paraId="59F126C0" w14:textId="77777777" w:rsidR="00262553" w:rsidRPr="005A578E" w:rsidRDefault="00262553" w:rsidP="000343C1">
            <w:pPr>
              <w:rPr>
                <w:rFonts w:ascii="Arial Narrow" w:hAnsi="Arial Narrow"/>
                <w:bCs/>
                <w:color w:val="000000"/>
                <w:sz w:val="20"/>
                <w:szCs w:val="20"/>
              </w:rPr>
            </w:pPr>
            <w:r w:rsidRPr="005A578E">
              <w:rPr>
                <w:rFonts w:ascii="Arial Narrow" w:hAnsi="Arial Narrow"/>
                <w:bCs/>
                <w:color w:val="000000"/>
                <w:sz w:val="20"/>
                <w:szCs w:val="20"/>
              </w:rPr>
              <w:t>A multidisciplinary severe asthma clinic team comprises of:</w:t>
            </w:r>
          </w:p>
          <w:p w14:paraId="136879F5" w14:textId="77777777" w:rsidR="00262553" w:rsidRPr="005A578E" w:rsidRDefault="00262553" w:rsidP="000343C1">
            <w:pPr>
              <w:rPr>
                <w:rFonts w:ascii="Arial Narrow" w:hAnsi="Arial Narrow"/>
                <w:bCs/>
                <w:color w:val="000000"/>
                <w:sz w:val="20"/>
                <w:szCs w:val="20"/>
              </w:rPr>
            </w:pPr>
            <w:r w:rsidRPr="005A578E">
              <w:rPr>
                <w:rFonts w:ascii="Arial Narrow" w:hAnsi="Arial Narrow"/>
                <w:bCs/>
                <w:color w:val="000000"/>
                <w:sz w:val="20"/>
                <w:szCs w:val="20"/>
              </w:rPr>
              <w:t>(</w:t>
            </w:r>
            <w:proofErr w:type="spellStart"/>
            <w:r w:rsidRPr="005A578E">
              <w:rPr>
                <w:rFonts w:ascii="Arial Narrow" w:hAnsi="Arial Narrow"/>
                <w:bCs/>
                <w:color w:val="000000"/>
                <w:sz w:val="20"/>
                <w:szCs w:val="20"/>
              </w:rPr>
              <w:t>i</w:t>
            </w:r>
            <w:proofErr w:type="spellEnd"/>
            <w:r w:rsidRPr="005A578E">
              <w:rPr>
                <w:rFonts w:ascii="Arial Narrow" w:hAnsi="Arial Narrow"/>
                <w:bCs/>
                <w:color w:val="000000"/>
                <w:sz w:val="20"/>
                <w:szCs w:val="20"/>
              </w:rPr>
              <w:t>) A respiratory physician; and</w:t>
            </w:r>
          </w:p>
          <w:p w14:paraId="2A1B5631" w14:textId="77777777" w:rsidR="00262553" w:rsidRPr="005A578E" w:rsidRDefault="00262553" w:rsidP="000343C1">
            <w:pPr>
              <w:rPr>
                <w:rFonts w:ascii="Arial Narrow" w:hAnsi="Arial Narrow"/>
                <w:bCs/>
                <w:color w:val="000000"/>
                <w:sz w:val="20"/>
                <w:szCs w:val="20"/>
              </w:rPr>
            </w:pPr>
            <w:r w:rsidRPr="005A578E">
              <w:rPr>
                <w:rFonts w:ascii="Arial Narrow" w:hAnsi="Arial Narrow"/>
                <w:bCs/>
                <w:color w:val="000000"/>
                <w:sz w:val="20"/>
                <w:szCs w:val="20"/>
              </w:rPr>
              <w:t>(ii) A pharmacist, nurse or asthma educator.</w:t>
            </w:r>
          </w:p>
          <w:p w14:paraId="75C65364" w14:textId="77777777" w:rsidR="00262553" w:rsidRPr="005A578E" w:rsidRDefault="00262553" w:rsidP="000343C1">
            <w:pPr>
              <w:rPr>
                <w:rFonts w:ascii="Arial Narrow" w:hAnsi="Arial Narrow"/>
                <w:bCs/>
                <w:color w:val="000000"/>
                <w:sz w:val="20"/>
                <w:szCs w:val="20"/>
              </w:rPr>
            </w:pPr>
            <w:r w:rsidRPr="005A578E">
              <w:rPr>
                <w:rFonts w:ascii="Arial Narrow" w:hAnsi="Arial Narrow"/>
                <w:bCs/>
                <w:color w:val="000000"/>
                <w:sz w:val="20"/>
                <w:szCs w:val="20"/>
              </w:rPr>
              <w:t xml:space="preserve">At the time of the authority application, medical practitioners should request up to 7 repeats to provide for an initial course of </w:t>
            </w:r>
            <w:proofErr w:type="spellStart"/>
            <w:r w:rsidRPr="005A578E">
              <w:rPr>
                <w:rFonts w:ascii="Arial Narrow" w:hAnsi="Arial Narrow"/>
                <w:bCs/>
                <w:color w:val="000000"/>
                <w:sz w:val="20"/>
                <w:szCs w:val="20"/>
              </w:rPr>
              <w:t>tezepelumab</w:t>
            </w:r>
            <w:proofErr w:type="spellEnd"/>
            <w:r w:rsidRPr="005A578E">
              <w:rPr>
                <w:rFonts w:ascii="Arial Narrow" w:hAnsi="Arial Narrow"/>
                <w:bCs/>
                <w:color w:val="000000"/>
                <w:sz w:val="20"/>
                <w:szCs w:val="20"/>
              </w:rPr>
              <w:t xml:space="preserve"> sufficient for up to 32 weeks of therapy, at a dose of 210 mg every four weeks.</w:t>
            </w:r>
          </w:p>
        </w:tc>
      </w:tr>
      <w:tr w:rsidR="00262553" w:rsidRPr="005A578E" w14:paraId="4D192D1A"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B857EF" w14:textId="24530ACD"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124D3C" w14:textId="77777777" w:rsidR="00262553" w:rsidRPr="005A578E" w:rsidRDefault="00262553" w:rsidP="000343C1">
            <w:pPr>
              <w:rPr>
                <w:rFonts w:ascii="Arial Narrow" w:hAnsi="Arial Narrow"/>
                <w:b/>
                <w:bCs/>
                <w:color w:val="000000"/>
                <w:sz w:val="20"/>
                <w:szCs w:val="20"/>
              </w:rPr>
            </w:pPr>
            <w:r w:rsidRPr="005A578E">
              <w:rPr>
                <w:rFonts w:ascii="Arial Narrow" w:hAnsi="Arial Narrow"/>
                <w:b/>
                <w:bCs/>
                <w:color w:val="000000"/>
                <w:sz w:val="20"/>
                <w:szCs w:val="20"/>
              </w:rPr>
              <w:t xml:space="preserve">Prescribing Instructions: </w:t>
            </w:r>
          </w:p>
          <w:p w14:paraId="7029AF5D"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The following must be provided at the time of application and documented in the patient's medical records:</w:t>
            </w:r>
          </w:p>
          <w:p w14:paraId="0A398850"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(a) details (treatment, date of commencement, duration of therapy) of prior optimised asthma drug therapy; and</w:t>
            </w:r>
          </w:p>
          <w:p w14:paraId="5C2F237A"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(b) If applicable, details of contraindications and/or intolerances of a severity necessitating permanent treatment withdrawal to standard therapy according to the relevant TGA-approved Product Information; and</w:t>
            </w:r>
          </w:p>
          <w:p w14:paraId="1770E4ED"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(c) details of severe exacerbation/s experienced in the 12 months prior to receiving this drug, while receiving optimised asthma therapy (date and treatment); and</w:t>
            </w:r>
          </w:p>
          <w:p w14:paraId="610B1743"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(d) Asthma Control Questionnaire (ACQ-5) score; and</w:t>
            </w:r>
          </w:p>
          <w:p w14:paraId="018843E7"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(e) if applicable, the eosinophil count and date; and</w:t>
            </w:r>
          </w:p>
          <w:p w14:paraId="63A1B13C" w14:textId="77777777" w:rsidR="00262553" w:rsidRPr="005A578E" w:rsidRDefault="00262553" w:rsidP="000343C1">
            <w:pPr>
              <w:rPr>
                <w:rFonts w:ascii="Arial Narrow" w:hAnsi="Arial Narrow"/>
                <w:b/>
                <w:bCs/>
                <w:color w:val="000000"/>
                <w:sz w:val="20"/>
                <w:szCs w:val="20"/>
              </w:rPr>
            </w:pPr>
            <w:r w:rsidRPr="005A578E">
              <w:rPr>
                <w:rFonts w:ascii="Arial Narrow" w:hAnsi="Arial Narrow"/>
                <w:color w:val="000000"/>
                <w:sz w:val="20"/>
                <w:szCs w:val="20"/>
              </w:rPr>
              <w:t>(f) if applicable, the IgE result and date.</w:t>
            </w:r>
          </w:p>
        </w:tc>
      </w:tr>
      <w:tr w:rsidR="00262553" w:rsidRPr="005A578E" w14:paraId="4313CC7E" w14:textId="77777777" w:rsidTr="000343C1">
        <w:trPr>
          <w:gridAfter w:val="1"/>
          <w:wAfter w:w="15" w:type="dxa"/>
          <w:cantSplit/>
          <w:trHeight w:val="20"/>
        </w:trPr>
        <w:tc>
          <w:tcPr>
            <w:tcW w:w="1527" w:type="dxa"/>
            <w:gridSpan w:val="4"/>
            <w:tcMar>
              <w:top w:w="15" w:type="dxa"/>
              <w:left w:w="108" w:type="dxa"/>
              <w:bottom w:w="15" w:type="dxa"/>
              <w:right w:w="108" w:type="dxa"/>
            </w:tcMar>
            <w:vAlign w:val="center"/>
          </w:tcPr>
          <w:p w14:paraId="59E42FBC" w14:textId="20D228C6" w:rsidR="00262553" w:rsidRPr="005A578E" w:rsidRDefault="00262553" w:rsidP="000343C1">
            <w:pPr>
              <w:jc w:val="center"/>
              <w:rPr>
                <w:rFonts w:ascii="Arial Narrow" w:hAnsi="Arial Narrow"/>
                <w:color w:val="000000"/>
                <w:sz w:val="20"/>
                <w:szCs w:val="20"/>
              </w:rPr>
            </w:pPr>
          </w:p>
        </w:tc>
        <w:tc>
          <w:tcPr>
            <w:tcW w:w="7249" w:type="dxa"/>
            <w:gridSpan w:val="6"/>
            <w:tcMar>
              <w:top w:w="15" w:type="dxa"/>
              <w:left w:w="108" w:type="dxa"/>
              <w:bottom w:w="15" w:type="dxa"/>
              <w:right w:w="108" w:type="dxa"/>
            </w:tcMar>
          </w:tcPr>
          <w:p w14:paraId="220831B7" w14:textId="77777777" w:rsidR="00262553" w:rsidRPr="005A578E" w:rsidRDefault="00262553" w:rsidP="000343C1">
            <w:pPr>
              <w:rPr>
                <w:rFonts w:ascii="Arial Narrow" w:hAnsi="Arial Narrow"/>
                <w:b/>
                <w:bCs/>
                <w:sz w:val="20"/>
                <w:szCs w:val="20"/>
              </w:rPr>
            </w:pPr>
            <w:r w:rsidRPr="005A578E">
              <w:rPr>
                <w:rFonts w:ascii="Arial Narrow" w:hAnsi="Arial Narrow"/>
                <w:b/>
                <w:bCs/>
                <w:sz w:val="20"/>
                <w:szCs w:val="20"/>
              </w:rPr>
              <w:t>Prescribing Instructions:</w:t>
            </w:r>
          </w:p>
          <w:p w14:paraId="2F67FAF8" w14:textId="77777777" w:rsidR="00262553" w:rsidRPr="005A578E" w:rsidRDefault="00262553" w:rsidP="000343C1">
            <w:pPr>
              <w:rPr>
                <w:rFonts w:ascii="Arial Narrow" w:hAnsi="Arial Narrow"/>
                <w:b/>
                <w:bCs/>
                <w:sz w:val="20"/>
                <w:szCs w:val="20"/>
              </w:rPr>
            </w:pPr>
            <w:r w:rsidRPr="005A578E">
              <w:rPr>
                <w:rFonts w:ascii="Arial Narrow" w:hAnsi="Arial Narrow" w:cs="Open Sans"/>
                <w:sz w:val="20"/>
                <w:szCs w:val="20"/>
                <w:bdr w:val="none" w:sz="0" w:space="0" w:color="auto" w:frame="1"/>
              </w:rPr>
              <w:t>A patient may only qualify for PBS-subsidised treatment under this restriction once only.</w:t>
            </w:r>
          </w:p>
        </w:tc>
      </w:tr>
      <w:tr w:rsidR="00262553" w:rsidRPr="005A578E" w14:paraId="38CF1F54"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98D3CA" w14:textId="397306A7" w:rsidR="00262553" w:rsidRPr="005A578E" w:rsidRDefault="00262553" w:rsidP="000343C1">
            <w:pPr>
              <w:jc w:val="center"/>
              <w:rPr>
                <w:rFonts w:ascii="Arial Narrow" w:hAnsi="Arial Narrow"/>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01DA4E" w14:textId="77777777" w:rsidR="00262553" w:rsidRPr="005A578E" w:rsidRDefault="00262553" w:rsidP="000343C1">
            <w:pPr>
              <w:rPr>
                <w:rFonts w:ascii="Arial Narrow" w:hAnsi="Arial Narrow"/>
                <w:b/>
                <w:bCs/>
                <w:color w:val="000000"/>
                <w:sz w:val="20"/>
                <w:szCs w:val="20"/>
              </w:rPr>
            </w:pPr>
            <w:r w:rsidRPr="005A578E">
              <w:rPr>
                <w:rFonts w:ascii="Arial Narrow" w:hAnsi="Arial Narrow"/>
                <w:b/>
                <w:bCs/>
                <w:color w:val="000000"/>
                <w:sz w:val="20"/>
                <w:szCs w:val="20"/>
              </w:rPr>
              <w:t xml:space="preserve">Administrative Advice: </w:t>
            </w:r>
          </w:p>
          <w:p w14:paraId="0D20A7B9" w14:textId="77777777" w:rsidR="00262553" w:rsidRPr="005A578E" w:rsidRDefault="00262553" w:rsidP="000343C1">
            <w:pPr>
              <w:rPr>
                <w:rFonts w:ascii="Arial Narrow" w:hAnsi="Arial Narrow"/>
                <w:color w:val="000000"/>
                <w:sz w:val="20"/>
                <w:szCs w:val="20"/>
              </w:rPr>
            </w:pPr>
            <w:r w:rsidRPr="005A578E">
              <w:rPr>
                <w:rFonts w:ascii="Arial Narrow" w:hAnsi="Arial Narrow"/>
                <w:color w:val="000000"/>
                <w:sz w:val="20"/>
                <w:szCs w:val="20"/>
              </w:rPr>
              <w:t>For copies of the ACQ and the calculation sheets please contact AstraZeneca Medical Information on 1800 805 342.</w:t>
            </w:r>
          </w:p>
        </w:tc>
      </w:tr>
      <w:tr w:rsidR="00262553" w:rsidRPr="005A578E" w14:paraId="2D66BD14" w14:textId="77777777" w:rsidTr="000343C1">
        <w:trPr>
          <w:gridAfter w:val="1"/>
          <w:wAfter w:w="15" w:type="dxa"/>
          <w:cantSplit/>
          <w:trHeight w:val="20"/>
        </w:trPr>
        <w:tc>
          <w:tcPr>
            <w:tcW w:w="1527" w:type="dxa"/>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F1990D" w14:textId="0CD2FC87" w:rsidR="00262553" w:rsidRPr="005A578E" w:rsidRDefault="00262553" w:rsidP="000343C1">
            <w:pPr>
              <w:jc w:val="center"/>
              <w:rPr>
                <w:rFonts w:ascii="Arial Narrow" w:hAnsi="Arial Narrow"/>
                <w:bCs/>
                <w:color w:val="000000"/>
                <w:sz w:val="20"/>
                <w:szCs w:val="20"/>
              </w:rPr>
            </w:pPr>
          </w:p>
        </w:tc>
        <w:tc>
          <w:tcPr>
            <w:tcW w:w="724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89891F" w14:textId="77777777" w:rsidR="00262553" w:rsidRPr="005A578E" w:rsidRDefault="00262553" w:rsidP="000343C1">
            <w:pPr>
              <w:ind w:left="-57"/>
              <w:rPr>
                <w:rFonts w:ascii="Arial Narrow" w:hAnsi="Arial Narrow"/>
                <w:b/>
                <w:bCs/>
                <w:color w:val="000000"/>
                <w:sz w:val="20"/>
                <w:szCs w:val="20"/>
              </w:rPr>
            </w:pPr>
            <w:r w:rsidRPr="005A578E">
              <w:rPr>
                <w:rFonts w:ascii="Arial Narrow" w:hAnsi="Arial Narrow"/>
                <w:b/>
                <w:bCs/>
                <w:color w:val="000000"/>
                <w:sz w:val="20"/>
                <w:szCs w:val="20"/>
              </w:rPr>
              <w:t>Administrative Advice:</w:t>
            </w:r>
          </w:p>
          <w:p w14:paraId="465E5EC6" w14:textId="77777777" w:rsidR="00262553" w:rsidRPr="005A578E" w:rsidRDefault="00262553" w:rsidP="000343C1">
            <w:pPr>
              <w:ind w:left="-57"/>
              <w:rPr>
                <w:rFonts w:ascii="Arial Narrow" w:hAnsi="Arial Narrow"/>
                <w:color w:val="000000"/>
                <w:sz w:val="20"/>
                <w:szCs w:val="20"/>
              </w:rPr>
            </w:pPr>
            <w:r w:rsidRPr="005A578E">
              <w:rPr>
                <w:rFonts w:ascii="Arial Narrow" w:hAnsi="Arial Narrow"/>
                <w:color w:val="000000"/>
                <w:sz w:val="20"/>
                <w:szCs w:val="20"/>
              </w:rPr>
              <w:t xml:space="preserve">Formal assessment and correction of inhaler technique should be performed in accordance with the National Asthma Council (NAC) Information Paper for Health Professionals on Inhaler Technique (available at </w:t>
            </w:r>
            <w:r w:rsidRPr="005A578E">
              <w:rPr>
                <w:rFonts w:ascii="Arial Narrow" w:hAnsi="Arial Narrow"/>
                <w:sz w:val="20"/>
                <w:szCs w:val="20"/>
              </w:rPr>
              <w:t>www.nationalasthma</w:t>
            </w:r>
            <w:r w:rsidRPr="005A578E">
              <w:rPr>
                <w:rFonts w:ascii="Arial Narrow" w:hAnsi="Arial Narrow"/>
                <w:color w:val="000000"/>
                <w:sz w:val="20"/>
                <w:szCs w:val="20"/>
              </w:rPr>
              <w:t>.org.au); the assessment and adherence to correct technique should be documented in the patient’s medical records. Patients can obtain support with inhaler technique through their local Asthma Foundation (1800 645 130).</w:t>
            </w:r>
          </w:p>
        </w:tc>
      </w:tr>
      <w:tr w:rsidR="00262553" w:rsidRPr="005A578E" w14:paraId="4AC6684B" w14:textId="77777777" w:rsidTr="000343C1">
        <w:trPr>
          <w:gridAfter w:val="1"/>
          <w:wAfter w:w="15" w:type="dxa"/>
          <w:cantSplit/>
          <w:trHeight w:val="499"/>
        </w:trPr>
        <w:tc>
          <w:tcPr>
            <w:tcW w:w="8776" w:type="dxa"/>
            <w:gridSpan w:val="10"/>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70785D" w14:textId="77777777" w:rsidR="00262553" w:rsidRPr="005A578E" w:rsidRDefault="00262553" w:rsidP="000343C1">
            <w:pPr>
              <w:ind w:left="-57"/>
              <w:rPr>
                <w:rFonts w:ascii="Arial Narrow" w:hAnsi="Arial Narrow"/>
                <w:b/>
                <w:sz w:val="20"/>
                <w:szCs w:val="20"/>
              </w:rPr>
            </w:pPr>
          </w:p>
        </w:tc>
      </w:tr>
      <w:tr w:rsidR="00262553" w:rsidRPr="005A578E" w14:paraId="36EA55D5" w14:textId="77777777" w:rsidTr="000343C1">
        <w:tblPrEx>
          <w:tblCellMar>
            <w:top w:w="15" w:type="dxa"/>
            <w:bottom w:w="15" w:type="dxa"/>
          </w:tblCellMar>
        </w:tblPrEx>
        <w:trPr>
          <w:trHeight w:val="20"/>
        </w:trPr>
        <w:tc>
          <w:tcPr>
            <w:tcW w:w="1267" w:type="dxa"/>
            <w:gridSpan w:val="3"/>
            <w:tcBorders>
              <w:left w:val="single" w:sz="4" w:space="0" w:color="auto"/>
              <w:right w:val="single" w:sz="4" w:space="0" w:color="auto"/>
            </w:tcBorders>
          </w:tcPr>
          <w:p w14:paraId="389BDD4A" w14:textId="152E81F1" w:rsidR="00262553" w:rsidRPr="005A578E" w:rsidRDefault="00262553" w:rsidP="000343C1">
            <w:pPr>
              <w:jc w:val="center"/>
              <w:rPr>
                <w:rFonts w:ascii="Arial Narrow" w:hAnsi="Arial Narrow"/>
                <w:sz w:val="20"/>
                <w:szCs w:val="20"/>
              </w:rPr>
            </w:pPr>
          </w:p>
        </w:tc>
        <w:tc>
          <w:tcPr>
            <w:tcW w:w="7524" w:type="dxa"/>
            <w:gridSpan w:val="8"/>
            <w:tcBorders>
              <w:top w:val="single" w:sz="4" w:space="0" w:color="auto"/>
              <w:left w:val="single" w:sz="4" w:space="0" w:color="auto"/>
              <w:bottom w:val="single" w:sz="4" w:space="0" w:color="auto"/>
              <w:right w:val="single" w:sz="4" w:space="0" w:color="auto"/>
            </w:tcBorders>
          </w:tcPr>
          <w:p w14:paraId="4E8523C4" w14:textId="77777777" w:rsidR="00262553" w:rsidRPr="005A578E" w:rsidRDefault="00262553" w:rsidP="000343C1">
            <w:pPr>
              <w:ind w:left="-57"/>
              <w:contextualSpacing/>
              <w:rPr>
                <w:rFonts w:ascii="Arial Narrow" w:hAnsi="Arial Narrow"/>
                <w:b/>
                <w:bCs/>
                <w:sz w:val="20"/>
                <w:szCs w:val="20"/>
              </w:rPr>
            </w:pPr>
            <w:r w:rsidRPr="005A578E">
              <w:rPr>
                <w:rFonts w:ascii="Arial Narrow" w:hAnsi="Arial Narrow"/>
                <w:b/>
                <w:bCs/>
                <w:sz w:val="20"/>
                <w:szCs w:val="20"/>
              </w:rPr>
              <w:t>Administrative Advice:</w:t>
            </w:r>
          </w:p>
          <w:p w14:paraId="64BA05C5" w14:textId="77777777" w:rsidR="00262553" w:rsidRPr="005A578E" w:rsidRDefault="00262553" w:rsidP="000343C1">
            <w:pPr>
              <w:ind w:left="-57"/>
              <w:contextualSpacing/>
              <w:rPr>
                <w:rFonts w:ascii="Arial Narrow" w:hAnsi="Arial Narrow"/>
                <w:b/>
                <w:bCs/>
                <w:sz w:val="20"/>
                <w:szCs w:val="20"/>
                <w:u w:val="single"/>
              </w:rPr>
            </w:pPr>
            <w:r w:rsidRPr="005A578E">
              <w:rPr>
                <w:rFonts w:ascii="Arial Narrow" w:hAnsi="Arial Narrow"/>
                <w:b/>
                <w:bCs/>
                <w:sz w:val="20"/>
                <w:szCs w:val="20"/>
                <w:u w:val="single"/>
              </w:rPr>
              <w:t>TREATMENT OF ADULT AND ADOLESCENT PATIENTS WITH UNCONTROLLED SEVERE ASTHMA</w:t>
            </w:r>
          </w:p>
          <w:p w14:paraId="4F7C422A"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The following information applies to the prescribing under the Pharmaceutical Benefits Scheme (PBS) of the biological medicines for uncontrolled severe asthma. Where the term biological medicine appears in the following notes and restrictions it refers to all PBS benefits with the specific PBS indication of 'uncontrolled severe asthma'.</w:t>
            </w:r>
          </w:p>
          <w:p w14:paraId="6D0318CD" w14:textId="77777777" w:rsidR="00262553" w:rsidRPr="005A578E" w:rsidRDefault="00262553" w:rsidP="000343C1">
            <w:pPr>
              <w:ind w:left="-57"/>
              <w:contextualSpacing/>
              <w:rPr>
                <w:rFonts w:ascii="Arial Narrow" w:hAnsi="Arial Narrow"/>
                <w:sz w:val="20"/>
                <w:szCs w:val="20"/>
              </w:rPr>
            </w:pPr>
          </w:p>
          <w:p w14:paraId="2ADB5E9E"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A patient is eligible for PBS-subsidised treatment with only 1 biological medicine for uncontrolled severe asthma at any one time.</w:t>
            </w:r>
          </w:p>
          <w:p w14:paraId="3CC9ADD6" w14:textId="77777777" w:rsidR="00262553" w:rsidRPr="005A578E" w:rsidRDefault="00262553" w:rsidP="000343C1">
            <w:pPr>
              <w:ind w:left="-57"/>
              <w:contextualSpacing/>
              <w:rPr>
                <w:rFonts w:ascii="Arial Narrow" w:hAnsi="Arial Narrow"/>
                <w:sz w:val="20"/>
                <w:szCs w:val="20"/>
              </w:rPr>
            </w:pPr>
          </w:p>
          <w:p w14:paraId="201ECDCD"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 xml:space="preserve">A patient receiving PBS-subsidised treatment for uncontrolled severe asthma </w:t>
            </w:r>
            <w:proofErr w:type="gramStart"/>
            <w:r w:rsidRPr="005A578E">
              <w:rPr>
                <w:rFonts w:ascii="Arial Narrow" w:hAnsi="Arial Narrow"/>
                <w:sz w:val="20"/>
                <w:szCs w:val="20"/>
              </w:rPr>
              <w:t>is able to</w:t>
            </w:r>
            <w:proofErr w:type="gramEnd"/>
            <w:r w:rsidRPr="005A578E">
              <w:rPr>
                <w:rFonts w:ascii="Arial Narrow" w:hAnsi="Arial Narrow"/>
                <w:sz w:val="20"/>
                <w:szCs w:val="20"/>
              </w:rPr>
              <w:t xml:space="preserve"> commence a treatment cycle where they may trial a biological medicine without having to experience a disease flare when swapping to an alternate biological medicine within the same treatment cycle.</w:t>
            </w:r>
          </w:p>
          <w:p w14:paraId="58C9E9E4" w14:textId="77777777" w:rsidR="00262553" w:rsidRPr="005A578E" w:rsidRDefault="00262553" w:rsidP="000343C1">
            <w:pPr>
              <w:ind w:left="-57"/>
              <w:contextualSpacing/>
              <w:rPr>
                <w:rFonts w:ascii="Arial Narrow" w:hAnsi="Arial Narrow"/>
                <w:sz w:val="20"/>
                <w:szCs w:val="20"/>
              </w:rPr>
            </w:pPr>
          </w:p>
          <w:p w14:paraId="551EC76A"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 xml:space="preserve">Under these arrangements, within a treatment cycle, a patient may receive long-term treatment with a biological medicine </w:t>
            </w:r>
            <w:proofErr w:type="gramStart"/>
            <w:r w:rsidRPr="005A578E">
              <w:rPr>
                <w:rFonts w:ascii="Arial Narrow" w:hAnsi="Arial Narrow"/>
                <w:sz w:val="20"/>
                <w:szCs w:val="20"/>
              </w:rPr>
              <w:t>as long as</w:t>
            </w:r>
            <w:proofErr w:type="gramEnd"/>
            <w:r w:rsidRPr="005A578E">
              <w:rPr>
                <w:rFonts w:ascii="Arial Narrow" w:hAnsi="Arial Narrow"/>
                <w:sz w:val="20"/>
                <w:szCs w:val="20"/>
              </w:rPr>
              <w:t xml:space="preserve"> they sustain a response to therapy.</w:t>
            </w:r>
          </w:p>
          <w:p w14:paraId="18D50374" w14:textId="77777777" w:rsidR="00262553" w:rsidRPr="005A578E" w:rsidRDefault="00262553" w:rsidP="000343C1">
            <w:pPr>
              <w:ind w:left="-57"/>
              <w:contextualSpacing/>
              <w:rPr>
                <w:rFonts w:ascii="Arial Narrow" w:hAnsi="Arial Narrow"/>
                <w:sz w:val="20"/>
                <w:szCs w:val="20"/>
              </w:rPr>
            </w:pPr>
          </w:p>
          <w:p w14:paraId="3EF239BB"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A patient currently receiving PBS-subsidised treatment as of 1 April 2021 is considered to have started a cycle of treatment.</w:t>
            </w:r>
          </w:p>
          <w:p w14:paraId="6D9D8470" w14:textId="77777777" w:rsidR="00262553" w:rsidRPr="005A578E" w:rsidRDefault="00262553" w:rsidP="000343C1">
            <w:pPr>
              <w:ind w:left="-57"/>
              <w:contextualSpacing/>
              <w:rPr>
                <w:rFonts w:ascii="Arial Narrow" w:hAnsi="Arial Narrow"/>
                <w:sz w:val="20"/>
                <w:szCs w:val="20"/>
              </w:rPr>
            </w:pPr>
          </w:p>
          <w:p w14:paraId="4EEE9DCB"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Within the same treatment cycle, a patient cannot trial and fail, or cease to respond to, the same PBS-subsidised biological medicine more than once.</w:t>
            </w:r>
          </w:p>
          <w:p w14:paraId="33285E2C" w14:textId="77777777" w:rsidR="00262553" w:rsidRPr="005A578E" w:rsidRDefault="00262553" w:rsidP="000343C1">
            <w:pPr>
              <w:ind w:left="-57"/>
              <w:contextualSpacing/>
              <w:rPr>
                <w:rFonts w:ascii="Arial Narrow" w:hAnsi="Arial Narrow"/>
                <w:sz w:val="20"/>
                <w:szCs w:val="20"/>
              </w:rPr>
            </w:pPr>
          </w:p>
          <w:p w14:paraId="2EB18744"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Therefore, once a patient fails to meet the response criteria for a PBS-subsidised biological medicine, they must change to an alternate biological medicine if they wish to continue PBS-subsidised biological treatment.</w:t>
            </w:r>
          </w:p>
          <w:p w14:paraId="6B9F07E7" w14:textId="77777777" w:rsidR="00262553" w:rsidRPr="005A578E" w:rsidRDefault="00262553" w:rsidP="000343C1">
            <w:pPr>
              <w:ind w:left="-57"/>
              <w:contextualSpacing/>
              <w:rPr>
                <w:rFonts w:ascii="Arial Narrow" w:hAnsi="Arial Narrow"/>
                <w:sz w:val="20"/>
                <w:szCs w:val="20"/>
              </w:rPr>
            </w:pPr>
          </w:p>
          <w:p w14:paraId="4EFF1EB4"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 xml:space="preserve">Once a patient has either failed to achieve or sustain a response to treatment with each of the biological </w:t>
            </w:r>
            <w:proofErr w:type="gramStart"/>
            <w:r w:rsidRPr="005A578E">
              <w:rPr>
                <w:rFonts w:ascii="Arial Narrow" w:hAnsi="Arial Narrow"/>
                <w:sz w:val="20"/>
                <w:szCs w:val="20"/>
              </w:rPr>
              <w:t>medicines</w:t>
            </w:r>
            <w:proofErr w:type="gramEnd"/>
            <w:r w:rsidRPr="005A578E">
              <w:rPr>
                <w:rFonts w:ascii="Arial Narrow" w:hAnsi="Arial Narrow"/>
                <w:sz w:val="20"/>
                <w:szCs w:val="20"/>
              </w:rPr>
              <w:t xml:space="preserve"> they are eligible for,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2C49CDE9" w14:textId="77777777" w:rsidR="00262553" w:rsidRPr="005A578E" w:rsidRDefault="00262553" w:rsidP="000343C1">
            <w:pPr>
              <w:ind w:left="-57"/>
              <w:contextualSpacing/>
              <w:rPr>
                <w:rFonts w:ascii="Arial Narrow" w:hAnsi="Arial Narrow"/>
                <w:sz w:val="20"/>
                <w:szCs w:val="20"/>
              </w:rPr>
            </w:pPr>
          </w:p>
          <w:p w14:paraId="266D3A6A"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4766B505" w14:textId="77777777" w:rsidR="00262553" w:rsidRPr="005A578E" w:rsidRDefault="00262553" w:rsidP="000343C1">
            <w:pPr>
              <w:ind w:left="-57"/>
              <w:contextualSpacing/>
              <w:rPr>
                <w:rFonts w:ascii="Arial Narrow" w:hAnsi="Arial Narrow"/>
                <w:sz w:val="20"/>
                <w:szCs w:val="20"/>
              </w:rPr>
            </w:pPr>
          </w:p>
          <w:p w14:paraId="4A3B69B7"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There is no limit to the number of treatment cycles that a patient may undertake in their lifetime.</w:t>
            </w:r>
          </w:p>
          <w:p w14:paraId="645376B5" w14:textId="77777777" w:rsidR="00262553" w:rsidRPr="005A578E" w:rsidRDefault="00262553" w:rsidP="000343C1">
            <w:pPr>
              <w:ind w:left="-57"/>
              <w:contextualSpacing/>
              <w:rPr>
                <w:rFonts w:ascii="Arial Narrow" w:hAnsi="Arial Narrow"/>
                <w:sz w:val="20"/>
                <w:szCs w:val="20"/>
              </w:rPr>
            </w:pPr>
          </w:p>
          <w:p w14:paraId="70FDE6CD"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How to prescribe PBS-subsidised biological medicine treatment for uncontrolled severe asthma.</w:t>
            </w:r>
          </w:p>
          <w:p w14:paraId="578C39A3"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(1) Initial treatment:</w:t>
            </w:r>
          </w:p>
          <w:p w14:paraId="398C0319"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Applications for initial treatment should be made where:</w:t>
            </w:r>
          </w:p>
          <w:p w14:paraId="4B5FAA9A"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w:t>
            </w:r>
            <w:proofErr w:type="spellStart"/>
            <w:r w:rsidRPr="005A578E">
              <w:rPr>
                <w:rFonts w:ascii="Arial Narrow" w:hAnsi="Arial Narrow"/>
                <w:sz w:val="20"/>
                <w:szCs w:val="20"/>
              </w:rPr>
              <w:t>i</w:t>
            </w:r>
            <w:proofErr w:type="spellEnd"/>
            <w:r w:rsidRPr="005A578E">
              <w:rPr>
                <w:rFonts w:ascii="Arial Narrow" w:hAnsi="Arial Narrow"/>
                <w:sz w:val="20"/>
                <w:szCs w:val="20"/>
              </w:rPr>
              <w:t>) a patient has not received prior PBS-subsidised biological medicine treatment and wishes to commence such therapy (Initial 1 restriction); or</w:t>
            </w:r>
          </w:p>
          <w:p w14:paraId="3020AB97"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(ii) a patient has received prior PBS-subsidised treatment with a biological medicine and wishes to recommence a new treatment cycle with this biological medicine following a treatment break in PBS-subsidised therapy (Initial 1 restriction); or</w:t>
            </w:r>
          </w:p>
          <w:p w14:paraId="70638AEE"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35D5CCD0"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661F273E" w14:textId="77777777" w:rsidR="00262553" w:rsidRPr="005A578E" w:rsidRDefault="00262553" w:rsidP="000343C1">
            <w:pPr>
              <w:ind w:left="-57"/>
              <w:contextualSpacing/>
              <w:rPr>
                <w:rFonts w:ascii="Arial Narrow" w:hAnsi="Arial Narrow"/>
                <w:sz w:val="20"/>
                <w:szCs w:val="20"/>
              </w:rPr>
            </w:pPr>
          </w:p>
          <w:p w14:paraId="54317400"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(2) Continuing treatment:</w:t>
            </w:r>
          </w:p>
          <w:p w14:paraId="083C1538"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0406CA6E" w14:textId="77777777" w:rsidR="00262553" w:rsidRPr="005A578E" w:rsidRDefault="00262553" w:rsidP="000343C1">
            <w:pPr>
              <w:ind w:left="-57"/>
              <w:contextualSpacing/>
              <w:rPr>
                <w:rFonts w:ascii="Arial Narrow" w:hAnsi="Arial Narrow"/>
                <w:sz w:val="20"/>
                <w:szCs w:val="20"/>
              </w:rPr>
            </w:pPr>
          </w:p>
          <w:p w14:paraId="1390A393"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(3) Baseline measurements to determine response:</w:t>
            </w:r>
          </w:p>
          <w:p w14:paraId="2EDFE810"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Baseline measurements of the Asthma Control Questionnaire (ACQ; 5 item version) or oral corticosteroid dose submitted with the Initial authority application for a biological medicine must be used to determine whether an adequate response to treatment has been achieved or sustained.</w:t>
            </w:r>
          </w:p>
          <w:p w14:paraId="5ED6875A"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For patients transitioned from the paediatric to the adolescent/adult restriction, the exacerbation history may also be used to determine response.</w:t>
            </w:r>
          </w:p>
          <w:p w14:paraId="671363DB"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 xml:space="preserve">However, prescribers may provide new baseline measurements when a new Initial treatment authority application is </w:t>
            </w:r>
            <w:proofErr w:type="gramStart"/>
            <w:r w:rsidRPr="005A578E">
              <w:rPr>
                <w:rFonts w:ascii="Arial Narrow" w:hAnsi="Arial Narrow"/>
                <w:sz w:val="20"/>
                <w:szCs w:val="20"/>
              </w:rPr>
              <w:t>submitted</w:t>
            </w:r>
            <w:proofErr w:type="gramEnd"/>
            <w:r w:rsidRPr="005A578E">
              <w:rPr>
                <w:rFonts w:ascii="Arial Narrow" w:hAnsi="Arial Narrow"/>
                <w:sz w:val="20"/>
                <w:szCs w:val="20"/>
              </w:rPr>
              <w:t xml:space="preserve"> and these new baseline measurements may be used to assess response.</w:t>
            </w:r>
          </w:p>
          <w:p w14:paraId="6DEAB26E" w14:textId="77777777" w:rsidR="00262553" w:rsidRPr="005A578E" w:rsidRDefault="00262553" w:rsidP="000343C1">
            <w:pPr>
              <w:ind w:left="-57"/>
              <w:contextualSpacing/>
              <w:rPr>
                <w:rFonts w:ascii="Arial Narrow" w:hAnsi="Arial Narrow"/>
                <w:sz w:val="20"/>
                <w:szCs w:val="20"/>
              </w:rPr>
            </w:pPr>
          </w:p>
          <w:p w14:paraId="5FCC190D"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(4) Swapping therapy within the same treatment cycle.</w:t>
            </w:r>
          </w:p>
          <w:p w14:paraId="33E9E190"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Once initial treatment with the first PBS-subsidised biological medicine is approved, a patient may swap to an alternate biological medicine at any time by qualifying under an Initial 2 restriction.</w:t>
            </w:r>
          </w:p>
          <w:p w14:paraId="2E7F22FC"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However, they cannot swap to a particular biological medicine if they have failed to respond to prior treatment with that drug within the same treatment cycle.</w:t>
            </w:r>
          </w:p>
          <w:p w14:paraId="5E6DF6EF"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Within the same treatment cycle a patient may alternate between therapy with any biological medicine of their choice (1 at a time) providing:</w:t>
            </w:r>
          </w:p>
          <w:p w14:paraId="3BA7236A"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w:t>
            </w:r>
            <w:proofErr w:type="spellStart"/>
            <w:r w:rsidRPr="005A578E">
              <w:rPr>
                <w:rFonts w:ascii="Arial Narrow" w:hAnsi="Arial Narrow"/>
                <w:sz w:val="20"/>
                <w:szCs w:val="20"/>
              </w:rPr>
              <w:t>i</w:t>
            </w:r>
            <w:proofErr w:type="spellEnd"/>
            <w:r w:rsidRPr="005A578E">
              <w:rPr>
                <w:rFonts w:ascii="Arial Narrow" w:hAnsi="Arial Narrow"/>
                <w:sz w:val="20"/>
                <w:szCs w:val="20"/>
              </w:rPr>
              <w:t xml:space="preserve">) they have not received PBS-subsidised treatment with that </w:t>
            </w:r>
            <w:proofErr w:type="gramStart"/>
            <w:r w:rsidRPr="005A578E">
              <w:rPr>
                <w:rFonts w:ascii="Arial Narrow" w:hAnsi="Arial Narrow"/>
                <w:sz w:val="20"/>
                <w:szCs w:val="20"/>
              </w:rPr>
              <w:t>particular biological</w:t>
            </w:r>
            <w:proofErr w:type="gramEnd"/>
            <w:r w:rsidRPr="005A578E">
              <w:rPr>
                <w:rFonts w:ascii="Arial Narrow" w:hAnsi="Arial Narrow"/>
                <w:sz w:val="20"/>
                <w:szCs w:val="20"/>
              </w:rPr>
              <w:t xml:space="preserve"> medicine previously; or</w:t>
            </w:r>
          </w:p>
          <w:p w14:paraId="16066543"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 xml:space="preserve">(ii) they have demonstrated an adequate response to that </w:t>
            </w:r>
            <w:proofErr w:type="gramStart"/>
            <w:r w:rsidRPr="005A578E">
              <w:rPr>
                <w:rFonts w:ascii="Arial Narrow" w:hAnsi="Arial Narrow"/>
                <w:sz w:val="20"/>
                <w:szCs w:val="20"/>
              </w:rPr>
              <w:t>particular biological</w:t>
            </w:r>
            <w:proofErr w:type="gramEnd"/>
            <w:r w:rsidRPr="005A578E">
              <w:rPr>
                <w:rFonts w:ascii="Arial Narrow" w:hAnsi="Arial Narrow"/>
                <w:sz w:val="20"/>
                <w:szCs w:val="20"/>
              </w:rPr>
              <w:t xml:space="preserve"> medicine if they have previously trialled it on the PBS; and</w:t>
            </w:r>
          </w:p>
          <w:p w14:paraId="0E678752" w14:textId="2FC1A0D2"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 xml:space="preserve">(iii) they have not previously failed to respond to treatment with all </w:t>
            </w:r>
            <w:proofErr w:type="gramStart"/>
            <w:r>
              <w:rPr>
                <w:rFonts w:ascii="Arial Narrow" w:hAnsi="Arial Narrow"/>
                <w:sz w:val="20"/>
                <w:szCs w:val="20"/>
              </w:rPr>
              <w:t xml:space="preserve">eligible </w:t>
            </w:r>
            <w:r w:rsidRPr="005A578E">
              <w:rPr>
                <w:rFonts w:ascii="Arial Narrow" w:hAnsi="Arial Narrow"/>
                <w:sz w:val="20"/>
                <w:szCs w:val="20"/>
              </w:rPr>
              <w:t xml:space="preserve"> biological</w:t>
            </w:r>
            <w:proofErr w:type="gramEnd"/>
            <w:r w:rsidRPr="005A578E">
              <w:rPr>
                <w:rFonts w:ascii="Arial Narrow" w:hAnsi="Arial Narrow"/>
                <w:sz w:val="20"/>
                <w:szCs w:val="20"/>
              </w:rPr>
              <w:t xml:space="preserve"> medicines in this treatment cycle.</w:t>
            </w:r>
          </w:p>
          <w:p w14:paraId="34BF0F4F" w14:textId="77777777" w:rsidR="00262553" w:rsidRPr="005A578E" w:rsidRDefault="00262553" w:rsidP="000343C1">
            <w:pPr>
              <w:ind w:left="-57"/>
              <w:contextualSpacing/>
              <w:rPr>
                <w:rFonts w:ascii="Arial Narrow" w:hAnsi="Arial Narrow"/>
                <w:sz w:val="20"/>
                <w:szCs w:val="20"/>
              </w:rPr>
            </w:pPr>
          </w:p>
          <w:p w14:paraId="20BB1E38"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(5) Re-commencement of a new treatment cycle after a treatment break in PBS-subsidised therapy:</w:t>
            </w:r>
          </w:p>
          <w:p w14:paraId="45831FFD"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A patient who wishes to trial a second or subsequent new treatment cycle, following a break in PBS-subsidised therapy of at least 12 months, must re-qualify through an Initial 1 restriction.</w:t>
            </w:r>
          </w:p>
          <w:p w14:paraId="526EF7FD" w14:textId="77777777" w:rsidR="00262553" w:rsidRPr="005A578E" w:rsidRDefault="00262553" w:rsidP="000343C1">
            <w:pPr>
              <w:ind w:left="-57"/>
              <w:contextualSpacing/>
              <w:rPr>
                <w:rFonts w:ascii="Arial Narrow" w:hAnsi="Arial Narrow"/>
                <w:sz w:val="20"/>
                <w:szCs w:val="20"/>
              </w:rPr>
            </w:pPr>
          </w:p>
          <w:p w14:paraId="062C7EE7"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(6) Monitoring of patients:</w:t>
            </w:r>
          </w:p>
          <w:p w14:paraId="740D1D29"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Omalizumab only:</w:t>
            </w:r>
          </w:p>
          <w:p w14:paraId="3624A568" w14:textId="77777777" w:rsidR="00262553" w:rsidRPr="005A578E" w:rsidRDefault="00262553" w:rsidP="000343C1">
            <w:pPr>
              <w:ind w:left="-57"/>
              <w:contextualSpacing/>
              <w:rPr>
                <w:rFonts w:ascii="Arial Narrow" w:hAnsi="Arial Narrow"/>
                <w:sz w:val="20"/>
                <w:szCs w:val="20"/>
              </w:rPr>
            </w:pPr>
            <w:r w:rsidRPr="005A578E">
              <w:rPr>
                <w:rFonts w:ascii="Arial Narrow" w:hAnsi="Arial Narrow"/>
                <w:sz w:val="20"/>
                <w:szCs w:val="20"/>
              </w:rPr>
              <w:t>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possible and prompt medical attention should be sought if allergic reactions occur.</w:t>
            </w:r>
          </w:p>
        </w:tc>
      </w:tr>
    </w:tbl>
    <w:p w14:paraId="473A85E2" w14:textId="70F58B39" w:rsidR="00B5356A" w:rsidRPr="00133B19" w:rsidRDefault="00B5356A" w:rsidP="00B5356A">
      <w:pPr>
        <w:tabs>
          <w:tab w:val="left" w:pos="4395"/>
        </w:tabs>
        <w:spacing w:before="240" w:after="120"/>
        <w:rPr>
          <w:rFonts w:ascii="Arial Narrow" w:hAnsi="Arial Narrow" w:cs="Aptos"/>
          <w:color w:val="000000"/>
        </w:rPr>
      </w:pPr>
      <w:r w:rsidRPr="00A253F1">
        <w:rPr>
          <w:rFonts w:ascii="Arial Narrow" w:hAnsi="Arial Narrow" w:cs="Aptos"/>
          <w:color w:val="000000"/>
        </w:rPr>
        <w:t xml:space="preserve">Continuing treatment phase: </w:t>
      </w:r>
    </w:p>
    <w:tbl>
      <w:tblPr>
        <w:tblW w:w="501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ntinuing treatment phase: "/>
      </w:tblPr>
      <w:tblGrid>
        <w:gridCol w:w="496"/>
        <w:gridCol w:w="1075"/>
        <w:gridCol w:w="2360"/>
        <w:gridCol w:w="812"/>
        <w:gridCol w:w="813"/>
        <w:gridCol w:w="812"/>
        <w:gridCol w:w="813"/>
        <w:gridCol w:w="1859"/>
      </w:tblGrid>
      <w:tr w:rsidR="00B5356A" w:rsidRPr="00133B19" w14:paraId="5A8BEFDB" w14:textId="77777777" w:rsidTr="000343C1">
        <w:trPr>
          <w:cantSplit/>
          <w:trHeight w:val="20"/>
        </w:trPr>
        <w:tc>
          <w:tcPr>
            <w:tcW w:w="3930" w:type="dxa"/>
            <w:gridSpan w:val="3"/>
            <w:tcBorders>
              <w:top w:val="single" w:sz="4" w:space="0" w:color="auto"/>
              <w:left w:val="single" w:sz="4" w:space="0" w:color="auto"/>
              <w:bottom w:val="single" w:sz="4" w:space="0" w:color="auto"/>
              <w:right w:val="single" w:sz="4" w:space="0" w:color="auto"/>
            </w:tcBorders>
            <w:vAlign w:val="center"/>
            <w:hideMark/>
          </w:tcPr>
          <w:p w14:paraId="2B2F0B7D" w14:textId="77777777" w:rsidR="00B5356A" w:rsidRPr="00133B19" w:rsidRDefault="00B5356A" w:rsidP="000343C1">
            <w:pPr>
              <w:keepLines/>
              <w:rPr>
                <w:rFonts w:ascii="Arial Narrow" w:hAnsi="Arial Narrow"/>
                <w:b/>
                <w:bCs/>
                <w:color w:val="000000"/>
                <w:sz w:val="20"/>
                <w:szCs w:val="20"/>
              </w:rPr>
            </w:pPr>
            <w:r w:rsidRPr="00133B19">
              <w:rPr>
                <w:rFonts w:ascii="Arial Narrow" w:hAnsi="Arial Narrow"/>
                <w:b/>
                <w:bCs/>
                <w:color w:val="000000"/>
                <w:sz w:val="20"/>
                <w:szCs w:val="20"/>
              </w:rPr>
              <w:t>MEDICINAL PRODUCT</w:t>
            </w:r>
          </w:p>
          <w:p w14:paraId="46D892D3" w14:textId="77777777" w:rsidR="00B5356A" w:rsidRPr="00133B19" w:rsidRDefault="00B5356A" w:rsidP="000343C1">
            <w:pPr>
              <w:keepLines/>
              <w:rPr>
                <w:rFonts w:ascii="Arial Narrow" w:hAnsi="Arial Narrow"/>
                <w:b/>
                <w:color w:val="000000"/>
                <w:sz w:val="20"/>
                <w:szCs w:val="20"/>
              </w:rPr>
            </w:pPr>
            <w:r w:rsidRPr="00133B19">
              <w:rPr>
                <w:rFonts w:ascii="Arial Narrow" w:hAnsi="Arial Narrow"/>
                <w:b/>
                <w:bCs/>
                <w:color w:val="000000"/>
                <w:sz w:val="20"/>
                <w:szCs w:val="20"/>
              </w:rPr>
              <w:t>medicinal product pack</w:t>
            </w:r>
          </w:p>
        </w:tc>
        <w:tc>
          <w:tcPr>
            <w:tcW w:w="812" w:type="dxa"/>
            <w:tcBorders>
              <w:top w:val="single" w:sz="4" w:space="0" w:color="auto"/>
              <w:left w:val="single" w:sz="4" w:space="0" w:color="auto"/>
              <w:bottom w:val="single" w:sz="4" w:space="0" w:color="auto"/>
              <w:right w:val="single" w:sz="4" w:space="0" w:color="auto"/>
            </w:tcBorders>
            <w:vAlign w:val="center"/>
            <w:hideMark/>
          </w:tcPr>
          <w:p w14:paraId="7D858F60" w14:textId="77777777" w:rsidR="00B5356A" w:rsidRPr="00133B19" w:rsidRDefault="00B5356A" w:rsidP="000343C1">
            <w:pPr>
              <w:keepLines/>
              <w:jc w:val="center"/>
              <w:rPr>
                <w:rFonts w:ascii="Arial Narrow" w:hAnsi="Arial Narrow"/>
                <w:b/>
                <w:color w:val="000000"/>
                <w:sz w:val="20"/>
                <w:szCs w:val="20"/>
              </w:rPr>
            </w:pPr>
            <w:r w:rsidRPr="00133B19">
              <w:rPr>
                <w:rFonts w:ascii="Arial Narrow" w:hAnsi="Arial Narrow"/>
                <w:b/>
                <w:color w:val="000000"/>
                <w:sz w:val="20"/>
                <w:szCs w:val="20"/>
              </w:rPr>
              <w:t>PBS item code</w:t>
            </w:r>
          </w:p>
        </w:tc>
        <w:tc>
          <w:tcPr>
            <w:tcW w:w="813" w:type="dxa"/>
            <w:tcBorders>
              <w:top w:val="single" w:sz="4" w:space="0" w:color="auto"/>
              <w:left w:val="single" w:sz="4" w:space="0" w:color="auto"/>
              <w:bottom w:val="single" w:sz="4" w:space="0" w:color="auto"/>
              <w:right w:val="single" w:sz="4" w:space="0" w:color="auto"/>
            </w:tcBorders>
            <w:vAlign w:val="center"/>
            <w:hideMark/>
          </w:tcPr>
          <w:p w14:paraId="07DA5734" w14:textId="77777777" w:rsidR="00B5356A" w:rsidRPr="00133B19" w:rsidRDefault="00B5356A" w:rsidP="000343C1">
            <w:pPr>
              <w:keepLines/>
              <w:jc w:val="center"/>
              <w:rPr>
                <w:rFonts w:ascii="Arial Narrow" w:hAnsi="Arial Narrow"/>
                <w:b/>
                <w:color w:val="000000"/>
                <w:sz w:val="20"/>
                <w:szCs w:val="20"/>
              </w:rPr>
            </w:pPr>
            <w:r w:rsidRPr="00133B19">
              <w:rPr>
                <w:rFonts w:ascii="Arial Narrow" w:hAnsi="Arial Narrow"/>
                <w:b/>
                <w:color w:val="000000"/>
                <w:sz w:val="20"/>
                <w:szCs w:val="20"/>
              </w:rPr>
              <w:t>Max. qty packs</w:t>
            </w:r>
          </w:p>
        </w:tc>
        <w:tc>
          <w:tcPr>
            <w:tcW w:w="812" w:type="dxa"/>
            <w:tcBorders>
              <w:top w:val="single" w:sz="4" w:space="0" w:color="auto"/>
              <w:left w:val="single" w:sz="4" w:space="0" w:color="auto"/>
              <w:bottom w:val="single" w:sz="4" w:space="0" w:color="auto"/>
              <w:right w:val="single" w:sz="4" w:space="0" w:color="auto"/>
            </w:tcBorders>
            <w:vAlign w:val="center"/>
            <w:hideMark/>
          </w:tcPr>
          <w:p w14:paraId="5E502D25" w14:textId="77777777" w:rsidR="00B5356A" w:rsidRPr="00133B19" w:rsidRDefault="00B5356A" w:rsidP="000343C1">
            <w:pPr>
              <w:keepLines/>
              <w:jc w:val="center"/>
              <w:rPr>
                <w:rFonts w:ascii="Arial Narrow" w:hAnsi="Arial Narrow"/>
                <w:b/>
                <w:color w:val="000000"/>
                <w:sz w:val="20"/>
                <w:szCs w:val="20"/>
              </w:rPr>
            </w:pPr>
            <w:r w:rsidRPr="00133B19">
              <w:rPr>
                <w:rFonts w:ascii="Arial Narrow" w:hAnsi="Arial Narrow"/>
                <w:b/>
                <w:color w:val="000000"/>
                <w:sz w:val="20"/>
                <w:szCs w:val="20"/>
              </w:rPr>
              <w:t>Max. qty units</w:t>
            </w:r>
          </w:p>
        </w:tc>
        <w:tc>
          <w:tcPr>
            <w:tcW w:w="813" w:type="dxa"/>
            <w:tcBorders>
              <w:top w:val="single" w:sz="4" w:space="0" w:color="auto"/>
              <w:left w:val="single" w:sz="4" w:space="0" w:color="auto"/>
              <w:bottom w:val="single" w:sz="4" w:space="0" w:color="auto"/>
              <w:right w:val="single" w:sz="4" w:space="0" w:color="auto"/>
            </w:tcBorders>
            <w:vAlign w:val="center"/>
            <w:hideMark/>
          </w:tcPr>
          <w:p w14:paraId="44E0DAAE" w14:textId="77777777" w:rsidR="00B5356A" w:rsidRPr="00133B19" w:rsidRDefault="00B5356A" w:rsidP="000343C1">
            <w:pPr>
              <w:keepLines/>
              <w:jc w:val="center"/>
              <w:rPr>
                <w:rFonts w:ascii="Arial Narrow" w:hAnsi="Arial Narrow"/>
                <w:b/>
                <w:bCs/>
                <w:color w:val="000000"/>
                <w:sz w:val="20"/>
                <w:szCs w:val="20"/>
              </w:rPr>
            </w:pPr>
            <w:proofErr w:type="gramStart"/>
            <w:r w:rsidRPr="00133B19">
              <w:rPr>
                <w:rFonts w:ascii="Arial Narrow" w:hAnsi="Arial Narrow"/>
                <w:b/>
                <w:bCs/>
                <w:color w:val="000000"/>
                <w:sz w:val="20"/>
                <w:szCs w:val="20"/>
              </w:rPr>
              <w:t>№.of</w:t>
            </w:r>
            <w:proofErr w:type="gramEnd"/>
          </w:p>
          <w:p w14:paraId="013210D1" w14:textId="77777777" w:rsidR="00B5356A" w:rsidRPr="00133B19" w:rsidRDefault="00B5356A" w:rsidP="000343C1">
            <w:pPr>
              <w:keepLines/>
              <w:jc w:val="center"/>
              <w:rPr>
                <w:rFonts w:ascii="Arial Narrow" w:hAnsi="Arial Narrow"/>
                <w:b/>
                <w:bCs/>
                <w:color w:val="000000"/>
                <w:sz w:val="20"/>
                <w:szCs w:val="20"/>
              </w:rPr>
            </w:pPr>
            <w:proofErr w:type="spellStart"/>
            <w:r w:rsidRPr="00133B19">
              <w:rPr>
                <w:rFonts w:ascii="Arial Narrow" w:hAnsi="Arial Narrow"/>
                <w:b/>
                <w:bCs/>
                <w:color w:val="000000"/>
                <w:sz w:val="20"/>
                <w:szCs w:val="20"/>
              </w:rPr>
              <w:t>Rpts</w:t>
            </w:r>
            <w:proofErr w:type="spellEnd"/>
          </w:p>
        </w:tc>
        <w:tc>
          <w:tcPr>
            <w:tcW w:w="1859" w:type="dxa"/>
            <w:tcBorders>
              <w:top w:val="single" w:sz="4" w:space="0" w:color="auto"/>
              <w:left w:val="single" w:sz="4" w:space="0" w:color="auto"/>
              <w:bottom w:val="single" w:sz="4" w:space="0" w:color="auto"/>
              <w:right w:val="single" w:sz="4" w:space="0" w:color="auto"/>
            </w:tcBorders>
            <w:vAlign w:val="center"/>
            <w:hideMark/>
          </w:tcPr>
          <w:p w14:paraId="78BBDFF7" w14:textId="77777777" w:rsidR="00B5356A" w:rsidRPr="00133B19" w:rsidRDefault="00B5356A" w:rsidP="000343C1">
            <w:pPr>
              <w:keepLines/>
              <w:rPr>
                <w:rFonts w:ascii="Arial Narrow" w:hAnsi="Arial Narrow"/>
                <w:b/>
                <w:color w:val="000000"/>
                <w:sz w:val="20"/>
                <w:szCs w:val="20"/>
                <w:lang w:val="fr-FR"/>
              </w:rPr>
            </w:pPr>
            <w:r w:rsidRPr="00133B19">
              <w:rPr>
                <w:rFonts w:ascii="Arial Narrow" w:hAnsi="Arial Narrow"/>
                <w:b/>
                <w:color w:val="000000"/>
                <w:sz w:val="20"/>
                <w:szCs w:val="20"/>
              </w:rPr>
              <w:t>Available brands</w:t>
            </w:r>
          </w:p>
        </w:tc>
      </w:tr>
      <w:tr w:rsidR="00B5356A" w:rsidRPr="00133B19" w14:paraId="7B3B9727" w14:textId="77777777" w:rsidTr="000343C1">
        <w:trPr>
          <w:cantSplit/>
          <w:trHeight w:val="20"/>
        </w:trPr>
        <w:tc>
          <w:tcPr>
            <w:tcW w:w="9039" w:type="dxa"/>
            <w:gridSpan w:val="8"/>
            <w:tcBorders>
              <w:top w:val="single" w:sz="4" w:space="0" w:color="auto"/>
              <w:left w:val="single" w:sz="4" w:space="0" w:color="auto"/>
              <w:bottom w:val="single" w:sz="4" w:space="0" w:color="auto"/>
              <w:right w:val="single" w:sz="4" w:space="0" w:color="auto"/>
            </w:tcBorders>
            <w:vAlign w:val="center"/>
            <w:hideMark/>
          </w:tcPr>
          <w:p w14:paraId="457D83F1" w14:textId="77777777" w:rsidR="00B5356A" w:rsidRPr="00133B19" w:rsidRDefault="00B5356A" w:rsidP="000343C1">
            <w:pPr>
              <w:keepLines/>
              <w:rPr>
                <w:rFonts w:ascii="Arial Narrow" w:hAnsi="Arial Narrow"/>
                <w:color w:val="000000"/>
                <w:sz w:val="20"/>
                <w:szCs w:val="20"/>
              </w:rPr>
            </w:pPr>
            <w:r w:rsidRPr="00133B19">
              <w:rPr>
                <w:rFonts w:ascii="Arial Narrow" w:hAnsi="Arial Narrow"/>
                <w:color w:val="000000"/>
                <w:sz w:val="20"/>
                <w:szCs w:val="20"/>
              </w:rPr>
              <w:t>TEZEPELUMAB</w:t>
            </w:r>
          </w:p>
        </w:tc>
      </w:tr>
      <w:tr w:rsidR="00B5356A" w:rsidRPr="00133B19" w14:paraId="68F457AF" w14:textId="77777777" w:rsidTr="000343C1">
        <w:trPr>
          <w:cantSplit/>
          <w:trHeight w:val="20"/>
        </w:trPr>
        <w:tc>
          <w:tcPr>
            <w:tcW w:w="3930" w:type="dxa"/>
            <w:gridSpan w:val="3"/>
            <w:tcBorders>
              <w:top w:val="single" w:sz="4" w:space="0" w:color="auto"/>
              <w:left w:val="single" w:sz="4" w:space="0" w:color="auto"/>
              <w:bottom w:val="single" w:sz="4" w:space="0" w:color="auto"/>
              <w:right w:val="single" w:sz="4" w:space="0" w:color="auto"/>
            </w:tcBorders>
            <w:vAlign w:val="center"/>
            <w:hideMark/>
          </w:tcPr>
          <w:p w14:paraId="3822B4DF" w14:textId="77777777" w:rsidR="00B5356A" w:rsidRPr="004A55D1" w:rsidRDefault="00B5356A" w:rsidP="000343C1">
            <w:pPr>
              <w:keepLines/>
              <w:rPr>
                <w:rFonts w:ascii="Arial Narrow" w:hAnsi="Arial Narrow"/>
                <w:sz w:val="20"/>
                <w:szCs w:val="20"/>
              </w:rPr>
            </w:pPr>
            <w:proofErr w:type="spellStart"/>
            <w:r w:rsidRPr="004A55D1">
              <w:rPr>
                <w:rFonts w:ascii="Arial Narrow" w:hAnsi="Arial Narrow"/>
                <w:sz w:val="20"/>
                <w:szCs w:val="20"/>
              </w:rPr>
              <w:t>tezepelumab</w:t>
            </w:r>
            <w:proofErr w:type="spellEnd"/>
            <w:r w:rsidRPr="004A55D1">
              <w:rPr>
                <w:rFonts w:ascii="Arial Narrow" w:hAnsi="Arial Narrow"/>
                <w:sz w:val="20"/>
                <w:szCs w:val="20"/>
              </w:rPr>
              <w:t xml:space="preserve"> 210 mg/1.91 mL injection, 1.91 mL pen device</w:t>
            </w:r>
          </w:p>
        </w:tc>
        <w:tc>
          <w:tcPr>
            <w:tcW w:w="812" w:type="dxa"/>
            <w:tcBorders>
              <w:top w:val="single" w:sz="4" w:space="0" w:color="auto"/>
              <w:left w:val="single" w:sz="4" w:space="0" w:color="auto"/>
              <w:bottom w:val="single" w:sz="4" w:space="0" w:color="auto"/>
              <w:right w:val="single" w:sz="4" w:space="0" w:color="auto"/>
            </w:tcBorders>
            <w:vAlign w:val="center"/>
            <w:hideMark/>
          </w:tcPr>
          <w:p w14:paraId="268192AD" w14:textId="77777777" w:rsidR="00B5356A" w:rsidRPr="00133B19" w:rsidRDefault="00B5356A" w:rsidP="000343C1">
            <w:pPr>
              <w:keepLines/>
              <w:jc w:val="center"/>
              <w:rPr>
                <w:rFonts w:ascii="Arial Narrow" w:hAnsi="Arial Narrow"/>
                <w:sz w:val="20"/>
                <w:szCs w:val="20"/>
              </w:rPr>
            </w:pPr>
            <w:r w:rsidRPr="00133B19">
              <w:rPr>
                <w:rFonts w:ascii="Arial Narrow" w:hAnsi="Arial Narrow"/>
                <w:sz w:val="20"/>
                <w:szCs w:val="20"/>
              </w:rPr>
              <w:t>NEW/</w:t>
            </w:r>
          </w:p>
          <w:p w14:paraId="53E4AB26" w14:textId="77777777" w:rsidR="00B5356A" w:rsidRPr="00133B19" w:rsidRDefault="00B5356A" w:rsidP="000343C1">
            <w:pPr>
              <w:keepLines/>
              <w:jc w:val="center"/>
              <w:rPr>
                <w:rFonts w:ascii="Arial Narrow" w:hAnsi="Arial Narrow"/>
                <w:sz w:val="20"/>
                <w:szCs w:val="20"/>
              </w:rPr>
            </w:pPr>
            <w:r w:rsidRPr="00133B19">
              <w:rPr>
                <w:rFonts w:ascii="Arial Narrow" w:hAnsi="Arial Narrow"/>
                <w:sz w:val="20"/>
                <w:szCs w:val="20"/>
              </w:rPr>
              <w:t>Public</w:t>
            </w:r>
          </w:p>
        </w:tc>
        <w:tc>
          <w:tcPr>
            <w:tcW w:w="813" w:type="dxa"/>
            <w:tcBorders>
              <w:top w:val="single" w:sz="4" w:space="0" w:color="auto"/>
              <w:left w:val="single" w:sz="4" w:space="0" w:color="auto"/>
              <w:bottom w:val="single" w:sz="4" w:space="0" w:color="auto"/>
              <w:right w:val="single" w:sz="4" w:space="0" w:color="auto"/>
            </w:tcBorders>
            <w:vAlign w:val="center"/>
            <w:hideMark/>
          </w:tcPr>
          <w:p w14:paraId="0686A268" w14:textId="77777777" w:rsidR="00B5356A" w:rsidRPr="00133B19" w:rsidRDefault="00B5356A" w:rsidP="000343C1">
            <w:pPr>
              <w:keepLines/>
              <w:jc w:val="center"/>
              <w:rPr>
                <w:rFonts w:ascii="Arial Narrow" w:hAnsi="Arial Narrow"/>
                <w:sz w:val="20"/>
                <w:szCs w:val="20"/>
              </w:rPr>
            </w:pPr>
            <w:r w:rsidRPr="00133B19">
              <w:rPr>
                <w:rFonts w:ascii="Arial Narrow" w:hAnsi="Arial Narrow"/>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76111BD6" w14:textId="77777777" w:rsidR="00B5356A" w:rsidRPr="00133B19" w:rsidRDefault="00B5356A" w:rsidP="000343C1">
            <w:pPr>
              <w:keepLines/>
              <w:jc w:val="center"/>
              <w:rPr>
                <w:rFonts w:ascii="Arial Narrow" w:hAnsi="Arial Narrow"/>
                <w:sz w:val="20"/>
                <w:szCs w:val="20"/>
              </w:rPr>
            </w:pPr>
            <w:r w:rsidRPr="00133B19">
              <w:rPr>
                <w:rFonts w:ascii="Arial Narrow" w:hAnsi="Arial Narrow"/>
                <w:sz w:val="20"/>
                <w:szCs w:val="20"/>
              </w:rPr>
              <w:t>1</w:t>
            </w:r>
          </w:p>
        </w:tc>
        <w:tc>
          <w:tcPr>
            <w:tcW w:w="813" w:type="dxa"/>
            <w:tcBorders>
              <w:top w:val="single" w:sz="4" w:space="0" w:color="auto"/>
              <w:left w:val="single" w:sz="4" w:space="0" w:color="auto"/>
              <w:bottom w:val="single" w:sz="4" w:space="0" w:color="auto"/>
              <w:right w:val="single" w:sz="4" w:space="0" w:color="auto"/>
            </w:tcBorders>
            <w:vAlign w:val="center"/>
            <w:hideMark/>
          </w:tcPr>
          <w:p w14:paraId="0965D975" w14:textId="77777777" w:rsidR="00B5356A" w:rsidRPr="00133B19" w:rsidRDefault="00B5356A" w:rsidP="000343C1">
            <w:pPr>
              <w:keepLines/>
              <w:jc w:val="center"/>
              <w:rPr>
                <w:rFonts w:ascii="Arial Narrow" w:hAnsi="Arial Narrow"/>
                <w:strike/>
                <w:color w:val="000000"/>
                <w:sz w:val="20"/>
                <w:szCs w:val="20"/>
              </w:rPr>
            </w:pPr>
            <w:r w:rsidRPr="00133B19">
              <w:rPr>
                <w:rFonts w:ascii="Arial Narrow" w:hAnsi="Arial Narrow"/>
                <w:color w:val="000000"/>
                <w:sz w:val="20"/>
                <w:szCs w:val="20"/>
              </w:rPr>
              <w:t>5</w:t>
            </w:r>
          </w:p>
        </w:tc>
        <w:tc>
          <w:tcPr>
            <w:tcW w:w="1859" w:type="dxa"/>
            <w:tcBorders>
              <w:top w:val="single" w:sz="4" w:space="0" w:color="auto"/>
              <w:left w:val="single" w:sz="4" w:space="0" w:color="auto"/>
              <w:bottom w:val="single" w:sz="4" w:space="0" w:color="auto"/>
              <w:right w:val="single" w:sz="4" w:space="0" w:color="auto"/>
            </w:tcBorders>
            <w:vAlign w:val="center"/>
            <w:hideMark/>
          </w:tcPr>
          <w:p w14:paraId="23540298" w14:textId="77777777" w:rsidR="00B5356A" w:rsidRPr="00133B19" w:rsidRDefault="00B5356A" w:rsidP="000343C1">
            <w:pPr>
              <w:keepLines/>
              <w:rPr>
                <w:rFonts w:ascii="Arial Narrow" w:hAnsi="Arial Narrow"/>
                <w:sz w:val="20"/>
                <w:szCs w:val="20"/>
              </w:rPr>
            </w:pPr>
            <w:proofErr w:type="spellStart"/>
            <w:r w:rsidRPr="00133B19">
              <w:rPr>
                <w:rFonts w:ascii="Arial Narrow" w:hAnsi="Arial Narrow"/>
                <w:sz w:val="20"/>
                <w:szCs w:val="20"/>
              </w:rPr>
              <w:t>Tezspire</w:t>
            </w:r>
            <w:proofErr w:type="spellEnd"/>
          </w:p>
        </w:tc>
      </w:tr>
      <w:tr w:rsidR="00B5356A" w:rsidRPr="00133B19" w14:paraId="084EDA6B" w14:textId="77777777" w:rsidTr="000343C1">
        <w:trPr>
          <w:cantSplit/>
          <w:trHeight w:val="20"/>
        </w:trPr>
        <w:tc>
          <w:tcPr>
            <w:tcW w:w="3930" w:type="dxa"/>
            <w:gridSpan w:val="3"/>
            <w:tcBorders>
              <w:top w:val="single" w:sz="4" w:space="0" w:color="auto"/>
              <w:left w:val="single" w:sz="4" w:space="0" w:color="auto"/>
              <w:bottom w:val="single" w:sz="4" w:space="0" w:color="auto"/>
              <w:right w:val="single" w:sz="4" w:space="0" w:color="auto"/>
            </w:tcBorders>
            <w:vAlign w:val="center"/>
            <w:hideMark/>
          </w:tcPr>
          <w:p w14:paraId="00D4C5F2" w14:textId="77777777" w:rsidR="00B5356A" w:rsidRPr="004A55D1" w:rsidRDefault="00B5356A" w:rsidP="000343C1">
            <w:pPr>
              <w:keepLines/>
              <w:rPr>
                <w:rFonts w:ascii="Arial Narrow" w:hAnsi="Arial Narrow"/>
                <w:sz w:val="20"/>
                <w:szCs w:val="20"/>
              </w:rPr>
            </w:pPr>
            <w:proofErr w:type="spellStart"/>
            <w:r w:rsidRPr="004A55D1">
              <w:rPr>
                <w:rFonts w:ascii="Arial Narrow" w:hAnsi="Arial Narrow"/>
                <w:sz w:val="20"/>
                <w:szCs w:val="20"/>
              </w:rPr>
              <w:t>tezepelumab</w:t>
            </w:r>
            <w:proofErr w:type="spellEnd"/>
            <w:r w:rsidRPr="004A55D1">
              <w:rPr>
                <w:rFonts w:ascii="Arial Narrow" w:hAnsi="Arial Narrow"/>
                <w:sz w:val="20"/>
                <w:szCs w:val="20"/>
              </w:rPr>
              <w:t xml:space="preserve"> 210 mg/1.91 mL injection, 1.91 mL pen device</w:t>
            </w:r>
          </w:p>
        </w:tc>
        <w:tc>
          <w:tcPr>
            <w:tcW w:w="812" w:type="dxa"/>
            <w:tcBorders>
              <w:top w:val="single" w:sz="4" w:space="0" w:color="auto"/>
              <w:left w:val="single" w:sz="4" w:space="0" w:color="auto"/>
              <w:bottom w:val="single" w:sz="4" w:space="0" w:color="auto"/>
              <w:right w:val="single" w:sz="4" w:space="0" w:color="auto"/>
            </w:tcBorders>
            <w:vAlign w:val="center"/>
            <w:hideMark/>
          </w:tcPr>
          <w:p w14:paraId="7DBA8191" w14:textId="77777777" w:rsidR="00B5356A" w:rsidRPr="00133B19" w:rsidRDefault="00B5356A" w:rsidP="000343C1">
            <w:pPr>
              <w:keepLines/>
              <w:jc w:val="center"/>
              <w:rPr>
                <w:rFonts w:ascii="Arial Narrow" w:hAnsi="Arial Narrow"/>
                <w:sz w:val="20"/>
                <w:szCs w:val="20"/>
              </w:rPr>
            </w:pPr>
            <w:r w:rsidRPr="00133B19">
              <w:rPr>
                <w:rFonts w:ascii="Arial Narrow" w:hAnsi="Arial Narrow"/>
                <w:sz w:val="20"/>
                <w:szCs w:val="20"/>
              </w:rPr>
              <w:t>NEW/ Private</w:t>
            </w:r>
          </w:p>
        </w:tc>
        <w:tc>
          <w:tcPr>
            <w:tcW w:w="813" w:type="dxa"/>
            <w:tcBorders>
              <w:top w:val="single" w:sz="4" w:space="0" w:color="auto"/>
              <w:left w:val="single" w:sz="4" w:space="0" w:color="auto"/>
              <w:bottom w:val="single" w:sz="4" w:space="0" w:color="auto"/>
              <w:right w:val="single" w:sz="4" w:space="0" w:color="auto"/>
            </w:tcBorders>
            <w:vAlign w:val="center"/>
            <w:hideMark/>
          </w:tcPr>
          <w:p w14:paraId="7709A1C4" w14:textId="77777777" w:rsidR="00B5356A" w:rsidRPr="00133B19" w:rsidRDefault="00B5356A" w:rsidP="000343C1">
            <w:pPr>
              <w:keepLines/>
              <w:jc w:val="center"/>
              <w:rPr>
                <w:rFonts w:ascii="Arial Narrow" w:hAnsi="Arial Narrow"/>
                <w:sz w:val="20"/>
                <w:szCs w:val="20"/>
              </w:rPr>
            </w:pPr>
            <w:r w:rsidRPr="00133B19">
              <w:rPr>
                <w:rFonts w:ascii="Arial Narrow" w:hAnsi="Arial Narrow"/>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478FDEF4" w14:textId="77777777" w:rsidR="00B5356A" w:rsidRPr="00133B19" w:rsidRDefault="00B5356A" w:rsidP="000343C1">
            <w:pPr>
              <w:keepLines/>
              <w:jc w:val="center"/>
              <w:rPr>
                <w:rFonts w:ascii="Arial Narrow" w:hAnsi="Arial Narrow"/>
                <w:sz w:val="20"/>
                <w:szCs w:val="20"/>
              </w:rPr>
            </w:pPr>
            <w:r w:rsidRPr="00133B19">
              <w:rPr>
                <w:rFonts w:ascii="Arial Narrow" w:hAnsi="Arial Narrow"/>
                <w:sz w:val="20"/>
                <w:szCs w:val="20"/>
              </w:rPr>
              <w:t>1</w:t>
            </w:r>
          </w:p>
        </w:tc>
        <w:tc>
          <w:tcPr>
            <w:tcW w:w="813" w:type="dxa"/>
            <w:tcBorders>
              <w:top w:val="single" w:sz="4" w:space="0" w:color="auto"/>
              <w:left w:val="single" w:sz="4" w:space="0" w:color="auto"/>
              <w:bottom w:val="single" w:sz="4" w:space="0" w:color="auto"/>
              <w:right w:val="single" w:sz="4" w:space="0" w:color="auto"/>
            </w:tcBorders>
            <w:hideMark/>
          </w:tcPr>
          <w:p w14:paraId="75690F21" w14:textId="77777777" w:rsidR="00B5356A" w:rsidRPr="00133B19" w:rsidRDefault="00B5356A" w:rsidP="000343C1">
            <w:pPr>
              <w:keepLines/>
              <w:jc w:val="center"/>
              <w:rPr>
                <w:rFonts w:ascii="Arial Narrow" w:hAnsi="Arial Narrow"/>
                <w:strike/>
                <w:color w:val="000000"/>
                <w:sz w:val="20"/>
                <w:szCs w:val="20"/>
              </w:rPr>
            </w:pPr>
            <w:r w:rsidRPr="00133B19">
              <w:rPr>
                <w:rFonts w:ascii="Arial Narrow" w:hAnsi="Arial Narrow"/>
                <w:color w:val="000000"/>
                <w:sz w:val="20"/>
                <w:szCs w:val="20"/>
              </w:rPr>
              <w:t>5</w:t>
            </w:r>
          </w:p>
        </w:tc>
        <w:tc>
          <w:tcPr>
            <w:tcW w:w="1859" w:type="dxa"/>
            <w:tcBorders>
              <w:top w:val="single" w:sz="4" w:space="0" w:color="auto"/>
              <w:left w:val="single" w:sz="4" w:space="0" w:color="auto"/>
              <w:bottom w:val="single" w:sz="4" w:space="0" w:color="auto"/>
              <w:right w:val="single" w:sz="4" w:space="0" w:color="auto"/>
            </w:tcBorders>
            <w:vAlign w:val="center"/>
            <w:hideMark/>
          </w:tcPr>
          <w:p w14:paraId="5A7652AF" w14:textId="77777777" w:rsidR="00B5356A" w:rsidRPr="00133B19" w:rsidRDefault="00B5356A" w:rsidP="000343C1">
            <w:pPr>
              <w:keepLines/>
              <w:rPr>
                <w:rFonts w:ascii="Arial Narrow" w:hAnsi="Arial Narrow"/>
                <w:sz w:val="20"/>
                <w:szCs w:val="20"/>
              </w:rPr>
            </w:pPr>
            <w:proofErr w:type="spellStart"/>
            <w:r w:rsidRPr="00133B19">
              <w:rPr>
                <w:rFonts w:ascii="Arial Narrow" w:hAnsi="Arial Narrow"/>
                <w:sz w:val="20"/>
                <w:szCs w:val="20"/>
              </w:rPr>
              <w:t>Tezspire</w:t>
            </w:r>
            <w:proofErr w:type="spellEnd"/>
          </w:p>
        </w:tc>
      </w:tr>
      <w:tr w:rsidR="00B5356A" w:rsidRPr="00133B19" w14:paraId="6CEB117A" w14:textId="77777777" w:rsidTr="000343C1">
        <w:trPr>
          <w:trHeight w:val="20"/>
        </w:trPr>
        <w:tc>
          <w:tcPr>
            <w:tcW w:w="1570"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41E025A" w14:textId="77777777" w:rsidR="00B5356A" w:rsidRPr="00A84EA2" w:rsidRDefault="00B5356A" w:rsidP="000343C1">
            <w:pPr>
              <w:jc w:val="center"/>
              <w:rPr>
                <w:rFonts w:ascii="Arial Narrow" w:hAnsi="Arial Narrow"/>
                <w:b/>
                <w:color w:val="000000"/>
                <w:sz w:val="20"/>
                <w:szCs w:val="20"/>
              </w:rPr>
            </w:pPr>
            <w:r w:rsidRPr="00A84EA2">
              <w:rPr>
                <w:rFonts w:ascii="Arial Narrow" w:hAnsi="Arial Narrow"/>
                <w:b/>
                <w:color w:val="000000"/>
                <w:sz w:val="20"/>
                <w:szCs w:val="20"/>
              </w:rPr>
              <w:t xml:space="preserve">Concept ID </w:t>
            </w:r>
            <w:r w:rsidRPr="00A84EA2">
              <w:rPr>
                <w:rFonts w:ascii="Arial Narrow" w:hAnsi="Arial Narrow"/>
                <w:color w:val="000000"/>
                <w:sz w:val="20"/>
                <w:szCs w:val="20"/>
              </w:rPr>
              <w:t>(for internal Dept. use)</w:t>
            </w: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4D1B7A" w14:textId="77777777" w:rsidR="00B5356A" w:rsidRPr="00A84EA2" w:rsidRDefault="00B5356A" w:rsidP="000343C1">
            <w:pPr>
              <w:keepLines/>
              <w:rPr>
                <w:rFonts w:ascii="Arial Narrow" w:eastAsia="Calibri" w:hAnsi="Arial Narrow"/>
                <w:color w:val="000000"/>
                <w:sz w:val="20"/>
                <w:szCs w:val="20"/>
              </w:rPr>
            </w:pPr>
            <w:r w:rsidRPr="00A84EA2">
              <w:rPr>
                <w:rFonts w:ascii="Arial Narrow" w:hAnsi="Arial Narrow"/>
                <w:b/>
                <w:color w:val="000000"/>
                <w:sz w:val="20"/>
                <w:szCs w:val="20"/>
              </w:rPr>
              <w:t>Category / Program:</w:t>
            </w:r>
            <w:r w:rsidRPr="00A84EA2">
              <w:rPr>
                <w:rFonts w:ascii="Arial Narrow" w:hAnsi="Arial Narrow"/>
                <w:color w:val="000000"/>
                <w:sz w:val="20"/>
                <w:szCs w:val="20"/>
              </w:rPr>
              <w:t xml:space="preserve"> </w:t>
            </w:r>
          </w:p>
          <w:p w14:paraId="0F23D690" w14:textId="77777777" w:rsidR="00B5356A" w:rsidRPr="00A84EA2" w:rsidRDefault="00B5356A" w:rsidP="000343C1">
            <w:pPr>
              <w:keepLines/>
              <w:rPr>
                <w:rFonts w:ascii="Arial Narrow" w:hAnsi="Arial Narrow"/>
                <w:color w:val="000000"/>
                <w:sz w:val="20"/>
                <w:szCs w:val="20"/>
              </w:rPr>
            </w:pPr>
            <w:r w:rsidRPr="00A84EA2">
              <w:rPr>
                <w:rFonts w:ascii="Arial Narrow" w:eastAsia="Calibri" w:hAnsi="Arial Narrow"/>
                <w:color w:val="000000"/>
                <w:sz w:val="20"/>
                <w:szCs w:val="20"/>
              </w:rPr>
              <w:fldChar w:fldCharType="begin">
                <w:ffData>
                  <w:name w:val=""/>
                  <w:enabled/>
                  <w:calcOnExit w:val="0"/>
                  <w:checkBox>
                    <w:sizeAuto/>
                    <w:default w:val="1"/>
                  </w:checkBox>
                </w:ffData>
              </w:fldChar>
            </w:r>
            <w:r w:rsidRPr="00A84EA2">
              <w:rPr>
                <w:rFonts w:ascii="Arial Narrow" w:eastAsia="Calibri" w:hAnsi="Arial Narrow"/>
                <w:color w:val="000000"/>
                <w:sz w:val="20"/>
                <w:szCs w:val="20"/>
              </w:rPr>
              <w:instrText xml:space="preserve"> FORMCHECKBOX </w:instrText>
            </w:r>
            <w:r w:rsidRPr="00A84EA2">
              <w:rPr>
                <w:rFonts w:ascii="Arial Narrow" w:eastAsia="Calibri" w:hAnsi="Arial Narrow"/>
                <w:color w:val="000000"/>
                <w:sz w:val="20"/>
                <w:szCs w:val="20"/>
              </w:rPr>
            </w:r>
            <w:r w:rsidRPr="00A84EA2">
              <w:rPr>
                <w:rFonts w:ascii="Arial Narrow" w:eastAsia="Calibri" w:hAnsi="Arial Narrow"/>
                <w:color w:val="000000"/>
                <w:sz w:val="20"/>
                <w:szCs w:val="20"/>
              </w:rPr>
              <w:fldChar w:fldCharType="separate"/>
            </w:r>
            <w:r w:rsidRPr="00A84EA2">
              <w:rPr>
                <w:rFonts w:ascii="Arial Narrow" w:eastAsia="Calibri" w:hAnsi="Arial Narrow"/>
                <w:color w:val="000000"/>
                <w:sz w:val="20"/>
                <w:szCs w:val="20"/>
              </w:rPr>
              <w:fldChar w:fldCharType="end"/>
            </w:r>
            <w:r w:rsidRPr="00A84EA2">
              <w:rPr>
                <w:rFonts w:ascii="Arial Narrow" w:eastAsia="Calibri" w:hAnsi="Arial Narrow"/>
                <w:color w:val="000000"/>
                <w:sz w:val="20"/>
                <w:szCs w:val="20"/>
              </w:rPr>
              <w:t xml:space="preserve"> Section 100 – Highly Specialised Drugs Program – Public (Code HB) / Private (Code HS)</w:t>
            </w:r>
          </w:p>
        </w:tc>
      </w:tr>
      <w:tr w:rsidR="00B5356A" w:rsidRPr="00133B19" w14:paraId="534EC7EB" w14:textId="77777777" w:rsidTr="000343C1">
        <w:trPr>
          <w:trHeight w:val="20"/>
        </w:trPr>
        <w:tc>
          <w:tcPr>
            <w:tcW w:w="1570" w:type="dxa"/>
            <w:gridSpan w:val="2"/>
            <w:vMerge/>
            <w:vAlign w:val="center"/>
            <w:hideMark/>
          </w:tcPr>
          <w:p w14:paraId="110A53E2" w14:textId="77777777" w:rsidR="00B5356A" w:rsidRPr="00A84EA2" w:rsidRDefault="00B5356A" w:rsidP="000343C1">
            <w:pPr>
              <w:rPr>
                <w:rFonts w:ascii="Arial Narrow" w:hAnsi="Arial Narrow"/>
                <w:b/>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40C191" w14:textId="77777777" w:rsidR="00B5356A" w:rsidRPr="00A84EA2" w:rsidRDefault="00B5356A" w:rsidP="000343C1">
            <w:pPr>
              <w:keepLines/>
              <w:rPr>
                <w:rFonts w:ascii="Arial Narrow" w:hAnsi="Arial Narrow"/>
                <w:b/>
                <w:color w:val="000000"/>
                <w:sz w:val="20"/>
                <w:szCs w:val="20"/>
              </w:rPr>
            </w:pPr>
            <w:r w:rsidRPr="00A84EA2">
              <w:rPr>
                <w:rFonts w:ascii="Arial Narrow" w:hAnsi="Arial Narrow"/>
                <w:b/>
                <w:color w:val="000000"/>
                <w:sz w:val="20"/>
                <w:szCs w:val="20"/>
              </w:rPr>
              <w:t xml:space="preserve">Prescriber type: </w:t>
            </w:r>
            <w:r w:rsidRPr="00A84EA2">
              <w:rPr>
                <w:rFonts w:ascii="Arial Narrow" w:hAnsi="Arial Narrow"/>
                <w:color w:val="000000"/>
                <w:sz w:val="20"/>
                <w:szCs w:val="20"/>
              </w:rPr>
              <w:fldChar w:fldCharType="begin">
                <w:ffData>
                  <w:name w:val=""/>
                  <w:enabled/>
                  <w:calcOnExit w:val="0"/>
                  <w:checkBox>
                    <w:sizeAuto/>
                    <w:default w:val="1"/>
                  </w:checkBox>
                </w:ffData>
              </w:fldChar>
            </w:r>
            <w:r w:rsidRPr="00A84EA2">
              <w:rPr>
                <w:rFonts w:ascii="Arial Narrow" w:hAnsi="Arial Narrow"/>
                <w:color w:val="000000"/>
                <w:sz w:val="20"/>
                <w:szCs w:val="20"/>
              </w:rPr>
              <w:instrText xml:space="preserve"> FORMCHECKBOX </w:instrText>
            </w:r>
            <w:r w:rsidRPr="00A84EA2">
              <w:rPr>
                <w:rFonts w:ascii="Arial Narrow" w:hAnsi="Arial Narrow"/>
                <w:color w:val="000000"/>
                <w:sz w:val="20"/>
                <w:szCs w:val="20"/>
              </w:rPr>
            </w:r>
            <w:r w:rsidRPr="00A84EA2">
              <w:rPr>
                <w:rFonts w:ascii="Arial Narrow" w:hAnsi="Arial Narrow"/>
                <w:color w:val="000000"/>
                <w:sz w:val="20"/>
                <w:szCs w:val="20"/>
              </w:rPr>
              <w:fldChar w:fldCharType="separate"/>
            </w:r>
            <w:r w:rsidRPr="00A84EA2">
              <w:rPr>
                <w:rFonts w:ascii="Arial Narrow" w:hAnsi="Arial Narrow"/>
                <w:color w:val="000000"/>
                <w:sz w:val="20"/>
                <w:szCs w:val="20"/>
              </w:rPr>
              <w:fldChar w:fldCharType="end"/>
            </w:r>
            <w:r w:rsidRPr="00A84EA2">
              <w:rPr>
                <w:rFonts w:ascii="Arial Narrow" w:hAnsi="Arial Narrow"/>
                <w:color w:val="000000"/>
                <w:sz w:val="20"/>
                <w:szCs w:val="20"/>
              </w:rPr>
              <w:t xml:space="preserve">Medical Practitioners </w:t>
            </w:r>
          </w:p>
        </w:tc>
      </w:tr>
      <w:tr w:rsidR="00B5356A" w:rsidRPr="00133B19" w14:paraId="4B537FCE" w14:textId="77777777" w:rsidTr="000343C1">
        <w:trPr>
          <w:trHeight w:val="20"/>
        </w:trPr>
        <w:tc>
          <w:tcPr>
            <w:tcW w:w="1570" w:type="dxa"/>
            <w:gridSpan w:val="2"/>
            <w:vMerge/>
            <w:vAlign w:val="center"/>
            <w:hideMark/>
          </w:tcPr>
          <w:p w14:paraId="10585FF6" w14:textId="77777777" w:rsidR="00B5356A" w:rsidRPr="00A84EA2" w:rsidRDefault="00B5356A" w:rsidP="000343C1">
            <w:pPr>
              <w:rPr>
                <w:rFonts w:ascii="Arial Narrow" w:hAnsi="Arial Narrow"/>
                <w:b/>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660ED3" w14:textId="77777777" w:rsidR="00B5356A" w:rsidRPr="00A84EA2" w:rsidRDefault="00B5356A" w:rsidP="000343C1">
            <w:pPr>
              <w:keepLines/>
              <w:rPr>
                <w:rFonts w:ascii="Arial Narrow" w:eastAsia="Calibri" w:hAnsi="Arial Narrow"/>
                <w:color w:val="000000"/>
                <w:sz w:val="20"/>
                <w:szCs w:val="20"/>
              </w:rPr>
            </w:pPr>
            <w:r w:rsidRPr="00A84EA2">
              <w:rPr>
                <w:rFonts w:ascii="Arial Narrow" w:hAnsi="Arial Narrow"/>
                <w:b/>
                <w:color w:val="000000"/>
                <w:sz w:val="20"/>
                <w:szCs w:val="20"/>
              </w:rPr>
              <w:t xml:space="preserve">Restriction type: </w:t>
            </w:r>
            <w:r w:rsidRPr="00A84EA2">
              <w:rPr>
                <w:rFonts w:ascii="Arial Narrow" w:eastAsia="Calibri" w:hAnsi="Arial Narrow"/>
                <w:color w:val="000000"/>
                <w:sz w:val="20"/>
                <w:szCs w:val="20"/>
              </w:rPr>
              <w:br/>
            </w:r>
            <w:r w:rsidRPr="00A84EA2">
              <w:rPr>
                <w:rFonts w:ascii="Arial Narrow" w:eastAsia="Calibri" w:hAnsi="Arial Narrow"/>
                <w:color w:val="000000"/>
                <w:sz w:val="20"/>
                <w:szCs w:val="20"/>
              </w:rPr>
              <w:fldChar w:fldCharType="begin">
                <w:ffData>
                  <w:name w:val=""/>
                  <w:enabled/>
                  <w:calcOnExit w:val="0"/>
                  <w:checkBox>
                    <w:sizeAuto/>
                    <w:default w:val="1"/>
                  </w:checkBox>
                </w:ffData>
              </w:fldChar>
            </w:r>
            <w:r w:rsidRPr="00A84EA2">
              <w:rPr>
                <w:rFonts w:ascii="Arial Narrow" w:eastAsia="Calibri" w:hAnsi="Arial Narrow"/>
                <w:color w:val="000000"/>
                <w:sz w:val="20"/>
                <w:szCs w:val="20"/>
              </w:rPr>
              <w:instrText xml:space="preserve"> FORMCHECKBOX </w:instrText>
            </w:r>
            <w:r w:rsidRPr="00A84EA2">
              <w:rPr>
                <w:rFonts w:ascii="Arial Narrow" w:eastAsia="Calibri" w:hAnsi="Arial Narrow"/>
                <w:color w:val="000000"/>
                <w:sz w:val="20"/>
                <w:szCs w:val="20"/>
              </w:rPr>
            </w:r>
            <w:r w:rsidRPr="00A84EA2">
              <w:rPr>
                <w:rFonts w:ascii="Arial Narrow" w:eastAsia="Calibri" w:hAnsi="Arial Narrow"/>
                <w:color w:val="000000"/>
                <w:sz w:val="20"/>
                <w:szCs w:val="20"/>
              </w:rPr>
              <w:fldChar w:fldCharType="separate"/>
            </w:r>
            <w:r w:rsidRPr="00A84EA2">
              <w:rPr>
                <w:rFonts w:ascii="Arial Narrow" w:eastAsia="Calibri" w:hAnsi="Arial Narrow"/>
                <w:color w:val="000000"/>
                <w:sz w:val="20"/>
                <w:szCs w:val="20"/>
              </w:rPr>
              <w:fldChar w:fldCharType="end"/>
            </w:r>
            <w:r w:rsidRPr="00A84EA2">
              <w:rPr>
                <w:rFonts w:ascii="Arial Narrow" w:eastAsia="Calibri" w:hAnsi="Arial Narrow"/>
                <w:color w:val="000000"/>
                <w:sz w:val="20"/>
                <w:szCs w:val="20"/>
              </w:rPr>
              <w:t>Authority Required (FULL assessment) in writing only via OPA/post/HPOS upload))</w:t>
            </w:r>
          </w:p>
        </w:tc>
      </w:tr>
      <w:tr w:rsidR="00B5356A" w:rsidRPr="00133B19" w14:paraId="698E0C51" w14:textId="77777777" w:rsidTr="000343C1">
        <w:trPr>
          <w:trHeight w:val="20"/>
        </w:trPr>
        <w:tc>
          <w:tcPr>
            <w:tcW w:w="1570" w:type="dxa"/>
            <w:gridSpan w:val="2"/>
            <w:vMerge/>
            <w:vAlign w:val="center"/>
            <w:hideMark/>
          </w:tcPr>
          <w:p w14:paraId="5D5AE2CB" w14:textId="77777777" w:rsidR="00B5356A" w:rsidRPr="00A84EA2" w:rsidRDefault="00B5356A" w:rsidP="000343C1">
            <w:pPr>
              <w:rPr>
                <w:rFonts w:ascii="Arial Narrow" w:hAnsi="Arial Narrow"/>
                <w:b/>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BB613D" w14:textId="77777777" w:rsidR="00B5356A" w:rsidRPr="00A84EA2" w:rsidRDefault="00B5356A" w:rsidP="000343C1">
            <w:pPr>
              <w:keepLines/>
              <w:rPr>
                <w:rFonts w:ascii="Arial Narrow" w:hAnsi="Arial Narrow"/>
                <w:b/>
                <w:color w:val="000000"/>
                <w:sz w:val="20"/>
                <w:szCs w:val="20"/>
              </w:rPr>
            </w:pPr>
            <w:r w:rsidRPr="00A84EA2">
              <w:rPr>
                <w:rFonts w:ascii="Arial Narrow" w:hAnsi="Arial Narrow"/>
                <w:b/>
                <w:color w:val="000000"/>
                <w:sz w:val="20"/>
                <w:szCs w:val="20"/>
              </w:rPr>
              <w:t xml:space="preserve">Authority type: </w:t>
            </w:r>
            <w:r w:rsidRPr="00A84EA2">
              <w:rPr>
                <w:rFonts w:ascii="Arial Narrow" w:eastAsia="Calibri" w:hAnsi="Arial Narrow"/>
                <w:color w:val="000000"/>
                <w:sz w:val="20"/>
                <w:szCs w:val="20"/>
              </w:rPr>
              <w:fldChar w:fldCharType="begin">
                <w:ffData>
                  <w:name w:val=""/>
                  <w:enabled/>
                  <w:calcOnExit w:val="0"/>
                  <w:checkBox>
                    <w:sizeAuto/>
                    <w:default w:val="1"/>
                  </w:checkBox>
                </w:ffData>
              </w:fldChar>
            </w:r>
            <w:r w:rsidRPr="00A84EA2">
              <w:rPr>
                <w:rFonts w:ascii="Arial Narrow" w:eastAsia="Calibri" w:hAnsi="Arial Narrow"/>
                <w:color w:val="000000"/>
                <w:sz w:val="20"/>
                <w:szCs w:val="20"/>
              </w:rPr>
              <w:instrText xml:space="preserve"> FORMCHECKBOX </w:instrText>
            </w:r>
            <w:r w:rsidRPr="00A84EA2">
              <w:rPr>
                <w:rFonts w:ascii="Arial Narrow" w:eastAsia="Calibri" w:hAnsi="Arial Narrow"/>
                <w:color w:val="000000"/>
                <w:sz w:val="20"/>
                <w:szCs w:val="20"/>
              </w:rPr>
            </w:r>
            <w:r w:rsidRPr="00A84EA2">
              <w:rPr>
                <w:rFonts w:ascii="Arial Narrow" w:eastAsia="Calibri" w:hAnsi="Arial Narrow"/>
                <w:color w:val="000000"/>
                <w:sz w:val="20"/>
                <w:szCs w:val="20"/>
              </w:rPr>
              <w:fldChar w:fldCharType="separate"/>
            </w:r>
            <w:r w:rsidRPr="00A84EA2">
              <w:rPr>
                <w:rFonts w:ascii="Arial Narrow" w:eastAsia="Calibri" w:hAnsi="Arial Narrow"/>
                <w:color w:val="000000"/>
                <w:sz w:val="20"/>
                <w:szCs w:val="20"/>
              </w:rPr>
              <w:fldChar w:fldCharType="end"/>
            </w:r>
            <w:r w:rsidRPr="00A84EA2">
              <w:rPr>
                <w:rFonts w:ascii="Arial Narrow" w:eastAsia="Calibri" w:hAnsi="Arial Narrow"/>
                <w:color w:val="000000"/>
                <w:sz w:val="20"/>
                <w:szCs w:val="20"/>
              </w:rPr>
              <w:t xml:space="preserve"> Complex Authority Required (CAR)</w:t>
            </w:r>
          </w:p>
        </w:tc>
      </w:tr>
      <w:tr w:rsidR="00B5356A" w:rsidRPr="00133B19" w14:paraId="04345740" w14:textId="77777777" w:rsidTr="000343C1">
        <w:trPr>
          <w:trHeight w:val="20"/>
        </w:trPr>
        <w:tc>
          <w:tcPr>
            <w:tcW w:w="495" w:type="dxa"/>
            <w:vMerge w:val="restart"/>
            <w:tcBorders>
              <w:top w:val="single" w:sz="4" w:space="0" w:color="auto"/>
              <w:left w:val="single" w:sz="4" w:space="0" w:color="auto"/>
              <w:bottom w:val="single" w:sz="4" w:space="0" w:color="auto"/>
              <w:right w:val="single" w:sz="4" w:space="0" w:color="auto"/>
            </w:tcBorders>
            <w:vAlign w:val="center"/>
            <w:hideMark/>
          </w:tcPr>
          <w:p w14:paraId="097B713F" w14:textId="77777777" w:rsidR="00B5356A" w:rsidRPr="00A84EA2" w:rsidRDefault="00B5356A" w:rsidP="000343C1">
            <w:pPr>
              <w:rPr>
                <w:rFonts w:ascii="Arial Narrow" w:hAnsi="Arial Narrow"/>
                <w:color w:val="000000"/>
                <w:sz w:val="20"/>
                <w:szCs w:val="20"/>
              </w:rPr>
            </w:pPr>
          </w:p>
        </w:tc>
        <w:tc>
          <w:tcPr>
            <w:tcW w:w="10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B444FE" w14:textId="403DA69F"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C7AC93" w14:textId="77777777" w:rsidR="00B5356A" w:rsidRPr="00A84EA2" w:rsidRDefault="00B5356A" w:rsidP="000343C1">
            <w:pPr>
              <w:rPr>
                <w:rFonts w:ascii="Arial Narrow" w:hAnsi="Arial Narrow"/>
                <w:b/>
                <w:bCs/>
                <w:color w:val="000000"/>
                <w:sz w:val="20"/>
                <w:szCs w:val="20"/>
              </w:rPr>
            </w:pPr>
            <w:r w:rsidRPr="00A84EA2">
              <w:rPr>
                <w:rFonts w:ascii="Arial Narrow" w:hAnsi="Arial Narrow"/>
                <w:b/>
                <w:bCs/>
                <w:color w:val="000000"/>
                <w:sz w:val="20"/>
                <w:szCs w:val="20"/>
              </w:rPr>
              <w:t xml:space="preserve">Administrative Advice: </w:t>
            </w:r>
            <w:r w:rsidRPr="00A84EA2">
              <w:rPr>
                <w:rFonts w:ascii="Arial Narrow" w:hAnsi="Arial Narrow"/>
                <w:bCs/>
                <w:color w:val="000000"/>
                <w:sz w:val="20"/>
                <w:szCs w:val="20"/>
              </w:rPr>
              <w:t>Special Pricing Arrangements apply.</w:t>
            </w:r>
          </w:p>
        </w:tc>
      </w:tr>
      <w:tr w:rsidR="00B5356A" w:rsidRPr="00133B19" w14:paraId="251512CC" w14:textId="77777777" w:rsidTr="000343C1">
        <w:trPr>
          <w:trHeight w:val="20"/>
        </w:trPr>
        <w:tc>
          <w:tcPr>
            <w:tcW w:w="495" w:type="dxa"/>
            <w:vMerge/>
            <w:vAlign w:val="center"/>
            <w:hideMark/>
          </w:tcPr>
          <w:p w14:paraId="6703EF8A" w14:textId="77777777" w:rsidR="00B5356A" w:rsidRPr="00A84EA2" w:rsidRDefault="00B5356A" w:rsidP="000343C1">
            <w:pPr>
              <w:rPr>
                <w:rFonts w:ascii="Arial Narrow" w:hAnsi="Arial Narrow"/>
                <w:color w:val="000000"/>
                <w:sz w:val="20"/>
                <w:szCs w:val="20"/>
              </w:rPr>
            </w:pPr>
          </w:p>
        </w:tc>
        <w:tc>
          <w:tcPr>
            <w:tcW w:w="10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09714E" w14:textId="77777777" w:rsidR="00B5356A" w:rsidRPr="00A84EA2" w:rsidRDefault="00B5356A" w:rsidP="000343C1">
            <w:pPr>
              <w:jc w:val="center"/>
              <w:rPr>
                <w:rFonts w:ascii="Arial Narrow" w:hAnsi="Arial Narrow"/>
                <w:bCs/>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E4C6D98" w14:textId="77777777" w:rsidR="00B5356A" w:rsidRPr="00A84EA2" w:rsidRDefault="00B5356A" w:rsidP="000343C1">
            <w:pPr>
              <w:rPr>
                <w:rFonts w:ascii="Arial Narrow" w:hAnsi="Arial Narrow"/>
                <w:color w:val="BFBFBF"/>
                <w:sz w:val="20"/>
                <w:szCs w:val="20"/>
              </w:rPr>
            </w:pPr>
            <w:proofErr w:type="spellStart"/>
            <w:r w:rsidRPr="00A84EA2">
              <w:rPr>
                <w:rFonts w:ascii="Arial Narrow" w:hAnsi="Arial Narrow"/>
                <w:b/>
                <w:bCs/>
                <w:color w:val="BFBFBF"/>
                <w:sz w:val="20"/>
                <w:szCs w:val="20"/>
              </w:rPr>
              <w:t>Episodicity</w:t>
            </w:r>
            <w:proofErr w:type="spellEnd"/>
            <w:r w:rsidRPr="00A84EA2">
              <w:rPr>
                <w:rFonts w:ascii="Arial Narrow" w:hAnsi="Arial Narrow"/>
                <w:b/>
                <w:bCs/>
                <w:color w:val="BFBFBF"/>
                <w:sz w:val="20"/>
                <w:szCs w:val="20"/>
              </w:rPr>
              <w:t>:</w:t>
            </w:r>
            <w:r w:rsidRPr="00A84EA2">
              <w:rPr>
                <w:rFonts w:ascii="Arial Narrow" w:hAnsi="Arial Narrow"/>
                <w:color w:val="BFBFBF"/>
                <w:sz w:val="20"/>
                <w:szCs w:val="20"/>
              </w:rPr>
              <w:t xml:space="preserve"> Active</w:t>
            </w:r>
          </w:p>
        </w:tc>
      </w:tr>
      <w:tr w:rsidR="00B5356A" w:rsidRPr="00133B19" w14:paraId="112BE898" w14:textId="77777777" w:rsidTr="000343C1">
        <w:trPr>
          <w:trHeight w:val="20"/>
        </w:trPr>
        <w:tc>
          <w:tcPr>
            <w:tcW w:w="495" w:type="dxa"/>
            <w:tcBorders>
              <w:top w:val="single" w:sz="4" w:space="0" w:color="auto"/>
              <w:left w:val="single" w:sz="4" w:space="0" w:color="auto"/>
              <w:bottom w:val="single" w:sz="4" w:space="0" w:color="auto"/>
              <w:right w:val="single" w:sz="4" w:space="0" w:color="auto"/>
            </w:tcBorders>
            <w:vAlign w:val="center"/>
          </w:tcPr>
          <w:p w14:paraId="347EE6E4" w14:textId="77777777" w:rsidR="00B5356A" w:rsidRPr="00A84EA2" w:rsidRDefault="00B5356A" w:rsidP="000343C1">
            <w:pPr>
              <w:rPr>
                <w:rFonts w:ascii="Arial Narrow" w:hAnsi="Arial Narrow"/>
                <w:color w:val="000000"/>
                <w:sz w:val="20"/>
                <w:szCs w:val="20"/>
              </w:rPr>
            </w:pPr>
          </w:p>
        </w:tc>
        <w:tc>
          <w:tcPr>
            <w:tcW w:w="107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6C76F3" w14:textId="77777777" w:rsidR="00B5356A" w:rsidRPr="00A84EA2" w:rsidRDefault="00B5356A" w:rsidP="000343C1">
            <w:pPr>
              <w:jc w:val="center"/>
              <w:rPr>
                <w:rFonts w:ascii="Arial Narrow" w:hAnsi="Arial Narrow"/>
                <w:bCs/>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31BEBA4" w14:textId="77777777" w:rsidR="00B5356A" w:rsidRPr="00A84EA2" w:rsidRDefault="00B5356A" w:rsidP="000343C1">
            <w:pPr>
              <w:rPr>
                <w:rFonts w:ascii="Arial Narrow" w:hAnsi="Arial Narrow"/>
                <w:color w:val="BFBFBF"/>
                <w:sz w:val="20"/>
                <w:szCs w:val="20"/>
              </w:rPr>
            </w:pPr>
            <w:r w:rsidRPr="00A84EA2">
              <w:rPr>
                <w:rFonts w:ascii="Arial Narrow" w:hAnsi="Arial Narrow"/>
                <w:b/>
                <w:bCs/>
                <w:color w:val="BFBFBF"/>
                <w:sz w:val="20"/>
                <w:szCs w:val="20"/>
              </w:rPr>
              <w:t>Severity:</w:t>
            </w:r>
            <w:r w:rsidRPr="00A84EA2">
              <w:rPr>
                <w:rFonts w:ascii="Arial Narrow" w:hAnsi="Arial Narrow"/>
                <w:color w:val="BFBFBF"/>
                <w:sz w:val="20"/>
                <w:szCs w:val="20"/>
              </w:rPr>
              <w:t xml:space="preserve"> Uncontrolled Severe</w:t>
            </w:r>
          </w:p>
        </w:tc>
      </w:tr>
      <w:tr w:rsidR="00B5356A" w:rsidRPr="00133B19" w14:paraId="2A4907D3"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86C5FD" w14:textId="1C928508" w:rsidR="00B5356A" w:rsidRPr="00A84EA2" w:rsidRDefault="00B5356A" w:rsidP="000343C1">
            <w:pPr>
              <w:keepLines/>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6672A5" w14:textId="77777777" w:rsidR="00B5356A" w:rsidRPr="00A84EA2" w:rsidRDefault="00B5356A" w:rsidP="000343C1">
            <w:pPr>
              <w:keepLines/>
              <w:rPr>
                <w:rFonts w:ascii="Arial Narrow" w:hAnsi="Arial Narrow"/>
                <w:color w:val="000000"/>
                <w:sz w:val="20"/>
                <w:szCs w:val="20"/>
              </w:rPr>
            </w:pPr>
            <w:r w:rsidRPr="00A84EA2">
              <w:rPr>
                <w:rFonts w:ascii="Arial Narrow" w:hAnsi="Arial Narrow"/>
                <w:b/>
                <w:bCs/>
                <w:color w:val="000000"/>
                <w:sz w:val="20"/>
                <w:szCs w:val="20"/>
              </w:rPr>
              <w:t>Indication:</w:t>
            </w:r>
            <w:r w:rsidRPr="00A84EA2">
              <w:rPr>
                <w:rFonts w:ascii="Arial Narrow" w:hAnsi="Arial Narrow"/>
                <w:color w:val="000000"/>
                <w:sz w:val="20"/>
                <w:szCs w:val="20"/>
              </w:rPr>
              <w:t xml:space="preserve"> Uncontrolled severe asthma </w:t>
            </w:r>
          </w:p>
        </w:tc>
      </w:tr>
      <w:tr w:rsidR="00B5356A" w:rsidRPr="00133B19" w14:paraId="75A86BAD" w14:textId="77777777" w:rsidTr="000343C1">
        <w:trPr>
          <w:cantSplit/>
          <w:trHeight w:val="38"/>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BDE1FF" w14:textId="77777777" w:rsidR="00B5356A" w:rsidRPr="00A84EA2" w:rsidRDefault="00B5356A" w:rsidP="000343C1">
            <w:pPr>
              <w:rPr>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93E441" w14:textId="77777777" w:rsidR="00B5356A" w:rsidRPr="00A84EA2" w:rsidRDefault="00B5356A" w:rsidP="000343C1">
            <w:pPr>
              <w:rPr>
                <w:rFonts w:ascii="Arial Narrow" w:hAnsi="Arial Narrow"/>
                <w:color w:val="000000"/>
                <w:sz w:val="20"/>
                <w:szCs w:val="20"/>
              </w:rPr>
            </w:pPr>
            <w:r w:rsidRPr="00A84EA2">
              <w:rPr>
                <w:rFonts w:ascii="Arial Narrow" w:hAnsi="Arial Narrow"/>
                <w:b/>
                <w:bCs/>
                <w:color w:val="000000"/>
                <w:sz w:val="20"/>
                <w:szCs w:val="20"/>
              </w:rPr>
              <w:t>Treatment Phase:</w:t>
            </w:r>
            <w:r w:rsidRPr="00A84EA2">
              <w:rPr>
                <w:rFonts w:ascii="Arial Narrow" w:hAnsi="Arial Narrow"/>
                <w:color w:val="000000"/>
                <w:sz w:val="20"/>
                <w:szCs w:val="20"/>
              </w:rPr>
              <w:t xml:space="preserve"> Continuing treatment</w:t>
            </w:r>
          </w:p>
        </w:tc>
      </w:tr>
      <w:tr w:rsidR="00B5356A" w:rsidRPr="00133B19" w14:paraId="40EDC558"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37B26C" w14:textId="3C0644F2"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C4CCB3" w14:textId="77777777" w:rsidR="00B5356A" w:rsidRPr="00A84EA2" w:rsidRDefault="00B5356A" w:rsidP="000343C1">
            <w:pPr>
              <w:rPr>
                <w:rFonts w:ascii="Arial Narrow" w:hAnsi="Arial Narrow"/>
                <w:b/>
                <w:bCs/>
                <w:color w:val="000000"/>
                <w:sz w:val="20"/>
                <w:szCs w:val="20"/>
              </w:rPr>
            </w:pPr>
            <w:r w:rsidRPr="00A84EA2">
              <w:rPr>
                <w:rFonts w:ascii="Arial Narrow" w:hAnsi="Arial Narrow"/>
                <w:b/>
                <w:bCs/>
                <w:color w:val="000000"/>
                <w:sz w:val="20"/>
                <w:szCs w:val="20"/>
              </w:rPr>
              <w:t>Treatment criteria:</w:t>
            </w:r>
          </w:p>
        </w:tc>
      </w:tr>
      <w:tr w:rsidR="00B5356A" w:rsidRPr="00133B19" w14:paraId="3BB6DE8E"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B8A465" w14:textId="578FC4DD"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87B851" w14:textId="77777777" w:rsidR="00B5356A" w:rsidRPr="00A84EA2" w:rsidRDefault="00B5356A" w:rsidP="000343C1">
            <w:pPr>
              <w:rPr>
                <w:rFonts w:ascii="Arial Narrow" w:hAnsi="Arial Narrow"/>
                <w:strike/>
                <w:color w:val="000000"/>
                <w:sz w:val="20"/>
                <w:szCs w:val="20"/>
              </w:rPr>
            </w:pPr>
            <w:r w:rsidRPr="00A84EA2">
              <w:rPr>
                <w:rFonts w:ascii="Arial Narrow" w:hAnsi="Arial Narrow" w:cs="Arial Narrow"/>
                <w:color w:val="000000"/>
                <w:sz w:val="20"/>
                <w:szCs w:val="20"/>
              </w:rPr>
              <w:t>Must be treated by a medical practitioner who is either a: (</w:t>
            </w:r>
            <w:proofErr w:type="spellStart"/>
            <w:r w:rsidRPr="00A84EA2">
              <w:rPr>
                <w:rFonts w:ascii="Arial Narrow" w:hAnsi="Arial Narrow" w:cs="Arial Narrow"/>
                <w:color w:val="000000"/>
                <w:sz w:val="20"/>
                <w:szCs w:val="20"/>
              </w:rPr>
              <w:t>i</w:t>
            </w:r>
            <w:proofErr w:type="spellEnd"/>
            <w:r w:rsidRPr="00A84EA2">
              <w:rPr>
                <w:rFonts w:ascii="Arial Narrow" w:hAnsi="Arial Narrow" w:cs="Arial Narrow"/>
                <w:color w:val="000000"/>
                <w:sz w:val="20"/>
                <w:szCs w:val="20"/>
              </w:rPr>
              <w:t xml:space="preserve">) respiratory physician, (ii) clinical immunologist, (iii) allergist, (iv) general physician experienced in the management of patients with severe asthma </w:t>
            </w:r>
          </w:p>
        </w:tc>
      </w:tr>
      <w:tr w:rsidR="00B5356A" w:rsidRPr="00133B19" w14:paraId="675F5F25"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84D356" w14:textId="41804108"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AC7DB6" w14:textId="77777777" w:rsidR="00B5356A" w:rsidRPr="00A84EA2" w:rsidRDefault="00B5356A" w:rsidP="000343C1">
            <w:pPr>
              <w:rPr>
                <w:rFonts w:ascii="Arial Narrow" w:hAnsi="Arial Narrow"/>
                <w:color w:val="000000"/>
                <w:sz w:val="20"/>
                <w:szCs w:val="20"/>
              </w:rPr>
            </w:pPr>
            <w:r w:rsidRPr="00A84EA2">
              <w:rPr>
                <w:rFonts w:ascii="Arial Narrow" w:hAnsi="Arial Narrow"/>
                <w:b/>
                <w:bCs/>
                <w:color w:val="000000"/>
                <w:sz w:val="20"/>
                <w:szCs w:val="20"/>
              </w:rPr>
              <w:t xml:space="preserve">Clinical criteria: </w:t>
            </w:r>
          </w:p>
        </w:tc>
      </w:tr>
      <w:tr w:rsidR="00B5356A" w:rsidRPr="00133B19" w14:paraId="2BA27F3E"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D1F8D7" w14:textId="704B9536"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442740" w14:textId="77777777" w:rsidR="00B5356A" w:rsidRPr="00A84EA2" w:rsidRDefault="00B5356A" w:rsidP="000343C1">
            <w:pPr>
              <w:rPr>
                <w:rFonts w:ascii="Arial Narrow" w:eastAsia="Aptos" w:hAnsi="Arial Narrow"/>
                <w:color w:val="000000"/>
                <w:sz w:val="20"/>
                <w:szCs w:val="20"/>
              </w:rPr>
            </w:pPr>
            <w:r w:rsidRPr="00A84EA2">
              <w:rPr>
                <w:rFonts w:ascii="Arial Narrow" w:eastAsia="Aptos" w:hAnsi="Arial Narrow"/>
                <w:color w:val="000000"/>
                <w:sz w:val="20"/>
                <w:szCs w:val="20"/>
              </w:rPr>
              <w:t>Patient must have received this drug as their most recent course of PBS-subsidised biological agent treatment for this condition in this treatment cycle</w:t>
            </w:r>
          </w:p>
        </w:tc>
      </w:tr>
      <w:tr w:rsidR="00B5356A" w:rsidRPr="00133B19" w14:paraId="7F7CA1FB"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3F841D2" w14:textId="77777777"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01D607" w14:textId="77777777" w:rsidR="00B5356A" w:rsidRPr="00A84EA2" w:rsidRDefault="00B5356A" w:rsidP="000343C1">
            <w:pPr>
              <w:rPr>
                <w:rFonts w:ascii="Arial Narrow" w:eastAsia="Aptos" w:hAnsi="Arial Narrow"/>
                <w:b/>
                <w:bCs/>
                <w:color w:val="000000"/>
                <w:sz w:val="20"/>
                <w:szCs w:val="20"/>
              </w:rPr>
            </w:pPr>
            <w:r w:rsidRPr="00A84EA2">
              <w:rPr>
                <w:rFonts w:ascii="Arial Narrow" w:hAnsi="Arial Narrow"/>
                <w:b/>
                <w:bCs/>
                <w:color w:val="000000"/>
                <w:sz w:val="20"/>
                <w:szCs w:val="20"/>
              </w:rPr>
              <w:t>AND</w:t>
            </w:r>
          </w:p>
        </w:tc>
      </w:tr>
      <w:tr w:rsidR="00B5356A" w:rsidRPr="00133B19" w14:paraId="5F4ABAD7"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5F1969" w14:textId="1EA8397F"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5EBB78" w14:textId="77777777" w:rsidR="00B5356A" w:rsidRPr="00A84EA2" w:rsidRDefault="00B5356A" w:rsidP="000343C1">
            <w:pPr>
              <w:rPr>
                <w:rFonts w:ascii="Arial Narrow" w:eastAsia="Aptos" w:hAnsi="Arial Narrow"/>
                <w:color w:val="000000"/>
                <w:sz w:val="20"/>
                <w:szCs w:val="20"/>
              </w:rPr>
            </w:pPr>
            <w:r w:rsidRPr="00A84EA2">
              <w:rPr>
                <w:rFonts w:ascii="Arial Narrow" w:hAnsi="Arial Narrow"/>
                <w:b/>
                <w:bCs/>
                <w:color w:val="000000"/>
                <w:sz w:val="20"/>
                <w:szCs w:val="20"/>
              </w:rPr>
              <w:t>Clinical criteria:</w:t>
            </w:r>
          </w:p>
        </w:tc>
      </w:tr>
      <w:tr w:rsidR="00B5356A" w:rsidRPr="00133B19" w14:paraId="116EAFD1"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EEB88D" w14:textId="36B280CC"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2AC905" w14:textId="77777777" w:rsidR="00B5356A" w:rsidRPr="00A84EA2" w:rsidRDefault="00B5356A" w:rsidP="000343C1">
            <w:pPr>
              <w:rPr>
                <w:rFonts w:ascii="Arial Narrow" w:eastAsia="Aptos" w:hAnsi="Arial Narrow"/>
                <w:color w:val="000000"/>
                <w:sz w:val="20"/>
                <w:szCs w:val="20"/>
              </w:rPr>
            </w:pPr>
            <w:r w:rsidRPr="00A84EA2">
              <w:rPr>
                <w:rFonts w:ascii="Arial Narrow" w:eastAsia="Aptos" w:hAnsi="Arial Narrow"/>
                <w:color w:val="000000"/>
                <w:sz w:val="20"/>
                <w:szCs w:val="20"/>
              </w:rPr>
              <w:t>Patient must have demonstrated or sustained an adequate response to PBS-subsidised treatment with this drug for this condition</w:t>
            </w:r>
          </w:p>
        </w:tc>
      </w:tr>
      <w:tr w:rsidR="00B5356A" w:rsidRPr="00133B19" w14:paraId="31055351"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5BA716" w14:textId="77777777"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25DFBD" w14:textId="77777777" w:rsidR="00B5356A" w:rsidRPr="00A84EA2" w:rsidRDefault="00B5356A" w:rsidP="000343C1">
            <w:pPr>
              <w:rPr>
                <w:rFonts w:ascii="Arial Narrow" w:eastAsia="Aptos" w:hAnsi="Arial Narrow"/>
                <w:color w:val="000000"/>
                <w:sz w:val="20"/>
                <w:szCs w:val="20"/>
              </w:rPr>
            </w:pPr>
            <w:r w:rsidRPr="00A84EA2">
              <w:rPr>
                <w:rFonts w:ascii="Arial Narrow" w:hAnsi="Arial Narrow"/>
                <w:b/>
                <w:bCs/>
                <w:color w:val="000000"/>
                <w:sz w:val="20"/>
                <w:szCs w:val="20"/>
              </w:rPr>
              <w:t>AND</w:t>
            </w:r>
          </w:p>
        </w:tc>
      </w:tr>
      <w:tr w:rsidR="00B5356A" w:rsidRPr="00133B19" w14:paraId="15A753EB"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5A156E" w14:textId="7903ECC5"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F4EFFA" w14:textId="77777777" w:rsidR="00B5356A" w:rsidRPr="00A84EA2" w:rsidRDefault="00B5356A" w:rsidP="000343C1">
            <w:pPr>
              <w:rPr>
                <w:rFonts w:ascii="Arial Narrow" w:eastAsia="Aptos" w:hAnsi="Arial Narrow"/>
                <w:color w:val="000000"/>
                <w:sz w:val="20"/>
                <w:szCs w:val="20"/>
              </w:rPr>
            </w:pPr>
            <w:r w:rsidRPr="00A84EA2">
              <w:rPr>
                <w:rFonts w:ascii="Arial Narrow" w:hAnsi="Arial Narrow"/>
                <w:b/>
                <w:bCs/>
                <w:sz w:val="20"/>
                <w:szCs w:val="20"/>
              </w:rPr>
              <w:t>Clinical criteria:</w:t>
            </w:r>
          </w:p>
        </w:tc>
      </w:tr>
      <w:tr w:rsidR="00B5356A" w:rsidRPr="00133B19" w14:paraId="60D8225F"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4B08DB" w14:textId="269F3987"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9F9307" w14:textId="77777777" w:rsidR="00B5356A" w:rsidRPr="00A84EA2" w:rsidRDefault="00B5356A" w:rsidP="000343C1">
            <w:pPr>
              <w:rPr>
                <w:rFonts w:ascii="Arial Narrow" w:eastAsia="Aptos" w:hAnsi="Arial Narrow"/>
                <w:color w:val="000000"/>
                <w:sz w:val="20"/>
                <w:szCs w:val="20"/>
              </w:rPr>
            </w:pPr>
            <w:r w:rsidRPr="00A84EA2">
              <w:rPr>
                <w:rFonts w:ascii="Arial Narrow" w:hAnsi="Arial Narrow"/>
                <w:sz w:val="20"/>
                <w:szCs w:val="20"/>
              </w:rPr>
              <w:t>The treatment must not be used in combination with and within 4 weeks of another PBS-subsidised biological medicine prescribed for any of: (</w:t>
            </w:r>
            <w:proofErr w:type="spellStart"/>
            <w:r w:rsidRPr="00A84EA2">
              <w:rPr>
                <w:rFonts w:ascii="Arial Narrow" w:hAnsi="Arial Narrow"/>
                <w:sz w:val="20"/>
                <w:szCs w:val="20"/>
              </w:rPr>
              <w:t>i</w:t>
            </w:r>
            <w:proofErr w:type="spellEnd"/>
            <w:r w:rsidRPr="00A84EA2">
              <w:rPr>
                <w:rFonts w:ascii="Arial Narrow" w:hAnsi="Arial Narrow"/>
                <w:sz w:val="20"/>
                <w:szCs w:val="20"/>
              </w:rPr>
              <w:t>) nasal polyps, (ii) uncontrolled severe allergic asthma, (iii) uncontrolled severe asthma,</w:t>
            </w:r>
          </w:p>
        </w:tc>
      </w:tr>
      <w:tr w:rsidR="00B5356A" w:rsidRPr="00133B19" w14:paraId="31857A21"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AB8481" w14:textId="77777777"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073B93" w14:textId="77777777" w:rsidR="00B5356A" w:rsidRPr="00A84EA2" w:rsidRDefault="00B5356A" w:rsidP="000343C1">
            <w:pPr>
              <w:rPr>
                <w:rFonts w:ascii="Arial Narrow" w:eastAsia="Aptos" w:hAnsi="Arial Narrow"/>
                <w:color w:val="000000"/>
                <w:sz w:val="20"/>
                <w:szCs w:val="20"/>
              </w:rPr>
            </w:pPr>
            <w:r w:rsidRPr="00A84EA2">
              <w:rPr>
                <w:rFonts w:ascii="Arial Narrow" w:hAnsi="Arial Narrow"/>
                <w:b/>
                <w:bCs/>
                <w:color w:val="000000"/>
                <w:sz w:val="20"/>
                <w:szCs w:val="20"/>
              </w:rPr>
              <w:t>AND</w:t>
            </w:r>
          </w:p>
        </w:tc>
      </w:tr>
      <w:tr w:rsidR="00B5356A" w:rsidRPr="00133B19" w14:paraId="0FC231F1"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AB040D" w14:textId="456EC28A"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C74C2E" w14:textId="77777777" w:rsidR="00B5356A" w:rsidRPr="00A84EA2" w:rsidRDefault="00B5356A" w:rsidP="000343C1">
            <w:pPr>
              <w:rPr>
                <w:rFonts w:ascii="Arial Narrow" w:eastAsia="Aptos" w:hAnsi="Arial Narrow"/>
                <w:color w:val="000000"/>
                <w:sz w:val="20"/>
                <w:szCs w:val="20"/>
              </w:rPr>
            </w:pPr>
            <w:r w:rsidRPr="00A84EA2">
              <w:rPr>
                <w:rFonts w:ascii="Arial Narrow" w:hAnsi="Arial Narrow"/>
                <w:b/>
                <w:bCs/>
                <w:color w:val="000000"/>
                <w:sz w:val="20"/>
                <w:szCs w:val="20"/>
              </w:rPr>
              <w:t>Clinical criteria:</w:t>
            </w:r>
          </w:p>
        </w:tc>
      </w:tr>
      <w:tr w:rsidR="00B5356A" w:rsidRPr="00133B19" w14:paraId="3E5C5A74"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02AAFE" w14:textId="452A0173"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668DD8" w14:textId="77777777" w:rsidR="00B5356A" w:rsidRPr="00A84EA2" w:rsidRDefault="00B5356A" w:rsidP="000343C1">
            <w:pPr>
              <w:rPr>
                <w:rFonts w:ascii="Arial Narrow" w:hAnsi="Arial Narrow"/>
                <w:color w:val="000000"/>
                <w:sz w:val="20"/>
                <w:szCs w:val="20"/>
              </w:rPr>
            </w:pPr>
            <w:r w:rsidRPr="00A84EA2">
              <w:rPr>
                <w:rFonts w:ascii="Arial Narrow" w:hAnsi="Arial Narrow"/>
                <w:color w:val="000000"/>
                <w:sz w:val="20"/>
                <w:szCs w:val="20"/>
              </w:rPr>
              <w:t>Patient must not receive more than 24 weeks of treatment under this restriction</w:t>
            </w:r>
          </w:p>
        </w:tc>
      </w:tr>
      <w:tr w:rsidR="00B5356A" w:rsidRPr="00133B19" w14:paraId="70B29C4C"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06FCD0" w14:textId="77866008"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1DAE40" w14:textId="77777777" w:rsidR="00B5356A" w:rsidRPr="00A84EA2" w:rsidRDefault="00B5356A" w:rsidP="000343C1">
            <w:pPr>
              <w:rPr>
                <w:rFonts w:ascii="Arial Narrow" w:hAnsi="Arial Narrow"/>
                <w:color w:val="000000"/>
                <w:sz w:val="20"/>
                <w:szCs w:val="20"/>
              </w:rPr>
            </w:pPr>
            <w:r w:rsidRPr="00A84EA2">
              <w:rPr>
                <w:rFonts w:ascii="Arial Narrow" w:hAnsi="Arial Narrow"/>
                <w:b/>
                <w:bCs/>
                <w:color w:val="000000"/>
                <w:sz w:val="20"/>
                <w:szCs w:val="20"/>
              </w:rPr>
              <w:t>Population criteria:</w:t>
            </w:r>
          </w:p>
        </w:tc>
      </w:tr>
      <w:tr w:rsidR="00B5356A" w:rsidRPr="00133B19" w14:paraId="0D421999"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2301A7" w14:textId="791F0924"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0328D4" w14:textId="77777777" w:rsidR="00B5356A" w:rsidRPr="00A84EA2" w:rsidRDefault="00B5356A" w:rsidP="000343C1">
            <w:pPr>
              <w:rPr>
                <w:rFonts w:ascii="Arial Narrow" w:hAnsi="Arial Narrow"/>
                <w:color w:val="000000"/>
                <w:sz w:val="20"/>
                <w:szCs w:val="20"/>
              </w:rPr>
            </w:pPr>
            <w:r w:rsidRPr="00A84EA2">
              <w:rPr>
                <w:rFonts w:ascii="Arial Narrow" w:hAnsi="Arial Narrow"/>
                <w:color w:val="000000"/>
                <w:sz w:val="20"/>
                <w:szCs w:val="20"/>
              </w:rPr>
              <w:t>Patients must be aged 12 years or older.</w:t>
            </w:r>
          </w:p>
        </w:tc>
      </w:tr>
      <w:tr w:rsidR="00B5356A" w:rsidRPr="00133B19" w14:paraId="750462FA" w14:textId="77777777" w:rsidTr="000343C1">
        <w:trPr>
          <w:cantSplit/>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DCA81F" w14:textId="36AE9C32"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2A872E" w14:textId="77777777" w:rsidR="00B5356A" w:rsidRPr="00A84EA2" w:rsidRDefault="00B5356A" w:rsidP="000343C1">
            <w:pPr>
              <w:keepNext/>
              <w:keepLines/>
              <w:widowControl w:val="0"/>
              <w:rPr>
                <w:rFonts w:ascii="Arial Narrow" w:eastAsia="MS Gothic" w:hAnsi="Arial Narrow"/>
                <w:b/>
                <w:sz w:val="20"/>
              </w:rPr>
            </w:pPr>
            <w:r w:rsidRPr="00A84EA2">
              <w:rPr>
                <w:rFonts w:ascii="Arial Narrow" w:eastAsia="MS Gothic" w:hAnsi="Arial Narrow"/>
                <w:b/>
                <w:bCs/>
                <w:sz w:val="20"/>
              </w:rPr>
              <w:t>Prescribing Instructions:</w:t>
            </w:r>
          </w:p>
          <w:p w14:paraId="4990A1FD" w14:textId="77777777" w:rsidR="00B5356A" w:rsidRPr="00A84EA2"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An adequate response to this biological medicine is defined as:</w:t>
            </w:r>
          </w:p>
          <w:p w14:paraId="4CA33C2E" w14:textId="77777777" w:rsidR="00B5356A" w:rsidRPr="00A84EA2"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(a) a reduction in the Asthma Control Questionnaire (ACQ-5) score of at least 0.5 from baseline,</w:t>
            </w:r>
          </w:p>
          <w:p w14:paraId="2D487F50" w14:textId="77777777" w:rsidR="00B5356A" w:rsidRPr="00A84EA2"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OR</w:t>
            </w:r>
          </w:p>
          <w:p w14:paraId="5148E84B" w14:textId="77777777" w:rsidR="00B5356A" w:rsidRPr="00A84EA2"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(b) maintenance oral corticosteroid dose reduced by at least 25% from baseline, and no deterioration in ACQ-5 score from baseline or an increase in ACQ-5 score from baseline less than or equal to 0.5.</w:t>
            </w:r>
          </w:p>
        </w:tc>
      </w:tr>
      <w:tr w:rsidR="00B5356A" w:rsidRPr="00133B19" w14:paraId="57E80CC6" w14:textId="77777777" w:rsidTr="000343C1">
        <w:trPr>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5619F0" w14:textId="63AAF637"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62DF59D" w14:textId="77777777" w:rsidR="00B5356A" w:rsidRPr="00A84EA2" w:rsidRDefault="00B5356A" w:rsidP="000343C1">
            <w:pPr>
              <w:keepNext/>
              <w:keepLines/>
              <w:widowControl w:val="0"/>
              <w:rPr>
                <w:rFonts w:ascii="Arial Narrow" w:eastAsia="MS Gothic" w:hAnsi="Arial Narrow"/>
                <w:b/>
                <w:sz w:val="20"/>
              </w:rPr>
            </w:pPr>
            <w:r w:rsidRPr="00A84EA2">
              <w:rPr>
                <w:rFonts w:ascii="Arial Narrow" w:eastAsia="MS Gothic" w:hAnsi="Arial Narrow"/>
                <w:b/>
                <w:bCs/>
                <w:sz w:val="20"/>
              </w:rPr>
              <w:t>Prescribing Instructions:</w:t>
            </w:r>
          </w:p>
          <w:p w14:paraId="1C345151" w14:textId="77777777" w:rsidR="00B5356A" w:rsidRPr="00A84EA2"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All applications for second and subsequent continuing treatments with this drug must include a measurement of response to the prior course of therapy. The Asthma Control Questionnaire (5 item version) assessment of the patient's response to the prior course of treatment or the assessment of oral corticosteroid dose, should be made from 20 weeks after the first dose of PBS-subsidised dose of this drug under this restriction so that there is adequate time for a response to be demonstrated and for the application for continuing therapy to be processed.</w:t>
            </w:r>
          </w:p>
          <w:p w14:paraId="1E205CA1" w14:textId="77777777" w:rsidR="00B5356A" w:rsidRPr="00A84EA2" w:rsidRDefault="00B5356A" w:rsidP="000343C1">
            <w:pPr>
              <w:keepNext/>
              <w:keepLines/>
              <w:widowControl w:val="0"/>
              <w:rPr>
                <w:rFonts w:ascii="Arial Narrow" w:eastAsia="MS Gothic" w:hAnsi="Arial Narrow"/>
                <w:bCs/>
                <w:sz w:val="20"/>
              </w:rPr>
            </w:pPr>
          </w:p>
          <w:p w14:paraId="5A8E5BE9" w14:textId="77777777" w:rsidR="00B5356A" w:rsidRPr="00A84EA2"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The assessment should, where possible, be completed by the same physician who initiated treatment with this drug</w:t>
            </w:r>
            <w:r>
              <w:rPr>
                <w:rFonts w:ascii="Arial Narrow" w:eastAsia="MS Gothic" w:hAnsi="Arial Narrow"/>
                <w:bCs/>
                <w:sz w:val="20"/>
              </w:rPr>
              <w:t xml:space="preserve"> and </w:t>
            </w:r>
            <w:r w:rsidRPr="002F1F19">
              <w:rPr>
                <w:rFonts w:ascii="Arial Narrow" w:eastAsia="MS Gothic" w:hAnsi="Arial Narrow"/>
                <w:bCs/>
                <w:sz w:val="20"/>
              </w:rPr>
              <w:t>should be conducted within 4 weeks of the last dose of biological medicine</w:t>
            </w:r>
            <w:r w:rsidRPr="00A84EA2">
              <w:rPr>
                <w:rFonts w:ascii="Arial Narrow" w:eastAsia="MS Gothic" w:hAnsi="Arial Narrow"/>
                <w:bCs/>
                <w:sz w:val="20"/>
              </w:rPr>
              <w:t xml:space="preserve">. </w:t>
            </w:r>
          </w:p>
          <w:p w14:paraId="2268E82A" w14:textId="77777777" w:rsidR="00B5356A" w:rsidRPr="00A84EA2" w:rsidRDefault="00B5356A" w:rsidP="000343C1">
            <w:pPr>
              <w:keepNext/>
              <w:keepLines/>
              <w:widowControl w:val="0"/>
              <w:rPr>
                <w:rFonts w:ascii="Arial Narrow" w:eastAsia="MS Gothic" w:hAnsi="Arial Narrow"/>
                <w:bCs/>
                <w:sz w:val="20"/>
              </w:rPr>
            </w:pPr>
          </w:p>
          <w:p w14:paraId="2D9F6A07" w14:textId="77777777" w:rsidR="00B5356A" w:rsidRPr="00A84EA2"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Where treatment was ceased for clinical reasons despite the patient experiencing improvement, an assessment of the patient's response to treatment made at the time of treatment cessation or retrospectively will be considered to determine whether the patient demonstrated or sustained an adequate response to treatment.</w:t>
            </w:r>
          </w:p>
          <w:p w14:paraId="57B34F0E" w14:textId="77777777" w:rsidR="00B5356A" w:rsidRPr="00A84EA2" w:rsidRDefault="00B5356A" w:rsidP="000343C1">
            <w:pPr>
              <w:keepNext/>
              <w:keepLines/>
              <w:widowControl w:val="0"/>
              <w:rPr>
                <w:rFonts w:ascii="Arial Narrow" w:eastAsia="MS Gothic" w:hAnsi="Arial Narrow"/>
                <w:bCs/>
                <w:sz w:val="20"/>
              </w:rPr>
            </w:pPr>
          </w:p>
          <w:p w14:paraId="14ECB4FD" w14:textId="77777777" w:rsidR="00B5356A" w:rsidRPr="00A84EA2"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A patient who fails to respond to treatment with this biological medicine for uncontrolled severe asthma will not be eligible to receive further PBS-subsidised treatment with this biological medicine for severe asthma within the current treatment cycle.</w:t>
            </w:r>
          </w:p>
        </w:tc>
      </w:tr>
      <w:tr w:rsidR="00B5356A" w:rsidRPr="00133B19" w14:paraId="76A90297" w14:textId="77777777" w:rsidTr="000343C1">
        <w:trPr>
          <w:trHeight w:val="20"/>
        </w:trPr>
        <w:tc>
          <w:tcPr>
            <w:tcW w:w="15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3EF0FA" w14:textId="30B483D5" w:rsidR="00B5356A" w:rsidRPr="00A84EA2" w:rsidRDefault="00B5356A" w:rsidP="000343C1">
            <w:pPr>
              <w:jc w:val="center"/>
              <w:rPr>
                <w:rFonts w:ascii="Arial Narrow" w:hAnsi="Arial Narrow"/>
                <w:color w:val="000000"/>
                <w:sz w:val="20"/>
                <w:szCs w:val="20"/>
              </w:rPr>
            </w:pPr>
          </w:p>
        </w:tc>
        <w:tc>
          <w:tcPr>
            <w:tcW w:w="746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5AF99FD" w14:textId="77777777" w:rsidR="00B5356A" w:rsidRPr="00A84EA2" w:rsidRDefault="00B5356A" w:rsidP="000343C1">
            <w:pPr>
              <w:keepNext/>
              <w:keepLines/>
              <w:widowControl w:val="0"/>
              <w:rPr>
                <w:rFonts w:ascii="Arial Narrow" w:eastAsia="MS Gothic" w:hAnsi="Arial Narrow"/>
                <w:b/>
                <w:sz w:val="20"/>
              </w:rPr>
            </w:pPr>
            <w:r w:rsidRPr="00A84EA2">
              <w:rPr>
                <w:rFonts w:ascii="Arial Narrow" w:eastAsia="MS Gothic" w:hAnsi="Arial Narrow"/>
                <w:b/>
                <w:bCs/>
                <w:sz w:val="20"/>
              </w:rPr>
              <w:t xml:space="preserve">Prescribing Instructions: </w:t>
            </w:r>
          </w:p>
          <w:p w14:paraId="0CB3396F" w14:textId="77777777" w:rsidR="00B5356A" w:rsidRPr="00A84EA2"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The following information must be provided at the time of application and must be documented in the patient's medical records:</w:t>
            </w:r>
          </w:p>
          <w:p w14:paraId="52AF057B" w14:textId="77777777" w:rsidR="00B5356A" w:rsidRPr="00A84EA2"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(a) Asthma Control Questionnaire (ACQ-5) score; and</w:t>
            </w:r>
          </w:p>
          <w:p w14:paraId="1F721554" w14:textId="77777777" w:rsidR="00B5356A" w:rsidRPr="004A55D1" w:rsidRDefault="00B5356A" w:rsidP="000343C1">
            <w:pPr>
              <w:keepNext/>
              <w:keepLines/>
              <w:widowControl w:val="0"/>
              <w:rPr>
                <w:rFonts w:ascii="Arial Narrow" w:eastAsia="MS Gothic" w:hAnsi="Arial Narrow"/>
                <w:bCs/>
                <w:sz w:val="20"/>
              </w:rPr>
            </w:pPr>
            <w:r w:rsidRPr="00A84EA2">
              <w:rPr>
                <w:rFonts w:ascii="Arial Narrow" w:eastAsia="MS Gothic" w:hAnsi="Arial Narrow"/>
                <w:bCs/>
                <w:sz w:val="20"/>
              </w:rPr>
              <w:t>(b) If applicable, maintenance oral corticosteroid dose</w:t>
            </w:r>
            <w:r>
              <w:rPr>
                <w:rFonts w:ascii="Arial Narrow" w:eastAsia="MS Gothic" w:hAnsi="Arial Narrow"/>
                <w:bCs/>
                <w:sz w:val="20"/>
              </w:rPr>
              <w:t>.</w:t>
            </w:r>
          </w:p>
        </w:tc>
      </w:tr>
    </w:tbl>
    <w:p w14:paraId="2333F757" w14:textId="77777777" w:rsidR="00262553" w:rsidRDefault="00262553" w:rsidP="0006108D">
      <w:pPr>
        <w:spacing w:before="120" w:after="120"/>
        <w:rPr>
          <w:rFonts w:asciiTheme="minorHAnsi" w:hAnsiTheme="minorHAnsi"/>
          <w:b/>
          <w:i/>
          <w:iCs/>
          <w:snapToGrid w:val="0"/>
          <w:lang w:val="en-GB" w:eastAsia="en-US"/>
        </w:rPr>
      </w:pPr>
    </w:p>
    <w:p w14:paraId="7F2D3F86" w14:textId="77777777" w:rsidR="00036930" w:rsidRPr="00133B19" w:rsidRDefault="00036930" w:rsidP="00843F03">
      <w:pPr>
        <w:pStyle w:val="COMESnumberedpara"/>
      </w:pPr>
      <w:r w:rsidRPr="00133B19">
        <w:t>Flow on changes required – change the numeral ‘4’ to ‘</w:t>
      </w:r>
      <w:r>
        <w:t>all eligible</w:t>
      </w:r>
      <w:r w:rsidRPr="00133B19">
        <w:t>’ for the following PBS item codes:</w:t>
      </w:r>
    </w:p>
    <w:p w14:paraId="05EAF2A4" w14:textId="77777777" w:rsidR="00036930" w:rsidRPr="00133B19" w:rsidRDefault="00036930" w:rsidP="00036930">
      <w:pPr>
        <w:rPr>
          <w:rFonts w:ascii="Arial Narrow" w:hAnsi="Arial Narrow"/>
          <w:sz w:val="20"/>
          <w:szCs w:val="20"/>
        </w:rPr>
      </w:pPr>
    </w:p>
    <w:tbl>
      <w:tblPr>
        <w:tblStyle w:val="TableGrid"/>
        <w:tblW w:w="0" w:type="auto"/>
        <w:tblInd w:w="-147" w:type="dxa"/>
        <w:tblLook w:val="04A0" w:firstRow="1" w:lastRow="0" w:firstColumn="1" w:lastColumn="0" w:noHBand="0" w:noVBand="1"/>
        <w:tblCaption w:val="Flow on changes required "/>
      </w:tblPr>
      <w:tblGrid>
        <w:gridCol w:w="4655"/>
        <w:gridCol w:w="4508"/>
      </w:tblGrid>
      <w:tr w:rsidR="00036930" w:rsidRPr="00133B19" w14:paraId="741B1EB5" w14:textId="77777777" w:rsidTr="000343C1">
        <w:tc>
          <w:tcPr>
            <w:tcW w:w="4655" w:type="dxa"/>
          </w:tcPr>
          <w:p w14:paraId="216B33E7" w14:textId="77777777" w:rsidR="00036930" w:rsidRPr="00133B19" w:rsidRDefault="00036930" w:rsidP="000343C1">
            <w:pPr>
              <w:rPr>
                <w:rFonts w:ascii="Arial Narrow" w:hAnsi="Arial Narrow"/>
                <w:color w:val="000000"/>
              </w:rPr>
            </w:pPr>
            <w:r w:rsidRPr="00133B19">
              <w:rPr>
                <w:rFonts w:ascii="Arial Narrow" w:hAnsi="Arial Narrow"/>
                <w:color w:val="000000"/>
              </w:rPr>
              <w:t>Replace concept ID 32243</w:t>
            </w:r>
          </w:p>
        </w:tc>
        <w:tc>
          <w:tcPr>
            <w:tcW w:w="4508" w:type="dxa"/>
          </w:tcPr>
          <w:p w14:paraId="28B2F2D8" w14:textId="77777777" w:rsidR="00036930" w:rsidRPr="00133B19" w:rsidRDefault="00036930" w:rsidP="000343C1">
            <w:pPr>
              <w:rPr>
                <w:rFonts w:ascii="Arial Narrow" w:hAnsi="Arial Narrow"/>
              </w:rPr>
            </w:pPr>
            <w:r w:rsidRPr="00133B19">
              <w:rPr>
                <w:rFonts w:ascii="Arial Narrow" w:hAnsi="Arial Narrow"/>
              </w:rPr>
              <w:t xml:space="preserve">With new concept ID </w:t>
            </w:r>
          </w:p>
        </w:tc>
      </w:tr>
      <w:tr w:rsidR="00036930" w:rsidRPr="00133B19" w14:paraId="2A565527" w14:textId="77777777" w:rsidTr="000343C1">
        <w:tc>
          <w:tcPr>
            <w:tcW w:w="4655" w:type="dxa"/>
          </w:tcPr>
          <w:p w14:paraId="4F760894" w14:textId="77777777" w:rsidR="00036930" w:rsidRPr="00133B19" w:rsidRDefault="00036930" w:rsidP="000343C1">
            <w:pPr>
              <w:rPr>
                <w:rFonts w:ascii="Arial Narrow" w:hAnsi="Arial Narrow"/>
                <w:color w:val="000000"/>
              </w:rPr>
            </w:pPr>
            <w:r w:rsidRPr="00133B19">
              <w:rPr>
                <w:rFonts w:ascii="Arial Narrow" w:hAnsi="Arial Narrow"/>
                <w:color w:val="000000"/>
              </w:rPr>
              <w:t>A treatment break in PBS-subsidised biological medicine therapy of at least 12 months must be observed in a patient who has either failed to achieve or sustain a response to treatment with 4 biological medicines for severe asthma within the same treatment cycle.</w:t>
            </w:r>
          </w:p>
        </w:tc>
        <w:tc>
          <w:tcPr>
            <w:tcW w:w="4508" w:type="dxa"/>
          </w:tcPr>
          <w:p w14:paraId="7E33F54C" w14:textId="77777777" w:rsidR="00036930" w:rsidRPr="00133B19" w:rsidRDefault="00036930" w:rsidP="000343C1">
            <w:pPr>
              <w:rPr>
                <w:rFonts w:ascii="Arial Narrow" w:hAnsi="Arial Narrow"/>
              </w:rPr>
            </w:pPr>
            <w:r w:rsidRPr="00133B19">
              <w:rPr>
                <w:rFonts w:ascii="Arial Narrow" w:hAnsi="Arial Narrow"/>
              </w:rPr>
              <w:t>A treatment break in PBS-subsidised biological medicine therapy of at least 12 months must be observed in a patient who has either failed to achieve or sustain a response to treatment with</w:t>
            </w:r>
            <w:r w:rsidRPr="00133B19">
              <w:rPr>
                <w:rFonts w:ascii="Arial Narrow" w:hAnsi="Arial Narrow"/>
                <w:i/>
                <w:iCs/>
                <w:color w:val="FF0000"/>
              </w:rPr>
              <w:t xml:space="preserve"> </w:t>
            </w:r>
            <w:r>
              <w:rPr>
                <w:rFonts w:ascii="Arial Narrow" w:hAnsi="Arial Narrow"/>
                <w:i/>
                <w:iCs/>
                <w:color w:val="FF0000"/>
              </w:rPr>
              <w:t>all eligible</w:t>
            </w:r>
            <w:r w:rsidRPr="00133B19">
              <w:rPr>
                <w:rFonts w:ascii="Arial Narrow" w:hAnsi="Arial Narrow"/>
                <w:color w:val="FF0000"/>
              </w:rPr>
              <w:t xml:space="preserve"> </w:t>
            </w:r>
            <w:r w:rsidRPr="00133B19">
              <w:rPr>
                <w:rFonts w:ascii="Arial Narrow" w:hAnsi="Arial Narrow"/>
              </w:rPr>
              <w:t>biological medicines for severe asthma within the same treatment cycle.</w:t>
            </w:r>
          </w:p>
        </w:tc>
      </w:tr>
      <w:tr w:rsidR="00036930" w:rsidRPr="00133B19" w14:paraId="1BD090C8" w14:textId="77777777" w:rsidTr="000343C1">
        <w:tc>
          <w:tcPr>
            <w:tcW w:w="9163" w:type="dxa"/>
            <w:gridSpan w:val="2"/>
          </w:tcPr>
          <w:p w14:paraId="4D0D8C6A" w14:textId="77777777" w:rsidR="00036930" w:rsidRPr="00133B19" w:rsidRDefault="00036930" w:rsidP="000343C1">
            <w:pPr>
              <w:rPr>
                <w:rFonts w:ascii="Arial Narrow" w:hAnsi="Arial Narrow"/>
                <w:color w:val="000000"/>
              </w:rPr>
            </w:pPr>
            <w:r w:rsidRPr="00133B19">
              <w:rPr>
                <w:rFonts w:ascii="Arial Narrow" w:hAnsi="Arial Narrow"/>
                <w:color w:val="000000"/>
              </w:rPr>
              <w:t>PBS Item Codes to be changed to concept ID 32243</w:t>
            </w:r>
          </w:p>
        </w:tc>
      </w:tr>
      <w:tr w:rsidR="00036930" w:rsidRPr="00133B19" w14:paraId="36E18E2C" w14:textId="77777777" w:rsidTr="000343C1">
        <w:trPr>
          <w:trHeight w:val="416"/>
        </w:trPr>
        <w:tc>
          <w:tcPr>
            <w:tcW w:w="9163" w:type="dxa"/>
            <w:gridSpan w:val="2"/>
          </w:tcPr>
          <w:p w14:paraId="2B4F0D11" w14:textId="77777777" w:rsidR="00036930" w:rsidRPr="00133B19" w:rsidRDefault="00036930" w:rsidP="000343C1">
            <w:pPr>
              <w:rPr>
                <w:rFonts w:ascii="Arial Narrow" w:hAnsi="Arial Narrow"/>
                <w:color w:val="000000"/>
              </w:rPr>
            </w:pPr>
            <w:r w:rsidRPr="00133B19">
              <w:rPr>
                <w:rFonts w:ascii="Arial Narrow" w:hAnsi="Arial Narrow"/>
                <w:color w:val="000000"/>
              </w:rPr>
              <w:t>10109C / omalizumab 150 mg/mL injection, 1 mL syringe</w:t>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p>
          <w:p w14:paraId="12B518CD" w14:textId="77777777" w:rsidR="00036930" w:rsidRPr="00133B19" w:rsidRDefault="00036930" w:rsidP="000343C1">
            <w:pPr>
              <w:rPr>
                <w:rFonts w:ascii="Arial Narrow" w:hAnsi="Arial Narrow"/>
                <w:color w:val="000000"/>
              </w:rPr>
            </w:pPr>
            <w:r w:rsidRPr="00133B19">
              <w:rPr>
                <w:rFonts w:ascii="Arial Narrow" w:hAnsi="Arial Narrow"/>
                <w:color w:val="000000"/>
              </w:rPr>
              <w:t>10122R / omalizumab 150 mg/mL injection, 1 mL syringe</w:t>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p>
          <w:p w14:paraId="488518DC" w14:textId="77777777" w:rsidR="00036930" w:rsidRPr="00133B19" w:rsidRDefault="00036930" w:rsidP="000343C1">
            <w:pPr>
              <w:rPr>
                <w:rFonts w:ascii="Arial Narrow" w:hAnsi="Arial Narrow"/>
                <w:color w:val="000000"/>
              </w:rPr>
            </w:pPr>
            <w:r w:rsidRPr="00133B19">
              <w:rPr>
                <w:rFonts w:ascii="Arial Narrow" w:hAnsi="Arial Narrow"/>
                <w:color w:val="000000"/>
              </w:rPr>
              <w:t>10118M / omalizumab 75 mg/0.5 mL injection, 0.5 mL syringe</w:t>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p>
          <w:p w14:paraId="35178617" w14:textId="77777777" w:rsidR="00036930" w:rsidRPr="00133B19" w:rsidRDefault="00036930" w:rsidP="000343C1">
            <w:pPr>
              <w:rPr>
                <w:rFonts w:ascii="Arial Narrow" w:hAnsi="Arial Narrow"/>
                <w:color w:val="000000"/>
              </w:rPr>
            </w:pPr>
            <w:r w:rsidRPr="00133B19">
              <w:rPr>
                <w:rFonts w:ascii="Arial Narrow" w:hAnsi="Arial Narrow"/>
                <w:color w:val="000000"/>
              </w:rPr>
              <w:t>10110D / omalizumab 75 mg/0.5 mL injection, 0.5 mL syringe</w:t>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p>
          <w:p w14:paraId="627FF5D9" w14:textId="77777777" w:rsidR="00036930" w:rsidRPr="00133B19" w:rsidRDefault="00036930" w:rsidP="000343C1">
            <w:pPr>
              <w:rPr>
                <w:rFonts w:ascii="Arial Narrow" w:hAnsi="Arial Narrow"/>
                <w:color w:val="000000"/>
              </w:rPr>
            </w:pPr>
            <w:r w:rsidRPr="00133B19">
              <w:rPr>
                <w:rFonts w:ascii="Arial Narrow" w:hAnsi="Arial Narrow"/>
                <w:color w:val="000000"/>
              </w:rPr>
              <w:t>14949T / omalizumab 75 mg/0.5 mL injection, 0.5 mL pen device</w:t>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p>
          <w:p w14:paraId="62076956" w14:textId="77777777" w:rsidR="00036930" w:rsidRPr="00133B19" w:rsidRDefault="00036930" w:rsidP="000343C1">
            <w:pPr>
              <w:rPr>
                <w:rFonts w:ascii="Arial Narrow" w:hAnsi="Arial Narrow"/>
                <w:color w:val="000000"/>
              </w:rPr>
            </w:pPr>
            <w:r w:rsidRPr="00133B19">
              <w:rPr>
                <w:rFonts w:ascii="Arial Narrow" w:hAnsi="Arial Narrow"/>
                <w:color w:val="000000"/>
              </w:rPr>
              <w:t>14904K / omalizumab 75 mg/0.5 mL injection, 0.5 mL pen device</w:t>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p>
          <w:p w14:paraId="5160EA79" w14:textId="77777777" w:rsidR="00036930" w:rsidRPr="00133B19" w:rsidRDefault="00036930" w:rsidP="000343C1">
            <w:pPr>
              <w:rPr>
                <w:rFonts w:ascii="Arial Narrow" w:hAnsi="Arial Narrow"/>
                <w:color w:val="000000"/>
              </w:rPr>
            </w:pPr>
            <w:r w:rsidRPr="00133B19">
              <w:rPr>
                <w:rFonts w:ascii="Arial Narrow" w:hAnsi="Arial Narrow"/>
                <w:color w:val="000000"/>
              </w:rPr>
              <w:t>14884J / omalizumab 150 mg/mL injection, 1 mL pen device</w:t>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p>
          <w:p w14:paraId="0E1002D2" w14:textId="77777777" w:rsidR="00036930" w:rsidRPr="00133B19" w:rsidRDefault="00036930" w:rsidP="000343C1">
            <w:pPr>
              <w:rPr>
                <w:rFonts w:ascii="Arial Narrow" w:hAnsi="Arial Narrow"/>
                <w:color w:val="000000"/>
              </w:rPr>
            </w:pPr>
            <w:r w:rsidRPr="00133B19">
              <w:rPr>
                <w:rFonts w:ascii="Arial Narrow" w:hAnsi="Arial Narrow"/>
                <w:color w:val="000000"/>
              </w:rPr>
              <w:t>14923K / omalizumab 150 mg/mL injection, 1 mL pen device</w:t>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p>
          <w:p w14:paraId="1748E41F" w14:textId="77777777" w:rsidR="00036930" w:rsidRPr="00133B19" w:rsidRDefault="00036930" w:rsidP="000343C1">
            <w:pPr>
              <w:rPr>
                <w:rFonts w:ascii="Arial Narrow" w:hAnsi="Arial Narrow"/>
                <w:color w:val="000000"/>
              </w:rPr>
            </w:pPr>
            <w:r w:rsidRPr="00133B19">
              <w:rPr>
                <w:rFonts w:ascii="Arial Narrow" w:hAnsi="Arial Narrow"/>
                <w:color w:val="000000"/>
              </w:rPr>
              <w:t>14885K / omalizumab 300 mg/2 mL injection, 2 mL pen device</w:t>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r w:rsidRPr="00133B19">
              <w:rPr>
                <w:rFonts w:ascii="Arial Narrow" w:hAnsi="Arial Narrow"/>
                <w:color w:val="000000"/>
              </w:rPr>
              <w:tab/>
            </w:r>
          </w:p>
          <w:p w14:paraId="626424B8" w14:textId="77777777" w:rsidR="00036930" w:rsidRPr="00133B19" w:rsidRDefault="00036930" w:rsidP="000343C1">
            <w:pPr>
              <w:rPr>
                <w:rFonts w:ascii="Arial Narrow" w:hAnsi="Arial Narrow"/>
                <w:color w:val="000000"/>
              </w:rPr>
            </w:pPr>
            <w:r w:rsidRPr="00133B19">
              <w:rPr>
                <w:rFonts w:ascii="Arial Narrow" w:hAnsi="Arial Narrow"/>
                <w:color w:val="000000"/>
              </w:rPr>
              <w:t>14953B / omalizumab 300 mg/2 mL injection, 2 mL pen device</w:t>
            </w:r>
            <w:r w:rsidRPr="00133B19">
              <w:rPr>
                <w:rFonts w:ascii="Arial Narrow" w:hAnsi="Arial Narrow"/>
                <w:color w:val="FF0000"/>
              </w:rPr>
              <w:tab/>
            </w:r>
            <w:r w:rsidRPr="00133B19">
              <w:rPr>
                <w:rFonts w:ascii="Arial Narrow" w:hAnsi="Arial Narrow"/>
                <w:color w:val="FF0000"/>
              </w:rPr>
              <w:tab/>
            </w:r>
            <w:r w:rsidRPr="00133B19">
              <w:rPr>
                <w:rFonts w:ascii="Arial Narrow" w:hAnsi="Arial Narrow"/>
                <w:color w:val="FF0000"/>
              </w:rPr>
              <w:tab/>
            </w:r>
          </w:p>
        </w:tc>
      </w:tr>
    </w:tbl>
    <w:p w14:paraId="0617F3F9" w14:textId="77777777" w:rsidR="00036930" w:rsidRPr="00133B19" w:rsidRDefault="00036930" w:rsidP="00D4606F">
      <w:pPr>
        <w:rPr>
          <w:rFonts w:eastAsia="MS Gothic"/>
          <w:snapToGrid w:val="0"/>
        </w:rPr>
      </w:pPr>
    </w:p>
    <w:tbl>
      <w:tblPr>
        <w:tblStyle w:val="TableGrid"/>
        <w:tblW w:w="0" w:type="auto"/>
        <w:tblInd w:w="-147" w:type="dxa"/>
        <w:tblLook w:val="04A0" w:firstRow="1" w:lastRow="0" w:firstColumn="1" w:lastColumn="0" w:noHBand="0" w:noVBand="1"/>
        <w:tblCaption w:val="Flow on changes required "/>
      </w:tblPr>
      <w:tblGrid>
        <w:gridCol w:w="4655"/>
        <w:gridCol w:w="4508"/>
      </w:tblGrid>
      <w:tr w:rsidR="00036930" w:rsidRPr="00133B19" w14:paraId="27AC34FD" w14:textId="77777777" w:rsidTr="000343C1">
        <w:tc>
          <w:tcPr>
            <w:tcW w:w="4655" w:type="dxa"/>
          </w:tcPr>
          <w:p w14:paraId="5FF73D98" w14:textId="77777777" w:rsidR="00036930" w:rsidRPr="00133B19" w:rsidRDefault="00036930" w:rsidP="000343C1">
            <w:pPr>
              <w:rPr>
                <w:rFonts w:ascii="Arial Narrow" w:hAnsi="Arial Narrow"/>
                <w:color w:val="000000"/>
              </w:rPr>
            </w:pPr>
            <w:r w:rsidRPr="00133B19">
              <w:rPr>
                <w:rFonts w:ascii="Arial Narrow" w:hAnsi="Arial Narrow"/>
                <w:color w:val="000000"/>
              </w:rPr>
              <w:t>Replace concept ID 32221</w:t>
            </w:r>
          </w:p>
        </w:tc>
        <w:tc>
          <w:tcPr>
            <w:tcW w:w="4508" w:type="dxa"/>
          </w:tcPr>
          <w:p w14:paraId="2B02DB85" w14:textId="77777777" w:rsidR="00036930" w:rsidRPr="00133B19" w:rsidRDefault="00036930" w:rsidP="000343C1">
            <w:pPr>
              <w:rPr>
                <w:rFonts w:ascii="Arial Narrow" w:hAnsi="Arial Narrow"/>
              </w:rPr>
            </w:pPr>
            <w:r w:rsidRPr="00133B19">
              <w:rPr>
                <w:rFonts w:ascii="Arial Narrow" w:hAnsi="Arial Narrow"/>
              </w:rPr>
              <w:t xml:space="preserve">With new concept ID </w:t>
            </w:r>
          </w:p>
        </w:tc>
      </w:tr>
      <w:tr w:rsidR="00036930" w:rsidRPr="00133B19" w14:paraId="16AB52EC" w14:textId="77777777" w:rsidTr="000343C1">
        <w:tc>
          <w:tcPr>
            <w:tcW w:w="4655" w:type="dxa"/>
          </w:tcPr>
          <w:p w14:paraId="1479A62E" w14:textId="77777777" w:rsidR="00036930" w:rsidRPr="00133B19" w:rsidRDefault="00036930" w:rsidP="000343C1">
            <w:pPr>
              <w:rPr>
                <w:rFonts w:ascii="Arial Narrow" w:hAnsi="Arial Narrow"/>
                <w:color w:val="000000"/>
              </w:rPr>
            </w:pPr>
            <w:r w:rsidRPr="00133B19">
              <w:rPr>
                <w:rFonts w:ascii="Arial Narrow" w:hAnsi="Arial Narrow"/>
                <w:color w:val="000000"/>
              </w:rPr>
              <w:t>A treatment break in PBS-subsidised biological medicine therapy of at least 12 months must be observed in a patient who has either failed to achieve or sustain a response to treatment with 4 biological medicines within the same treatment cycle.</w:t>
            </w:r>
          </w:p>
        </w:tc>
        <w:tc>
          <w:tcPr>
            <w:tcW w:w="4508" w:type="dxa"/>
          </w:tcPr>
          <w:p w14:paraId="19E8E524" w14:textId="77777777" w:rsidR="00036930" w:rsidRPr="00133B19" w:rsidRDefault="00036930" w:rsidP="000343C1">
            <w:pPr>
              <w:rPr>
                <w:rFonts w:ascii="Arial Narrow" w:hAnsi="Arial Narrow"/>
              </w:rPr>
            </w:pPr>
            <w:r w:rsidRPr="00133B19">
              <w:rPr>
                <w:rFonts w:ascii="Arial Narrow" w:hAnsi="Arial Narrow"/>
              </w:rPr>
              <w:t>A treatment break in PBS-subsidised biological medicine therapy of at least 12 months must be observed in a patient who has either failed to achieve or sustain a response to treatment with</w:t>
            </w:r>
            <w:r w:rsidRPr="00133B19">
              <w:rPr>
                <w:rFonts w:ascii="Arial Narrow" w:hAnsi="Arial Narrow"/>
                <w:i/>
                <w:iCs/>
                <w:color w:val="FF0000"/>
              </w:rPr>
              <w:t xml:space="preserve"> </w:t>
            </w:r>
            <w:r>
              <w:rPr>
                <w:rFonts w:ascii="Arial Narrow" w:hAnsi="Arial Narrow"/>
                <w:i/>
                <w:iCs/>
                <w:color w:val="FF0000"/>
              </w:rPr>
              <w:t>all eligible</w:t>
            </w:r>
            <w:r w:rsidRPr="00133B19">
              <w:rPr>
                <w:rFonts w:ascii="Arial Narrow" w:hAnsi="Arial Narrow"/>
                <w:color w:val="FF0000"/>
              </w:rPr>
              <w:t xml:space="preserve"> </w:t>
            </w:r>
            <w:r w:rsidRPr="00133B19">
              <w:rPr>
                <w:rFonts w:ascii="Arial Narrow" w:hAnsi="Arial Narrow"/>
              </w:rPr>
              <w:t>biological medicines for severe asthma within the same treatment cycle.</w:t>
            </w:r>
          </w:p>
        </w:tc>
      </w:tr>
      <w:tr w:rsidR="00036930" w:rsidRPr="00133B19" w14:paraId="16F2D7B4" w14:textId="77777777" w:rsidTr="000343C1">
        <w:tc>
          <w:tcPr>
            <w:tcW w:w="9163" w:type="dxa"/>
            <w:gridSpan w:val="2"/>
          </w:tcPr>
          <w:p w14:paraId="4598EE18" w14:textId="77777777" w:rsidR="00036930" w:rsidRPr="00133B19" w:rsidRDefault="00036930" w:rsidP="000343C1">
            <w:pPr>
              <w:rPr>
                <w:rFonts w:ascii="Arial Narrow" w:hAnsi="Arial Narrow"/>
                <w:color w:val="000000"/>
              </w:rPr>
            </w:pPr>
            <w:r w:rsidRPr="00133B19">
              <w:rPr>
                <w:rFonts w:ascii="Arial Narrow" w:hAnsi="Arial Narrow"/>
                <w:color w:val="000000"/>
              </w:rPr>
              <w:t>PBS Item Codes to be changed to concept ID 32221</w:t>
            </w:r>
          </w:p>
        </w:tc>
      </w:tr>
      <w:tr w:rsidR="00036930" w:rsidRPr="00133B19" w14:paraId="0A6600C6" w14:textId="77777777" w:rsidTr="000343C1">
        <w:trPr>
          <w:trHeight w:val="416"/>
        </w:trPr>
        <w:tc>
          <w:tcPr>
            <w:tcW w:w="9163" w:type="dxa"/>
            <w:gridSpan w:val="2"/>
          </w:tcPr>
          <w:p w14:paraId="7D49C4B7" w14:textId="77777777" w:rsidR="00036930" w:rsidRPr="00133B19" w:rsidRDefault="00036930" w:rsidP="000343C1">
            <w:pPr>
              <w:rPr>
                <w:rFonts w:ascii="Arial Narrow" w:hAnsi="Arial Narrow"/>
              </w:rPr>
            </w:pPr>
            <w:r w:rsidRPr="00133B19">
              <w:rPr>
                <w:rFonts w:ascii="Arial Narrow" w:hAnsi="Arial Narrow"/>
              </w:rPr>
              <w:t xml:space="preserve">11997K / </w:t>
            </w:r>
            <w:proofErr w:type="spellStart"/>
            <w:r w:rsidRPr="00133B19">
              <w:rPr>
                <w:rFonts w:ascii="Arial Narrow" w:hAnsi="Arial Narrow"/>
              </w:rPr>
              <w:t>benralizumab</w:t>
            </w:r>
            <w:proofErr w:type="spellEnd"/>
            <w:r w:rsidRPr="00133B19">
              <w:rPr>
                <w:rFonts w:ascii="Arial Narrow" w:hAnsi="Arial Narrow"/>
              </w:rPr>
              <w:t xml:space="preserve"> 30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120CA6C1" w14:textId="77777777" w:rsidR="00036930" w:rsidRPr="00133B19" w:rsidRDefault="00036930" w:rsidP="000343C1">
            <w:pPr>
              <w:rPr>
                <w:rFonts w:ascii="Arial Narrow" w:hAnsi="Arial Narrow"/>
                <w:color w:val="FF0000"/>
              </w:rPr>
            </w:pPr>
            <w:r w:rsidRPr="00133B19">
              <w:rPr>
                <w:rFonts w:ascii="Arial Narrow" w:hAnsi="Arial Narrow"/>
              </w:rPr>
              <w:t xml:space="preserve">11994G / </w:t>
            </w:r>
            <w:proofErr w:type="spellStart"/>
            <w:r w:rsidRPr="00133B19">
              <w:rPr>
                <w:rFonts w:ascii="Arial Narrow" w:hAnsi="Arial Narrow"/>
              </w:rPr>
              <w:t>benralizumab</w:t>
            </w:r>
            <w:proofErr w:type="spellEnd"/>
            <w:r w:rsidRPr="00133B19">
              <w:rPr>
                <w:rFonts w:ascii="Arial Narrow" w:hAnsi="Arial Narrow"/>
              </w:rPr>
              <w:t xml:space="preserve"> 30 mg/mL injection, 1 mL pen device</w:t>
            </w:r>
            <w:r w:rsidRPr="00133B19">
              <w:rPr>
                <w:rFonts w:ascii="Arial Narrow" w:hAnsi="Arial Narrow"/>
                <w:color w:val="FF0000"/>
              </w:rPr>
              <w:tab/>
            </w:r>
            <w:r w:rsidRPr="00133B19">
              <w:rPr>
                <w:rFonts w:ascii="Arial Narrow" w:hAnsi="Arial Narrow"/>
                <w:color w:val="FF0000"/>
              </w:rPr>
              <w:tab/>
            </w:r>
            <w:r w:rsidRPr="00133B19">
              <w:rPr>
                <w:rFonts w:ascii="Arial Narrow" w:hAnsi="Arial Narrow"/>
                <w:color w:val="FF0000"/>
              </w:rPr>
              <w:tab/>
            </w:r>
            <w:r w:rsidRPr="00133B19">
              <w:rPr>
                <w:rFonts w:ascii="Arial Narrow" w:hAnsi="Arial Narrow"/>
                <w:color w:val="FF0000"/>
              </w:rPr>
              <w:tab/>
            </w:r>
          </w:p>
        </w:tc>
      </w:tr>
    </w:tbl>
    <w:p w14:paraId="06386A6C" w14:textId="77777777" w:rsidR="00036930" w:rsidRPr="00133B19" w:rsidRDefault="00036930" w:rsidP="00036930">
      <w:pPr>
        <w:rPr>
          <w:rFonts w:eastAsia="MS Gothic"/>
        </w:rPr>
      </w:pPr>
    </w:p>
    <w:tbl>
      <w:tblPr>
        <w:tblStyle w:val="TableGrid"/>
        <w:tblW w:w="0" w:type="auto"/>
        <w:tblInd w:w="-147" w:type="dxa"/>
        <w:tblLook w:val="04A0" w:firstRow="1" w:lastRow="0" w:firstColumn="1" w:lastColumn="0" w:noHBand="0" w:noVBand="1"/>
        <w:tblCaption w:val="Flow on changes required "/>
      </w:tblPr>
      <w:tblGrid>
        <w:gridCol w:w="4655"/>
        <w:gridCol w:w="4508"/>
      </w:tblGrid>
      <w:tr w:rsidR="00036930" w:rsidRPr="00133B19" w14:paraId="675A6670" w14:textId="77777777" w:rsidTr="000343C1">
        <w:tc>
          <w:tcPr>
            <w:tcW w:w="4655" w:type="dxa"/>
          </w:tcPr>
          <w:p w14:paraId="3D577771" w14:textId="77777777" w:rsidR="00036930" w:rsidRPr="00133B19" w:rsidRDefault="00036930" w:rsidP="000343C1">
            <w:pPr>
              <w:rPr>
                <w:rFonts w:ascii="Arial Narrow" w:hAnsi="Arial Narrow"/>
                <w:color w:val="000000"/>
              </w:rPr>
            </w:pPr>
            <w:r w:rsidRPr="00133B19">
              <w:rPr>
                <w:rFonts w:ascii="Arial Narrow" w:hAnsi="Arial Narrow"/>
                <w:color w:val="000000"/>
              </w:rPr>
              <w:t>Replace concept ID 32182</w:t>
            </w:r>
          </w:p>
        </w:tc>
        <w:tc>
          <w:tcPr>
            <w:tcW w:w="4508" w:type="dxa"/>
          </w:tcPr>
          <w:p w14:paraId="5F8E0B75" w14:textId="77777777" w:rsidR="00036930" w:rsidRPr="00133B19" w:rsidRDefault="00036930" w:rsidP="000343C1">
            <w:pPr>
              <w:rPr>
                <w:rFonts w:ascii="Arial Narrow" w:hAnsi="Arial Narrow"/>
              </w:rPr>
            </w:pPr>
            <w:r w:rsidRPr="00133B19">
              <w:rPr>
                <w:rFonts w:ascii="Arial Narrow" w:hAnsi="Arial Narrow"/>
              </w:rPr>
              <w:t xml:space="preserve">With new concept ID </w:t>
            </w:r>
          </w:p>
        </w:tc>
      </w:tr>
      <w:tr w:rsidR="00036930" w:rsidRPr="00133B19" w14:paraId="32CB301C" w14:textId="77777777" w:rsidTr="000343C1">
        <w:tc>
          <w:tcPr>
            <w:tcW w:w="4655" w:type="dxa"/>
          </w:tcPr>
          <w:p w14:paraId="1218B5D9" w14:textId="77777777" w:rsidR="00036930" w:rsidRPr="00133B19" w:rsidRDefault="00036930" w:rsidP="000343C1">
            <w:pPr>
              <w:rPr>
                <w:rFonts w:ascii="Arial Narrow" w:hAnsi="Arial Narrow"/>
                <w:color w:val="000000"/>
              </w:rPr>
            </w:pPr>
            <w:r w:rsidRPr="00133B19">
              <w:rPr>
                <w:rFonts w:ascii="Arial Narrow" w:hAnsi="Arial Narrow"/>
                <w:color w:val="000000"/>
              </w:rPr>
              <w:t>A treatment break in PBS-subsidised biological medicine therapy of at least 12 months must be observed in a patient who has either failed to achieve or sustain a response to treatment with 4 biological medicines within the same treatment cycle.</w:t>
            </w:r>
          </w:p>
        </w:tc>
        <w:tc>
          <w:tcPr>
            <w:tcW w:w="4508" w:type="dxa"/>
          </w:tcPr>
          <w:p w14:paraId="59051388" w14:textId="77777777" w:rsidR="00036930" w:rsidRPr="00133B19" w:rsidRDefault="00036930" w:rsidP="000343C1">
            <w:pPr>
              <w:rPr>
                <w:rFonts w:ascii="Arial Narrow" w:hAnsi="Arial Narrow"/>
              </w:rPr>
            </w:pPr>
            <w:r w:rsidRPr="00133B19">
              <w:rPr>
                <w:rFonts w:ascii="Arial Narrow" w:hAnsi="Arial Narrow"/>
              </w:rPr>
              <w:t>A treatment break in PBS-subsidised biological medicine therapy of at least 12 months must be observed in a patient who has either failed to achieve or sustain a response to treatment with</w:t>
            </w:r>
            <w:r w:rsidRPr="00133B19">
              <w:rPr>
                <w:rFonts w:ascii="Arial Narrow" w:hAnsi="Arial Narrow"/>
                <w:i/>
                <w:iCs/>
                <w:color w:val="FF0000"/>
              </w:rPr>
              <w:t xml:space="preserve"> </w:t>
            </w:r>
            <w:r>
              <w:rPr>
                <w:rFonts w:ascii="Arial Narrow" w:hAnsi="Arial Narrow"/>
                <w:i/>
                <w:iCs/>
                <w:color w:val="FF0000"/>
              </w:rPr>
              <w:t>all eligible</w:t>
            </w:r>
            <w:r w:rsidRPr="00133B19">
              <w:rPr>
                <w:rFonts w:ascii="Arial Narrow" w:hAnsi="Arial Narrow"/>
                <w:color w:val="FF0000"/>
              </w:rPr>
              <w:t xml:space="preserve"> </w:t>
            </w:r>
            <w:r w:rsidRPr="00133B19">
              <w:rPr>
                <w:rFonts w:ascii="Arial Narrow" w:hAnsi="Arial Narrow"/>
              </w:rPr>
              <w:t>biological medicines for severe asthma within the same treatment cycle.</w:t>
            </w:r>
          </w:p>
        </w:tc>
      </w:tr>
      <w:tr w:rsidR="00036930" w:rsidRPr="00133B19" w14:paraId="287E791D" w14:textId="77777777" w:rsidTr="000343C1">
        <w:tc>
          <w:tcPr>
            <w:tcW w:w="9163" w:type="dxa"/>
            <w:gridSpan w:val="2"/>
          </w:tcPr>
          <w:p w14:paraId="380164A2" w14:textId="77777777" w:rsidR="00036930" w:rsidRPr="00133B19" w:rsidRDefault="00036930" w:rsidP="000343C1">
            <w:pPr>
              <w:rPr>
                <w:rFonts w:ascii="Arial Narrow" w:hAnsi="Arial Narrow"/>
                <w:color w:val="000000"/>
              </w:rPr>
            </w:pPr>
            <w:r w:rsidRPr="00133B19">
              <w:rPr>
                <w:rFonts w:ascii="Arial Narrow" w:hAnsi="Arial Narrow"/>
                <w:color w:val="000000"/>
              </w:rPr>
              <w:t>PBS Item Codes to be changed to concept ID 32182</w:t>
            </w:r>
          </w:p>
        </w:tc>
      </w:tr>
      <w:tr w:rsidR="00036930" w:rsidRPr="00133B19" w14:paraId="28494706" w14:textId="77777777" w:rsidTr="000343C1">
        <w:trPr>
          <w:trHeight w:val="416"/>
        </w:trPr>
        <w:tc>
          <w:tcPr>
            <w:tcW w:w="9163" w:type="dxa"/>
            <w:gridSpan w:val="2"/>
          </w:tcPr>
          <w:p w14:paraId="16F91458" w14:textId="77777777" w:rsidR="00036930" w:rsidRPr="00133B19" w:rsidRDefault="00036930" w:rsidP="000343C1">
            <w:pPr>
              <w:rPr>
                <w:rFonts w:ascii="Arial Narrow" w:hAnsi="Arial Narrow"/>
              </w:rPr>
            </w:pPr>
            <w:r w:rsidRPr="00133B19">
              <w:rPr>
                <w:rFonts w:ascii="Arial Narrow" w:hAnsi="Arial Narrow"/>
              </w:rPr>
              <w:t>12051G / mepolizumab 100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6C8E4065" w14:textId="77777777" w:rsidR="00036930" w:rsidRPr="00133B19" w:rsidRDefault="00036930" w:rsidP="000343C1">
            <w:pPr>
              <w:rPr>
                <w:rFonts w:ascii="Arial Narrow" w:hAnsi="Arial Narrow"/>
                <w:color w:val="FF0000"/>
              </w:rPr>
            </w:pPr>
            <w:r w:rsidRPr="00133B19">
              <w:rPr>
                <w:rFonts w:ascii="Arial Narrow" w:hAnsi="Arial Narrow"/>
              </w:rPr>
              <w:t>12007Y / mepolizumab 100 mg/mL injection, 1 mL pen device</w:t>
            </w:r>
            <w:r w:rsidRPr="00133B19">
              <w:rPr>
                <w:rFonts w:ascii="Arial Narrow" w:hAnsi="Arial Narrow"/>
                <w:color w:val="FF0000"/>
              </w:rPr>
              <w:tab/>
            </w:r>
            <w:r w:rsidRPr="00133B19">
              <w:rPr>
                <w:rFonts w:ascii="Arial Narrow" w:hAnsi="Arial Narrow"/>
                <w:color w:val="FF0000"/>
              </w:rPr>
              <w:tab/>
            </w:r>
            <w:r w:rsidRPr="00133B19">
              <w:rPr>
                <w:rFonts w:ascii="Arial Narrow" w:hAnsi="Arial Narrow"/>
                <w:color w:val="FF0000"/>
              </w:rPr>
              <w:tab/>
            </w:r>
            <w:r w:rsidRPr="00133B19">
              <w:rPr>
                <w:rFonts w:ascii="Arial Narrow" w:hAnsi="Arial Narrow"/>
                <w:color w:val="FF0000"/>
              </w:rPr>
              <w:tab/>
            </w:r>
          </w:p>
        </w:tc>
      </w:tr>
    </w:tbl>
    <w:p w14:paraId="1E366D0D" w14:textId="77777777" w:rsidR="00036930" w:rsidRPr="00133B19" w:rsidRDefault="00036930" w:rsidP="00036930">
      <w:pPr>
        <w:rPr>
          <w:rFonts w:eastAsia="MS Gothic"/>
        </w:rPr>
      </w:pPr>
    </w:p>
    <w:tbl>
      <w:tblPr>
        <w:tblStyle w:val="TableGrid"/>
        <w:tblW w:w="0" w:type="auto"/>
        <w:tblInd w:w="-147" w:type="dxa"/>
        <w:tblLook w:val="04A0" w:firstRow="1" w:lastRow="0" w:firstColumn="1" w:lastColumn="0" w:noHBand="0" w:noVBand="1"/>
        <w:tblCaption w:val="Flow on changes required "/>
      </w:tblPr>
      <w:tblGrid>
        <w:gridCol w:w="4655"/>
        <w:gridCol w:w="4508"/>
      </w:tblGrid>
      <w:tr w:rsidR="00036930" w:rsidRPr="00133B19" w14:paraId="33BB8998" w14:textId="77777777" w:rsidTr="000343C1">
        <w:tc>
          <w:tcPr>
            <w:tcW w:w="4655" w:type="dxa"/>
          </w:tcPr>
          <w:p w14:paraId="29024438" w14:textId="77777777" w:rsidR="00036930" w:rsidRPr="00133B19" w:rsidRDefault="00036930" w:rsidP="000343C1">
            <w:pPr>
              <w:rPr>
                <w:rFonts w:ascii="Arial Narrow" w:hAnsi="Arial Narrow"/>
                <w:color w:val="000000"/>
              </w:rPr>
            </w:pPr>
            <w:r w:rsidRPr="00133B19">
              <w:rPr>
                <w:rFonts w:ascii="Arial Narrow" w:hAnsi="Arial Narrow"/>
                <w:color w:val="000000"/>
              </w:rPr>
              <w:t>Replace concept ID 32226</w:t>
            </w:r>
          </w:p>
        </w:tc>
        <w:tc>
          <w:tcPr>
            <w:tcW w:w="4508" w:type="dxa"/>
          </w:tcPr>
          <w:p w14:paraId="56FFF089" w14:textId="77777777" w:rsidR="00036930" w:rsidRPr="00133B19" w:rsidRDefault="00036930" w:rsidP="000343C1">
            <w:pPr>
              <w:rPr>
                <w:rFonts w:ascii="Arial Narrow" w:hAnsi="Arial Narrow"/>
              </w:rPr>
            </w:pPr>
            <w:r w:rsidRPr="00133B19">
              <w:rPr>
                <w:rFonts w:ascii="Arial Narrow" w:hAnsi="Arial Narrow"/>
              </w:rPr>
              <w:t xml:space="preserve">With new concept ID </w:t>
            </w:r>
          </w:p>
        </w:tc>
      </w:tr>
      <w:tr w:rsidR="00036930" w:rsidRPr="00133B19" w14:paraId="55476DF3" w14:textId="77777777" w:rsidTr="000343C1">
        <w:tc>
          <w:tcPr>
            <w:tcW w:w="4655" w:type="dxa"/>
          </w:tcPr>
          <w:p w14:paraId="3C9A4D2F" w14:textId="77777777" w:rsidR="00036930" w:rsidRPr="00133B19" w:rsidRDefault="00036930" w:rsidP="000343C1">
            <w:pPr>
              <w:rPr>
                <w:rFonts w:ascii="Arial Narrow" w:hAnsi="Arial Narrow"/>
                <w:color w:val="000000"/>
              </w:rPr>
            </w:pPr>
            <w:r w:rsidRPr="00133B19">
              <w:rPr>
                <w:rFonts w:ascii="Arial Narrow" w:hAnsi="Arial Narrow"/>
                <w:color w:val="000000"/>
              </w:rPr>
              <w:t>A treatment break in PBS-subsidised biological medicine therapy of at least 12 months must be observed in a patient who has either failed to achieve or sustain a response to treatment with 4 biological medicines within the same treatment cycle.</w:t>
            </w:r>
          </w:p>
        </w:tc>
        <w:tc>
          <w:tcPr>
            <w:tcW w:w="4508" w:type="dxa"/>
          </w:tcPr>
          <w:p w14:paraId="068FCA10" w14:textId="77777777" w:rsidR="00036930" w:rsidRPr="00133B19" w:rsidRDefault="00036930" w:rsidP="000343C1">
            <w:pPr>
              <w:rPr>
                <w:rFonts w:ascii="Arial Narrow" w:hAnsi="Arial Narrow"/>
              </w:rPr>
            </w:pPr>
            <w:r w:rsidRPr="00133B19">
              <w:rPr>
                <w:rFonts w:ascii="Arial Narrow" w:hAnsi="Arial Narrow"/>
              </w:rPr>
              <w:t>A treatment break in PBS-subsidised biological medicine therapy of at least 12 months must be observed in a patient who has either failed to achieve or sustain a response to treatment with</w:t>
            </w:r>
            <w:r w:rsidRPr="00133B19">
              <w:rPr>
                <w:rFonts w:ascii="Arial Narrow" w:hAnsi="Arial Narrow"/>
                <w:i/>
                <w:iCs/>
                <w:color w:val="FF0000"/>
              </w:rPr>
              <w:t xml:space="preserve"> </w:t>
            </w:r>
            <w:r>
              <w:rPr>
                <w:rFonts w:ascii="Arial Narrow" w:hAnsi="Arial Narrow"/>
                <w:i/>
                <w:iCs/>
                <w:color w:val="FF0000"/>
              </w:rPr>
              <w:t>all eligible</w:t>
            </w:r>
            <w:r w:rsidRPr="00133B19">
              <w:rPr>
                <w:rFonts w:ascii="Arial Narrow" w:hAnsi="Arial Narrow"/>
                <w:color w:val="FF0000"/>
              </w:rPr>
              <w:t xml:space="preserve"> </w:t>
            </w:r>
            <w:r w:rsidRPr="00133B19">
              <w:rPr>
                <w:rFonts w:ascii="Arial Narrow" w:hAnsi="Arial Narrow"/>
              </w:rPr>
              <w:t>biological medicines for severe asthma within the same treatment cycle.</w:t>
            </w:r>
          </w:p>
        </w:tc>
      </w:tr>
      <w:tr w:rsidR="00036930" w:rsidRPr="00133B19" w14:paraId="523A5B70" w14:textId="77777777" w:rsidTr="000343C1">
        <w:tc>
          <w:tcPr>
            <w:tcW w:w="9163" w:type="dxa"/>
            <w:gridSpan w:val="2"/>
          </w:tcPr>
          <w:p w14:paraId="3051EE93" w14:textId="77777777" w:rsidR="00036930" w:rsidRPr="00133B19" w:rsidRDefault="00036930" w:rsidP="000343C1">
            <w:pPr>
              <w:rPr>
                <w:rFonts w:ascii="Arial Narrow" w:hAnsi="Arial Narrow"/>
                <w:color w:val="000000"/>
              </w:rPr>
            </w:pPr>
            <w:r w:rsidRPr="00133B19">
              <w:rPr>
                <w:rFonts w:ascii="Arial Narrow" w:hAnsi="Arial Narrow"/>
                <w:color w:val="000000"/>
              </w:rPr>
              <w:t>PBS Item Codes to be changed to concept ID 32226</w:t>
            </w:r>
          </w:p>
        </w:tc>
      </w:tr>
      <w:tr w:rsidR="00036930" w:rsidRPr="00133B19" w14:paraId="0E44EB2B" w14:textId="77777777" w:rsidTr="000343C1">
        <w:trPr>
          <w:trHeight w:val="416"/>
        </w:trPr>
        <w:tc>
          <w:tcPr>
            <w:tcW w:w="9163" w:type="dxa"/>
            <w:gridSpan w:val="2"/>
          </w:tcPr>
          <w:p w14:paraId="23D2AFF4" w14:textId="77777777" w:rsidR="00036930" w:rsidRPr="00133B19" w:rsidRDefault="00036930" w:rsidP="000343C1">
            <w:pPr>
              <w:rPr>
                <w:rFonts w:ascii="Arial Narrow" w:hAnsi="Arial Narrow"/>
              </w:rPr>
            </w:pPr>
            <w:r w:rsidRPr="00133B19">
              <w:rPr>
                <w:rFonts w:ascii="Arial Narrow" w:hAnsi="Arial Narrow"/>
              </w:rPr>
              <w:t>12309W / dupilumab 200 mg/1.14 mL injection, 2 x 1.14 mL syringes</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64B4FC6E" w14:textId="77777777" w:rsidR="00036930" w:rsidRPr="00133B19" w:rsidRDefault="00036930" w:rsidP="000343C1">
            <w:pPr>
              <w:rPr>
                <w:rFonts w:ascii="Arial Narrow" w:hAnsi="Arial Narrow"/>
                <w:color w:val="FF0000"/>
              </w:rPr>
            </w:pPr>
            <w:r w:rsidRPr="00133B19">
              <w:rPr>
                <w:rFonts w:ascii="Arial Narrow" w:hAnsi="Arial Narrow"/>
              </w:rPr>
              <w:t>12313C / dupilumab 200 mg/1.14 mL injection, 2 x 1.14 mL syringes</w:t>
            </w:r>
            <w:r w:rsidRPr="00133B19">
              <w:rPr>
                <w:rFonts w:ascii="Arial Narrow" w:hAnsi="Arial Narrow"/>
              </w:rPr>
              <w:tab/>
            </w:r>
            <w:r w:rsidRPr="00133B19">
              <w:rPr>
                <w:rFonts w:ascii="Arial Narrow" w:hAnsi="Arial Narrow"/>
                <w:color w:val="FF0000"/>
              </w:rPr>
              <w:tab/>
            </w:r>
            <w:r w:rsidRPr="00133B19">
              <w:rPr>
                <w:rFonts w:ascii="Arial Narrow" w:hAnsi="Arial Narrow"/>
                <w:color w:val="FF0000"/>
              </w:rPr>
              <w:tab/>
            </w:r>
            <w:r w:rsidRPr="00133B19">
              <w:rPr>
                <w:rFonts w:ascii="Arial Narrow" w:hAnsi="Arial Narrow"/>
                <w:color w:val="FF0000"/>
              </w:rPr>
              <w:tab/>
            </w:r>
            <w:r w:rsidRPr="00133B19">
              <w:rPr>
                <w:rFonts w:ascii="Arial Narrow" w:hAnsi="Arial Narrow"/>
                <w:color w:val="FF0000"/>
              </w:rPr>
              <w:tab/>
            </w:r>
          </w:p>
        </w:tc>
      </w:tr>
    </w:tbl>
    <w:p w14:paraId="04FE96FC" w14:textId="77777777" w:rsidR="00036930" w:rsidRPr="00133B19" w:rsidRDefault="00036930" w:rsidP="00036930">
      <w:pPr>
        <w:rPr>
          <w:rFonts w:eastAsia="MS Gothic"/>
        </w:rPr>
      </w:pPr>
    </w:p>
    <w:tbl>
      <w:tblPr>
        <w:tblStyle w:val="TableGrid"/>
        <w:tblW w:w="0" w:type="auto"/>
        <w:tblInd w:w="-147" w:type="dxa"/>
        <w:tblLook w:val="04A0" w:firstRow="1" w:lastRow="0" w:firstColumn="1" w:lastColumn="0" w:noHBand="0" w:noVBand="1"/>
        <w:tblCaption w:val="Flow on changes required "/>
      </w:tblPr>
      <w:tblGrid>
        <w:gridCol w:w="4655"/>
        <w:gridCol w:w="4508"/>
      </w:tblGrid>
      <w:tr w:rsidR="00036930" w:rsidRPr="00133B19" w14:paraId="12134B30" w14:textId="77777777" w:rsidTr="000343C1">
        <w:tc>
          <w:tcPr>
            <w:tcW w:w="4655" w:type="dxa"/>
          </w:tcPr>
          <w:p w14:paraId="35F2E42A" w14:textId="77777777" w:rsidR="00036930" w:rsidRPr="00133B19" w:rsidRDefault="00036930" w:rsidP="000343C1">
            <w:pPr>
              <w:rPr>
                <w:rFonts w:ascii="Arial Narrow" w:hAnsi="Arial Narrow"/>
                <w:color w:val="000000"/>
              </w:rPr>
            </w:pPr>
            <w:r w:rsidRPr="00133B19">
              <w:rPr>
                <w:rFonts w:ascii="Arial Narrow" w:hAnsi="Arial Narrow"/>
                <w:color w:val="000000"/>
              </w:rPr>
              <w:t>Replace concept ID 32233</w:t>
            </w:r>
          </w:p>
        </w:tc>
        <w:tc>
          <w:tcPr>
            <w:tcW w:w="4508" w:type="dxa"/>
          </w:tcPr>
          <w:p w14:paraId="4227F5F3" w14:textId="77777777" w:rsidR="00036930" w:rsidRPr="00133B19" w:rsidRDefault="00036930" w:rsidP="000343C1">
            <w:pPr>
              <w:rPr>
                <w:rFonts w:ascii="Arial Narrow" w:hAnsi="Arial Narrow"/>
              </w:rPr>
            </w:pPr>
            <w:r w:rsidRPr="00133B19">
              <w:rPr>
                <w:rFonts w:ascii="Arial Narrow" w:hAnsi="Arial Narrow"/>
              </w:rPr>
              <w:t xml:space="preserve">With new concept ID </w:t>
            </w:r>
          </w:p>
        </w:tc>
      </w:tr>
      <w:tr w:rsidR="00036930" w:rsidRPr="00133B19" w14:paraId="296C659D" w14:textId="77777777" w:rsidTr="000343C1">
        <w:tc>
          <w:tcPr>
            <w:tcW w:w="4655" w:type="dxa"/>
          </w:tcPr>
          <w:p w14:paraId="09383719" w14:textId="77777777" w:rsidR="00036930" w:rsidRPr="00133B19" w:rsidRDefault="00036930" w:rsidP="000343C1">
            <w:pPr>
              <w:rPr>
                <w:rFonts w:ascii="Arial Narrow" w:hAnsi="Arial Narrow"/>
                <w:color w:val="000000"/>
              </w:rPr>
            </w:pPr>
            <w:r w:rsidRPr="00133B19">
              <w:rPr>
                <w:rFonts w:ascii="Arial Narrow" w:hAnsi="Arial Narrow"/>
                <w:color w:val="000000"/>
              </w:rPr>
              <w:t>A treatment break in PBS-subsidised biological medicine therapy of at least 12 months must be observed in a patient who has either failed to achieve or sustain a response to treatment with 4 biological medicines within the same treatment cycle.</w:t>
            </w:r>
          </w:p>
        </w:tc>
        <w:tc>
          <w:tcPr>
            <w:tcW w:w="4508" w:type="dxa"/>
          </w:tcPr>
          <w:p w14:paraId="4CA67892" w14:textId="77777777" w:rsidR="00036930" w:rsidRPr="00133B19" w:rsidRDefault="00036930" w:rsidP="000343C1">
            <w:pPr>
              <w:rPr>
                <w:rFonts w:ascii="Arial Narrow" w:hAnsi="Arial Narrow"/>
              </w:rPr>
            </w:pPr>
            <w:r w:rsidRPr="00133B19">
              <w:rPr>
                <w:rFonts w:ascii="Arial Narrow" w:hAnsi="Arial Narrow"/>
              </w:rPr>
              <w:t>A treatment break in PBS-subsidised biological medicine therapy of at least 12 months must be observed in a patient who has either failed to achieve or sustain a response to treatment with</w:t>
            </w:r>
            <w:r w:rsidRPr="00133B19">
              <w:rPr>
                <w:rFonts w:ascii="Arial Narrow" w:hAnsi="Arial Narrow"/>
                <w:i/>
                <w:iCs/>
                <w:color w:val="FF0000"/>
              </w:rPr>
              <w:t xml:space="preserve"> </w:t>
            </w:r>
            <w:r>
              <w:rPr>
                <w:rFonts w:ascii="Arial Narrow" w:hAnsi="Arial Narrow"/>
                <w:i/>
                <w:iCs/>
                <w:color w:val="FF0000"/>
              </w:rPr>
              <w:t>all eligible</w:t>
            </w:r>
            <w:r w:rsidRPr="00133B19">
              <w:rPr>
                <w:rFonts w:ascii="Arial Narrow" w:hAnsi="Arial Narrow"/>
                <w:color w:val="FF0000"/>
              </w:rPr>
              <w:t xml:space="preserve"> </w:t>
            </w:r>
            <w:r w:rsidRPr="00133B19">
              <w:rPr>
                <w:rFonts w:ascii="Arial Narrow" w:hAnsi="Arial Narrow"/>
              </w:rPr>
              <w:t>biological medicines for severe asthma within the same treatment cycle.</w:t>
            </w:r>
          </w:p>
        </w:tc>
      </w:tr>
      <w:tr w:rsidR="00036930" w:rsidRPr="00133B19" w14:paraId="40B42533" w14:textId="77777777" w:rsidTr="000343C1">
        <w:tc>
          <w:tcPr>
            <w:tcW w:w="9163" w:type="dxa"/>
            <w:gridSpan w:val="2"/>
          </w:tcPr>
          <w:p w14:paraId="3E82F314" w14:textId="77777777" w:rsidR="00036930" w:rsidRPr="00133B19" w:rsidRDefault="00036930" w:rsidP="000343C1">
            <w:pPr>
              <w:rPr>
                <w:rFonts w:ascii="Arial Narrow" w:hAnsi="Arial Narrow"/>
                <w:color w:val="000000"/>
              </w:rPr>
            </w:pPr>
            <w:r w:rsidRPr="00133B19">
              <w:rPr>
                <w:rFonts w:ascii="Arial Narrow" w:hAnsi="Arial Narrow"/>
                <w:color w:val="000000"/>
              </w:rPr>
              <w:t>PBS Item Codes to be changed to concept ID 32233</w:t>
            </w:r>
          </w:p>
        </w:tc>
      </w:tr>
      <w:tr w:rsidR="00036930" w:rsidRPr="00133B19" w14:paraId="6D4D41EA" w14:textId="77777777" w:rsidTr="000343C1">
        <w:trPr>
          <w:trHeight w:val="416"/>
        </w:trPr>
        <w:tc>
          <w:tcPr>
            <w:tcW w:w="9163" w:type="dxa"/>
            <w:gridSpan w:val="2"/>
          </w:tcPr>
          <w:p w14:paraId="5A03F4AF" w14:textId="77777777" w:rsidR="00036930" w:rsidRPr="00133B19" w:rsidRDefault="00036930" w:rsidP="000343C1">
            <w:pPr>
              <w:rPr>
                <w:rFonts w:ascii="Arial Narrow" w:hAnsi="Arial Narrow"/>
              </w:rPr>
            </w:pPr>
            <w:r w:rsidRPr="00133B19">
              <w:rPr>
                <w:rFonts w:ascii="Arial Narrow" w:hAnsi="Arial Narrow"/>
              </w:rPr>
              <w:t>12293B / dupilumab 300 mg/2 mL injection, 2 x 2 mL syringes</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64CED1A3" w14:textId="77777777" w:rsidR="00036930" w:rsidRPr="00133B19" w:rsidRDefault="00036930" w:rsidP="000343C1">
            <w:pPr>
              <w:rPr>
                <w:rFonts w:ascii="Arial Narrow" w:hAnsi="Arial Narrow"/>
                <w:color w:val="FF0000"/>
              </w:rPr>
            </w:pPr>
            <w:r w:rsidRPr="00133B19">
              <w:rPr>
                <w:rFonts w:ascii="Arial Narrow" w:hAnsi="Arial Narrow"/>
              </w:rPr>
              <w:t>12310X / dupilumab 300 mg/2 mL injection, 2 x 2 mL syringes</w:t>
            </w:r>
            <w:r w:rsidRPr="00133B19">
              <w:rPr>
                <w:rFonts w:ascii="Arial Narrow" w:hAnsi="Arial Narrow"/>
                <w:color w:val="FF0000"/>
              </w:rPr>
              <w:tab/>
            </w:r>
            <w:r w:rsidRPr="00133B19">
              <w:rPr>
                <w:rFonts w:ascii="Arial Narrow" w:hAnsi="Arial Narrow"/>
                <w:color w:val="FF0000"/>
              </w:rPr>
              <w:tab/>
            </w:r>
            <w:r w:rsidRPr="00133B19">
              <w:rPr>
                <w:rFonts w:ascii="Arial Narrow" w:hAnsi="Arial Narrow"/>
                <w:color w:val="FF0000"/>
              </w:rPr>
              <w:tab/>
            </w:r>
            <w:r w:rsidRPr="00133B19">
              <w:rPr>
                <w:rFonts w:ascii="Arial Narrow" w:hAnsi="Arial Narrow"/>
                <w:color w:val="FF0000"/>
              </w:rPr>
              <w:tab/>
            </w:r>
          </w:p>
        </w:tc>
      </w:tr>
    </w:tbl>
    <w:p w14:paraId="47E696D5" w14:textId="77777777" w:rsidR="00036930" w:rsidRPr="00133B19" w:rsidRDefault="00036930" w:rsidP="00036930">
      <w:pPr>
        <w:rPr>
          <w:rFonts w:eastAsia="MS Gothic"/>
        </w:rPr>
      </w:pPr>
    </w:p>
    <w:tbl>
      <w:tblPr>
        <w:tblStyle w:val="TableGrid"/>
        <w:tblW w:w="0" w:type="auto"/>
        <w:tblInd w:w="-147" w:type="dxa"/>
        <w:tblLook w:val="04A0" w:firstRow="1" w:lastRow="0" w:firstColumn="1" w:lastColumn="0" w:noHBand="0" w:noVBand="1"/>
        <w:tblCaption w:val="Flow on changes required "/>
      </w:tblPr>
      <w:tblGrid>
        <w:gridCol w:w="4655"/>
        <w:gridCol w:w="4508"/>
      </w:tblGrid>
      <w:tr w:rsidR="00036930" w:rsidRPr="00133B19" w14:paraId="7D8F7D6E" w14:textId="77777777" w:rsidTr="000343C1">
        <w:trPr>
          <w:trHeight w:val="183"/>
        </w:trPr>
        <w:tc>
          <w:tcPr>
            <w:tcW w:w="4655" w:type="dxa"/>
          </w:tcPr>
          <w:p w14:paraId="743547B6" w14:textId="77777777" w:rsidR="00036930" w:rsidRPr="00133B19" w:rsidRDefault="00036930" w:rsidP="000343C1">
            <w:pPr>
              <w:rPr>
                <w:rFonts w:ascii="Arial Narrow" w:hAnsi="Arial Narrow"/>
              </w:rPr>
            </w:pPr>
            <w:r w:rsidRPr="00133B19">
              <w:rPr>
                <w:rFonts w:ascii="Arial Narrow" w:hAnsi="Arial Narrow"/>
              </w:rPr>
              <w:t>Replace concept ID 32182</w:t>
            </w:r>
          </w:p>
        </w:tc>
        <w:tc>
          <w:tcPr>
            <w:tcW w:w="4508" w:type="dxa"/>
          </w:tcPr>
          <w:p w14:paraId="3B0D0542" w14:textId="77777777" w:rsidR="00036930" w:rsidRPr="00133B19" w:rsidRDefault="00036930" w:rsidP="000343C1">
            <w:pPr>
              <w:rPr>
                <w:rFonts w:ascii="Arial Narrow" w:hAnsi="Arial Narrow"/>
              </w:rPr>
            </w:pPr>
            <w:r w:rsidRPr="00133B19">
              <w:rPr>
                <w:rFonts w:ascii="Arial Narrow" w:hAnsi="Arial Narrow"/>
              </w:rPr>
              <w:t>With new concept ID</w:t>
            </w:r>
          </w:p>
        </w:tc>
      </w:tr>
      <w:tr w:rsidR="00036930" w:rsidRPr="00133B19" w14:paraId="76AE5E61" w14:textId="77777777" w:rsidTr="000343C1">
        <w:tc>
          <w:tcPr>
            <w:tcW w:w="4655" w:type="dxa"/>
          </w:tcPr>
          <w:p w14:paraId="04CBD79B" w14:textId="77777777" w:rsidR="00036930" w:rsidRPr="00133B19" w:rsidRDefault="00036930" w:rsidP="000343C1">
            <w:pPr>
              <w:rPr>
                <w:rFonts w:ascii="Arial Narrow" w:hAnsi="Arial Narrow"/>
              </w:rPr>
            </w:pPr>
            <w:r w:rsidRPr="00133B19">
              <w:rPr>
                <w:rFonts w:ascii="Arial Narrow" w:hAnsi="Arial Narrow"/>
              </w:rPr>
              <w:t>A treatment break in PBS-subsidised biological medicine therapy of at least 12 months must be observed in a patient who has either failed to achieve or sustain a response to treatment with 4 biological medicines within the same treatment cycle.</w:t>
            </w:r>
          </w:p>
        </w:tc>
        <w:tc>
          <w:tcPr>
            <w:tcW w:w="4508" w:type="dxa"/>
          </w:tcPr>
          <w:p w14:paraId="1B1B057D" w14:textId="77777777" w:rsidR="00036930" w:rsidRPr="00133B19" w:rsidRDefault="00036930" w:rsidP="000343C1">
            <w:pPr>
              <w:rPr>
                <w:rFonts w:ascii="Arial Narrow" w:hAnsi="Arial Narrow"/>
              </w:rPr>
            </w:pPr>
            <w:r w:rsidRPr="00133B19">
              <w:rPr>
                <w:rFonts w:ascii="Arial Narrow" w:hAnsi="Arial Narrow"/>
              </w:rPr>
              <w:t xml:space="preserve">A treatment break in PBS-subsidised biological medicine therapy of at least 12 months must be observed in a patient who has either failed to achieve or sustain a response to treatment with </w:t>
            </w:r>
            <w:r>
              <w:rPr>
                <w:rFonts w:ascii="Arial Narrow" w:hAnsi="Arial Narrow"/>
                <w:i/>
                <w:iCs/>
                <w:color w:val="FF0000"/>
              </w:rPr>
              <w:t>all eligible</w:t>
            </w:r>
            <w:r w:rsidRPr="00133B19">
              <w:rPr>
                <w:rFonts w:ascii="Arial Narrow" w:hAnsi="Arial Narrow"/>
                <w:color w:val="FF0000"/>
              </w:rPr>
              <w:t xml:space="preserve"> </w:t>
            </w:r>
            <w:r w:rsidRPr="00133B19">
              <w:rPr>
                <w:rFonts w:ascii="Arial Narrow" w:hAnsi="Arial Narrow"/>
              </w:rPr>
              <w:t>biological medicines within the same treatment cycle.</w:t>
            </w:r>
          </w:p>
        </w:tc>
      </w:tr>
      <w:tr w:rsidR="00036930" w:rsidRPr="00133B19" w14:paraId="151EA6AF" w14:textId="77777777" w:rsidTr="000343C1">
        <w:tc>
          <w:tcPr>
            <w:tcW w:w="9163" w:type="dxa"/>
            <w:gridSpan w:val="2"/>
          </w:tcPr>
          <w:p w14:paraId="1A67A481" w14:textId="77777777" w:rsidR="00036930" w:rsidRPr="00133B19" w:rsidRDefault="00036930" w:rsidP="000343C1">
            <w:pPr>
              <w:rPr>
                <w:rFonts w:ascii="Arial Narrow" w:hAnsi="Arial Narrow"/>
              </w:rPr>
            </w:pPr>
            <w:r w:rsidRPr="00133B19">
              <w:rPr>
                <w:rFonts w:ascii="Arial Narrow" w:hAnsi="Arial Narrow"/>
              </w:rPr>
              <w:t>PBS Item Codes to be changed to concept ID 32182</w:t>
            </w:r>
          </w:p>
        </w:tc>
      </w:tr>
      <w:tr w:rsidR="00036930" w:rsidRPr="00133B19" w14:paraId="60C27D48" w14:textId="77777777" w:rsidTr="000343C1">
        <w:trPr>
          <w:trHeight w:val="416"/>
        </w:trPr>
        <w:tc>
          <w:tcPr>
            <w:tcW w:w="9163" w:type="dxa"/>
            <w:gridSpan w:val="2"/>
          </w:tcPr>
          <w:p w14:paraId="53ED356E" w14:textId="77777777" w:rsidR="00036930" w:rsidRPr="00133B19" w:rsidRDefault="00036930" w:rsidP="000343C1">
            <w:pPr>
              <w:rPr>
                <w:rFonts w:ascii="Arial Narrow" w:hAnsi="Arial Narrow"/>
              </w:rPr>
            </w:pPr>
            <w:r w:rsidRPr="00133B19">
              <w:rPr>
                <w:rFonts w:ascii="Arial Narrow" w:hAnsi="Arial Narrow"/>
              </w:rPr>
              <w:t>12051G / mepolizumab 100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4E279D18" w14:textId="77777777" w:rsidR="00036930" w:rsidRPr="00133B19" w:rsidRDefault="00036930" w:rsidP="000343C1">
            <w:pPr>
              <w:rPr>
                <w:rFonts w:ascii="Arial Narrow" w:hAnsi="Arial Narrow"/>
              </w:rPr>
            </w:pPr>
            <w:r w:rsidRPr="00133B19">
              <w:rPr>
                <w:rFonts w:ascii="Arial Narrow" w:hAnsi="Arial Narrow"/>
              </w:rPr>
              <w:t>12007Y / mepolizumab 100 mg/mL injection, 1 mL pen device</w:t>
            </w:r>
          </w:p>
        </w:tc>
      </w:tr>
    </w:tbl>
    <w:p w14:paraId="204D0BA6" w14:textId="77777777" w:rsidR="00036930" w:rsidRPr="00133B19" w:rsidRDefault="00036930" w:rsidP="00036930">
      <w:pPr>
        <w:rPr>
          <w:rFonts w:eastAsia="MS Gothic"/>
        </w:rPr>
      </w:pPr>
    </w:p>
    <w:tbl>
      <w:tblPr>
        <w:tblStyle w:val="TableGrid"/>
        <w:tblW w:w="0" w:type="auto"/>
        <w:tblInd w:w="-147" w:type="dxa"/>
        <w:tblLook w:val="04A0" w:firstRow="1" w:lastRow="0" w:firstColumn="1" w:lastColumn="0" w:noHBand="0" w:noVBand="1"/>
        <w:tblCaption w:val="Flow on changes required "/>
      </w:tblPr>
      <w:tblGrid>
        <w:gridCol w:w="4655"/>
        <w:gridCol w:w="4508"/>
      </w:tblGrid>
      <w:tr w:rsidR="00036930" w:rsidRPr="00133B19" w14:paraId="18A510EF" w14:textId="77777777" w:rsidTr="000343C1">
        <w:trPr>
          <w:trHeight w:val="183"/>
        </w:trPr>
        <w:tc>
          <w:tcPr>
            <w:tcW w:w="4655" w:type="dxa"/>
          </w:tcPr>
          <w:p w14:paraId="46C4A6A3" w14:textId="77777777" w:rsidR="00036930" w:rsidRPr="00133B19" w:rsidRDefault="00036930" w:rsidP="000343C1">
            <w:pPr>
              <w:rPr>
                <w:rFonts w:ascii="Arial Narrow" w:hAnsi="Arial Narrow"/>
              </w:rPr>
            </w:pPr>
            <w:r w:rsidRPr="00133B19">
              <w:rPr>
                <w:rFonts w:ascii="Arial Narrow" w:hAnsi="Arial Narrow"/>
              </w:rPr>
              <w:t>Replace concept ID 32169</w:t>
            </w:r>
          </w:p>
        </w:tc>
        <w:tc>
          <w:tcPr>
            <w:tcW w:w="4508" w:type="dxa"/>
          </w:tcPr>
          <w:p w14:paraId="01399210" w14:textId="77777777" w:rsidR="00036930" w:rsidRPr="00133B19" w:rsidRDefault="00036930" w:rsidP="000343C1">
            <w:pPr>
              <w:rPr>
                <w:rFonts w:ascii="Arial Narrow" w:hAnsi="Arial Narrow"/>
              </w:rPr>
            </w:pPr>
            <w:r w:rsidRPr="00133B19">
              <w:rPr>
                <w:rFonts w:ascii="Arial Narrow" w:hAnsi="Arial Narrow"/>
              </w:rPr>
              <w:t>With new concept ID</w:t>
            </w:r>
          </w:p>
        </w:tc>
      </w:tr>
      <w:tr w:rsidR="00036930" w:rsidRPr="00133B19" w14:paraId="5173306D" w14:textId="77777777" w:rsidTr="000343C1">
        <w:tc>
          <w:tcPr>
            <w:tcW w:w="4655" w:type="dxa"/>
          </w:tcPr>
          <w:p w14:paraId="0F875F3E" w14:textId="77777777" w:rsidR="00036930" w:rsidRPr="00133B19" w:rsidRDefault="00036930" w:rsidP="000343C1">
            <w:pPr>
              <w:rPr>
                <w:rFonts w:ascii="Arial Narrow" w:hAnsi="Arial Narrow"/>
              </w:rPr>
            </w:pPr>
            <w:r w:rsidRPr="00133B19">
              <w:rPr>
                <w:rFonts w:ascii="Arial Narrow" w:hAnsi="Arial Narrow"/>
              </w:rPr>
              <w:t>Within the same treatment cycle a patient may alternate between therapy with any biological medicine of their choice (1 at a time) providing:</w:t>
            </w:r>
          </w:p>
          <w:p w14:paraId="575D9843" w14:textId="77777777" w:rsidR="00036930" w:rsidRPr="00133B19" w:rsidRDefault="00036930" w:rsidP="000343C1">
            <w:pPr>
              <w:rPr>
                <w:rFonts w:ascii="Arial Narrow" w:hAnsi="Arial Narrow"/>
              </w:rPr>
            </w:pPr>
            <w:r w:rsidRPr="00133B19">
              <w:rPr>
                <w:rFonts w:ascii="Arial Narrow" w:hAnsi="Arial Narrow"/>
              </w:rPr>
              <w:t>(</w:t>
            </w:r>
            <w:proofErr w:type="spellStart"/>
            <w:r w:rsidRPr="00133B19">
              <w:rPr>
                <w:rFonts w:ascii="Arial Narrow" w:hAnsi="Arial Narrow"/>
              </w:rPr>
              <w:t>i</w:t>
            </w:r>
            <w:proofErr w:type="spellEnd"/>
            <w:r w:rsidRPr="00133B19">
              <w:rPr>
                <w:rFonts w:ascii="Arial Narrow" w:hAnsi="Arial Narrow"/>
              </w:rPr>
              <w:t xml:space="preserve">) they have not received PBS-subsidised treatment with that </w:t>
            </w:r>
            <w:proofErr w:type="gramStart"/>
            <w:r w:rsidRPr="00133B19">
              <w:rPr>
                <w:rFonts w:ascii="Arial Narrow" w:hAnsi="Arial Narrow"/>
              </w:rPr>
              <w:t>particular biological</w:t>
            </w:r>
            <w:proofErr w:type="gramEnd"/>
            <w:r w:rsidRPr="00133B19">
              <w:rPr>
                <w:rFonts w:ascii="Arial Narrow" w:hAnsi="Arial Narrow"/>
              </w:rPr>
              <w:t xml:space="preserve"> medicine previously; or</w:t>
            </w:r>
          </w:p>
          <w:p w14:paraId="3CA73684" w14:textId="77777777" w:rsidR="00036930" w:rsidRPr="00133B19" w:rsidRDefault="00036930" w:rsidP="000343C1">
            <w:pPr>
              <w:rPr>
                <w:rFonts w:ascii="Arial Narrow" w:hAnsi="Arial Narrow"/>
              </w:rPr>
            </w:pPr>
            <w:r w:rsidRPr="00133B19">
              <w:rPr>
                <w:rFonts w:ascii="Arial Narrow" w:hAnsi="Arial Narrow"/>
              </w:rPr>
              <w:t xml:space="preserve">(ii) they have demonstrated an adequate response to that </w:t>
            </w:r>
            <w:proofErr w:type="gramStart"/>
            <w:r w:rsidRPr="00133B19">
              <w:rPr>
                <w:rFonts w:ascii="Arial Narrow" w:hAnsi="Arial Narrow"/>
              </w:rPr>
              <w:t>particular biological</w:t>
            </w:r>
            <w:proofErr w:type="gramEnd"/>
            <w:r w:rsidRPr="00133B19">
              <w:rPr>
                <w:rFonts w:ascii="Arial Narrow" w:hAnsi="Arial Narrow"/>
              </w:rPr>
              <w:t xml:space="preserve"> medicine if they have previously trialled it on the PBS; and</w:t>
            </w:r>
          </w:p>
          <w:p w14:paraId="75E344F6" w14:textId="77777777" w:rsidR="00036930" w:rsidRPr="00133B19" w:rsidRDefault="00036930" w:rsidP="000343C1">
            <w:pPr>
              <w:rPr>
                <w:rFonts w:ascii="Arial Narrow" w:hAnsi="Arial Narrow"/>
              </w:rPr>
            </w:pPr>
            <w:r w:rsidRPr="00133B19">
              <w:rPr>
                <w:rFonts w:ascii="Arial Narrow" w:hAnsi="Arial Narrow"/>
              </w:rPr>
              <w:t>(iii) they have not previously failed to respond to treatment with all 4 biological medicines in this treatment cycle.</w:t>
            </w:r>
          </w:p>
        </w:tc>
        <w:tc>
          <w:tcPr>
            <w:tcW w:w="4508" w:type="dxa"/>
          </w:tcPr>
          <w:p w14:paraId="2AD9777F" w14:textId="77777777" w:rsidR="00036930" w:rsidRPr="00133B19" w:rsidRDefault="00036930" w:rsidP="000343C1">
            <w:pPr>
              <w:rPr>
                <w:rFonts w:ascii="Arial Narrow" w:hAnsi="Arial Narrow"/>
              </w:rPr>
            </w:pPr>
            <w:r w:rsidRPr="00133B19">
              <w:rPr>
                <w:rFonts w:ascii="Arial Narrow" w:hAnsi="Arial Narrow"/>
              </w:rPr>
              <w:t>Within the same treatment cycle a patient may alternate between therapy with any biological medicine of their choice (1 at a time) providing:</w:t>
            </w:r>
          </w:p>
          <w:p w14:paraId="73CA0CCA" w14:textId="77777777" w:rsidR="00036930" w:rsidRPr="00133B19" w:rsidRDefault="00036930" w:rsidP="000343C1">
            <w:pPr>
              <w:rPr>
                <w:rFonts w:ascii="Arial Narrow" w:hAnsi="Arial Narrow"/>
              </w:rPr>
            </w:pPr>
            <w:r w:rsidRPr="00133B19">
              <w:rPr>
                <w:rFonts w:ascii="Arial Narrow" w:hAnsi="Arial Narrow"/>
              </w:rPr>
              <w:t>(</w:t>
            </w:r>
            <w:proofErr w:type="spellStart"/>
            <w:r w:rsidRPr="00133B19">
              <w:rPr>
                <w:rFonts w:ascii="Arial Narrow" w:hAnsi="Arial Narrow"/>
              </w:rPr>
              <w:t>i</w:t>
            </w:r>
            <w:proofErr w:type="spellEnd"/>
            <w:r w:rsidRPr="00133B19">
              <w:rPr>
                <w:rFonts w:ascii="Arial Narrow" w:hAnsi="Arial Narrow"/>
              </w:rPr>
              <w:t xml:space="preserve">) they have not received PBS-subsidised treatment with that </w:t>
            </w:r>
            <w:proofErr w:type="gramStart"/>
            <w:r w:rsidRPr="00133B19">
              <w:rPr>
                <w:rFonts w:ascii="Arial Narrow" w:hAnsi="Arial Narrow"/>
              </w:rPr>
              <w:t>particular biological</w:t>
            </w:r>
            <w:proofErr w:type="gramEnd"/>
            <w:r w:rsidRPr="00133B19">
              <w:rPr>
                <w:rFonts w:ascii="Arial Narrow" w:hAnsi="Arial Narrow"/>
              </w:rPr>
              <w:t xml:space="preserve"> medicine previously; or</w:t>
            </w:r>
          </w:p>
          <w:p w14:paraId="2959906E" w14:textId="77777777" w:rsidR="00036930" w:rsidRPr="00133B19" w:rsidRDefault="00036930" w:rsidP="000343C1">
            <w:pPr>
              <w:rPr>
                <w:rFonts w:ascii="Arial Narrow" w:hAnsi="Arial Narrow"/>
              </w:rPr>
            </w:pPr>
            <w:r w:rsidRPr="00133B19">
              <w:rPr>
                <w:rFonts w:ascii="Arial Narrow" w:hAnsi="Arial Narrow"/>
              </w:rPr>
              <w:t xml:space="preserve">(ii) they have demonstrated an adequate response to that </w:t>
            </w:r>
            <w:proofErr w:type="gramStart"/>
            <w:r w:rsidRPr="00133B19">
              <w:rPr>
                <w:rFonts w:ascii="Arial Narrow" w:hAnsi="Arial Narrow"/>
              </w:rPr>
              <w:t>particular biological</w:t>
            </w:r>
            <w:proofErr w:type="gramEnd"/>
            <w:r w:rsidRPr="00133B19">
              <w:rPr>
                <w:rFonts w:ascii="Arial Narrow" w:hAnsi="Arial Narrow"/>
              </w:rPr>
              <w:t xml:space="preserve"> medicine if they have previously trialled it on the PBS; and</w:t>
            </w:r>
          </w:p>
          <w:p w14:paraId="6C0686ED" w14:textId="77777777" w:rsidR="00036930" w:rsidRPr="00133B19" w:rsidRDefault="00036930" w:rsidP="000343C1">
            <w:pPr>
              <w:rPr>
                <w:rFonts w:ascii="Arial Narrow" w:hAnsi="Arial Narrow"/>
              </w:rPr>
            </w:pPr>
            <w:r w:rsidRPr="00133B19">
              <w:rPr>
                <w:rFonts w:ascii="Arial Narrow" w:hAnsi="Arial Narrow"/>
              </w:rPr>
              <w:t xml:space="preserve">(iii) they have not previously failed to respond to treatment with all </w:t>
            </w:r>
            <w:proofErr w:type="spellStart"/>
            <w:proofErr w:type="gramStart"/>
            <w:r>
              <w:rPr>
                <w:rFonts w:ascii="Arial Narrow" w:hAnsi="Arial Narrow"/>
                <w:i/>
                <w:iCs/>
                <w:color w:val="FF0000"/>
              </w:rPr>
              <w:t>all</w:t>
            </w:r>
            <w:proofErr w:type="spellEnd"/>
            <w:r>
              <w:rPr>
                <w:rFonts w:ascii="Arial Narrow" w:hAnsi="Arial Narrow"/>
                <w:i/>
                <w:iCs/>
                <w:color w:val="FF0000"/>
              </w:rPr>
              <w:t xml:space="preserve"> eligible</w:t>
            </w:r>
            <w:proofErr w:type="gramEnd"/>
            <w:r w:rsidRPr="00133B19">
              <w:rPr>
                <w:rFonts w:ascii="Arial Narrow" w:hAnsi="Arial Narrow"/>
              </w:rPr>
              <w:t xml:space="preserve"> biological medicines in this treatment cycle.</w:t>
            </w:r>
          </w:p>
        </w:tc>
      </w:tr>
      <w:tr w:rsidR="00036930" w:rsidRPr="00133B19" w14:paraId="08495DD2" w14:textId="77777777" w:rsidTr="000343C1">
        <w:tc>
          <w:tcPr>
            <w:tcW w:w="4655" w:type="dxa"/>
          </w:tcPr>
          <w:p w14:paraId="4B15A907" w14:textId="77777777" w:rsidR="00036930" w:rsidRPr="00133B19" w:rsidRDefault="00036930" w:rsidP="000343C1">
            <w:pPr>
              <w:rPr>
                <w:rFonts w:ascii="Arial Narrow" w:hAnsi="Arial Narrow"/>
              </w:rPr>
            </w:pPr>
            <w:r w:rsidRPr="00133B19">
              <w:rPr>
                <w:rFonts w:ascii="Arial Narrow" w:hAnsi="Arial Narrow"/>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tc>
        <w:tc>
          <w:tcPr>
            <w:tcW w:w="4508" w:type="dxa"/>
          </w:tcPr>
          <w:p w14:paraId="19024CCF" w14:textId="77777777" w:rsidR="00036930" w:rsidRPr="00133B19" w:rsidRDefault="00036930" w:rsidP="000343C1">
            <w:pPr>
              <w:rPr>
                <w:rFonts w:ascii="Arial Narrow" w:hAnsi="Arial Narrow"/>
              </w:rPr>
            </w:pPr>
            <w:r w:rsidRPr="00133B19">
              <w:rPr>
                <w:rFonts w:ascii="Arial Narrow" w:hAnsi="Arial Narrow"/>
              </w:rPr>
              <w:t xml:space="preserve">A patient who wishes to trial a second or subsequent new treatment cycle, following a break in PBS-subsidised therapy of at least 12 months (in patients who have failed to achieve or ceased to sustain a response to treatment </w:t>
            </w:r>
            <w:r>
              <w:rPr>
                <w:rFonts w:ascii="Arial Narrow" w:hAnsi="Arial Narrow"/>
                <w:i/>
                <w:iCs/>
                <w:color w:val="FF0000"/>
              </w:rPr>
              <w:t>all eligible</w:t>
            </w:r>
            <w:r w:rsidRPr="00133B19">
              <w:rPr>
                <w:rFonts w:ascii="Arial Narrow" w:hAnsi="Arial Narrow"/>
                <w:color w:val="FF0000"/>
              </w:rPr>
              <w:t xml:space="preserve"> </w:t>
            </w:r>
            <w:r w:rsidRPr="00133B19">
              <w:rPr>
                <w:rFonts w:ascii="Arial Narrow" w:hAnsi="Arial Narrow"/>
              </w:rPr>
              <w:t>times within a treatment cycle), must re-qualify through an Initial 1 restriction.</w:t>
            </w:r>
          </w:p>
        </w:tc>
      </w:tr>
      <w:tr w:rsidR="00036930" w:rsidRPr="00133B19" w14:paraId="42B843B8" w14:textId="77777777" w:rsidTr="000343C1">
        <w:tc>
          <w:tcPr>
            <w:tcW w:w="4655" w:type="dxa"/>
          </w:tcPr>
          <w:p w14:paraId="01A0F2BF" w14:textId="77777777" w:rsidR="00036930" w:rsidRPr="00133B19" w:rsidRDefault="00036930" w:rsidP="000343C1">
            <w:pPr>
              <w:rPr>
                <w:rFonts w:ascii="Arial Narrow" w:hAnsi="Arial Narrow"/>
              </w:rPr>
            </w:pPr>
            <w:r w:rsidRPr="00133B19">
              <w:rPr>
                <w:rFonts w:ascii="Arial Narrow" w:hAnsi="Arial Narrow"/>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tc>
        <w:tc>
          <w:tcPr>
            <w:tcW w:w="4508" w:type="dxa"/>
          </w:tcPr>
          <w:p w14:paraId="168D385F" w14:textId="77777777" w:rsidR="00036930" w:rsidRPr="00133B19" w:rsidRDefault="00036930" w:rsidP="000343C1">
            <w:pPr>
              <w:rPr>
                <w:rFonts w:ascii="Arial Narrow" w:hAnsi="Arial Narrow"/>
              </w:rPr>
            </w:pPr>
            <w:r w:rsidRPr="00133B19">
              <w:rPr>
                <w:rFonts w:ascii="Arial Narrow" w:hAnsi="Arial Narrow"/>
              </w:rPr>
              <w:t>Once a patient has either failed to achieve or sustain a response to treatment</w:t>
            </w:r>
            <w:r w:rsidRPr="00133B19">
              <w:rPr>
                <w:rFonts w:ascii="Arial Narrow" w:hAnsi="Arial Narrow"/>
                <w:color w:val="FF0000"/>
              </w:rPr>
              <w:t xml:space="preserve"> </w:t>
            </w:r>
            <w:r>
              <w:rPr>
                <w:rFonts w:ascii="Arial Narrow" w:hAnsi="Arial Narrow"/>
                <w:i/>
                <w:iCs/>
                <w:color w:val="FF0000"/>
              </w:rPr>
              <w:t>all eligible</w:t>
            </w:r>
            <w:r w:rsidRPr="00133B19">
              <w:rPr>
                <w:rFonts w:ascii="Arial Narrow" w:hAnsi="Arial Narrow"/>
                <w:color w:val="FF0000"/>
              </w:rPr>
              <w:t xml:space="preserve"> </w:t>
            </w:r>
            <w:r w:rsidRPr="00133B19">
              <w:rPr>
                <w:rFonts w:ascii="Arial Narrow" w:hAnsi="Arial Narrow"/>
              </w:rPr>
              <w:t>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tc>
      </w:tr>
      <w:tr w:rsidR="00036930" w:rsidRPr="00133B19" w14:paraId="607983EF" w14:textId="77777777" w:rsidTr="000343C1">
        <w:trPr>
          <w:trHeight w:val="416"/>
        </w:trPr>
        <w:tc>
          <w:tcPr>
            <w:tcW w:w="9163" w:type="dxa"/>
            <w:gridSpan w:val="2"/>
          </w:tcPr>
          <w:p w14:paraId="320AB975" w14:textId="77777777" w:rsidR="00036930" w:rsidRPr="00133B19" w:rsidRDefault="00036930" w:rsidP="000343C1">
            <w:pPr>
              <w:rPr>
                <w:rFonts w:ascii="Arial Narrow" w:hAnsi="Arial Narrow"/>
              </w:rPr>
            </w:pPr>
            <w:r w:rsidRPr="00133B19">
              <w:rPr>
                <w:rFonts w:ascii="Arial Narrow" w:hAnsi="Arial Narrow"/>
              </w:rPr>
              <w:t>PBS Item Codes to be changed to concept ID 32169:</w:t>
            </w:r>
          </w:p>
        </w:tc>
      </w:tr>
      <w:tr w:rsidR="00036930" w:rsidRPr="00133B19" w14:paraId="00428CD3" w14:textId="77777777" w:rsidTr="000343C1">
        <w:trPr>
          <w:trHeight w:val="416"/>
        </w:trPr>
        <w:tc>
          <w:tcPr>
            <w:tcW w:w="9163" w:type="dxa"/>
            <w:gridSpan w:val="2"/>
          </w:tcPr>
          <w:p w14:paraId="30C75E23" w14:textId="77777777" w:rsidR="00036930" w:rsidRPr="00133B19" w:rsidRDefault="00036930" w:rsidP="000343C1">
            <w:pPr>
              <w:rPr>
                <w:rFonts w:ascii="Arial Narrow" w:hAnsi="Arial Narrow"/>
              </w:rPr>
            </w:pPr>
            <w:r w:rsidRPr="00133B19">
              <w:rPr>
                <w:rFonts w:ascii="Arial Narrow" w:hAnsi="Arial Narrow"/>
              </w:rPr>
              <w:t>10109C / omalizumab 150 mg/mL injection, 1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6B733749" w14:textId="77777777" w:rsidR="00036930" w:rsidRPr="00133B19" w:rsidRDefault="00036930" w:rsidP="000343C1">
            <w:pPr>
              <w:rPr>
                <w:rFonts w:ascii="Arial Narrow" w:hAnsi="Arial Narrow"/>
              </w:rPr>
            </w:pPr>
            <w:r w:rsidRPr="00133B19">
              <w:rPr>
                <w:rFonts w:ascii="Arial Narrow" w:hAnsi="Arial Narrow"/>
              </w:rPr>
              <w:t>10122R / omalizumab 150 mg/mL injection, 1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3E1CCBCE" w14:textId="77777777" w:rsidR="00036930" w:rsidRPr="00133B19" w:rsidRDefault="00036930" w:rsidP="000343C1">
            <w:pPr>
              <w:rPr>
                <w:rFonts w:ascii="Arial Narrow" w:hAnsi="Arial Narrow"/>
              </w:rPr>
            </w:pPr>
            <w:r w:rsidRPr="00133B19">
              <w:rPr>
                <w:rFonts w:ascii="Arial Narrow" w:hAnsi="Arial Narrow"/>
              </w:rPr>
              <w:t>10118M / omalizumab 75 mg/0.5 mL injection, 0.5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71C3610B" w14:textId="77777777" w:rsidR="00036930" w:rsidRPr="00133B19" w:rsidRDefault="00036930" w:rsidP="000343C1">
            <w:pPr>
              <w:rPr>
                <w:rFonts w:ascii="Arial Narrow" w:hAnsi="Arial Narrow"/>
              </w:rPr>
            </w:pPr>
            <w:r w:rsidRPr="00133B19">
              <w:rPr>
                <w:rFonts w:ascii="Arial Narrow" w:hAnsi="Arial Narrow"/>
              </w:rPr>
              <w:t>10110D / omalizumab 75 mg/0.5 mL injection, 0.5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6F6EE093" w14:textId="77777777" w:rsidR="00036930" w:rsidRPr="00133B19" w:rsidRDefault="00036930" w:rsidP="000343C1">
            <w:pPr>
              <w:rPr>
                <w:rFonts w:ascii="Arial Narrow" w:hAnsi="Arial Narrow"/>
              </w:rPr>
            </w:pPr>
            <w:r w:rsidRPr="00133B19">
              <w:rPr>
                <w:rFonts w:ascii="Arial Narrow" w:hAnsi="Arial Narrow"/>
              </w:rPr>
              <w:t>11824H / omalizumab 150 mg/mL injection, 1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0BAA51BB" w14:textId="77777777" w:rsidR="00036930" w:rsidRPr="00133B19" w:rsidRDefault="00036930" w:rsidP="000343C1">
            <w:pPr>
              <w:rPr>
                <w:rFonts w:ascii="Arial Narrow" w:hAnsi="Arial Narrow"/>
              </w:rPr>
            </w:pPr>
            <w:r w:rsidRPr="00133B19">
              <w:rPr>
                <w:rFonts w:ascii="Arial Narrow" w:hAnsi="Arial Narrow"/>
              </w:rPr>
              <w:t>11864K / omalizumab 150 mg/mL injection, 1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200E1CD2" w14:textId="77777777" w:rsidR="00036930" w:rsidRPr="00133B19" w:rsidRDefault="00036930" w:rsidP="000343C1">
            <w:pPr>
              <w:rPr>
                <w:rFonts w:ascii="Arial Narrow" w:hAnsi="Arial Narrow"/>
              </w:rPr>
            </w:pPr>
            <w:r w:rsidRPr="00133B19">
              <w:rPr>
                <w:rFonts w:ascii="Arial Narrow" w:hAnsi="Arial Narrow"/>
              </w:rPr>
              <w:t>11835X / omalizumab 75 mg/0.5 mL injection, 0.5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58746C5E" w14:textId="77777777" w:rsidR="00036930" w:rsidRPr="00133B19" w:rsidRDefault="00036930" w:rsidP="000343C1">
            <w:pPr>
              <w:rPr>
                <w:rFonts w:ascii="Arial Narrow" w:hAnsi="Arial Narrow"/>
              </w:rPr>
            </w:pPr>
            <w:r w:rsidRPr="00133B19">
              <w:rPr>
                <w:rFonts w:ascii="Arial Narrow" w:hAnsi="Arial Narrow"/>
              </w:rPr>
              <w:t>11840E / omalizumab 75 mg/0.5 mL injection, 0.5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056E4850" w14:textId="77777777" w:rsidR="00036930" w:rsidRPr="00133B19" w:rsidRDefault="00036930" w:rsidP="000343C1">
            <w:pPr>
              <w:rPr>
                <w:rFonts w:ascii="Arial Narrow" w:hAnsi="Arial Narrow"/>
              </w:rPr>
            </w:pPr>
            <w:r w:rsidRPr="00133B19">
              <w:rPr>
                <w:rFonts w:ascii="Arial Narrow" w:hAnsi="Arial Narrow"/>
              </w:rPr>
              <w:t>11828M / omalizumab 150mg/mL injection, 1 mL syringe</w:t>
            </w:r>
          </w:p>
          <w:p w14:paraId="72D8E9B2" w14:textId="77777777" w:rsidR="00036930" w:rsidRPr="00133B19" w:rsidRDefault="00036930" w:rsidP="000343C1">
            <w:pPr>
              <w:rPr>
                <w:rFonts w:ascii="Arial Narrow" w:hAnsi="Arial Narrow"/>
              </w:rPr>
            </w:pPr>
            <w:r w:rsidRPr="00133B19">
              <w:rPr>
                <w:rFonts w:ascii="Arial Narrow" w:hAnsi="Arial Narrow"/>
              </w:rPr>
              <w:t>11825J / omalizumab 150 mg/mL injection, 1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068A3A31" w14:textId="77777777" w:rsidR="00036930" w:rsidRPr="00133B19" w:rsidRDefault="00036930" w:rsidP="000343C1">
            <w:pPr>
              <w:rPr>
                <w:rFonts w:ascii="Arial Narrow" w:hAnsi="Arial Narrow"/>
              </w:rPr>
            </w:pPr>
            <w:r w:rsidRPr="00133B19">
              <w:rPr>
                <w:rFonts w:ascii="Arial Narrow" w:hAnsi="Arial Narrow"/>
              </w:rPr>
              <w:t>11846L / omalizumab 75 mg/0.5 mL injection, 0.5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7FE72C42" w14:textId="77777777" w:rsidR="00036930" w:rsidRPr="00133B19" w:rsidRDefault="00036930" w:rsidP="000343C1">
            <w:pPr>
              <w:rPr>
                <w:rFonts w:ascii="Arial Narrow" w:hAnsi="Arial Narrow"/>
              </w:rPr>
            </w:pPr>
            <w:r w:rsidRPr="00133B19">
              <w:rPr>
                <w:rFonts w:ascii="Arial Narrow" w:hAnsi="Arial Narrow"/>
              </w:rPr>
              <w:t>11826K / omalizumab 75 mg/0.5 mL injection, 0.5 mL syringe</w:t>
            </w:r>
          </w:p>
          <w:p w14:paraId="6299E499" w14:textId="77777777" w:rsidR="00036930" w:rsidRPr="00133B19" w:rsidRDefault="00036930" w:rsidP="000343C1">
            <w:pPr>
              <w:rPr>
                <w:rFonts w:ascii="Arial Narrow" w:hAnsi="Arial Narrow"/>
              </w:rPr>
            </w:pPr>
            <w:r w:rsidRPr="00133B19">
              <w:rPr>
                <w:rFonts w:ascii="Arial Narrow" w:hAnsi="Arial Narrow"/>
              </w:rPr>
              <w:t>12051G / mepolizumab 100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44E3AEE7" w14:textId="77777777" w:rsidR="00036930" w:rsidRPr="00133B19" w:rsidRDefault="00036930" w:rsidP="000343C1">
            <w:pPr>
              <w:rPr>
                <w:rFonts w:ascii="Arial Narrow" w:hAnsi="Arial Narrow"/>
              </w:rPr>
            </w:pPr>
            <w:r w:rsidRPr="00133B19">
              <w:rPr>
                <w:rFonts w:ascii="Arial Narrow" w:hAnsi="Arial Narrow"/>
              </w:rPr>
              <w:t>12007Y / mepolizumab 100 mg/mL injection, 1 mL pen device</w:t>
            </w:r>
            <w:r w:rsidRPr="00133B19">
              <w:rPr>
                <w:rFonts w:ascii="Arial Narrow" w:hAnsi="Arial Narrow"/>
              </w:rPr>
              <w:tab/>
            </w:r>
          </w:p>
          <w:p w14:paraId="6DB9AE47" w14:textId="77777777" w:rsidR="00036930" w:rsidRPr="00133B19" w:rsidRDefault="00036930" w:rsidP="000343C1">
            <w:pPr>
              <w:rPr>
                <w:rFonts w:ascii="Arial Narrow" w:hAnsi="Arial Narrow"/>
              </w:rPr>
            </w:pPr>
            <w:r w:rsidRPr="00133B19">
              <w:rPr>
                <w:rFonts w:ascii="Arial Narrow" w:hAnsi="Arial Narrow"/>
              </w:rPr>
              <w:t>12052H / mepolizumab 100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075FDC3F" w14:textId="77777777" w:rsidR="00036930" w:rsidRPr="00133B19" w:rsidRDefault="00036930" w:rsidP="000343C1">
            <w:pPr>
              <w:rPr>
                <w:rFonts w:ascii="Arial Narrow" w:hAnsi="Arial Narrow"/>
              </w:rPr>
            </w:pPr>
            <w:r w:rsidRPr="00133B19">
              <w:rPr>
                <w:rFonts w:ascii="Arial Narrow" w:hAnsi="Arial Narrow"/>
              </w:rPr>
              <w:t>12064Y / mepolizumab 100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03911982" w14:textId="77777777" w:rsidR="00036930" w:rsidRPr="00133B19" w:rsidRDefault="00036930" w:rsidP="000343C1">
            <w:pPr>
              <w:rPr>
                <w:rFonts w:ascii="Arial Narrow" w:hAnsi="Arial Narrow"/>
              </w:rPr>
            </w:pPr>
            <w:r w:rsidRPr="00133B19">
              <w:rPr>
                <w:rFonts w:ascii="Arial Narrow" w:hAnsi="Arial Narrow"/>
              </w:rPr>
              <w:t>12043W / mepolizumab 100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708C41AD" w14:textId="77777777" w:rsidR="00036930" w:rsidRPr="00133B19" w:rsidRDefault="00036930" w:rsidP="000343C1">
            <w:pPr>
              <w:rPr>
                <w:rFonts w:ascii="Arial Narrow" w:hAnsi="Arial Narrow"/>
              </w:rPr>
            </w:pPr>
            <w:r w:rsidRPr="00133B19">
              <w:rPr>
                <w:rFonts w:ascii="Arial Narrow" w:hAnsi="Arial Narrow"/>
              </w:rPr>
              <w:t>12021Q / mepolizumab 100 mg/mL injection, 1 mL pen device</w:t>
            </w:r>
          </w:p>
          <w:p w14:paraId="4FC0858E" w14:textId="77777777" w:rsidR="00036930" w:rsidRPr="00133B19" w:rsidRDefault="00036930" w:rsidP="000343C1">
            <w:pPr>
              <w:rPr>
                <w:rFonts w:ascii="Arial Narrow" w:hAnsi="Arial Narrow"/>
              </w:rPr>
            </w:pPr>
            <w:r w:rsidRPr="00133B19">
              <w:rPr>
                <w:rFonts w:ascii="Arial Narrow" w:hAnsi="Arial Narrow"/>
              </w:rPr>
              <w:t xml:space="preserve">11997K / </w:t>
            </w:r>
            <w:proofErr w:type="spellStart"/>
            <w:r w:rsidRPr="00133B19">
              <w:rPr>
                <w:rFonts w:ascii="Arial Narrow" w:hAnsi="Arial Narrow"/>
              </w:rPr>
              <w:t>benralizumab</w:t>
            </w:r>
            <w:proofErr w:type="spellEnd"/>
            <w:r w:rsidRPr="00133B19">
              <w:rPr>
                <w:rFonts w:ascii="Arial Narrow" w:hAnsi="Arial Narrow"/>
              </w:rPr>
              <w:t xml:space="preserve"> 30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27D06E3B" w14:textId="77777777" w:rsidR="00036930" w:rsidRPr="00133B19" w:rsidRDefault="00036930" w:rsidP="000343C1">
            <w:pPr>
              <w:rPr>
                <w:rFonts w:ascii="Arial Narrow" w:hAnsi="Arial Narrow"/>
              </w:rPr>
            </w:pPr>
            <w:r w:rsidRPr="00133B19">
              <w:rPr>
                <w:rFonts w:ascii="Arial Narrow" w:hAnsi="Arial Narrow"/>
              </w:rPr>
              <w:t xml:space="preserve">11994G / </w:t>
            </w:r>
            <w:proofErr w:type="spellStart"/>
            <w:r w:rsidRPr="00133B19">
              <w:rPr>
                <w:rFonts w:ascii="Arial Narrow" w:hAnsi="Arial Narrow"/>
              </w:rPr>
              <w:t>benralizumab</w:t>
            </w:r>
            <w:proofErr w:type="spellEnd"/>
            <w:r w:rsidRPr="00133B19">
              <w:rPr>
                <w:rFonts w:ascii="Arial Narrow" w:hAnsi="Arial Narrow"/>
              </w:rPr>
              <w:t xml:space="preserve"> 30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02219884" w14:textId="77777777" w:rsidR="00036930" w:rsidRPr="00133B19" w:rsidRDefault="00036930" w:rsidP="000343C1">
            <w:pPr>
              <w:rPr>
                <w:rFonts w:ascii="Arial Narrow" w:hAnsi="Arial Narrow"/>
              </w:rPr>
            </w:pPr>
            <w:r w:rsidRPr="00133B19">
              <w:rPr>
                <w:rFonts w:ascii="Arial Narrow" w:hAnsi="Arial Narrow"/>
              </w:rPr>
              <w:t xml:space="preserve">11996J / </w:t>
            </w:r>
            <w:proofErr w:type="spellStart"/>
            <w:r w:rsidRPr="00133B19">
              <w:rPr>
                <w:rFonts w:ascii="Arial Narrow" w:hAnsi="Arial Narrow"/>
              </w:rPr>
              <w:t>benralizumab</w:t>
            </w:r>
            <w:proofErr w:type="spellEnd"/>
            <w:r w:rsidRPr="00133B19">
              <w:rPr>
                <w:rFonts w:ascii="Arial Narrow" w:hAnsi="Arial Narrow"/>
              </w:rPr>
              <w:t xml:space="preserve"> 30 mg/mL injection, 1 mL pen device</w:t>
            </w:r>
            <w:r w:rsidRPr="00133B19">
              <w:rPr>
                <w:rFonts w:ascii="Arial Narrow" w:hAnsi="Arial Narrow"/>
              </w:rPr>
              <w:tab/>
            </w:r>
          </w:p>
          <w:p w14:paraId="5DE4B394" w14:textId="77777777" w:rsidR="00036930" w:rsidRPr="00133B19" w:rsidRDefault="00036930" w:rsidP="000343C1">
            <w:pPr>
              <w:rPr>
                <w:rFonts w:ascii="Arial Narrow" w:hAnsi="Arial Narrow"/>
              </w:rPr>
            </w:pPr>
            <w:r w:rsidRPr="00133B19">
              <w:rPr>
                <w:rFonts w:ascii="Arial Narrow" w:hAnsi="Arial Narrow"/>
              </w:rPr>
              <w:t xml:space="preserve">11999M / </w:t>
            </w:r>
            <w:proofErr w:type="spellStart"/>
            <w:r w:rsidRPr="00133B19">
              <w:rPr>
                <w:rFonts w:ascii="Arial Narrow" w:hAnsi="Arial Narrow"/>
              </w:rPr>
              <w:t>benralizumab</w:t>
            </w:r>
            <w:proofErr w:type="spellEnd"/>
            <w:r w:rsidRPr="00133B19">
              <w:rPr>
                <w:rFonts w:ascii="Arial Narrow" w:hAnsi="Arial Narrow"/>
              </w:rPr>
              <w:t xml:space="preserve"> 30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p>
          <w:p w14:paraId="29CA1461" w14:textId="77777777" w:rsidR="00036930" w:rsidRPr="00133B19" w:rsidRDefault="00036930" w:rsidP="000343C1">
            <w:pPr>
              <w:rPr>
                <w:rFonts w:ascii="Arial Narrow" w:hAnsi="Arial Narrow"/>
              </w:rPr>
            </w:pPr>
            <w:r w:rsidRPr="00133B19">
              <w:rPr>
                <w:rFonts w:ascii="Arial Narrow" w:hAnsi="Arial Narrow"/>
              </w:rPr>
              <w:t xml:space="preserve">11995H / </w:t>
            </w:r>
            <w:proofErr w:type="spellStart"/>
            <w:r w:rsidRPr="00133B19">
              <w:rPr>
                <w:rFonts w:ascii="Arial Narrow" w:hAnsi="Arial Narrow"/>
              </w:rPr>
              <w:t>benralizumab</w:t>
            </w:r>
            <w:proofErr w:type="spellEnd"/>
            <w:r w:rsidRPr="00133B19">
              <w:rPr>
                <w:rFonts w:ascii="Arial Narrow" w:hAnsi="Arial Narrow"/>
              </w:rPr>
              <w:t xml:space="preserve"> 30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487C8F06" w14:textId="77777777" w:rsidR="00036930" w:rsidRPr="00133B19" w:rsidRDefault="00036930" w:rsidP="000343C1">
            <w:pPr>
              <w:rPr>
                <w:rFonts w:ascii="Arial Narrow" w:hAnsi="Arial Narrow"/>
              </w:rPr>
            </w:pPr>
            <w:r w:rsidRPr="00133B19">
              <w:rPr>
                <w:rFonts w:ascii="Arial Narrow" w:hAnsi="Arial Narrow"/>
              </w:rPr>
              <w:t xml:space="preserve">12000N / </w:t>
            </w:r>
            <w:proofErr w:type="spellStart"/>
            <w:r w:rsidRPr="00133B19">
              <w:rPr>
                <w:rFonts w:ascii="Arial Narrow" w:hAnsi="Arial Narrow"/>
              </w:rPr>
              <w:t>benralizumab</w:t>
            </w:r>
            <w:proofErr w:type="spellEnd"/>
            <w:r w:rsidRPr="00133B19">
              <w:rPr>
                <w:rFonts w:ascii="Arial Narrow" w:hAnsi="Arial Narrow"/>
              </w:rPr>
              <w:t xml:space="preserve"> 30 mg/mL injection, 1 mL pen device</w:t>
            </w:r>
          </w:p>
          <w:p w14:paraId="6D87C573" w14:textId="77777777" w:rsidR="00036930" w:rsidRPr="00133B19" w:rsidRDefault="00036930" w:rsidP="000343C1">
            <w:pPr>
              <w:rPr>
                <w:rFonts w:ascii="Arial Narrow" w:hAnsi="Arial Narrow"/>
              </w:rPr>
            </w:pPr>
            <w:r w:rsidRPr="00133B19">
              <w:rPr>
                <w:rFonts w:ascii="Arial Narrow" w:hAnsi="Arial Narrow"/>
              </w:rPr>
              <w:t>12309W / dupilumab 200 mg/1.14 mL injection, 2 x 1.14 mL syringes</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0CAEB8AD" w14:textId="77777777" w:rsidR="00036930" w:rsidRPr="00133B19" w:rsidRDefault="00036930" w:rsidP="000343C1">
            <w:pPr>
              <w:rPr>
                <w:rFonts w:ascii="Arial Narrow" w:hAnsi="Arial Narrow"/>
              </w:rPr>
            </w:pPr>
            <w:r w:rsidRPr="00133B19">
              <w:rPr>
                <w:rFonts w:ascii="Arial Narrow" w:hAnsi="Arial Narrow"/>
              </w:rPr>
              <w:t>12313C / dupilumab 200 mg/1.14 mL injection, 2 x 1.14 mL syringes</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25EF8DE8" w14:textId="77777777" w:rsidR="00036930" w:rsidRPr="00133B19" w:rsidRDefault="00036930" w:rsidP="000343C1">
            <w:pPr>
              <w:rPr>
                <w:rFonts w:ascii="Arial Narrow" w:hAnsi="Arial Narrow"/>
              </w:rPr>
            </w:pPr>
            <w:r w:rsidRPr="00133B19">
              <w:rPr>
                <w:rFonts w:ascii="Arial Narrow" w:hAnsi="Arial Narrow"/>
              </w:rPr>
              <w:t>12318H / dupilumab 200 mg/1.14 mL injection, 2 x 1.14 mL syringes</w:t>
            </w:r>
            <w:r w:rsidRPr="00133B19">
              <w:rPr>
                <w:rFonts w:ascii="Arial Narrow" w:hAnsi="Arial Narrow"/>
              </w:rPr>
              <w:tab/>
            </w:r>
            <w:r w:rsidRPr="00133B19">
              <w:rPr>
                <w:rFonts w:ascii="Arial Narrow" w:hAnsi="Arial Narrow"/>
              </w:rPr>
              <w:tab/>
            </w:r>
            <w:r w:rsidRPr="00133B19">
              <w:rPr>
                <w:rFonts w:ascii="Arial Narrow" w:hAnsi="Arial Narrow"/>
              </w:rPr>
              <w:tab/>
            </w:r>
          </w:p>
          <w:p w14:paraId="7223B493" w14:textId="77777777" w:rsidR="00036930" w:rsidRPr="00133B19" w:rsidRDefault="00036930" w:rsidP="000343C1">
            <w:pPr>
              <w:rPr>
                <w:rFonts w:ascii="Arial Narrow" w:hAnsi="Arial Narrow"/>
              </w:rPr>
            </w:pPr>
            <w:r w:rsidRPr="00133B19">
              <w:rPr>
                <w:rFonts w:ascii="Arial Narrow" w:hAnsi="Arial Narrow"/>
              </w:rPr>
              <w:t>12316F / dupilumab 200 mg/1.14 mL injection, 2 x 1.14 mL syringes</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5ED36D8D" w14:textId="77777777" w:rsidR="00036930" w:rsidRPr="00133B19" w:rsidRDefault="00036930" w:rsidP="000343C1">
            <w:pPr>
              <w:rPr>
                <w:rFonts w:ascii="Arial Narrow" w:hAnsi="Arial Narrow"/>
              </w:rPr>
            </w:pPr>
            <w:r w:rsidRPr="00133B19">
              <w:rPr>
                <w:rFonts w:ascii="Arial Narrow" w:hAnsi="Arial Narrow"/>
              </w:rPr>
              <w:t>12293B / dupilumab 300 mg/2 mL injection, 2 x 2 mL syringes</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701EA7B1" w14:textId="77777777" w:rsidR="00036930" w:rsidRPr="00133B19" w:rsidRDefault="00036930" w:rsidP="000343C1">
            <w:pPr>
              <w:rPr>
                <w:rFonts w:ascii="Arial Narrow" w:hAnsi="Arial Narrow"/>
              </w:rPr>
            </w:pPr>
            <w:r w:rsidRPr="00133B19">
              <w:rPr>
                <w:rFonts w:ascii="Arial Narrow" w:hAnsi="Arial Narrow"/>
              </w:rPr>
              <w:t>12310X / dupilumab 300 mg/2 mL injection, 2 x 2 mL syringes</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63141999" w14:textId="77777777" w:rsidR="00036930" w:rsidRPr="00133B19" w:rsidRDefault="00036930" w:rsidP="000343C1">
            <w:pPr>
              <w:rPr>
                <w:rFonts w:ascii="Arial Narrow" w:hAnsi="Arial Narrow"/>
              </w:rPr>
            </w:pPr>
            <w:r w:rsidRPr="00133B19">
              <w:rPr>
                <w:rFonts w:ascii="Arial Narrow" w:hAnsi="Arial Narrow"/>
              </w:rPr>
              <w:t>12302L / dupilumab 300 mg/2 mL injection, 2 x 2 mL syringes</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1526FCCB" w14:textId="77777777" w:rsidR="00036930" w:rsidRPr="00133B19" w:rsidRDefault="00036930" w:rsidP="000343C1">
            <w:pPr>
              <w:rPr>
                <w:rFonts w:ascii="Arial Narrow" w:hAnsi="Arial Narrow"/>
              </w:rPr>
            </w:pPr>
            <w:r w:rsidRPr="00133B19">
              <w:rPr>
                <w:rFonts w:ascii="Arial Narrow" w:hAnsi="Arial Narrow"/>
              </w:rPr>
              <w:t>12294C / dupilumab 300 mg/2 mL injection, 2 x 2 mL syringes</w:t>
            </w:r>
          </w:p>
          <w:p w14:paraId="13BCB50A" w14:textId="77777777" w:rsidR="00036930" w:rsidRPr="00133B19" w:rsidRDefault="00036930" w:rsidP="000343C1">
            <w:pPr>
              <w:rPr>
                <w:rFonts w:ascii="Arial Narrow" w:hAnsi="Arial Narrow"/>
              </w:rPr>
            </w:pPr>
            <w:r w:rsidRPr="00133B19">
              <w:rPr>
                <w:rFonts w:ascii="Arial Narrow" w:hAnsi="Arial Narrow"/>
              </w:rPr>
              <w:t>14947Q / omalizumab 75 mg/0.5 mL injection, 0.5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497A0A70" w14:textId="77777777" w:rsidR="00036930" w:rsidRPr="00133B19" w:rsidRDefault="00036930" w:rsidP="000343C1">
            <w:pPr>
              <w:rPr>
                <w:rFonts w:ascii="Arial Narrow" w:hAnsi="Arial Narrow"/>
              </w:rPr>
            </w:pPr>
            <w:r w:rsidRPr="00133B19">
              <w:rPr>
                <w:rFonts w:ascii="Arial Narrow" w:hAnsi="Arial Narrow"/>
              </w:rPr>
              <w:t>14919F / omalizumab 75 mg/0.5 mL injection, 0.5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69EF414D" w14:textId="77777777" w:rsidR="00036930" w:rsidRPr="00133B19" w:rsidRDefault="00036930" w:rsidP="000343C1">
            <w:pPr>
              <w:rPr>
                <w:rFonts w:ascii="Arial Narrow" w:hAnsi="Arial Narrow"/>
              </w:rPr>
            </w:pPr>
            <w:r w:rsidRPr="00133B19">
              <w:rPr>
                <w:rFonts w:ascii="Arial Narrow" w:hAnsi="Arial Narrow"/>
              </w:rPr>
              <w:t>14948R / omalizumab 150 mg/mL injection, 1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1AA92647" w14:textId="77777777" w:rsidR="00036930" w:rsidRPr="00133B19" w:rsidRDefault="00036930" w:rsidP="000343C1">
            <w:pPr>
              <w:rPr>
                <w:rFonts w:ascii="Arial Narrow" w:hAnsi="Arial Narrow"/>
              </w:rPr>
            </w:pPr>
            <w:r w:rsidRPr="00133B19">
              <w:rPr>
                <w:rFonts w:ascii="Arial Narrow" w:hAnsi="Arial Narrow"/>
              </w:rPr>
              <w:t>14927P / omalizumab 150 mg/mL injection, 1 mL syringe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662E3C92" w14:textId="77777777" w:rsidR="00036930" w:rsidRPr="00133B19" w:rsidRDefault="00036930" w:rsidP="000343C1">
            <w:pPr>
              <w:rPr>
                <w:rFonts w:ascii="Arial Narrow" w:hAnsi="Arial Narrow"/>
              </w:rPr>
            </w:pPr>
            <w:r w:rsidRPr="00133B19">
              <w:rPr>
                <w:rFonts w:ascii="Arial Narrow" w:hAnsi="Arial Narrow"/>
              </w:rPr>
              <w:t>14949T / omalizumab 75 mg/0.5 mL injection, 0.5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16D69185" w14:textId="77777777" w:rsidR="00036930" w:rsidRPr="00133B19" w:rsidRDefault="00036930" w:rsidP="000343C1">
            <w:pPr>
              <w:rPr>
                <w:rFonts w:ascii="Arial Narrow" w:hAnsi="Arial Narrow"/>
              </w:rPr>
            </w:pPr>
            <w:r w:rsidRPr="00133B19">
              <w:rPr>
                <w:rFonts w:ascii="Arial Narrow" w:hAnsi="Arial Narrow"/>
              </w:rPr>
              <w:t>14904K / omalizumab 75 mg/0.5 mL injection, 0.5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4099650C" w14:textId="77777777" w:rsidR="00036930" w:rsidRPr="00133B19" w:rsidRDefault="00036930" w:rsidP="000343C1">
            <w:pPr>
              <w:rPr>
                <w:rFonts w:ascii="Arial Narrow" w:hAnsi="Arial Narrow"/>
              </w:rPr>
            </w:pPr>
            <w:r w:rsidRPr="00133B19">
              <w:rPr>
                <w:rFonts w:ascii="Arial Narrow" w:hAnsi="Arial Narrow"/>
              </w:rPr>
              <w:t>14884J / omalizumab 150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57C64D02" w14:textId="77777777" w:rsidR="00036930" w:rsidRPr="00133B19" w:rsidRDefault="00036930" w:rsidP="000343C1">
            <w:pPr>
              <w:rPr>
                <w:rFonts w:ascii="Arial Narrow" w:hAnsi="Arial Narrow"/>
              </w:rPr>
            </w:pPr>
            <w:r w:rsidRPr="00133B19">
              <w:rPr>
                <w:rFonts w:ascii="Arial Narrow" w:hAnsi="Arial Narrow"/>
              </w:rPr>
              <w:t>14923K / omalizumab 150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6D8522C9" w14:textId="77777777" w:rsidR="00036930" w:rsidRPr="00133B19" w:rsidRDefault="00036930" w:rsidP="000343C1">
            <w:pPr>
              <w:rPr>
                <w:rFonts w:ascii="Arial Narrow" w:hAnsi="Arial Narrow"/>
              </w:rPr>
            </w:pPr>
            <w:r w:rsidRPr="00133B19">
              <w:rPr>
                <w:rFonts w:ascii="Arial Narrow" w:hAnsi="Arial Narrow"/>
              </w:rPr>
              <w:t>14885K / omalizumab 300 mg/2 mL injection, 2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279469CA" w14:textId="77777777" w:rsidR="00036930" w:rsidRPr="00133B19" w:rsidRDefault="00036930" w:rsidP="000343C1">
            <w:pPr>
              <w:rPr>
                <w:rFonts w:ascii="Arial Narrow" w:hAnsi="Arial Narrow"/>
              </w:rPr>
            </w:pPr>
            <w:r w:rsidRPr="00133B19">
              <w:rPr>
                <w:rFonts w:ascii="Arial Narrow" w:hAnsi="Arial Narrow"/>
              </w:rPr>
              <w:t>14953B / omalizumab 300 mg/2 mL injection, 2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03AB2C19" w14:textId="77777777" w:rsidR="00036930" w:rsidRPr="00133B19" w:rsidRDefault="00036930" w:rsidP="000343C1">
            <w:pPr>
              <w:rPr>
                <w:rFonts w:ascii="Arial Narrow" w:hAnsi="Arial Narrow"/>
              </w:rPr>
            </w:pPr>
            <w:r w:rsidRPr="00133B19">
              <w:rPr>
                <w:rFonts w:ascii="Arial Narrow" w:hAnsi="Arial Narrow"/>
              </w:rPr>
              <w:t>14950W / omalizumab 75 mg/0.5 mL injection, 0.5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58C77A05" w14:textId="77777777" w:rsidR="00036930" w:rsidRPr="00133B19" w:rsidRDefault="00036930" w:rsidP="000343C1">
            <w:pPr>
              <w:rPr>
                <w:rFonts w:ascii="Arial Narrow" w:hAnsi="Arial Narrow"/>
              </w:rPr>
            </w:pPr>
            <w:r w:rsidRPr="00133B19">
              <w:rPr>
                <w:rFonts w:ascii="Arial Narrow" w:hAnsi="Arial Narrow"/>
              </w:rPr>
              <w:t>14921H / omalizumab 75 mg/0.5 mL injection, 0.5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77A101D5" w14:textId="77777777" w:rsidR="00036930" w:rsidRPr="00133B19" w:rsidRDefault="00036930" w:rsidP="000343C1">
            <w:pPr>
              <w:rPr>
                <w:rFonts w:ascii="Arial Narrow" w:hAnsi="Arial Narrow"/>
              </w:rPr>
            </w:pPr>
            <w:r w:rsidRPr="00133B19">
              <w:rPr>
                <w:rFonts w:ascii="Arial Narrow" w:hAnsi="Arial Narrow"/>
              </w:rPr>
              <w:t>14922J / omalizumab 150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76D0376B" w14:textId="77777777" w:rsidR="00036930" w:rsidRPr="00133B19" w:rsidRDefault="00036930" w:rsidP="000343C1">
            <w:pPr>
              <w:rPr>
                <w:rFonts w:ascii="Arial Narrow" w:hAnsi="Arial Narrow"/>
              </w:rPr>
            </w:pPr>
            <w:r w:rsidRPr="00133B19">
              <w:rPr>
                <w:rFonts w:ascii="Arial Narrow" w:hAnsi="Arial Narrow"/>
              </w:rPr>
              <w:t>14928Q / omalizumab 150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2CEB0B91" w14:textId="77777777" w:rsidR="00036930" w:rsidRPr="00133B19" w:rsidRDefault="00036930" w:rsidP="000343C1">
            <w:pPr>
              <w:rPr>
                <w:rFonts w:ascii="Arial Narrow" w:hAnsi="Arial Narrow"/>
              </w:rPr>
            </w:pPr>
            <w:r w:rsidRPr="00133B19">
              <w:rPr>
                <w:rFonts w:ascii="Arial Narrow" w:hAnsi="Arial Narrow"/>
              </w:rPr>
              <w:t>14906M / omalizumab 300 mg/2 mL injection, 2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502791B7" w14:textId="77777777" w:rsidR="00036930" w:rsidRPr="00133B19" w:rsidRDefault="00036930" w:rsidP="000343C1">
            <w:pPr>
              <w:rPr>
                <w:rFonts w:ascii="Arial Narrow" w:hAnsi="Arial Narrow"/>
              </w:rPr>
            </w:pPr>
            <w:r w:rsidRPr="00133B19">
              <w:rPr>
                <w:rFonts w:ascii="Arial Narrow" w:hAnsi="Arial Narrow"/>
              </w:rPr>
              <w:t>14951X / omalizumab 300 mg/2 mL injection, 2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190E03BB" w14:textId="77777777" w:rsidR="00036930" w:rsidRPr="00133B19" w:rsidRDefault="00036930" w:rsidP="000343C1">
            <w:pPr>
              <w:rPr>
                <w:rFonts w:ascii="Arial Narrow" w:hAnsi="Arial Narrow"/>
              </w:rPr>
            </w:pPr>
            <w:r w:rsidRPr="00133B19">
              <w:rPr>
                <w:rFonts w:ascii="Arial Narrow" w:hAnsi="Arial Narrow"/>
              </w:rPr>
              <w:t>14905L / omalizumab 75 mg/0.5 mL injection, 0.5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49B1E623" w14:textId="77777777" w:rsidR="00036930" w:rsidRPr="00133B19" w:rsidRDefault="00036930" w:rsidP="000343C1">
            <w:pPr>
              <w:rPr>
                <w:rFonts w:ascii="Arial Narrow" w:hAnsi="Arial Narrow"/>
              </w:rPr>
            </w:pPr>
            <w:r w:rsidRPr="00133B19">
              <w:rPr>
                <w:rFonts w:ascii="Arial Narrow" w:hAnsi="Arial Narrow"/>
              </w:rPr>
              <w:t>14939G / omalizumab 75 mg/0.5 mL injection, 0.5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48D6B850" w14:textId="77777777" w:rsidR="00036930" w:rsidRPr="00133B19" w:rsidRDefault="00036930" w:rsidP="000343C1">
            <w:pPr>
              <w:rPr>
                <w:rFonts w:ascii="Arial Narrow" w:hAnsi="Arial Narrow"/>
              </w:rPr>
            </w:pPr>
            <w:r w:rsidRPr="00133B19">
              <w:rPr>
                <w:rFonts w:ascii="Arial Narrow" w:hAnsi="Arial Narrow"/>
              </w:rPr>
              <w:t>14929R / omalizumab 150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7069A89B" w14:textId="77777777" w:rsidR="00036930" w:rsidRPr="00133B19" w:rsidRDefault="00036930" w:rsidP="000343C1">
            <w:pPr>
              <w:rPr>
                <w:rFonts w:ascii="Arial Narrow" w:hAnsi="Arial Narrow"/>
              </w:rPr>
            </w:pPr>
            <w:r w:rsidRPr="00133B19">
              <w:rPr>
                <w:rFonts w:ascii="Arial Narrow" w:hAnsi="Arial Narrow"/>
              </w:rPr>
              <w:t>14883H / omalizumab 150 mg/mL injection, 1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20763075" w14:textId="77777777" w:rsidR="00036930" w:rsidRPr="00133B19" w:rsidRDefault="00036930" w:rsidP="000343C1">
            <w:pPr>
              <w:rPr>
                <w:rFonts w:ascii="Arial Narrow" w:hAnsi="Arial Narrow"/>
              </w:rPr>
            </w:pPr>
            <w:r w:rsidRPr="00133B19">
              <w:rPr>
                <w:rFonts w:ascii="Arial Narrow" w:hAnsi="Arial Narrow"/>
              </w:rPr>
              <w:t>14952Y / omalizumab 300 mg/2 mL injection, 2 mL pen device</w:t>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r w:rsidRPr="00133B19">
              <w:rPr>
                <w:rFonts w:ascii="Arial Narrow" w:hAnsi="Arial Narrow"/>
              </w:rPr>
              <w:tab/>
            </w:r>
          </w:p>
          <w:p w14:paraId="712DAC94" w14:textId="77777777" w:rsidR="00036930" w:rsidRPr="00133B19" w:rsidRDefault="00036930" w:rsidP="000343C1">
            <w:pPr>
              <w:rPr>
                <w:rFonts w:ascii="Arial Narrow" w:hAnsi="Arial Narrow"/>
              </w:rPr>
            </w:pPr>
            <w:r w:rsidRPr="00133B19">
              <w:rPr>
                <w:rFonts w:ascii="Arial Narrow" w:hAnsi="Arial Narrow"/>
              </w:rPr>
              <w:t>14912W / omalizumab 300 mg/2 mL injection, 2 mL pen device</w:t>
            </w:r>
          </w:p>
        </w:tc>
      </w:tr>
    </w:tbl>
    <w:p w14:paraId="15DDF5D9" w14:textId="77777777" w:rsidR="00036930" w:rsidRDefault="00036930" w:rsidP="0006108D">
      <w:pPr>
        <w:spacing w:before="120" w:after="120"/>
        <w:rPr>
          <w:rFonts w:asciiTheme="minorHAnsi" w:hAnsiTheme="minorHAnsi"/>
          <w:b/>
          <w:i/>
          <w:iCs/>
          <w:snapToGrid w:val="0"/>
          <w:lang w:val="en-GB" w:eastAsia="en-US"/>
        </w:rPr>
      </w:pPr>
    </w:p>
    <w:p w14:paraId="605176DB" w14:textId="5462875A" w:rsidR="0006108D" w:rsidRDefault="0006108D" w:rsidP="0006108D">
      <w:pPr>
        <w:spacing w:before="120" w:after="120"/>
        <w:rPr>
          <w:rFonts w:asciiTheme="minorHAnsi" w:hAnsiTheme="minorHAnsi"/>
          <w:b/>
          <w:i/>
          <w:iCs/>
          <w:snapToGrid w:val="0"/>
          <w:lang w:val="en-GB" w:eastAsia="en-US"/>
        </w:rPr>
      </w:pPr>
      <w:r w:rsidRPr="008E4308">
        <w:rPr>
          <w:rFonts w:asciiTheme="minorHAnsi" w:hAnsiTheme="minorHAnsi"/>
          <w:b/>
          <w:i/>
          <w:iCs/>
          <w:snapToGrid w:val="0"/>
          <w:lang w:val="en-GB" w:eastAsia="en-US"/>
        </w:rPr>
        <w:t>These restrictions may be subject to further review. Should there be any changes made to the restriction the sponsor will be informed.</w:t>
      </w:r>
    </w:p>
    <w:p w14:paraId="7274B7B5" w14:textId="77777777" w:rsidR="00D4606F" w:rsidRPr="00D4606F" w:rsidRDefault="00D4606F" w:rsidP="00D4606F">
      <w:pPr>
        <w:keepNext/>
        <w:spacing w:before="240" w:after="120"/>
        <w:ind w:left="720" w:hanging="720"/>
        <w:jc w:val="left"/>
        <w:outlineLvl w:val="0"/>
        <w:rPr>
          <w:rFonts w:asciiTheme="minorHAnsi" w:hAnsiTheme="minorHAnsi"/>
          <w:b/>
          <w:bCs/>
          <w:snapToGrid w:val="0"/>
          <w:sz w:val="32"/>
          <w:szCs w:val="32"/>
          <w:lang w:val="en-GB"/>
        </w:rPr>
      </w:pPr>
      <w:bookmarkStart w:id="140" w:name="_Hlk219207652"/>
      <w:r w:rsidRPr="00D4606F">
        <w:rPr>
          <w:rFonts w:asciiTheme="minorHAnsi" w:hAnsiTheme="minorHAnsi"/>
          <w:b/>
          <w:snapToGrid w:val="0"/>
          <w:sz w:val="32"/>
          <w:szCs w:val="32"/>
        </w:rPr>
        <w:t>9</w:t>
      </w:r>
      <w:r w:rsidRPr="00D4606F">
        <w:rPr>
          <w:rFonts w:asciiTheme="minorHAnsi" w:hAnsiTheme="minorHAnsi"/>
          <w:b/>
          <w:snapToGrid w:val="0"/>
          <w:sz w:val="32"/>
          <w:szCs w:val="32"/>
        </w:rPr>
        <w:tab/>
        <w:t>Context for Decision</w:t>
      </w:r>
    </w:p>
    <w:p w14:paraId="02B89005" w14:textId="77777777" w:rsidR="00D4606F" w:rsidRPr="00D4606F" w:rsidRDefault="00D4606F" w:rsidP="00D4606F">
      <w:pPr>
        <w:spacing w:after="120"/>
        <w:ind w:left="720"/>
        <w:rPr>
          <w:rFonts w:asciiTheme="minorHAnsi" w:hAnsiTheme="minorHAnsi"/>
          <w:bCs/>
          <w:lang w:val="en-GB"/>
        </w:rPr>
      </w:pPr>
      <w:r w:rsidRPr="00D4606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bookmarkEnd w:id="140"/>
    <w:p w14:paraId="7D79CDA1" w14:textId="77777777" w:rsidR="00D4606F" w:rsidRPr="00D4606F" w:rsidRDefault="00D4606F" w:rsidP="00D4606F">
      <w:pPr>
        <w:keepNext/>
        <w:spacing w:before="240" w:after="120"/>
        <w:ind w:left="720" w:hanging="720"/>
        <w:jc w:val="left"/>
        <w:outlineLvl w:val="0"/>
        <w:rPr>
          <w:rFonts w:asciiTheme="minorHAnsi" w:hAnsiTheme="minorHAnsi"/>
          <w:b/>
          <w:snapToGrid w:val="0"/>
          <w:sz w:val="32"/>
          <w:szCs w:val="32"/>
        </w:rPr>
      </w:pPr>
      <w:r w:rsidRPr="00D4606F">
        <w:rPr>
          <w:rFonts w:asciiTheme="minorHAnsi" w:hAnsiTheme="minorHAnsi"/>
          <w:b/>
          <w:snapToGrid w:val="0"/>
          <w:sz w:val="32"/>
          <w:szCs w:val="32"/>
        </w:rPr>
        <w:t>10</w:t>
      </w:r>
      <w:r w:rsidRPr="00D4606F">
        <w:rPr>
          <w:rFonts w:asciiTheme="minorHAnsi" w:hAnsiTheme="minorHAnsi"/>
          <w:b/>
          <w:snapToGrid w:val="0"/>
          <w:sz w:val="32"/>
          <w:szCs w:val="32"/>
        </w:rPr>
        <w:tab/>
        <w:t>Sponsor’s Comment</w:t>
      </w:r>
    </w:p>
    <w:p w14:paraId="0FC2F5D5" w14:textId="5D876DC0" w:rsidR="00D4606F" w:rsidRPr="00D4606F" w:rsidRDefault="00D4606F" w:rsidP="00D4606F">
      <w:pPr>
        <w:spacing w:before="120" w:after="120"/>
        <w:ind w:firstLine="720"/>
        <w:rPr>
          <w:rFonts w:asciiTheme="minorHAnsi" w:hAnsiTheme="minorHAnsi"/>
          <w:bCs/>
          <w:snapToGrid w:val="0"/>
          <w:lang w:val="en-GB" w:eastAsia="en-US"/>
        </w:rPr>
      </w:pPr>
      <w:r w:rsidRPr="00D4606F">
        <w:rPr>
          <w:rFonts w:asciiTheme="minorHAnsi" w:eastAsiaTheme="minorHAnsi" w:hAnsiTheme="minorHAnsi"/>
          <w:bCs/>
          <w:szCs w:val="22"/>
          <w:lang w:eastAsia="en-US"/>
        </w:rPr>
        <w:t>The sponsor had no comment.</w:t>
      </w:r>
    </w:p>
    <w:p w14:paraId="60CC0098" w14:textId="77777777" w:rsidR="00674CFC" w:rsidRPr="008252BB" w:rsidRDefault="00674CFC" w:rsidP="0006108D">
      <w:pPr>
        <w:spacing w:before="120" w:after="120"/>
        <w:rPr>
          <w:rFonts w:asciiTheme="minorHAnsi" w:hAnsiTheme="minorHAnsi"/>
          <w:b/>
          <w:i/>
          <w:iCs/>
          <w:snapToGrid w:val="0"/>
          <w:lang w:val="en-GB" w:eastAsia="en-US"/>
        </w:rPr>
      </w:pPr>
    </w:p>
    <w:p w14:paraId="2334FDD5" w14:textId="77777777" w:rsidR="00274C4C" w:rsidRDefault="00274C4C" w:rsidP="009E5CAB">
      <w:pPr>
        <w:tabs>
          <w:tab w:val="left" w:pos="1080"/>
        </w:tabs>
        <w:autoSpaceDE w:val="0"/>
        <w:autoSpaceDN w:val="0"/>
        <w:adjustRightInd w:val="0"/>
        <w:rPr>
          <w:rFonts w:asciiTheme="minorHAnsi" w:hAnsiTheme="minorHAnsi" w:cstheme="minorHAnsi"/>
        </w:rPr>
      </w:pPr>
    </w:p>
    <w:sectPr w:rsidR="00274C4C" w:rsidSect="00D3108F">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0CA2" w14:textId="77777777" w:rsidR="00AD2008" w:rsidRDefault="00AD2008" w:rsidP="00124A51">
      <w:r>
        <w:separator/>
      </w:r>
    </w:p>
    <w:p w14:paraId="7EC96EFA" w14:textId="77777777" w:rsidR="00AD2008" w:rsidRDefault="00AD2008"/>
    <w:p w14:paraId="10B35BA4" w14:textId="77777777" w:rsidR="00AD2008" w:rsidRDefault="00AD2008"/>
    <w:p w14:paraId="4BCF6EEE" w14:textId="77777777" w:rsidR="00AD2008" w:rsidRDefault="00AD2008"/>
    <w:p w14:paraId="6FDF7DD2" w14:textId="77777777" w:rsidR="00AD2008" w:rsidRDefault="00AD2008"/>
  </w:endnote>
  <w:endnote w:type="continuationSeparator" w:id="0">
    <w:p w14:paraId="28F6DD45" w14:textId="77777777" w:rsidR="00AD2008" w:rsidRDefault="00AD2008" w:rsidP="00124A51">
      <w:r>
        <w:continuationSeparator/>
      </w:r>
    </w:p>
    <w:p w14:paraId="21936095" w14:textId="77777777" w:rsidR="00AD2008" w:rsidRDefault="00AD2008"/>
    <w:p w14:paraId="2DECF6AB" w14:textId="77777777" w:rsidR="00AD2008" w:rsidRDefault="00AD2008"/>
    <w:p w14:paraId="76BFBCFC" w14:textId="77777777" w:rsidR="00AD2008" w:rsidRDefault="00AD2008"/>
    <w:p w14:paraId="34C1F899" w14:textId="77777777" w:rsidR="00AD2008" w:rsidRDefault="00AD2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Headings)">
    <w:altName w:val="Calibri Light"/>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w:altName w:val="Times New Roman"/>
    <w:charset w:val="00"/>
    <w:family w:val="roman"/>
    <w:pitch w:val="variable"/>
    <w:sig w:usb0="80000067" w:usb1="02000000" w:usb2="00000000" w:usb3="00000000" w:csb0="0000019F" w:csb1="00000000"/>
  </w:font>
  <w:font w:name="Roboto">
    <w:charset w:val="00"/>
    <w:family w:val="auto"/>
    <w:pitch w:val="variable"/>
    <w:sig w:usb0="E0000AFF" w:usb1="5000217F" w:usb2="00000021" w:usb3="00000000" w:csb0="0000019F" w:csb1="00000000"/>
  </w:font>
  <w:font w:name="@MS PGothic">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 w:name="ArialNarrow">
    <w:altName w:val="Arial"/>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4F5A" w14:textId="43D38B31" w:rsidR="00CA5149" w:rsidRDefault="00CA5149">
    <w:pPr>
      <w:pStyle w:val="Footer"/>
    </w:pPr>
    <w:r>
      <w:rPr>
        <w:noProof/>
      </w:rPr>
      <mc:AlternateContent>
        <mc:Choice Requires="wps">
          <w:drawing>
            <wp:anchor distT="0" distB="0" distL="0" distR="0" simplePos="0" relativeHeight="251658244" behindDoc="0" locked="0" layoutInCell="1" allowOverlap="1" wp14:anchorId="258FBA3C" wp14:editId="604AEAE3">
              <wp:simplePos x="635" y="635"/>
              <wp:positionH relativeFrom="page">
                <wp:align>center</wp:align>
              </wp:positionH>
              <wp:positionV relativeFrom="page">
                <wp:align>bottom</wp:align>
              </wp:positionV>
              <wp:extent cx="622300" cy="376555"/>
              <wp:effectExtent l="0" t="0" r="6350" b="0"/>
              <wp:wrapNone/>
              <wp:docPr id="13411346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4FE8C2" w14:textId="31A12FD2"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FBA3C"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14FE8C2" w14:textId="31A12FD2"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A68C" w14:textId="71F4277E" w:rsidR="002F6DC8" w:rsidRDefault="00CA5149">
    <w:pPr>
      <w:pStyle w:val="Footer"/>
    </w:pPr>
    <w:r>
      <w:rPr>
        <w:noProof/>
      </w:rPr>
      <mc:AlternateContent>
        <mc:Choice Requires="wps">
          <w:drawing>
            <wp:anchor distT="0" distB="0" distL="0" distR="0" simplePos="0" relativeHeight="251658245" behindDoc="0" locked="0" layoutInCell="1" allowOverlap="1" wp14:anchorId="3E9C0BB4" wp14:editId="4115AB94">
              <wp:simplePos x="635" y="635"/>
              <wp:positionH relativeFrom="page">
                <wp:align>center</wp:align>
              </wp:positionH>
              <wp:positionV relativeFrom="page">
                <wp:align>bottom</wp:align>
              </wp:positionV>
              <wp:extent cx="622300" cy="376555"/>
              <wp:effectExtent l="0" t="0" r="6350" b="0"/>
              <wp:wrapNone/>
              <wp:docPr id="17427076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E64CD2" w14:textId="291DD002"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C0BB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7E64CD2" w14:textId="291DD002"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v:textbox>
              <w10:wrap anchorx="page" anchory="page"/>
            </v:shape>
          </w:pict>
        </mc:Fallback>
      </mc:AlternateContent>
    </w:r>
  </w:p>
  <w:p w14:paraId="66D4B54E" w14:textId="77777777" w:rsidR="00185D18" w:rsidRDefault="00185D18" w:rsidP="00185D18">
    <w:pPr>
      <w:pStyle w:val="PageFooter"/>
    </w:pPr>
  </w:p>
  <w:p w14:paraId="79702A7F" w14:textId="66AE8BC3" w:rsidR="002F6DC8" w:rsidRDefault="0078760A" w:rsidP="00185D18">
    <w:pPr>
      <w:pStyle w:val="PageFooter"/>
    </w:pPr>
    <w:sdt>
      <w:sdtPr>
        <w:id w:val="1036156457"/>
        <w:docPartObj>
          <w:docPartGallery w:val="Page Numbers (Bottom of Page)"/>
          <w:docPartUnique/>
        </w:docPartObj>
      </w:sdtPr>
      <w:sdtEndPr>
        <w:rPr>
          <w:noProof/>
        </w:rPr>
      </w:sdtEndPr>
      <w:sdtContent>
        <w:r w:rsidR="00185D18">
          <w:fldChar w:fldCharType="begin"/>
        </w:r>
        <w:r w:rsidR="00185D18">
          <w:instrText xml:space="preserve"> PAGE   \* MERGEFORMAT </w:instrText>
        </w:r>
        <w:r w:rsidR="00185D18">
          <w:fldChar w:fldCharType="separate"/>
        </w:r>
        <w:r w:rsidR="00185D18">
          <w:t>1</w:t>
        </w:r>
        <w:r w:rsidR="00185D1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42B0" w14:textId="43E21621" w:rsidR="00CA5149" w:rsidRDefault="00CA5149">
    <w:pPr>
      <w:pStyle w:val="Footer"/>
    </w:pPr>
    <w:r>
      <w:rPr>
        <w:noProof/>
      </w:rPr>
      <mc:AlternateContent>
        <mc:Choice Requires="wps">
          <w:drawing>
            <wp:anchor distT="0" distB="0" distL="0" distR="0" simplePos="0" relativeHeight="251658243" behindDoc="0" locked="0" layoutInCell="1" allowOverlap="1" wp14:anchorId="5377CD6C" wp14:editId="514041FD">
              <wp:simplePos x="635" y="635"/>
              <wp:positionH relativeFrom="page">
                <wp:align>center</wp:align>
              </wp:positionH>
              <wp:positionV relativeFrom="page">
                <wp:align>bottom</wp:align>
              </wp:positionV>
              <wp:extent cx="622300" cy="376555"/>
              <wp:effectExtent l="0" t="0" r="6350" b="0"/>
              <wp:wrapNone/>
              <wp:docPr id="17715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3CD678" w14:textId="39FCC27D"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77CD6C"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53CD678" w14:textId="39FCC27D"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08E5" w14:textId="77777777" w:rsidR="00AD2008" w:rsidRDefault="00AD2008" w:rsidP="00124A51">
      <w:r>
        <w:separator/>
      </w:r>
    </w:p>
    <w:p w14:paraId="461D1401" w14:textId="77777777" w:rsidR="00AD2008" w:rsidRDefault="00AD2008"/>
    <w:p w14:paraId="649549E5" w14:textId="77777777" w:rsidR="00AD2008" w:rsidRDefault="00AD2008"/>
    <w:p w14:paraId="4E40C6BC" w14:textId="77777777" w:rsidR="00AD2008" w:rsidRDefault="00AD2008"/>
    <w:p w14:paraId="2614ED65" w14:textId="77777777" w:rsidR="00AD2008" w:rsidRDefault="00AD2008"/>
  </w:footnote>
  <w:footnote w:type="continuationSeparator" w:id="0">
    <w:p w14:paraId="44E1D932" w14:textId="77777777" w:rsidR="00AD2008" w:rsidRDefault="00AD2008" w:rsidP="00124A51">
      <w:r>
        <w:continuationSeparator/>
      </w:r>
    </w:p>
    <w:p w14:paraId="27562609" w14:textId="77777777" w:rsidR="00AD2008" w:rsidRDefault="00AD2008"/>
    <w:p w14:paraId="2EFDFD10" w14:textId="77777777" w:rsidR="00AD2008" w:rsidRDefault="00AD2008"/>
    <w:p w14:paraId="60E227D3" w14:textId="77777777" w:rsidR="00AD2008" w:rsidRDefault="00AD2008"/>
    <w:p w14:paraId="5F1EC1C3" w14:textId="77777777" w:rsidR="00AD2008" w:rsidRDefault="00AD2008"/>
  </w:footnote>
  <w:footnote w:id="1">
    <w:p w14:paraId="24249780" w14:textId="77777777" w:rsidR="00B4512B" w:rsidRDefault="00B4512B" w:rsidP="00B4512B">
      <w:pPr>
        <w:pStyle w:val="FootnoteText"/>
      </w:pPr>
      <w:r>
        <w:rPr>
          <w:rStyle w:val="FootnoteReference"/>
        </w:rPr>
        <w:footnoteRef/>
      </w:r>
      <w:r>
        <w:t xml:space="preserve"> Global Initiative for Asthma. Difficult-To-Treat &amp; Severe Asthma in Adolescent and Adult Patients, v5.0, 2024. Available from: </w:t>
      </w:r>
      <w:hyperlink r:id="rId1" w:history="1">
        <w:r w:rsidRPr="008E79B4">
          <w:rPr>
            <w:rStyle w:val="Hyperlink"/>
          </w:rPr>
          <w:t>www.ginasthma.org/reports</w:t>
        </w:r>
      </w:hyperlink>
    </w:p>
    <w:p w14:paraId="2AD4D0FC" w14:textId="77777777" w:rsidR="00B4512B" w:rsidRDefault="00B4512B" w:rsidP="00B4512B">
      <w:pPr>
        <w:pStyle w:val="FootnoteText"/>
      </w:pPr>
    </w:p>
  </w:footnote>
  <w:footnote w:id="2">
    <w:p w14:paraId="4462A50B" w14:textId="566F3DDA" w:rsidR="00A42CBE" w:rsidRDefault="00A42CBE">
      <w:pPr>
        <w:pStyle w:val="FootnoteText"/>
      </w:pPr>
      <w:r>
        <w:rPr>
          <w:rStyle w:val="FootnoteReference"/>
        </w:rPr>
        <w:footnoteRef/>
      </w:r>
      <w:r>
        <w:t xml:space="preserve"> </w:t>
      </w:r>
      <w:r w:rsidRPr="00A42CBE">
        <w:t xml:space="preserve">Corren J, Menzies-Gow A, Chupp G, Israel E, Korn S, Cook B, Ambrose CS, Hellqvist Å, </w:t>
      </w:r>
      <w:proofErr w:type="spellStart"/>
      <w:r w:rsidRPr="00A42CBE">
        <w:t>Roseti</w:t>
      </w:r>
      <w:proofErr w:type="spellEnd"/>
      <w:r w:rsidRPr="00A42CBE">
        <w:t xml:space="preserve"> SL, Molfino NA, Llanos JP, Martin N, Bowen K, Griffiths JM, Parnes JR, Colice G. Efficacy of Tezepelumab in Severe, Uncontrolled Asthma: Pooled Analysis of the PATHWAY and NAVIGATOR Clinical Trials. Am J Respir Crit Care Med. 2023 Jul 1;208(1):13-24</w:t>
      </w:r>
    </w:p>
  </w:footnote>
  <w:footnote w:id="3">
    <w:p w14:paraId="70945BB9" w14:textId="77777777" w:rsidR="00AC5B9A" w:rsidRPr="00511700" w:rsidRDefault="00AC5B9A" w:rsidP="00AC5B9A">
      <w:pPr>
        <w:pStyle w:val="FootnoteText"/>
        <w:rPr>
          <w:sz w:val="18"/>
          <w:szCs w:val="18"/>
        </w:rPr>
      </w:pPr>
      <w:r w:rsidRPr="00511700">
        <w:rPr>
          <w:rStyle w:val="FootnoteReference"/>
          <w:sz w:val="18"/>
          <w:szCs w:val="18"/>
        </w:rPr>
        <w:footnoteRef/>
      </w:r>
      <w:r w:rsidRPr="00511700">
        <w:rPr>
          <w:sz w:val="18"/>
          <w:szCs w:val="18"/>
        </w:rPr>
        <w:t xml:space="preserve"> Biener L, </w:t>
      </w:r>
      <w:proofErr w:type="spellStart"/>
      <w:r w:rsidRPr="00511700">
        <w:rPr>
          <w:sz w:val="18"/>
          <w:szCs w:val="18"/>
        </w:rPr>
        <w:t>Mümmler</w:t>
      </w:r>
      <w:proofErr w:type="spellEnd"/>
      <w:r w:rsidRPr="00511700">
        <w:rPr>
          <w:sz w:val="18"/>
          <w:szCs w:val="18"/>
        </w:rPr>
        <w:t xml:space="preserve"> C, Hinze CA, Suhling H, Korn S, Fisser C, Biener A, Pizarro C, Lenoir A, Hackl C, </w:t>
      </w:r>
      <w:proofErr w:type="spellStart"/>
      <w:r w:rsidRPr="00511700">
        <w:rPr>
          <w:sz w:val="18"/>
          <w:szCs w:val="18"/>
        </w:rPr>
        <w:t>Skowasch</w:t>
      </w:r>
      <w:proofErr w:type="spellEnd"/>
      <w:r w:rsidRPr="00511700">
        <w:rPr>
          <w:sz w:val="18"/>
          <w:szCs w:val="18"/>
        </w:rPr>
        <w:t xml:space="preserve"> D, </w:t>
      </w:r>
      <w:proofErr w:type="spellStart"/>
      <w:r w:rsidRPr="00511700">
        <w:rPr>
          <w:sz w:val="18"/>
          <w:szCs w:val="18"/>
        </w:rPr>
        <w:t>Milger</w:t>
      </w:r>
      <w:proofErr w:type="spellEnd"/>
      <w:r w:rsidRPr="00511700">
        <w:rPr>
          <w:sz w:val="18"/>
          <w:szCs w:val="18"/>
        </w:rPr>
        <w:t xml:space="preserve"> K. Real-World Data on Tezepelumab in Patients </w:t>
      </w:r>
      <w:proofErr w:type="gramStart"/>
      <w:r w:rsidRPr="00511700">
        <w:rPr>
          <w:sz w:val="18"/>
          <w:szCs w:val="18"/>
        </w:rPr>
        <w:t>With</w:t>
      </w:r>
      <w:proofErr w:type="gramEnd"/>
      <w:r w:rsidRPr="00511700">
        <w:rPr>
          <w:sz w:val="18"/>
          <w:szCs w:val="18"/>
        </w:rPr>
        <w:t xml:space="preserve"> Severe Asthma in Germany. J Allergy Clin Immunol </w:t>
      </w:r>
      <w:proofErr w:type="spellStart"/>
      <w:r w:rsidRPr="00511700">
        <w:rPr>
          <w:sz w:val="18"/>
          <w:szCs w:val="18"/>
        </w:rPr>
        <w:t>Pract</w:t>
      </w:r>
      <w:proofErr w:type="spellEnd"/>
      <w:r w:rsidRPr="00511700">
        <w:rPr>
          <w:sz w:val="18"/>
          <w:szCs w:val="18"/>
        </w:rPr>
        <w:t>. 2024 Sep;12(9):2399-2407.e5.</w:t>
      </w:r>
    </w:p>
  </w:footnote>
  <w:footnote w:id="4">
    <w:p w14:paraId="4D5254DB" w14:textId="77777777" w:rsidR="00787112" w:rsidRPr="00B10102" w:rsidRDefault="00787112" w:rsidP="00787112">
      <w:pPr>
        <w:pStyle w:val="FootnoteText"/>
        <w:rPr>
          <w:color w:val="000000" w:themeColor="text1"/>
        </w:rPr>
      </w:pPr>
      <w:r>
        <w:rPr>
          <w:rStyle w:val="FootnoteReference"/>
        </w:rPr>
        <w:footnoteRef/>
      </w:r>
      <w:r>
        <w:t xml:space="preserve"> </w:t>
      </w:r>
      <w:r w:rsidRPr="00B10102">
        <w:rPr>
          <w:color w:val="000000" w:themeColor="text1"/>
        </w:rPr>
        <w:t>Results from the SUA subgroup of patients with non-</w:t>
      </w:r>
      <w:proofErr w:type="spellStart"/>
      <w:r w:rsidRPr="00B10102">
        <w:rPr>
          <w:color w:val="000000" w:themeColor="text1"/>
        </w:rPr>
        <w:t>EOSic</w:t>
      </w:r>
      <w:proofErr w:type="spellEnd"/>
      <w:r w:rsidRPr="00B10102">
        <w:rPr>
          <w:color w:val="000000" w:themeColor="text1"/>
        </w:rPr>
        <w:t xml:space="preserve"> (&lt;300cells/µl) + non-allergic (perennial specific IgE status negative) + high ICS </w:t>
      </w:r>
    </w:p>
  </w:footnote>
  <w:footnote w:id="5">
    <w:p w14:paraId="6A8E3C48" w14:textId="11FA8503" w:rsidR="00787112" w:rsidRDefault="00787112" w:rsidP="00787112">
      <w:pPr>
        <w:pStyle w:val="FootnoteText"/>
      </w:pPr>
      <w:r w:rsidRPr="00D316F5">
        <w:rPr>
          <w:color w:val="000000" w:themeColor="text1"/>
          <w:vertAlign w:val="superscript"/>
        </w:rPr>
        <w:footnoteRef/>
      </w:r>
      <w:r w:rsidRPr="00B10102">
        <w:rPr>
          <w:color w:val="000000" w:themeColor="text1"/>
        </w:rPr>
        <w:t xml:space="preserve"> </w:t>
      </w:r>
      <w:r>
        <w:rPr>
          <w:color w:val="000000" w:themeColor="text1"/>
        </w:rPr>
        <w:t>Patients</w:t>
      </w:r>
      <w:r w:rsidRPr="00A906EE">
        <w:rPr>
          <w:color w:val="000000" w:themeColor="text1"/>
        </w:rPr>
        <w:t xml:space="preserve"> randomised to </w:t>
      </w:r>
      <w:proofErr w:type="spellStart"/>
      <w:r w:rsidR="00FD13E5">
        <w:rPr>
          <w:color w:val="000000" w:themeColor="text1"/>
        </w:rPr>
        <w:t>tezepelumab</w:t>
      </w:r>
      <w:proofErr w:type="spellEnd"/>
      <w:r w:rsidRPr="00A906EE">
        <w:rPr>
          <w:color w:val="000000" w:themeColor="text1"/>
        </w:rPr>
        <w:t xml:space="preserve"> in the predecessor studies NAVIGATOR and SOURCE and </w:t>
      </w:r>
      <w:r>
        <w:rPr>
          <w:color w:val="000000" w:themeColor="text1"/>
        </w:rPr>
        <w:t>patients</w:t>
      </w:r>
      <w:r w:rsidRPr="00A906EE">
        <w:rPr>
          <w:color w:val="000000" w:themeColor="text1"/>
        </w:rPr>
        <w:t xml:space="preserve"> re-randomised from </w:t>
      </w:r>
      <w:r w:rsidR="00FD13E5">
        <w:rPr>
          <w:color w:val="000000" w:themeColor="text1"/>
        </w:rPr>
        <w:t>placebo</w:t>
      </w:r>
      <w:r w:rsidRPr="00A906EE">
        <w:rPr>
          <w:color w:val="000000" w:themeColor="text1"/>
        </w:rPr>
        <w:t xml:space="preserve"> to </w:t>
      </w:r>
      <w:proofErr w:type="spellStart"/>
      <w:r w:rsidR="004C1405">
        <w:rPr>
          <w:color w:val="000000" w:themeColor="text1"/>
        </w:rPr>
        <w:t>tezepelumab</w:t>
      </w:r>
      <w:proofErr w:type="spellEnd"/>
      <w:r w:rsidRPr="00A906EE">
        <w:rPr>
          <w:color w:val="000000" w:themeColor="text1"/>
        </w:rPr>
        <w:t xml:space="preserve"> in DESTINATION</w:t>
      </w:r>
    </w:p>
  </w:footnote>
  <w:footnote w:id="6">
    <w:p w14:paraId="43E3FBC8" w14:textId="29834914" w:rsidR="00480C52" w:rsidRPr="00D902CC" w:rsidRDefault="00480C52">
      <w:pPr>
        <w:pStyle w:val="FootnoteText"/>
        <w:rPr>
          <w:sz w:val="18"/>
          <w:szCs w:val="18"/>
        </w:rPr>
      </w:pPr>
      <w:r w:rsidRPr="00D902CC">
        <w:rPr>
          <w:rStyle w:val="FootnoteReference"/>
          <w:sz w:val="18"/>
          <w:szCs w:val="18"/>
        </w:rPr>
        <w:footnoteRef/>
      </w:r>
      <w:r w:rsidRPr="00D902CC">
        <w:rPr>
          <w:sz w:val="18"/>
          <w:szCs w:val="18"/>
        </w:rPr>
        <w:t xml:space="preserve"> </w:t>
      </w:r>
      <w:proofErr w:type="spellStart"/>
      <w:r w:rsidRPr="00D902CC">
        <w:rPr>
          <w:sz w:val="18"/>
          <w:szCs w:val="18"/>
        </w:rPr>
        <w:t>Bacharier</w:t>
      </w:r>
      <w:proofErr w:type="spellEnd"/>
      <w:r w:rsidRPr="00D902CC">
        <w:rPr>
          <w:sz w:val="18"/>
          <w:szCs w:val="18"/>
        </w:rPr>
        <w:t xml:space="preserve">, L., Casale, T., Holden, M., Rajput, Y., Dang, J., Li, Q., ... &amp; </w:t>
      </w:r>
      <w:proofErr w:type="spellStart"/>
      <w:r w:rsidRPr="00D902CC">
        <w:rPr>
          <w:sz w:val="18"/>
          <w:szCs w:val="18"/>
        </w:rPr>
        <w:t>Karabis</w:t>
      </w:r>
      <w:proofErr w:type="spellEnd"/>
      <w:r w:rsidRPr="00D902CC">
        <w:rPr>
          <w:sz w:val="18"/>
          <w:szCs w:val="18"/>
        </w:rPr>
        <w:t>, A. (2018). Differences in eligibility criteria and baseline patient characteristics amongst trials of biologic therapies in asthma. Annals of Allergy, Asthma &amp; Immunology, 121(5), S45-S46.</w:t>
      </w:r>
    </w:p>
  </w:footnote>
  <w:footnote w:id="7">
    <w:p w14:paraId="4B0902F5" w14:textId="79A98363" w:rsidR="00A22C24" w:rsidRDefault="00A22C24">
      <w:pPr>
        <w:pStyle w:val="FootnoteText"/>
      </w:pPr>
      <w:r>
        <w:rPr>
          <w:rStyle w:val="FootnoteReference"/>
        </w:rPr>
        <w:footnoteRef/>
      </w:r>
      <w:r>
        <w:t xml:space="preserve"> </w:t>
      </w:r>
      <w:r w:rsidRPr="00A22C24">
        <w:rPr>
          <w:sz w:val="18"/>
          <w:szCs w:val="18"/>
        </w:rPr>
        <w:t xml:space="preserve">De Vries, F., </w:t>
      </w:r>
      <w:proofErr w:type="spellStart"/>
      <w:r w:rsidRPr="00A22C24">
        <w:rPr>
          <w:sz w:val="18"/>
          <w:szCs w:val="18"/>
        </w:rPr>
        <w:t>Setakis</w:t>
      </w:r>
      <w:proofErr w:type="spellEnd"/>
      <w:r w:rsidRPr="00A22C24">
        <w:rPr>
          <w:sz w:val="18"/>
          <w:szCs w:val="18"/>
        </w:rPr>
        <w:t>, E., Zhang, B., &amp; Van Staa, T. P. (2010). Long-acting β2-agonists in adult asthma and the pattern of risk of death and severe asthma outcomes: a study using the GPRD. European Respiratory Journal, 36(3), 494-502.</w:t>
      </w:r>
    </w:p>
  </w:footnote>
  <w:footnote w:id="8">
    <w:p w14:paraId="7460C6CF" w14:textId="273EB443" w:rsidR="002C0E02" w:rsidRPr="00D13452" w:rsidRDefault="002C0E02">
      <w:pPr>
        <w:pStyle w:val="FootnoteText"/>
        <w:rPr>
          <w:sz w:val="18"/>
          <w:szCs w:val="18"/>
        </w:rPr>
      </w:pPr>
      <w:r w:rsidRPr="00D13452">
        <w:rPr>
          <w:rStyle w:val="FootnoteReference"/>
          <w:sz w:val="18"/>
          <w:szCs w:val="18"/>
        </w:rPr>
        <w:footnoteRef/>
      </w:r>
      <w:r w:rsidRPr="00D13452">
        <w:rPr>
          <w:sz w:val="18"/>
          <w:szCs w:val="18"/>
        </w:rPr>
        <w:t xml:space="preserve"> Watson L, Turk F, James P, Holgate ST (2007) Factors associated with mortality after an asthma admission: a national United Kingdom database analysis. Respiratory medicine 101 (8): 1659-1664.</w:t>
      </w:r>
    </w:p>
  </w:footnote>
  <w:footnote w:id="9">
    <w:p w14:paraId="1B07B291" w14:textId="58B02C10" w:rsidR="002C0E02" w:rsidRPr="00D13452" w:rsidRDefault="002C0E02">
      <w:pPr>
        <w:pStyle w:val="FootnoteText"/>
        <w:rPr>
          <w:sz w:val="18"/>
          <w:szCs w:val="18"/>
        </w:rPr>
      </w:pPr>
      <w:r w:rsidRPr="00D13452">
        <w:rPr>
          <w:rStyle w:val="FootnoteReference"/>
          <w:sz w:val="18"/>
          <w:szCs w:val="18"/>
        </w:rPr>
        <w:footnoteRef/>
      </w:r>
      <w:r w:rsidRPr="00D13452">
        <w:rPr>
          <w:sz w:val="18"/>
          <w:szCs w:val="18"/>
        </w:rPr>
        <w:t xml:space="preserve"> Krishnan V, Diette GB, Rand CS, Bilderback AL, Merriman B et al. (2006) Mortality in patients hospitalized for asthma exacerbations in the United States. American journal of respiratory and critical care medicine 174 (6): 633-638.</w:t>
      </w:r>
    </w:p>
  </w:footnote>
  <w:footnote w:id="10">
    <w:p w14:paraId="0D3383F1" w14:textId="7089A5C3" w:rsidR="00D13452" w:rsidRPr="003D29C9" w:rsidRDefault="00D13452">
      <w:pPr>
        <w:pStyle w:val="FootnoteText"/>
        <w:rPr>
          <w:sz w:val="18"/>
          <w:szCs w:val="18"/>
        </w:rPr>
      </w:pPr>
      <w:r w:rsidRPr="00D13452">
        <w:rPr>
          <w:rStyle w:val="FootnoteReference"/>
          <w:sz w:val="18"/>
          <w:szCs w:val="18"/>
        </w:rPr>
        <w:footnoteRef/>
      </w:r>
      <w:r w:rsidRPr="00D13452">
        <w:rPr>
          <w:sz w:val="18"/>
          <w:szCs w:val="18"/>
        </w:rPr>
        <w:t xml:space="preserve"> Roberts NJ, Lewsey JD, Gillies M, Briggs AH, </w:t>
      </w:r>
      <w:proofErr w:type="spellStart"/>
      <w:r w:rsidRPr="00D13452">
        <w:rPr>
          <w:sz w:val="18"/>
          <w:szCs w:val="18"/>
        </w:rPr>
        <w:t>Belozeroff</w:t>
      </w:r>
      <w:proofErr w:type="spellEnd"/>
      <w:r w:rsidRPr="00D13452">
        <w:rPr>
          <w:sz w:val="18"/>
          <w:szCs w:val="18"/>
        </w:rPr>
        <w:t xml:space="preserve"> V et al. (2013) Time trends in </w:t>
      </w:r>
      <w:proofErr w:type="gramStart"/>
      <w:r w:rsidRPr="00D13452">
        <w:rPr>
          <w:sz w:val="18"/>
          <w:szCs w:val="18"/>
        </w:rPr>
        <w:t>30 day</w:t>
      </w:r>
      <w:proofErr w:type="gramEnd"/>
      <w:r w:rsidRPr="00D13452">
        <w:rPr>
          <w:sz w:val="18"/>
          <w:szCs w:val="18"/>
        </w:rPr>
        <w:t xml:space="preserve"> case-fatality following hospitalisation for asthma in adults in Scotland: a retrospective cohort study from 1981 to 2009. Respiratory medicine 107 (8): 1172-1177</w:t>
      </w:r>
    </w:p>
  </w:footnote>
  <w:footnote w:id="11">
    <w:p w14:paraId="1F67E418" w14:textId="6E32B38A" w:rsidR="003D29C9" w:rsidRDefault="003D29C9">
      <w:pPr>
        <w:pStyle w:val="FootnoteText"/>
      </w:pPr>
      <w:r w:rsidRPr="00D51F6A">
        <w:rPr>
          <w:sz w:val="18"/>
          <w:szCs w:val="18"/>
          <w:vertAlign w:val="superscript"/>
        </w:rPr>
        <w:footnoteRef/>
      </w:r>
      <w:r w:rsidRPr="003D29C9">
        <w:rPr>
          <w:sz w:val="18"/>
          <w:szCs w:val="18"/>
        </w:rPr>
        <w:t xml:space="preserve"> Roche N, Garcia G, de Larrard A, </w:t>
      </w:r>
      <w:proofErr w:type="spellStart"/>
      <w:r w:rsidRPr="003D29C9">
        <w:rPr>
          <w:sz w:val="18"/>
          <w:szCs w:val="18"/>
        </w:rPr>
        <w:t>Cancalon</w:t>
      </w:r>
      <w:proofErr w:type="spellEnd"/>
      <w:r w:rsidRPr="003D29C9">
        <w:rPr>
          <w:sz w:val="18"/>
          <w:szCs w:val="18"/>
        </w:rPr>
        <w:t xml:space="preserve"> C, </w:t>
      </w:r>
      <w:proofErr w:type="spellStart"/>
      <w:r w:rsidRPr="003D29C9">
        <w:rPr>
          <w:sz w:val="18"/>
          <w:szCs w:val="18"/>
        </w:rPr>
        <w:t>Bénard</w:t>
      </w:r>
      <w:proofErr w:type="spellEnd"/>
      <w:r w:rsidRPr="003D29C9">
        <w:rPr>
          <w:sz w:val="18"/>
          <w:szCs w:val="18"/>
        </w:rPr>
        <w:t xml:space="preserve"> S, Perez V, Mahieu A, Vieu L, </w:t>
      </w:r>
      <w:proofErr w:type="spellStart"/>
      <w:r w:rsidRPr="003D29C9">
        <w:rPr>
          <w:sz w:val="18"/>
          <w:szCs w:val="18"/>
        </w:rPr>
        <w:t>Demoly</w:t>
      </w:r>
      <w:proofErr w:type="spellEnd"/>
      <w:r w:rsidRPr="003D29C9">
        <w:rPr>
          <w:sz w:val="18"/>
          <w:szCs w:val="18"/>
        </w:rPr>
        <w:t xml:space="preserve"> P. Real-life impact of uncontrolled severe asthma on mortality and healthcare use in adolescents and adults: findings from the retrospective, observational RESONANCE study in France. BMJ Open. 2022 Aug 24;12(8</w:t>
      </w:r>
      <w:proofErr w:type="gramStart"/>
      <w:r w:rsidRPr="003D29C9">
        <w:rPr>
          <w:sz w:val="18"/>
          <w:szCs w:val="18"/>
        </w:rPr>
        <w:t>):e</w:t>
      </w:r>
      <w:proofErr w:type="gramEnd"/>
      <w:r w:rsidRPr="003D29C9">
        <w:rPr>
          <w:sz w:val="18"/>
          <w:szCs w:val="18"/>
        </w:rPr>
        <w:t xml:space="preserve">060160. </w:t>
      </w:r>
    </w:p>
  </w:footnote>
  <w:footnote w:id="12">
    <w:p w14:paraId="27B10250" w14:textId="77777777" w:rsidR="009F3FB3" w:rsidRPr="009F3FB3" w:rsidRDefault="004B54C9" w:rsidP="009F3FB3">
      <w:pPr>
        <w:pStyle w:val="FootnoteText"/>
      </w:pPr>
      <w:r>
        <w:rPr>
          <w:rStyle w:val="FootnoteReference"/>
        </w:rPr>
        <w:footnoteRef/>
      </w:r>
      <w:r>
        <w:t xml:space="preserve"> </w:t>
      </w:r>
      <w:r w:rsidR="009F3FB3" w:rsidRPr="009F3FB3">
        <w:t>https://www.pbs.gov.au/industry/listing/elements/pbacmeetings/</w:t>
      </w:r>
    </w:p>
    <w:p w14:paraId="3D5EE7D6" w14:textId="4CB282E4" w:rsidR="004B54C9" w:rsidRDefault="009F3FB3" w:rsidP="009F3FB3">
      <w:pPr>
        <w:pStyle w:val="FootnoteText"/>
      </w:pPr>
      <w:r w:rsidRPr="009F3FB3">
        <w:t>pbac-stakeholder-meetings/Asthma-Stakeholder-Meeting-Dec-2018-Outcome-Statement.pdf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095A" w14:textId="44B6564F" w:rsidR="00CA5149" w:rsidRDefault="00CA5149">
    <w:pPr>
      <w:pStyle w:val="Header"/>
    </w:pPr>
    <w:r>
      <w:rPr>
        <w:noProof/>
      </w:rPr>
      <mc:AlternateContent>
        <mc:Choice Requires="wps">
          <w:drawing>
            <wp:anchor distT="0" distB="0" distL="0" distR="0" simplePos="0" relativeHeight="251658241" behindDoc="0" locked="0" layoutInCell="1" allowOverlap="1" wp14:anchorId="2219E0C1" wp14:editId="5BDA8E65">
              <wp:simplePos x="635" y="635"/>
              <wp:positionH relativeFrom="page">
                <wp:align>center</wp:align>
              </wp:positionH>
              <wp:positionV relativeFrom="page">
                <wp:align>top</wp:align>
              </wp:positionV>
              <wp:extent cx="622300" cy="376555"/>
              <wp:effectExtent l="0" t="0" r="6350" b="4445"/>
              <wp:wrapNone/>
              <wp:docPr id="4785383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EF0EFC" w14:textId="291EC778"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9E0C1"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7EF0EFC" w14:textId="291EC778"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45D8" w14:textId="0B5BD1F3" w:rsidR="00E921A2" w:rsidRPr="00056684" w:rsidRDefault="00CA5149" w:rsidP="00E921A2">
    <w:pPr>
      <w:pStyle w:val="Header"/>
      <w:ind w:left="360"/>
      <w:rPr>
        <w:i w:val="0"/>
      </w:rPr>
    </w:pPr>
    <w:r>
      <w:rPr>
        <w:noProof/>
      </w:rPr>
      <mc:AlternateContent>
        <mc:Choice Requires="wps">
          <w:drawing>
            <wp:anchor distT="0" distB="0" distL="0" distR="0" simplePos="0" relativeHeight="251658242" behindDoc="0" locked="0" layoutInCell="1" allowOverlap="1" wp14:anchorId="3029C638" wp14:editId="1CB1DD8F">
              <wp:simplePos x="635" y="635"/>
              <wp:positionH relativeFrom="page">
                <wp:align>center</wp:align>
              </wp:positionH>
              <wp:positionV relativeFrom="page">
                <wp:align>top</wp:align>
              </wp:positionV>
              <wp:extent cx="622300" cy="376555"/>
              <wp:effectExtent l="0" t="0" r="6350" b="4445"/>
              <wp:wrapNone/>
              <wp:docPr id="10274351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458A74" w14:textId="53DD5224"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29C638"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1458A74" w14:textId="53DD5224"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v:textbox>
              <w10:wrap anchorx="page" anchory="page"/>
            </v:shape>
          </w:pict>
        </mc:Fallback>
      </mc:AlternateContent>
    </w:r>
    <w:r w:rsidR="00CA4A6E">
      <w:t>Public Summary Document</w:t>
    </w:r>
    <w:r w:rsidR="00681834">
      <w:t xml:space="preserve"> </w:t>
    </w:r>
    <w:r w:rsidR="00E921A2" w:rsidRPr="00056684">
      <w:t xml:space="preserve">– </w:t>
    </w:r>
    <w:r w:rsidR="0091151B">
      <w:t>November</w:t>
    </w:r>
    <w:r w:rsidR="00E921A2">
      <w:t xml:space="preserve"> 202</w:t>
    </w:r>
    <w:r w:rsidR="0091151B">
      <w:t>5</w:t>
    </w:r>
    <w:r w:rsidR="00E921A2" w:rsidRPr="00056684">
      <w:t xml:space="preserve"> PBAC Meeting</w:t>
    </w:r>
  </w:p>
  <w:p w14:paraId="2A96BC32" w14:textId="61F02D96" w:rsidR="00177907" w:rsidRDefault="00177907" w:rsidP="00E921A2">
    <w:pPr>
      <w:pStyle w:val="Header"/>
    </w:pPr>
  </w:p>
  <w:p w14:paraId="51E30845" w14:textId="77777777" w:rsidR="00E921A2" w:rsidRPr="008C7ECB" w:rsidRDefault="00E921A2" w:rsidP="00E92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149E" w14:textId="2A30EB90" w:rsidR="00CA5149" w:rsidRDefault="00CA5149">
    <w:pPr>
      <w:pStyle w:val="Header"/>
    </w:pPr>
    <w:r>
      <w:rPr>
        <w:noProof/>
      </w:rPr>
      <mc:AlternateContent>
        <mc:Choice Requires="wps">
          <w:drawing>
            <wp:anchor distT="0" distB="0" distL="0" distR="0" simplePos="0" relativeHeight="251658240" behindDoc="0" locked="0" layoutInCell="1" allowOverlap="1" wp14:anchorId="31C9B52D" wp14:editId="09698313">
              <wp:simplePos x="635" y="635"/>
              <wp:positionH relativeFrom="page">
                <wp:align>center</wp:align>
              </wp:positionH>
              <wp:positionV relativeFrom="page">
                <wp:align>top</wp:align>
              </wp:positionV>
              <wp:extent cx="622300" cy="376555"/>
              <wp:effectExtent l="0" t="0" r="6350" b="4445"/>
              <wp:wrapNone/>
              <wp:docPr id="15862827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25747A" w14:textId="0EF24676"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9B52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325747A" w14:textId="0EF24676" w:rsidR="00CA5149" w:rsidRPr="00CA5149" w:rsidRDefault="00CA5149" w:rsidP="00CA5149">
                    <w:pPr>
                      <w:rPr>
                        <w:rFonts w:ascii="Aptos" w:eastAsia="Aptos" w:hAnsi="Aptos" w:cs="Aptos"/>
                        <w:noProof/>
                        <w:color w:val="FF0000"/>
                      </w:rPr>
                    </w:pPr>
                    <w:r w:rsidRPr="00CA514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207E0E"/>
    <w:lvl w:ilvl="0">
      <w:start w:val="1"/>
      <w:numFmt w:val="bullet"/>
      <w:pStyle w:val="COMBodybulletlist"/>
      <w:lvlText w:val=""/>
      <w:lvlJc w:val="left"/>
      <w:pPr>
        <w:tabs>
          <w:tab w:val="num" w:pos="360"/>
        </w:tabs>
        <w:ind w:left="360" w:hanging="360"/>
      </w:pPr>
      <w:rPr>
        <w:rFonts w:ascii="Symbol" w:hAnsi="Symbol" w:hint="default"/>
        <w:color w:val="auto"/>
      </w:rPr>
    </w:lvl>
  </w:abstractNum>
  <w:abstractNum w:abstractNumId="1" w15:restartNumberingAfterBreak="0">
    <w:nsid w:val="036C6E98"/>
    <w:multiLevelType w:val="hybridMultilevel"/>
    <w:tmpl w:val="C19AA9B2"/>
    <w:lvl w:ilvl="0" w:tplc="3A683AE4">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C0510"/>
    <w:multiLevelType w:val="hybridMultilevel"/>
    <w:tmpl w:val="C64A822E"/>
    <w:lvl w:ilvl="0" w:tplc="A3DE2B22">
      <w:start w:val="1"/>
      <w:numFmt w:val="bullet"/>
      <w:pStyle w:val="BoxBullet"/>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3" w15:restartNumberingAfterBreak="0">
    <w:nsid w:val="0AB315FC"/>
    <w:multiLevelType w:val="hybridMultilevel"/>
    <w:tmpl w:val="F5C2C51C"/>
    <w:styleLink w:val="ArticleSection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530598"/>
    <w:multiLevelType w:val="hybridMultilevel"/>
    <w:tmpl w:val="A7F04C8C"/>
    <w:lvl w:ilvl="0" w:tplc="01F44AD2">
      <w:start w:val="1"/>
      <w:numFmt w:val="bullet"/>
      <w:lvlText w:val="•"/>
      <w:lvlJc w:val="left"/>
      <w:pPr>
        <w:tabs>
          <w:tab w:val="num" w:pos="720"/>
        </w:tabs>
        <w:ind w:left="720" w:hanging="360"/>
      </w:pPr>
      <w:rPr>
        <w:rFonts w:ascii="Arial" w:hAnsi="Arial" w:hint="default"/>
      </w:rPr>
    </w:lvl>
    <w:lvl w:ilvl="1" w:tplc="E182F362">
      <w:start w:val="1"/>
      <w:numFmt w:val="bullet"/>
      <w:lvlText w:val="•"/>
      <w:lvlJc w:val="left"/>
      <w:pPr>
        <w:tabs>
          <w:tab w:val="num" w:pos="1440"/>
        </w:tabs>
        <w:ind w:left="1440" w:hanging="360"/>
      </w:pPr>
      <w:rPr>
        <w:rFonts w:ascii="Arial" w:hAnsi="Arial" w:hint="default"/>
      </w:rPr>
    </w:lvl>
    <w:lvl w:ilvl="2" w:tplc="85544DFE">
      <w:start w:val="1"/>
      <w:numFmt w:val="bullet"/>
      <w:lvlText w:val="•"/>
      <w:lvlJc w:val="left"/>
      <w:pPr>
        <w:tabs>
          <w:tab w:val="num" w:pos="2160"/>
        </w:tabs>
        <w:ind w:left="2160" w:hanging="360"/>
      </w:pPr>
      <w:rPr>
        <w:rFonts w:ascii="Arial" w:hAnsi="Arial" w:hint="default"/>
      </w:rPr>
    </w:lvl>
    <w:lvl w:ilvl="3" w:tplc="6C2E7C8C" w:tentative="1">
      <w:start w:val="1"/>
      <w:numFmt w:val="bullet"/>
      <w:lvlText w:val="•"/>
      <w:lvlJc w:val="left"/>
      <w:pPr>
        <w:tabs>
          <w:tab w:val="num" w:pos="2880"/>
        </w:tabs>
        <w:ind w:left="2880" w:hanging="360"/>
      </w:pPr>
      <w:rPr>
        <w:rFonts w:ascii="Arial" w:hAnsi="Arial" w:hint="default"/>
      </w:rPr>
    </w:lvl>
    <w:lvl w:ilvl="4" w:tplc="8DF45E5E" w:tentative="1">
      <w:start w:val="1"/>
      <w:numFmt w:val="bullet"/>
      <w:lvlText w:val="•"/>
      <w:lvlJc w:val="left"/>
      <w:pPr>
        <w:tabs>
          <w:tab w:val="num" w:pos="3600"/>
        </w:tabs>
        <w:ind w:left="3600" w:hanging="360"/>
      </w:pPr>
      <w:rPr>
        <w:rFonts w:ascii="Arial" w:hAnsi="Arial" w:hint="default"/>
      </w:rPr>
    </w:lvl>
    <w:lvl w:ilvl="5" w:tplc="A928DC8E" w:tentative="1">
      <w:start w:val="1"/>
      <w:numFmt w:val="bullet"/>
      <w:lvlText w:val="•"/>
      <w:lvlJc w:val="left"/>
      <w:pPr>
        <w:tabs>
          <w:tab w:val="num" w:pos="4320"/>
        </w:tabs>
        <w:ind w:left="4320" w:hanging="360"/>
      </w:pPr>
      <w:rPr>
        <w:rFonts w:ascii="Arial" w:hAnsi="Arial" w:hint="default"/>
      </w:rPr>
    </w:lvl>
    <w:lvl w:ilvl="6" w:tplc="C4C42472" w:tentative="1">
      <w:start w:val="1"/>
      <w:numFmt w:val="bullet"/>
      <w:lvlText w:val="•"/>
      <w:lvlJc w:val="left"/>
      <w:pPr>
        <w:tabs>
          <w:tab w:val="num" w:pos="5040"/>
        </w:tabs>
        <w:ind w:left="5040" w:hanging="360"/>
      </w:pPr>
      <w:rPr>
        <w:rFonts w:ascii="Arial" w:hAnsi="Arial" w:hint="default"/>
      </w:rPr>
    </w:lvl>
    <w:lvl w:ilvl="7" w:tplc="AEE4FFB4" w:tentative="1">
      <w:start w:val="1"/>
      <w:numFmt w:val="bullet"/>
      <w:lvlText w:val="•"/>
      <w:lvlJc w:val="left"/>
      <w:pPr>
        <w:tabs>
          <w:tab w:val="num" w:pos="5760"/>
        </w:tabs>
        <w:ind w:left="5760" w:hanging="360"/>
      </w:pPr>
      <w:rPr>
        <w:rFonts w:ascii="Arial" w:hAnsi="Arial" w:hint="default"/>
      </w:rPr>
    </w:lvl>
    <w:lvl w:ilvl="8" w:tplc="5A2832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986CC5"/>
    <w:multiLevelType w:val="multilevel"/>
    <w:tmpl w:val="42260E50"/>
    <w:styleLink w:val="HeadingListStyle"/>
    <w:lvl w:ilvl="0">
      <w:start w:val="1"/>
      <w:numFmt w:val="decimal"/>
      <w:lvlText w:val="Section %1"/>
      <w:lvlJc w:val="left"/>
      <w:pPr>
        <w:ind w:left="2268" w:hanging="2268"/>
      </w:pPr>
      <w:rPr>
        <w:rFonts w:hint="default"/>
      </w:rPr>
    </w:lvl>
    <w:lvl w:ilvl="1">
      <w:start w:val="1"/>
      <w:numFmt w:val="upperLetter"/>
      <w:lvlText w:val="Section %1%2"/>
      <w:lvlJc w:val="left"/>
      <w:pPr>
        <w:ind w:left="2268" w:hanging="2268"/>
      </w:pPr>
      <w:rPr>
        <w:rFonts w:hint="default"/>
      </w:rPr>
    </w:lvl>
    <w:lvl w:ilvl="2">
      <w:start w:val="1"/>
      <w:numFmt w:val="decimal"/>
      <w:lvlRestart w:val="1"/>
      <w:lvlText w:val="%1.%3"/>
      <w:lvlJc w:val="left"/>
      <w:pPr>
        <w:ind w:left="1134" w:hanging="1134"/>
      </w:pPr>
      <w:rPr>
        <w:rFonts w:hint="default"/>
      </w:rPr>
    </w:lvl>
    <w:lvl w:ilvl="3">
      <w:start w:val="1"/>
      <w:numFmt w:val="decimal"/>
      <w:lvlRestart w:val="2"/>
      <w:lvlText w:val="%1%2.%4"/>
      <w:lvlJc w:val="left"/>
      <w:pPr>
        <w:ind w:left="1134" w:hanging="1134"/>
      </w:pPr>
      <w:rPr>
        <w:rFonts w:hint="default"/>
      </w:rPr>
    </w:lvl>
    <w:lvl w:ilvl="4">
      <w:start w:val="1"/>
      <w:numFmt w:val="decimal"/>
      <w:lvlRestart w:val="3"/>
      <w:lvlText w:val="%1.%3.%5"/>
      <w:lvlJc w:val="left"/>
      <w:pPr>
        <w:ind w:left="1134" w:hanging="1134"/>
      </w:pPr>
      <w:rPr>
        <w:rFonts w:hint="default"/>
      </w:rPr>
    </w:lvl>
    <w:lvl w:ilvl="5">
      <w:start w:val="1"/>
      <w:numFmt w:val="decimal"/>
      <w:lvlRestart w:val="4"/>
      <w:lvlText w:val="%1%2.%4.%6"/>
      <w:lvlJc w:val="left"/>
      <w:pPr>
        <w:ind w:left="1134" w:hanging="113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774206"/>
    <w:multiLevelType w:val="hybridMultilevel"/>
    <w:tmpl w:val="AD4AA394"/>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FB219F8"/>
    <w:multiLevelType w:val="hybridMultilevel"/>
    <w:tmpl w:val="E1D8CA90"/>
    <w:lvl w:ilvl="0" w:tplc="4F38898A">
      <w:start w:val="1"/>
      <w:numFmt w:val="bullet"/>
      <w:pStyle w:val="COMESmainissues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6874F5"/>
    <w:multiLevelType w:val="multilevel"/>
    <w:tmpl w:val="03BC9D00"/>
    <w:lvl w:ilvl="0">
      <w:start w:val="1"/>
      <w:numFmt w:val="decimal"/>
      <w:lvlText w:val="%1"/>
      <w:lvlJc w:val="left"/>
      <w:pPr>
        <w:ind w:left="720" w:hanging="720"/>
      </w:pPr>
      <w:rPr>
        <w:rFonts w:hint="default"/>
        <w:b/>
      </w:rPr>
    </w:lvl>
    <w:lvl w:ilvl="1">
      <w:start w:val="1"/>
      <w:numFmt w:val="bullet"/>
      <w:lvlText w:val=""/>
      <w:lvlJc w:val="left"/>
      <w:pPr>
        <w:ind w:left="177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586CA0"/>
    <w:multiLevelType w:val="hybridMultilevel"/>
    <w:tmpl w:val="1C626594"/>
    <w:lvl w:ilvl="0" w:tplc="811C9B0C">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1C5FDA"/>
    <w:multiLevelType w:val="multilevel"/>
    <w:tmpl w:val="E662F16A"/>
    <w:lvl w:ilvl="0">
      <w:start w:val="1"/>
      <w:numFmt w:val="decimal"/>
      <w:lvlText w:val="%1"/>
      <w:lvlJc w:val="left"/>
      <w:pPr>
        <w:ind w:left="720" w:hanging="720"/>
      </w:pPr>
      <w:rPr>
        <w:rFonts w:hint="default"/>
      </w:rPr>
    </w:lvl>
    <w:lvl w:ilvl="1">
      <w:start w:val="1"/>
      <w:numFmt w:val="decimal"/>
      <w:pStyle w:val="Style2"/>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414871"/>
    <w:multiLevelType w:val="hybridMultilevel"/>
    <w:tmpl w:val="33E402E6"/>
    <w:lvl w:ilvl="0" w:tplc="B3DA2C6A">
      <w:start w:val="1"/>
      <w:numFmt w:val="bullet"/>
      <w:pStyle w:val="BulletBefore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41FCF3BA"/>
    <w:lvl w:ilvl="0" w:tplc="CFE87BE0">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3F69F4"/>
    <w:multiLevelType w:val="hybridMultilevel"/>
    <w:tmpl w:val="BA52736E"/>
    <w:lvl w:ilvl="0" w:tplc="9C96C702">
      <w:start w:val="1"/>
      <w:numFmt w:val="bullet"/>
      <w:pStyle w:val="TableNote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5" w15:restartNumberingAfterBreak="0">
    <w:nsid w:val="383C150C"/>
    <w:multiLevelType w:val="multilevel"/>
    <w:tmpl w:val="B0FC4C04"/>
    <w:lvl w:ilvl="0">
      <w:start w:val="1"/>
      <w:numFmt w:val="decimal"/>
      <w:pStyle w:val="Appendix"/>
      <w:lvlText w:val="%1)Appendix A"/>
      <w:lvlJc w:val="left"/>
      <w:pPr>
        <w:ind w:left="360" w:hanging="360"/>
      </w:pPr>
      <w:rPr>
        <w:rFonts w:ascii="Calibri Light (Headings)" w:hAnsi="Calibri Light (Headings)" w:hint="default"/>
        <w:b/>
        <w:i w:val="0"/>
        <w:sz w:val="22"/>
      </w:rPr>
    </w:lvl>
    <w:lvl w:ilvl="1">
      <w:start w:val="1"/>
      <w:numFmt w:val="upperLetter"/>
      <w:lvlText w:val="%2)Appendix A.%1"/>
      <w:lvlJc w:val="left"/>
      <w:pPr>
        <w:ind w:left="720" w:hanging="360"/>
      </w:pPr>
      <w:rPr>
        <w:rFonts w:hint="default"/>
      </w:rPr>
    </w:lvl>
    <w:lvl w:ilvl="2">
      <w:start w:val="1"/>
      <w:numFmt w:val="decimal"/>
      <w:lvlText w:val="%3)Appendix A.%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596563"/>
    <w:multiLevelType w:val="hybridMultilevel"/>
    <w:tmpl w:val="C3A88DDA"/>
    <w:lvl w:ilvl="0" w:tplc="811C9B0C">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Templateinstructions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F731C4"/>
    <w:multiLevelType w:val="hybridMultilevel"/>
    <w:tmpl w:val="3EB63C50"/>
    <w:lvl w:ilvl="0" w:tplc="A5EE2F8A">
      <w:start w:val="5"/>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436509"/>
    <w:multiLevelType w:val="hybridMultilevel"/>
    <w:tmpl w:val="8AEAD076"/>
    <w:lvl w:ilvl="0" w:tplc="020A74BC">
      <w:start w:val="1"/>
      <w:numFmt w:val="bullet"/>
      <w:pStyle w:val="DashLa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5BDE0ED9"/>
    <w:multiLevelType w:val="hybridMultilevel"/>
    <w:tmpl w:val="874E5EE6"/>
    <w:styleLink w:val="HeadingListStyle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417B59"/>
    <w:multiLevelType w:val="hybridMultilevel"/>
    <w:tmpl w:val="C3B0C03C"/>
    <w:lvl w:ilvl="0" w:tplc="4B26759C">
      <w:start w:val="1"/>
      <w:numFmt w:val="decimal"/>
      <w:lvlText w:val="%1)"/>
      <w:lvlJc w:val="left"/>
      <w:pPr>
        <w:ind w:left="720" w:hanging="360"/>
      </w:pPr>
    </w:lvl>
    <w:lvl w:ilvl="1" w:tplc="68727CB6">
      <w:start w:val="1"/>
      <w:numFmt w:val="decimal"/>
      <w:lvlText w:val="%2)"/>
      <w:lvlJc w:val="left"/>
      <w:pPr>
        <w:ind w:left="720" w:hanging="360"/>
      </w:pPr>
    </w:lvl>
    <w:lvl w:ilvl="2" w:tplc="AE18637A">
      <w:start w:val="1"/>
      <w:numFmt w:val="decimal"/>
      <w:lvlText w:val="%3)"/>
      <w:lvlJc w:val="left"/>
      <w:pPr>
        <w:ind w:left="720" w:hanging="360"/>
      </w:pPr>
    </w:lvl>
    <w:lvl w:ilvl="3" w:tplc="9A7C263C">
      <w:start w:val="1"/>
      <w:numFmt w:val="decimal"/>
      <w:lvlText w:val="%4)"/>
      <w:lvlJc w:val="left"/>
      <w:pPr>
        <w:ind w:left="720" w:hanging="360"/>
      </w:pPr>
    </w:lvl>
    <w:lvl w:ilvl="4" w:tplc="286AE460">
      <w:start w:val="1"/>
      <w:numFmt w:val="decimal"/>
      <w:lvlText w:val="%5)"/>
      <w:lvlJc w:val="left"/>
      <w:pPr>
        <w:ind w:left="720" w:hanging="360"/>
      </w:pPr>
    </w:lvl>
    <w:lvl w:ilvl="5" w:tplc="BE065C4C">
      <w:start w:val="1"/>
      <w:numFmt w:val="decimal"/>
      <w:lvlText w:val="%6)"/>
      <w:lvlJc w:val="left"/>
      <w:pPr>
        <w:ind w:left="720" w:hanging="360"/>
      </w:pPr>
    </w:lvl>
    <w:lvl w:ilvl="6" w:tplc="3BF82780">
      <w:start w:val="1"/>
      <w:numFmt w:val="decimal"/>
      <w:lvlText w:val="%7)"/>
      <w:lvlJc w:val="left"/>
      <w:pPr>
        <w:ind w:left="720" w:hanging="360"/>
      </w:pPr>
    </w:lvl>
    <w:lvl w:ilvl="7" w:tplc="A002F4CE">
      <w:start w:val="1"/>
      <w:numFmt w:val="decimal"/>
      <w:lvlText w:val="%8)"/>
      <w:lvlJc w:val="left"/>
      <w:pPr>
        <w:ind w:left="720" w:hanging="360"/>
      </w:pPr>
    </w:lvl>
    <w:lvl w:ilvl="8" w:tplc="301E5030">
      <w:start w:val="1"/>
      <w:numFmt w:val="decimal"/>
      <w:lvlText w:val="%9)"/>
      <w:lvlJc w:val="left"/>
      <w:pPr>
        <w:ind w:left="720" w:hanging="360"/>
      </w:pPr>
    </w:lvl>
  </w:abstractNum>
  <w:abstractNum w:abstractNumId="2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A3A05E7"/>
    <w:multiLevelType w:val="hybridMultilevel"/>
    <w:tmpl w:val="575241EE"/>
    <w:lvl w:ilvl="0" w:tplc="B90445E6">
      <w:start w:val="1"/>
      <w:numFmt w:val="bullet"/>
      <w:lvlText w:val=""/>
      <w:lvlJc w:val="left"/>
      <w:pPr>
        <w:tabs>
          <w:tab w:val="num" w:pos="720"/>
        </w:tabs>
        <w:ind w:left="720" w:hanging="360"/>
      </w:pPr>
      <w:rPr>
        <w:rFonts w:ascii="Symbol" w:hAnsi="Symbol" w:hint="default"/>
      </w:rPr>
    </w:lvl>
    <w:lvl w:ilvl="1" w:tplc="FD7288F0" w:tentative="1">
      <w:start w:val="1"/>
      <w:numFmt w:val="bullet"/>
      <w:lvlText w:val=""/>
      <w:lvlJc w:val="left"/>
      <w:pPr>
        <w:tabs>
          <w:tab w:val="num" w:pos="1440"/>
        </w:tabs>
        <w:ind w:left="1440" w:hanging="360"/>
      </w:pPr>
      <w:rPr>
        <w:rFonts w:ascii="Symbol" w:hAnsi="Symbol" w:hint="default"/>
      </w:rPr>
    </w:lvl>
    <w:lvl w:ilvl="2" w:tplc="ECB0BEB0" w:tentative="1">
      <w:start w:val="1"/>
      <w:numFmt w:val="bullet"/>
      <w:lvlText w:val=""/>
      <w:lvlJc w:val="left"/>
      <w:pPr>
        <w:tabs>
          <w:tab w:val="num" w:pos="2160"/>
        </w:tabs>
        <w:ind w:left="2160" w:hanging="360"/>
      </w:pPr>
      <w:rPr>
        <w:rFonts w:ascii="Symbol" w:hAnsi="Symbol" w:hint="default"/>
      </w:rPr>
    </w:lvl>
    <w:lvl w:ilvl="3" w:tplc="0BFAC332" w:tentative="1">
      <w:start w:val="1"/>
      <w:numFmt w:val="bullet"/>
      <w:lvlText w:val=""/>
      <w:lvlJc w:val="left"/>
      <w:pPr>
        <w:tabs>
          <w:tab w:val="num" w:pos="2880"/>
        </w:tabs>
        <w:ind w:left="2880" w:hanging="360"/>
      </w:pPr>
      <w:rPr>
        <w:rFonts w:ascii="Symbol" w:hAnsi="Symbol" w:hint="default"/>
      </w:rPr>
    </w:lvl>
    <w:lvl w:ilvl="4" w:tplc="008419B0" w:tentative="1">
      <w:start w:val="1"/>
      <w:numFmt w:val="bullet"/>
      <w:lvlText w:val=""/>
      <w:lvlJc w:val="left"/>
      <w:pPr>
        <w:tabs>
          <w:tab w:val="num" w:pos="3600"/>
        </w:tabs>
        <w:ind w:left="3600" w:hanging="360"/>
      </w:pPr>
      <w:rPr>
        <w:rFonts w:ascii="Symbol" w:hAnsi="Symbol" w:hint="default"/>
      </w:rPr>
    </w:lvl>
    <w:lvl w:ilvl="5" w:tplc="D1A8D832" w:tentative="1">
      <w:start w:val="1"/>
      <w:numFmt w:val="bullet"/>
      <w:lvlText w:val=""/>
      <w:lvlJc w:val="left"/>
      <w:pPr>
        <w:tabs>
          <w:tab w:val="num" w:pos="4320"/>
        </w:tabs>
        <w:ind w:left="4320" w:hanging="360"/>
      </w:pPr>
      <w:rPr>
        <w:rFonts w:ascii="Symbol" w:hAnsi="Symbol" w:hint="default"/>
      </w:rPr>
    </w:lvl>
    <w:lvl w:ilvl="6" w:tplc="7A00E3CA" w:tentative="1">
      <w:start w:val="1"/>
      <w:numFmt w:val="bullet"/>
      <w:lvlText w:val=""/>
      <w:lvlJc w:val="left"/>
      <w:pPr>
        <w:tabs>
          <w:tab w:val="num" w:pos="5040"/>
        </w:tabs>
        <w:ind w:left="5040" w:hanging="360"/>
      </w:pPr>
      <w:rPr>
        <w:rFonts w:ascii="Symbol" w:hAnsi="Symbol" w:hint="default"/>
      </w:rPr>
    </w:lvl>
    <w:lvl w:ilvl="7" w:tplc="4A7C01B4" w:tentative="1">
      <w:start w:val="1"/>
      <w:numFmt w:val="bullet"/>
      <w:lvlText w:val=""/>
      <w:lvlJc w:val="left"/>
      <w:pPr>
        <w:tabs>
          <w:tab w:val="num" w:pos="5760"/>
        </w:tabs>
        <w:ind w:left="5760" w:hanging="360"/>
      </w:pPr>
      <w:rPr>
        <w:rFonts w:ascii="Symbol" w:hAnsi="Symbol" w:hint="default"/>
      </w:rPr>
    </w:lvl>
    <w:lvl w:ilvl="8" w:tplc="B0E491E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BD109D"/>
    <w:multiLevelType w:val="hybridMultilevel"/>
    <w:tmpl w:val="F8D8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pStyle w:val="StyleHeading5p511ptBoldNotItalic"/>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90988AF2"/>
    <w:lvl w:ilvl="0">
      <w:start w:val="1"/>
      <w:numFmt w:val="decimal"/>
      <w:pStyle w:val="COMESH2"/>
      <w:lvlText w:val="%1"/>
      <w:lvlJc w:val="left"/>
      <w:pPr>
        <w:ind w:left="720" w:hanging="720"/>
      </w:pPr>
      <w:rPr>
        <w:rFonts w:ascii="Calibri" w:hAnsi="Calibri" w:hint="default"/>
        <w:b/>
        <w:i w:val="0"/>
      </w:rPr>
    </w:lvl>
    <w:lvl w:ilvl="1">
      <w:start w:val="1"/>
      <w:numFmt w:val="decimal"/>
      <w:pStyle w:val="COMESnumberedpara"/>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742700"/>
    <w:multiLevelType w:val="hybridMultilevel"/>
    <w:tmpl w:val="8982E212"/>
    <w:lvl w:ilvl="0" w:tplc="06C64488">
      <w:start w:val="1"/>
      <w:numFmt w:val="bullet"/>
      <w:pStyle w:val="BoxTickbox"/>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29"/>
  </w:num>
  <w:num w:numId="2" w16cid:durableId="917793048">
    <w:abstractNumId w:val="17"/>
  </w:num>
  <w:num w:numId="3" w16cid:durableId="220360847">
    <w:abstractNumId w:val="25"/>
  </w:num>
  <w:num w:numId="4" w16cid:durableId="268196418">
    <w:abstractNumId w:val="13"/>
  </w:num>
  <w:num w:numId="5" w16cid:durableId="1048839230">
    <w:abstractNumId w:val="29"/>
  </w:num>
  <w:num w:numId="6" w16cid:durableId="374349641">
    <w:abstractNumId w:val="0"/>
  </w:num>
  <w:num w:numId="7" w16cid:durableId="1681078653">
    <w:abstractNumId w:val="8"/>
  </w:num>
  <w:num w:numId="8" w16cid:durableId="828791177">
    <w:abstractNumId w:val="29"/>
  </w:num>
  <w:num w:numId="9" w16cid:durableId="737829100">
    <w:abstractNumId w:val="3"/>
  </w:num>
  <w:num w:numId="10" w16cid:durableId="590744414">
    <w:abstractNumId w:val="23"/>
  </w:num>
  <w:num w:numId="11" w16cid:durableId="1600331713">
    <w:abstractNumId w:val="11"/>
  </w:num>
  <w:num w:numId="12" w16cid:durableId="529532285">
    <w:abstractNumId w:val="12"/>
  </w:num>
  <w:num w:numId="13" w16cid:durableId="752433780">
    <w:abstractNumId w:val="5"/>
  </w:num>
  <w:num w:numId="14" w16cid:durableId="1199319726">
    <w:abstractNumId w:val="14"/>
  </w:num>
  <w:num w:numId="15" w16cid:durableId="1177117740">
    <w:abstractNumId w:val="22"/>
  </w:num>
  <w:num w:numId="16" w16cid:durableId="877930361">
    <w:abstractNumId w:val="20"/>
  </w:num>
  <w:num w:numId="17" w16cid:durableId="327253919">
    <w:abstractNumId w:val="30"/>
  </w:num>
  <w:num w:numId="18" w16cid:durableId="522671272">
    <w:abstractNumId w:val="2"/>
  </w:num>
  <w:num w:numId="19" w16cid:durableId="1684360529">
    <w:abstractNumId w:val="18"/>
  </w:num>
  <w:num w:numId="20" w16cid:durableId="1299721329">
    <w:abstractNumId w:val="28"/>
  </w:num>
  <w:num w:numId="21" w16cid:durableId="313409439">
    <w:abstractNumId w:val="15"/>
  </w:num>
  <w:num w:numId="22" w16cid:durableId="1063874764">
    <w:abstractNumId w:val="6"/>
  </w:num>
  <w:num w:numId="23" w16cid:durableId="337781029">
    <w:abstractNumId w:val="21"/>
  </w:num>
  <w:num w:numId="24" w16cid:durableId="480923402">
    <w:abstractNumId w:val="9"/>
  </w:num>
  <w:num w:numId="25" w16cid:durableId="839465312">
    <w:abstractNumId w:val="7"/>
  </w:num>
  <w:num w:numId="26" w16cid:durableId="799693348">
    <w:abstractNumId w:val="4"/>
  </w:num>
  <w:num w:numId="27" w16cid:durableId="1854373283">
    <w:abstractNumId w:val="1"/>
  </w:num>
  <w:num w:numId="28" w16cid:durableId="29574070">
    <w:abstractNumId w:val="26"/>
  </w:num>
  <w:num w:numId="29" w16cid:durableId="1458600444">
    <w:abstractNumId w:val="24"/>
  </w:num>
  <w:num w:numId="30" w16cid:durableId="1553418269">
    <w:abstractNumId w:val="16"/>
  </w:num>
  <w:num w:numId="31" w16cid:durableId="507212499">
    <w:abstractNumId w:val="19"/>
  </w:num>
  <w:num w:numId="32" w16cid:durableId="1448305828">
    <w:abstractNumId w:val="29"/>
  </w:num>
  <w:num w:numId="33" w16cid:durableId="1527406145">
    <w:abstractNumId w:val="10"/>
  </w:num>
  <w:num w:numId="34" w16cid:durableId="120616658">
    <w:abstractNumId w:val="29"/>
  </w:num>
  <w:num w:numId="35" w16cid:durableId="1150713045">
    <w:abstractNumId w:val="29"/>
  </w:num>
  <w:num w:numId="36" w16cid:durableId="209997201">
    <w:abstractNumId w:val="27"/>
  </w:num>
  <w:num w:numId="37" w16cid:durableId="187538880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22"/>
    <w:rsid w:val="00000375"/>
    <w:rsid w:val="0000047E"/>
    <w:rsid w:val="00000650"/>
    <w:rsid w:val="0000076A"/>
    <w:rsid w:val="00000790"/>
    <w:rsid w:val="000007D3"/>
    <w:rsid w:val="00000D01"/>
    <w:rsid w:val="00000D92"/>
    <w:rsid w:val="0000110B"/>
    <w:rsid w:val="00001877"/>
    <w:rsid w:val="000019C9"/>
    <w:rsid w:val="00001B21"/>
    <w:rsid w:val="0000238A"/>
    <w:rsid w:val="00002C96"/>
    <w:rsid w:val="000032F4"/>
    <w:rsid w:val="00003499"/>
    <w:rsid w:val="000039B7"/>
    <w:rsid w:val="00003ADF"/>
    <w:rsid w:val="00003C9E"/>
    <w:rsid w:val="0000405C"/>
    <w:rsid w:val="0000407A"/>
    <w:rsid w:val="0000419E"/>
    <w:rsid w:val="0000425C"/>
    <w:rsid w:val="00004986"/>
    <w:rsid w:val="000049B4"/>
    <w:rsid w:val="00005194"/>
    <w:rsid w:val="000056B9"/>
    <w:rsid w:val="00005B83"/>
    <w:rsid w:val="00005D3D"/>
    <w:rsid w:val="00005D53"/>
    <w:rsid w:val="00005EAC"/>
    <w:rsid w:val="00005F1C"/>
    <w:rsid w:val="000060D9"/>
    <w:rsid w:val="000061F9"/>
    <w:rsid w:val="00006384"/>
    <w:rsid w:val="0000639A"/>
    <w:rsid w:val="0000664D"/>
    <w:rsid w:val="00006708"/>
    <w:rsid w:val="00006B63"/>
    <w:rsid w:val="00006E99"/>
    <w:rsid w:val="00006FB1"/>
    <w:rsid w:val="00007573"/>
    <w:rsid w:val="0000769E"/>
    <w:rsid w:val="00007A62"/>
    <w:rsid w:val="0001083C"/>
    <w:rsid w:val="00010D7C"/>
    <w:rsid w:val="00010E32"/>
    <w:rsid w:val="0001139B"/>
    <w:rsid w:val="000116E0"/>
    <w:rsid w:val="0001181E"/>
    <w:rsid w:val="00011CFF"/>
    <w:rsid w:val="000127F3"/>
    <w:rsid w:val="00012C8D"/>
    <w:rsid w:val="00012D76"/>
    <w:rsid w:val="00012DB4"/>
    <w:rsid w:val="00012F35"/>
    <w:rsid w:val="0001321B"/>
    <w:rsid w:val="00013247"/>
    <w:rsid w:val="0001347A"/>
    <w:rsid w:val="000136D3"/>
    <w:rsid w:val="0001437A"/>
    <w:rsid w:val="000146BD"/>
    <w:rsid w:val="000146CE"/>
    <w:rsid w:val="00014765"/>
    <w:rsid w:val="00014893"/>
    <w:rsid w:val="00014955"/>
    <w:rsid w:val="00014B29"/>
    <w:rsid w:val="00014BDD"/>
    <w:rsid w:val="000151FA"/>
    <w:rsid w:val="000154EA"/>
    <w:rsid w:val="0001552A"/>
    <w:rsid w:val="00015886"/>
    <w:rsid w:val="000159B6"/>
    <w:rsid w:val="00016154"/>
    <w:rsid w:val="000162EF"/>
    <w:rsid w:val="00016517"/>
    <w:rsid w:val="00016BB7"/>
    <w:rsid w:val="0001763C"/>
    <w:rsid w:val="00017BB8"/>
    <w:rsid w:val="00017D0F"/>
    <w:rsid w:val="00017F97"/>
    <w:rsid w:val="000205F5"/>
    <w:rsid w:val="000207C9"/>
    <w:rsid w:val="000209E7"/>
    <w:rsid w:val="00020A86"/>
    <w:rsid w:val="00020AE9"/>
    <w:rsid w:val="00020BB7"/>
    <w:rsid w:val="00021038"/>
    <w:rsid w:val="00021093"/>
    <w:rsid w:val="0002131D"/>
    <w:rsid w:val="000218B0"/>
    <w:rsid w:val="00021A09"/>
    <w:rsid w:val="00021D04"/>
    <w:rsid w:val="00021FD9"/>
    <w:rsid w:val="0002225F"/>
    <w:rsid w:val="00022531"/>
    <w:rsid w:val="00022AE7"/>
    <w:rsid w:val="00023763"/>
    <w:rsid w:val="000237A8"/>
    <w:rsid w:val="00023864"/>
    <w:rsid w:val="00023ADF"/>
    <w:rsid w:val="00023B34"/>
    <w:rsid w:val="00023DF1"/>
    <w:rsid w:val="000246AD"/>
    <w:rsid w:val="00024AE2"/>
    <w:rsid w:val="00024C08"/>
    <w:rsid w:val="00024E03"/>
    <w:rsid w:val="00024EB5"/>
    <w:rsid w:val="00024EC6"/>
    <w:rsid w:val="000260C3"/>
    <w:rsid w:val="00026834"/>
    <w:rsid w:val="0002716E"/>
    <w:rsid w:val="00027349"/>
    <w:rsid w:val="00027414"/>
    <w:rsid w:val="000274B8"/>
    <w:rsid w:val="00027720"/>
    <w:rsid w:val="00027856"/>
    <w:rsid w:val="00027AD6"/>
    <w:rsid w:val="00027B9D"/>
    <w:rsid w:val="00027BC2"/>
    <w:rsid w:val="00027C43"/>
    <w:rsid w:val="00027FFB"/>
    <w:rsid w:val="000300C9"/>
    <w:rsid w:val="00030384"/>
    <w:rsid w:val="000306F2"/>
    <w:rsid w:val="000309F9"/>
    <w:rsid w:val="00030DCA"/>
    <w:rsid w:val="0003139F"/>
    <w:rsid w:val="0003167E"/>
    <w:rsid w:val="000316CC"/>
    <w:rsid w:val="00031C32"/>
    <w:rsid w:val="00031C52"/>
    <w:rsid w:val="00031D40"/>
    <w:rsid w:val="00032283"/>
    <w:rsid w:val="00032516"/>
    <w:rsid w:val="0003270F"/>
    <w:rsid w:val="00032902"/>
    <w:rsid w:val="0003294B"/>
    <w:rsid w:val="0003296A"/>
    <w:rsid w:val="0003298B"/>
    <w:rsid w:val="000337BE"/>
    <w:rsid w:val="00033863"/>
    <w:rsid w:val="000339F6"/>
    <w:rsid w:val="00033D2C"/>
    <w:rsid w:val="000343C1"/>
    <w:rsid w:val="0003486B"/>
    <w:rsid w:val="00034B31"/>
    <w:rsid w:val="00034BFE"/>
    <w:rsid w:val="00035DC0"/>
    <w:rsid w:val="00036829"/>
    <w:rsid w:val="00036930"/>
    <w:rsid w:val="00036A73"/>
    <w:rsid w:val="00036B71"/>
    <w:rsid w:val="00036DEE"/>
    <w:rsid w:val="00037566"/>
    <w:rsid w:val="000375FE"/>
    <w:rsid w:val="0003775E"/>
    <w:rsid w:val="00037A04"/>
    <w:rsid w:val="00037B44"/>
    <w:rsid w:val="00040002"/>
    <w:rsid w:val="0004049F"/>
    <w:rsid w:val="00040778"/>
    <w:rsid w:val="00040782"/>
    <w:rsid w:val="00040895"/>
    <w:rsid w:val="00040C6F"/>
    <w:rsid w:val="00040E5D"/>
    <w:rsid w:val="000410A0"/>
    <w:rsid w:val="000410E2"/>
    <w:rsid w:val="00041508"/>
    <w:rsid w:val="00041ABB"/>
    <w:rsid w:val="00041B0E"/>
    <w:rsid w:val="00042DAD"/>
    <w:rsid w:val="00043201"/>
    <w:rsid w:val="00043246"/>
    <w:rsid w:val="00043538"/>
    <w:rsid w:val="000435EE"/>
    <w:rsid w:val="000438B3"/>
    <w:rsid w:val="00043C37"/>
    <w:rsid w:val="000440C2"/>
    <w:rsid w:val="00044192"/>
    <w:rsid w:val="00044323"/>
    <w:rsid w:val="00044927"/>
    <w:rsid w:val="00044FA1"/>
    <w:rsid w:val="00045017"/>
    <w:rsid w:val="0004572C"/>
    <w:rsid w:val="000457DA"/>
    <w:rsid w:val="00045A2B"/>
    <w:rsid w:val="00045FD3"/>
    <w:rsid w:val="00046064"/>
    <w:rsid w:val="000462A3"/>
    <w:rsid w:val="00046302"/>
    <w:rsid w:val="00046585"/>
    <w:rsid w:val="00046756"/>
    <w:rsid w:val="00046771"/>
    <w:rsid w:val="0004698F"/>
    <w:rsid w:val="00046A3E"/>
    <w:rsid w:val="00046D64"/>
    <w:rsid w:val="00046FB8"/>
    <w:rsid w:val="0004745B"/>
    <w:rsid w:val="00047530"/>
    <w:rsid w:val="000477BF"/>
    <w:rsid w:val="000501A1"/>
    <w:rsid w:val="00050243"/>
    <w:rsid w:val="000508C2"/>
    <w:rsid w:val="00050912"/>
    <w:rsid w:val="00051917"/>
    <w:rsid w:val="00051CD6"/>
    <w:rsid w:val="00051D58"/>
    <w:rsid w:val="00051DD3"/>
    <w:rsid w:val="00051F54"/>
    <w:rsid w:val="00052DEC"/>
    <w:rsid w:val="00053348"/>
    <w:rsid w:val="0005366B"/>
    <w:rsid w:val="0005378E"/>
    <w:rsid w:val="000539D0"/>
    <w:rsid w:val="0005417D"/>
    <w:rsid w:val="00054621"/>
    <w:rsid w:val="000546D7"/>
    <w:rsid w:val="000549CA"/>
    <w:rsid w:val="00054A8D"/>
    <w:rsid w:val="00054B15"/>
    <w:rsid w:val="00054BD6"/>
    <w:rsid w:val="00055061"/>
    <w:rsid w:val="0005535A"/>
    <w:rsid w:val="000560F2"/>
    <w:rsid w:val="0005675A"/>
    <w:rsid w:val="00056ECF"/>
    <w:rsid w:val="00057D2D"/>
    <w:rsid w:val="00060206"/>
    <w:rsid w:val="000604DF"/>
    <w:rsid w:val="0006067F"/>
    <w:rsid w:val="00060A47"/>
    <w:rsid w:val="0006108D"/>
    <w:rsid w:val="000613FE"/>
    <w:rsid w:val="00061500"/>
    <w:rsid w:val="000616E4"/>
    <w:rsid w:val="00061A6B"/>
    <w:rsid w:val="00061D71"/>
    <w:rsid w:val="00061DEC"/>
    <w:rsid w:val="00062324"/>
    <w:rsid w:val="00062570"/>
    <w:rsid w:val="0006262F"/>
    <w:rsid w:val="0006263A"/>
    <w:rsid w:val="000627B3"/>
    <w:rsid w:val="00062DA0"/>
    <w:rsid w:val="00062EB0"/>
    <w:rsid w:val="0006317E"/>
    <w:rsid w:val="0006331D"/>
    <w:rsid w:val="00063428"/>
    <w:rsid w:val="00063B32"/>
    <w:rsid w:val="00063BAB"/>
    <w:rsid w:val="00063BF1"/>
    <w:rsid w:val="00063CF7"/>
    <w:rsid w:val="00063D91"/>
    <w:rsid w:val="00064337"/>
    <w:rsid w:val="00064398"/>
    <w:rsid w:val="000646DE"/>
    <w:rsid w:val="000646EB"/>
    <w:rsid w:val="00064EAB"/>
    <w:rsid w:val="00064FF9"/>
    <w:rsid w:val="0006517B"/>
    <w:rsid w:val="000653B5"/>
    <w:rsid w:val="00065C71"/>
    <w:rsid w:val="00066063"/>
    <w:rsid w:val="00066360"/>
    <w:rsid w:val="00066438"/>
    <w:rsid w:val="00066A75"/>
    <w:rsid w:val="00066AF8"/>
    <w:rsid w:val="00067093"/>
    <w:rsid w:val="00067561"/>
    <w:rsid w:val="000675D4"/>
    <w:rsid w:val="000677D6"/>
    <w:rsid w:val="00070137"/>
    <w:rsid w:val="000708F8"/>
    <w:rsid w:val="00070B16"/>
    <w:rsid w:val="00070E95"/>
    <w:rsid w:val="00071022"/>
    <w:rsid w:val="00071248"/>
    <w:rsid w:val="00071A7F"/>
    <w:rsid w:val="00071C97"/>
    <w:rsid w:val="00071FB0"/>
    <w:rsid w:val="00072097"/>
    <w:rsid w:val="000720B9"/>
    <w:rsid w:val="000723BE"/>
    <w:rsid w:val="00072413"/>
    <w:rsid w:val="00072730"/>
    <w:rsid w:val="000727CC"/>
    <w:rsid w:val="00072B34"/>
    <w:rsid w:val="00072D0F"/>
    <w:rsid w:val="00072D63"/>
    <w:rsid w:val="00073413"/>
    <w:rsid w:val="000736F9"/>
    <w:rsid w:val="000737F7"/>
    <w:rsid w:val="00073883"/>
    <w:rsid w:val="0007393D"/>
    <w:rsid w:val="00073CE3"/>
    <w:rsid w:val="00073DFC"/>
    <w:rsid w:val="0007403B"/>
    <w:rsid w:val="00074798"/>
    <w:rsid w:val="00074A65"/>
    <w:rsid w:val="00074E47"/>
    <w:rsid w:val="0007520E"/>
    <w:rsid w:val="00075568"/>
    <w:rsid w:val="00075895"/>
    <w:rsid w:val="00075B15"/>
    <w:rsid w:val="00075B93"/>
    <w:rsid w:val="000763E5"/>
    <w:rsid w:val="0007672F"/>
    <w:rsid w:val="0007673A"/>
    <w:rsid w:val="00076B54"/>
    <w:rsid w:val="00076BC9"/>
    <w:rsid w:val="000774F0"/>
    <w:rsid w:val="0007759B"/>
    <w:rsid w:val="000779B9"/>
    <w:rsid w:val="00077BFE"/>
    <w:rsid w:val="0008008C"/>
    <w:rsid w:val="0008033B"/>
    <w:rsid w:val="00080402"/>
    <w:rsid w:val="0008045A"/>
    <w:rsid w:val="000808C8"/>
    <w:rsid w:val="00080909"/>
    <w:rsid w:val="00080C7C"/>
    <w:rsid w:val="00080E43"/>
    <w:rsid w:val="00080EDA"/>
    <w:rsid w:val="000812CA"/>
    <w:rsid w:val="000815F3"/>
    <w:rsid w:val="00081638"/>
    <w:rsid w:val="00081854"/>
    <w:rsid w:val="0008187C"/>
    <w:rsid w:val="00081A44"/>
    <w:rsid w:val="00081D20"/>
    <w:rsid w:val="00081E63"/>
    <w:rsid w:val="00082576"/>
    <w:rsid w:val="0008258D"/>
    <w:rsid w:val="000825B8"/>
    <w:rsid w:val="00082F69"/>
    <w:rsid w:val="0008318E"/>
    <w:rsid w:val="000833F4"/>
    <w:rsid w:val="00083405"/>
    <w:rsid w:val="00083601"/>
    <w:rsid w:val="00083893"/>
    <w:rsid w:val="00083BF2"/>
    <w:rsid w:val="00083C2C"/>
    <w:rsid w:val="00083E63"/>
    <w:rsid w:val="00083E99"/>
    <w:rsid w:val="00083EA7"/>
    <w:rsid w:val="000843F3"/>
    <w:rsid w:val="00084577"/>
    <w:rsid w:val="0008469E"/>
    <w:rsid w:val="00084D6A"/>
    <w:rsid w:val="00084FA8"/>
    <w:rsid w:val="000856C5"/>
    <w:rsid w:val="00085AF9"/>
    <w:rsid w:val="00085C31"/>
    <w:rsid w:val="00086308"/>
    <w:rsid w:val="00087169"/>
    <w:rsid w:val="0008733B"/>
    <w:rsid w:val="00087866"/>
    <w:rsid w:val="00087A88"/>
    <w:rsid w:val="00087ABC"/>
    <w:rsid w:val="00087DC7"/>
    <w:rsid w:val="0009002A"/>
    <w:rsid w:val="000902D9"/>
    <w:rsid w:val="00090ACF"/>
    <w:rsid w:val="00090C7E"/>
    <w:rsid w:val="00090DF0"/>
    <w:rsid w:val="000910EE"/>
    <w:rsid w:val="000911AC"/>
    <w:rsid w:val="00091268"/>
    <w:rsid w:val="000912C6"/>
    <w:rsid w:val="000917F8"/>
    <w:rsid w:val="00091EB6"/>
    <w:rsid w:val="00092600"/>
    <w:rsid w:val="0009262B"/>
    <w:rsid w:val="00092A74"/>
    <w:rsid w:val="00092C4A"/>
    <w:rsid w:val="00092DB2"/>
    <w:rsid w:val="00092F15"/>
    <w:rsid w:val="00093310"/>
    <w:rsid w:val="0009342F"/>
    <w:rsid w:val="0009353B"/>
    <w:rsid w:val="00093BCE"/>
    <w:rsid w:val="00093FC7"/>
    <w:rsid w:val="000942F1"/>
    <w:rsid w:val="00094376"/>
    <w:rsid w:val="0009445C"/>
    <w:rsid w:val="00094A79"/>
    <w:rsid w:val="00094EB0"/>
    <w:rsid w:val="00095200"/>
    <w:rsid w:val="000955A7"/>
    <w:rsid w:val="0009563F"/>
    <w:rsid w:val="000957A6"/>
    <w:rsid w:val="00095FE5"/>
    <w:rsid w:val="00096284"/>
    <w:rsid w:val="00097008"/>
    <w:rsid w:val="00097356"/>
    <w:rsid w:val="000977CA"/>
    <w:rsid w:val="000977D5"/>
    <w:rsid w:val="00097B3F"/>
    <w:rsid w:val="00097C4C"/>
    <w:rsid w:val="00097CFD"/>
    <w:rsid w:val="00097D12"/>
    <w:rsid w:val="00097E6F"/>
    <w:rsid w:val="000A0B65"/>
    <w:rsid w:val="000A0B81"/>
    <w:rsid w:val="000A0EC1"/>
    <w:rsid w:val="000A18B0"/>
    <w:rsid w:val="000A1BC0"/>
    <w:rsid w:val="000A1F9E"/>
    <w:rsid w:val="000A25A7"/>
    <w:rsid w:val="000A2F9E"/>
    <w:rsid w:val="000A332C"/>
    <w:rsid w:val="000A336C"/>
    <w:rsid w:val="000A35BF"/>
    <w:rsid w:val="000A3E47"/>
    <w:rsid w:val="000A412B"/>
    <w:rsid w:val="000A4718"/>
    <w:rsid w:val="000A4ABF"/>
    <w:rsid w:val="000A4B3F"/>
    <w:rsid w:val="000A4F6E"/>
    <w:rsid w:val="000A4FAE"/>
    <w:rsid w:val="000A5218"/>
    <w:rsid w:val="000A522B"/>
    <w:rsid w:val="000A5638"/>
    <w:rsid w:val="000A584F"/>
    <w:rsid w:val="000A6039"/>
    <w:rsid w:val="000A64BA"/>
    <w:rsid w:val="000A670C"/>
    <w:rsid w:val="000A6767"/>
    <w:rsid w:val="000A6ADB"/>
    <w:rsid w:val="000A6CCE"/>
    <w:rsid w:val="000A6CE9"/>
    <w:rsid w:val="000A6F45"/>
    <w:rsid w:val="000A6F57"/>
    <w:rsid w:val="000A728B"/>
    <w:rsid w:val="000A7453"/>
    <w:rsid w:val="000A7755"/>
    <w:rsid w:val="000A7A80"/>
    <w:rsid w:val="000A7B89"/>
    <w:rsid w:val="000A7D08"/>
    <w:rsid w:val="000B0121"/>
    <w:rsid w:val="000B03D6"/>
    <w:rsid w:val="000B0402"/>
    <w:rsid w:val="000B0474"/>
    <w:rsid w:val="000B0670"/>
    <w:rsid w:val="000B0AB3"/>
    <w:rsid w:val="000B0ACE"/>
    <w:rsid w:val="000B0B4F"/>
    <w:rsid w:val="000B0E75"/>
    <w:rsid w:val="000B150D"/>
    <w:rsid w:val="000B1A08"/>
    <w:rsid w:val="000B1D37"/>
    <w:rsid w:val="000B23AE"/>
    <w:rsid w:val="000B244A"/>
    <w:rsid w:val="000B2521"/>
    <w:rsid w:val="000B29C9"/>
    <w:rsid w:val="000B2C1E"/>
    <w:rsid w:val="000B2C94"/>
    <w:rsid w:val="000B2DCB"/>
    <w:rsid w:val="000B3718"/>
    <w:rsid w:val="000B375E"/>
    <w:rsid w:val="000B38E1"/>
    <w:rsid w:val="000B396A"/>
    <w:rsid w:val="000B3A2F"/>
    <w:rsid w:val="000B3EB2"/>
    <w:rsid w:val="000B3FA6"/>
    <w:rsid w:val="000B4EA8"/>
    <w:rsid w:val="000B5256"/>
    <w:rsid w:val="000B5CE0"/>
    <w:rsid w:val="000B6182"/>
    <w:rsid w:val="000B6349"/>
    <w:rsid w:val="000B6748"/>
    <w:rsid w:val="000B69E3"/>
    <w:rsid w:val="000B6AA9"/>
    <w:rsid w:val="000B6CAC"/>
    <w:rsid w:val="000B7066"/>
    <w:rsid w:val="000B72F2"/>
    <w:rsid w:val="000B7612"/>
    <w:rsid w:val="000B78AE"/>
    <w:rsid w:val="000B7988"/>
    <w:rsid w:val="000B7BDE"/>
    <w:rsid w:val="000C003D"/>
    <w:rsid w:val="000C00C2"/>
    <w:rsid w:val="000C07F4"/>
    <w:rsid w:val="000C0D58"/>
    <w:rsid w:val="000C0DAA"/>
    <w:rsid w:val="000C13ED"/>
    <w:rsid w:val="000C1633"/>
    <w:rsid w:val="000C178F"/>
    <w:rsid w:val="000C1F35"/>
    <w:rsid w:val="000C215C"/>
    <w:rsid w:val="000C250A"/>
    <w:rsid w:val="000C2EF9"/>
    <w:rsid w:val="000C3C5D"/>
    <w:rsid w:val="000C3DF9"/>
    <w:rsid w:val="000C3FE9"/>
    <w:rsid w:val="000C4137"/>
    <w:rsid w:val="000C43E0"/>
    <w:rsid w:val="000C4474"/>
    <w:rsid w:val="000C452E"/>
    <w:rsid w:val="000C4C57"/>
    <w:rsid w:val="000C4CF2"/>
    <w:rsid w:val="000C526C"/>
    <w:rsid w:val="000C5A90"/>
    <w:rsid w:val="000C5DD2"/>
    <w:rsid w:val="000C62E7"/>
    <w:rsid w:val="000C6444"/>
    <w:rsid w:val="000C64EE"/>
    <w:rsid w:val="000C66CD"/>
    <w:rsid w:val="000C6713"/>
    <w:rsid w:val="000C68DB"/>
    <w:rsid w:val="000C698A"/>
    <w:rsid w:val="000C6A02"/>
    <w:rsid w:val="000C6B67"/>
    <w:rsid w:val="000C7151"/>
    <w:rsid w:val="000C7332"/>
    <w:rsid w:val="000C73BE"/>
    <w:rsid w:val="000C74D1"/>
    <w:rsid w:val="000C7974"/>
    <w:rsid w:val="000C7A37"/>
    <w:rsid w:val="000C7E76"/>
    <w:rsid w:val="000D00D6"/>
    <w:rsid w:val="000D03B8"/>
    <w:rsid w:val="000D06BC"/>
    <w:rsid w:val="000D0F89"/>
    <w:rsid w:val="000D1AB4"/>
    <w:rsid w:val="000D1BA7"/>
    <w:rsid w:val="000D1BFC"/>
    <w:rsid w:val="000D1D5D"/>
    <w:rsid w:val="000D214E"/>
    <w:rsid w:val="000D2426"/>
    <w:rsid w:val="000D2657"/>
    <w:rsid w:val="000D274F"/>
    <w:rsid w:val="000D281A"/>
    <w:rsid w:val="000D2848"/>
    <w:rsid w:val="000D300D"/>
    <w:rsid w:val="000D326A"/>
    <w:rsid w:val="000D3A1B"/>
    <w:rsid w:val="000D3B9D"/>
    <w:rsid w:val="000D3C86"/>
    <w:rsid w:val="000D4061"/>
    <w:rsid w:val="000D41AA"/>
    <w:rsid w:val="000D43B3"/>
    <w:rsid w:val="000D445B"/>
    <w:rsid w:val="000D4504"/>
    <w:rsid w:val="000D4535"/>
    <w:rsid w:val="000D453E"/>
    <w:rsid w:val="000D48D4"/>
    <w:rsid w:val="000D50A3"/>
    <w:rsid w:val="000D51FB"/>
    <w:rsid w:val="000D5629"/>
    <w:rsid w:val="000D5BAB"/>
    <w:rsid w:val="000D6764"/>
    <w:rsid w:val="000D7228"/>
    <w:rsid w:val="000D771F"/>
    <w:rsid w:val="000D79C6"/>
    <w:rsid w:val="000D7EA9"/>
    <w:rsid w:val="000E0096"/>
    <w:rsid w:val="000E0640"/>
    <w:rsid w:val="000E07A0"/>
    <w:rsid w:val="000E0AB3"/>
    <w:rsid w:val="000E0D91"/>
    <w:rsid w:val="000E135D"/>
    <w:rsid w:val="000E14BE"/>
    <w:rsid w:val="000E1597"/>
    <w:rsid w:val="000E19BA"/>
    <w:rsid w:val="000E1A02"/>
    <w:rsid w:val="000E1CE5"/>
    <w:rsid w:val="000E1FB4"/>
    <w:rsid w:val="000E22BE"/>
    <w:rsid w:val="000E235F"/>
    <w:rsid w:val="000E2476"/>
    <w:rsid w:val="000E2509"/>
    <w:rsid w:val="000E2562"/>
    <w:rsid w:val="000E26B9"/>
    <w:rsid w:val="000E298A"/>
    <w:rsid w:val="000E2AB3"/>
    <w:rsid w:val="000E2AED"/>
    <w:rsid w:val="000E2B32"/>
    <w:rsid w:val="000E2E02"/>
    <w:rsid w:val="000E2F92"/>
    <w:rsid w:val="000E30B7"/>
    <w:rsid w:val="000E317B"/>
    <w:rsid w:val="000E38B5"/>
    <w:rsid w:val="000E39BF"/>
    <w:rsid w:val="000E3CA9"/>
    <w:rsid w:val="000E3CDA"/>
    <w:rsid w:val="000E3D58"/>
    <w:rsid w:val="000E4005"/>
    <w:rsid w:val="000E4257"/>
    <w:rsid w:val="000E502F"/>
    <w:rsid w:val="000E5FB3"/>
    <w:rsid w:val="000E605A"/>
    <w:rsid w:val="000E60E3"/>
    <w:rsid w:val="000E6255"/>
    <w:rsid w:val="000E6544"/>
    <w:rsid w:val="000E688C"/>
    <w:rsid w:val="000E6936"/>
    <w:rsid w:val="000E6C2A"/>
    <w:rsid w:val="000E6CE9"/>
    <w:rsid w:val="000E771A"/>
    <w:rsid w:val="000E78FB"/>
    <w:rsid w:val="000E7E26"/>
    <w:rsid w:val="000F00BA"/>
    <w:rsid w:val="000F0375"/>
    <w:rsid w:val="000F0DFF"/>
    <w:rsid w:val="000F0FC6"/>
    <w:rsid w:val="000F12E4"/>
    <w:rsid w:val="000F1A0F"/>
    <w:rsid w:val="000F1EE0"/>
    <w:rsid w:val="000F2089"/>
    <w:rsid w:val="000F2224"/>
    <w:rsid w:val="000F22F8"/>
    <w:rsid w:val="000F2D34"/>
    <w:rsid w:val="000F2F55"/>
    <w:rsid w:val="000F316A"/>
    <w:rsid w:val="000F33D6"/>
    <w:rsid w:val="000F344B"/>
    <w:rsid w:val="000F3452"/>
    <w:rsid w:val="000F3C74"/>
    <w:rsid w:val="000F4126"/>
    <w:rsid w:val="000F4477"/>
    <w:rsid w:val="000F4732"/>
    <w:rsid w:val="000F4885"/>
    <w:rsid w:val="000F4962"/>
    <w:rsid w:val="000F4B55"/>
    <w:rsid w:val="000F4BA3"/>
    <w:rsid w:val="000F4BB8"/>
    <w:rsid w:val="000F4FA9"/>
    <w:rsid w:val="000F539B"/>
    <w:rsid w:val="000F53FB"/>
    <w:rsid w:val="000F62D7"/>
    <w:rsid w:val="000F65D5"/>
    <w:rsid w:val="000F66D5"/>
    <w:rsid w:val="000F693A"/>
    <w:rsid w:val="000F6BF2"/>
    <w:rsid w:val="000F6CE5"/>
    <w:rsid w:val="000F6DCA"/>
    <w:rsid w:val="000F7127"/>
    <w:rsid w:val="000F7878"/>
    <w:rsid w:val="000F78FE"/>
    <w:rsid w:val="000F7B54"/>
    <w:rsid w:val="000F7EDA"/>
    <w:rsid w:val="00100097"/>
    <w:rsid w:val="001000B3"/>
    <w:rsid w:val="0010013B"/>
    <w:rsid w:val="001005D7"/>
    <w:rsid w:val="001007F5"/>
    <w:rsid w:val="001008A9"/>
    <w:rsid w:val="0010099E"/>
    <w:rsid w:val="00100ADC"/>
    <w:rsid w:val="00100BFB"/>
    <w:rsid w:val="00100F8A"/>
    <w:rsid w:val="0010107C"/>
    <w:rsid w:val="00101369"/>
    <w:rsid w:val="0010164D"/>
    <w:rsid w:val="00101A1B"/>
    <w:rsid w:val="00101E2D"/>
    <w:rsid w:val="00102418"/>
    <w:rsid w:val="00102520"/>
    <w:rsid w:val="00102B3E"/>
    <w:rsid w:val="00102BA3"/>
    <w:rsid w:val="00102C0D"/>
    <w:rsid w:val="00102EF6"/>
    <w:rsid w:val="0010306B"/>
    <w:rsid w:val="00103193"/>
    <w:rsid w:val="00103491"/>
    <w:rsid w:val="00103679"/>
    <w:rsid w:val="0010368A"/>
    <w:rsid w:val="0010385B"/>
    <w:rsid w:val="0010452E"/>
    <w:rsid w:val="001045BA"/>
    <w:rsid w:val="0010477F"/>
    <w:rsid w:val="001050C2"/>
    <w:rsid w:val="00105189"/>
    <w:rsid w:val="001051BA"/>
    <w:rsid w:val="0010522E"/>
    <w:rsid w:val="00105677"/>
    <w:rsid w:val="00105AE2"/>
    <w:rsid w:val="00105EDD"/>
    <w:rsid w:val="001060C6"/>
    <w:rsid w:val="0010639C"/>
    <w:rsid w:val="001065F2"/>
    <w:rsid w:val="00106855"/>
    <w:rsid w:val="00106B80"/>
    <w:rsid w:val="00106D73"/>
    <w:rsid w:val="00106F74"/>
    <w:rsid w:val="00107010"/>
    <w:rsid w:val="00107089"/>
    <w:rsid w:val="001072DA"/>
    <w:rsid w:val="001074F3"/>
    <w:rsid w:val="00107670"/>
    <w:rsid w:val="00107CED"/>
    <w:rsid w:val="00110284"/>
    <w:rsid w:val="0011032E"/>
    <w:rsid w:val="0011075B"/>
    <w:rsid w:val="00110EC7"/>
    <w:rsid w:val="00111867"/>
    <w:rsid w:val="00111D3E"/>
    <w:rsid w:val="00111F99"/>
    <w:rsid w:val="001129D3"/>
    <w:rsid w:val="00112BF7"/>
    <w:rsid w:val="00112C05"/>
    <w:rsid w:val="00112C85"/>
    <w:rsid w:val="001130C0"/>
    <w:rsid w:val="0011348B"/>
    <w:rsid w:val="00113527"/>
    <w:rsid w:val="00113722"/>
    <w:rsid w:val="00113792"/>
    <w:rsid w:val="001137CC"/>
    <w:rsid w:val="00113D41"/>
    <w:rsid w:val="00113E55"/>
    <w:rsid w:val="00114138"/>
    <w:rsid w:val="001146FA"/>
    <w:rsid w:val="0011481C"/>
    <w:rsid w:val="00114B63"/>
    <w:rsid w:val="00114B95"/>
    <w:rsid w:val="00114C5B"/>
    <w:rsid w:val="001152A0"/>
    <w:rsid w:val="001152D2"/>
    <w:rsid w:val="001153A4"/>
    <w:rsid w:val="00115595"/>
    <w:rsid w:val="0011568D"/>
    <w:rsid w:val="00115749"/>
    <w:rsid w:val="00115982"/>
    <w:rsid w:val="00115A91"/>
    <w:rsid w:val="00115B33"/>
    <w:rsid w:val="00115BB3"/>
    <w:rsid w:val="00115C5C"/>
    <w:rsid w:val="00116603"/>
    <w:rsid w:val="00116C53"/>
    <w:rsid w:val="00116DF2"/>
    <w:rsid w:val="001173DC"/>
    <w:rsid w:val="00117A7D"/>
    <w:rsid w:val="001200E6"/>
    <w:rsid w:val="0012061C"/>
    <w:rsid w:val="00120722"/>
    <w:rsid w:val="00120CB3"/>
    <w:rsid w:val="00120DE1"/>
    <w:rsid w:val="0012125D"/>
    <w:rsid w:val="00121261"/>
    <w:rsid w:val="00121315"/>
    <w:rsid w:val="00121799"/>
    <w:rsid w:val="00121FD3"/>
    <w:rsid w:val="001222FC"/>
    <w:rsid w:val="0012252C"/>
    <w:rsid w:val="00123426"/>
    <w:rsid w:val="001234A3"/>
    <w:rsid w:val="001238F7"/>
    <w:rsid w:val="00123902"/>
    <w:rsid w:val="00123921"/>
    <w:rsid w:val="00123DA7"/>
    <w:rsid w:val="001240AD"/>
    <w:rsid w:val="001241B0"/>
    <w:rsid w:val="001248BA"/>
    <w:rsid w:val="00124A51"/>
    <w:rsid w:val="00124C0A"/>
    <w:rsid w:val="00125366"/>
    <w:rsid w:val="00125978"/>
    <w:rsid w:val="00126077"/>
    <w:rsid w:val="00126621"/>
    <w:rsid w:val="00126660"/>
    <w:rsid w:val="00126B1D"/>
    <w:rsid w:val="00126C15"/>
    <w:rsid w:val="00126D25"/>
    <w:rsid w:val="0012732D"/>
    <w:rsid w:val="00127A4D"/>
    <w:rsid w:val="0013003C"/>
    <w:rsid w:val="00130060"/>
    <w:rsid w:val="0013013A"/>
    <w:rsid w:val="001301E9"/>
    <w:rsid w:val="0013093B"/>
    <w:rsid w:val="0013095A"/>
    <w:rsid w:val="00130A07"/>
    <w:rsid w:val="00131255"/>
    <w:rsid w:val="00131517"/>
    <w:rsid w:val="00131D00"/>
    <w:rsid w:val="00131D82"/>
    <w:rsid w:val="00132276"/>
    <w:rsid w:val="00132536"/>
    <w:rsid w:val="001329D0"/>
    <w:rsid w:val="00132B22"/>
    <w:rsid w:val="00133A94"/>
    <w:rsid w:val="00133D36"/>
    <w:rsid w:val="00134D5F"/>
    <w:rsid w:val="00134E42"/>
    <w:rsid w:val="0013545F"/>
    <w:rsid w:val="00135482"/>
    <w:rsid w:val="001354E0"/>
    <w:rsid w:val="001355CE"/>
    <w:rsid w:val="001356BD"/>
    <w:rsid w:val="00135AA9"/>
    <w:rsid w:val="00135AD8"/>
    <w:rsid w:val="00135D3A"/>
    <w:rsid w:val="00135F72"/>
    <w:rsid w:val="00136B14"/>
    <w:rsid w:val="00136D29"/>
    <w:rsid w:val="00137071"/>
    <w:rsid w:val="00137441"/>
    <w:rsid w:val="001374FE"/>
    <w:rsid w:val="00137645"/>
    <w:rsid w:val="001379E9"/>
    <w:rsid w:val="00137B5F"/>
    <w:rsid w:val="00137BB7"/>
    <w:rsid w:val="00137F72"/>
    <w:rsid w:val="0014015A"/>
    <w:rsid w:val="00140765"/>
    <w:rsid w:val="001407A4"/>
    <w:rsid w:val="001409BB"/>
    <w:rsid w:val="00140A5B"/>
    <w:rsid w:val="00140E99"/>
    <w:rsid w:val="00140FB3"/>
    <w:rsid w:val="001417CD"/>
    <w:rsid w:val="001418B5"/>
    <w:rsid w:val="00141E54"/>
    <w:rsid w:val="00142A35"/>
    <w:rsid w:val="00142B13"/>
    <w:rsid w:val="00142B54"/>
    <w:rsid w:val="00142D12"/>
    <w:rsid w:val="0014321B"/>
    <w:rsid w:val="0014336E"/>
    <w:rsid w:val="0014393C"/>
    <w:rsid w:val="00143F67"/>
    <w:rsid w:val="00143F7A"/>
    <w:rsid w:val="0014417C"/>
    <w:rsid w:val="0014441F"/>
    <w:rsid w:val="0014455D"/>
    <w:rsid w:val="00144A85"/>
    <w:rsid w:val="00144AF8"/>
    <w:rsid w:val="00144F61"/>
    <w:rsid w:val="00145170"/>
    <w:rsid w:val="00145234"/>
    <w:rsid w:val="00145540"/>
    <w:rsid w:val="001456B0"/>
    <w:rsid w:val="00145CD0"/>
    <w:rsid w:val="00145DAF"/>
    <w:rsid w:val="00145E5E"/>
    <w:rsid w:val="00146684"/>
    <w:rsid w:val="00146757"/>
    <w:rsid w:val="0014686C"/>
    <w:rsid w:val="00146E96"/>
    <w:rsid w:val="0014704C"/>
    <w:rsid w:val="00147090"/>
    <w:rsid w:val="0014726A"/>
    <w:rsid w:val="001472DD"/>
    <w:rsid w:val="0014761C"/>
    <w:rsid w:val="0014771F"/>
    <w:rsid w:val="00147D27"/>
    <w:rsid w:val="001500B5"/>
    <w:rsid w:val="00150165"/>
    <w:rsid w:val="0015031C"/>
    <w:rsid w:val="00150451"/>
    <w:rsid w:val="00150714"/>
    <w:rsid w:val="00150733"/>
    <w:rsid w:val="0015136B"/>
    <w:rsid w:val="00151D68"/>
    <w:rsid w:val="00151F0A"/>
    <w:rsid w:val="00151F66"/>
    <w:rsid w:val="00152240"/>
    <w:rsid w:val="00152B2D"/>
    <w:rsid w:val="001532C0"/>
    <w:rsid w:val="00153B46"/>
    <w:rsid w:val="00153D93"/>
    <w:rsid w:val="001547AB"/>
    <w:rsid w:val="00154851"/>
    <w:rsid w:val="00154935"/>
    <w:rsid w:val="00154B4A"/>
    <w:rsid w:val="00154C54"/>
    <w:rsid w:val="00155045"/>
    <w:rsid w:val="001550EB"/>
    <w:rsid w:val="001551F3"/>
    <w:rsid w:val="0015570B"/>
    <w:rsid w:val="0015574E"/>
    <w:rsid w:val="00155A76"/>
    <w:rsid w:val="00155DF0"/>
    <w:rsid w:val="00156750"/>
    <w:rsid w:val="001567CB"/>
    <w:rsid w:val="001567E5"/>
    <w:rsid w:val="00156910"/>
    <w:rsid w:val="00156E37"/>
    <w:rsid w:val="00156F8F"/>
    <w:rsid w:val="00157029"/>
    <w:rsid w:val="00157130"/>
    <w:rsid w:val="00157141"/>
    <w:rsid w:val="00157391"/>
    <w:rsid w:val="001575E1"/>
    <w:rsid w:val="001576B1"/>
    <w:rsid w:val="0015789D"/>
    <w:rsid w:val="00157D6B"/>
    <w:rsid w:val="001601A2"/>
    <w:rsid w:val="0016047B"/>
    <w:rsid w:val="0016048D"/>
    <w:rsid w:val="001606FA"/>
    <w:rsid w:val="00160A4C"/>
    <w:rsid w:val="00160AE6"/>
    <w:rsid w:val="00160FC3"/>
    <w:rsid w:val="00160FE5"/>
    <w:rsid w:val="00161317"/>
    <w:rsid w:val="0016142D"/>
    <w:rsid w:val="00161A51"/>
    <w:rsid w:val="00161E1F"/>
    <w:rsid w:val="00162552"/>
    <w:rsid w:val="001628E5"/>
    <w:rsid w:val="001628ED"/>
    <w:rsid w:val="00162913"/>
    <w:rsid w:val="00162AEF"/>
    <w:rsid w:val="00163A38"/>
    <w:rsid w:val="00163C83"/>
    <w:rsid w:val="00163EBF"/>
    <w:rsid w:val="00163EFF"/>
    <w:rsid w:val="00163F66"/>
    <w:rsid w:val="001640F6"/>
    <w:rsid w:val="00164257"/>
    <w:rsid w:val="0016478E"/>
    <w:rsid w:val="00164873"/>
    <w:rsid w:val="00164995"/>
    <w:rsid w:val="00164BFC"/>
    <w:rsid w:val="00164C70"/>
    <w:rsid w:val="00164EFB"/>
    <w:rsid w:val="00164F76"/>
    <w:rsid w:val="00164F85"/>
    <w:rsid w:val="00164F8A"/>
    <w:rsid w:val="00165257"/>
    <w:rsid w:val="001652C4"/>
    <w:rsid w:val="0016530A"/>
    <w:rsid w:val="0016599F"/>
    <w:rsid w:val="00165D87"/>
    <w:rsid w:val="00165EC4"/>
    <w:rsid w:val="001661FB"/>
    <w:rsid w:val="001664A0"/>
    <w:rsid w:val="00166613"/>
    <w:rsid w:val="001669DA"/>
    <w:rsid w:val="00166C44"/>
    <w:rsid w:val="00166C73"/>
    <w:rsid w:val="00166D87"/>
    <w:rsid w:val="00166E35"/>
    <w:rsid w:val="001671A0"/>
    <w:rsid w:val="0016756B"/>
    <w:rsid w:val="00167679"/>
    <w:rsid w:val="0016767F"/>
    <w:rsid w:val="001679A1"/>
    <w:rsid w:val="00167E69"/>
    <w:rsid w:val="00167FB0"/>
    <w:rsid w:val="00170251"/>
    <w:rsid w:val="00170298"/>
    <w:rsid w:val="001706B3"/>
    <w:rsid w:val="001706EB"/>
    <w:rsid w:val="001708B6"/>
    <w:rsid w:val="0017105F"/>
    <w:rsid w:val="001718EF"/>
    <w:rsid w:val="0017195F"/>
    <w:rsid w:val="00171C7C"/>
    <w:rsid w:val="00171C8D"/>
    <w:rsid w:val="00171E6D"/>
    <w:rsid w:val="00171EB6"/>
    <w:rsid w:val="00172222"/>
    <w:rsid w:val="00172304"/>
    <w:rsid w:val="00172667"/>
    <w:rsid w:val="00172846"/>
    <w:rsid w:val="001728FD"/>
    <w:rsid w:val="001733F8"/>
    <w:rsid w:val="00173565"/>
    <w:rsid w:val="0017371A"/>
    <w:rsid w:val="0017399C"/>
    <w:rsid w:val="00173B07"/>
    <w:rsid w:val="00174222"/>
    <w:rsid w:val="0017431C"/>
    <w:rsid w:val="00174ACB"/>
    <w:rsid w:val="00174DB7"/>
    <w:rsid w:val="00174FC5"/>
    <w:rsid w:val="00175068"/>
    <w:rsid w:val="001751FA"/>
    <w:rsid w:val="00175AC3"/>
    <w:rsid w:val="00176306"/>
    <w:rsid w:val="001764D2"/>
    <w:rsid w:val="00176743"/>
    <w:rsid w:val="00176EB8"/>
    <w:rsid w:val="00177662"/>
    <w:rsid w:val="001777AA"/>
    <w:rsid w:val="00177907"/>
    <w:rsid w:val="00177CDD"/>
    <w:rsid w:val="00177E0E"/>
    <w:rsid w:val="00177FDB"/>
    <w:rsid w:val="00180F19"/>
    <w:rsid w:val="00180F59"/>
    <w:rsid w:val="00180FD4"/>
    <w:rsid w:val="00181026"/>
    <w:rsid w:val="00181178"/>
    <w:rsid w:val="0018122C"/>
    <w:rsid w:val="001814F8"/>
    <w:rsid w:val="00181934"/>
    <w:rsid w:val="00181C10"/>
    <w:rsid w:val="00181D9C"/>
    <w:rsid w:val="0018212C"/>
    <w:rsid w:val="00182262"/>
    <w:rsid w:val="00182674"/>
    <w:rsid w:val="00182885"/>
    <w:rsid w:val="00182A13"/>
    <w:rsid w:val="00182A6C"/>
    <w:rsid w:val="00182E41"/>
    <w:rsid w:val="00183036"/>
    <w:rsid w:val="001830C1"/>
    <w:rsid w:val="001830E1"/>
    <w:rsid w:val="001837FF"/>
    <w:rsid w:val="00183915"/>
    <w:rsid w:val="00183D0B"/>
    <w:rsid w:val="0018444C"/>
    <w:rsid w:val="00184626"/>
    <w:rsid w:val="00184833"/>
    <w:rsid w:val="00184A51"/>
    <w:rsid w:val="00184A76"/>
    <w:rsid w:val="00184B0E"/>
    <w:rsid w:val="00185039"/>
    <w:rsid w:val="00185277"/>
    <w:rsid w:val="001853DC"/>
    <w:rsid w:val="00185602"/>
    <w:rsid w:val="00185800"/>
    <w:rsid w:val="00185AE3"/>
    <w:rsid w:val="00185D18"/>
    <w:rsid w:val="00185F05"/>
    <w:rsid w:val="001866FE"/>
    <w:rsid w:val="00186DBD"/>
    <w:rsid w:val="0018701F"/>
    <w:rsid w:val="0018703E"/>
    <w:rsid w:val="0018752F"/>
    <w:rsid w:val="00187570"/>
    <w:rsid w:val="001877E9"/>
    <w:rsid w:val="00187FA8"/>
    <w:rsid w:val="00190372"/>
    <w:rsid w:val="001908C0"/>
    <w:rsid w:val="00190C3F"/>
    <w:rsid w:val="00190D54"/>
    <w:rsid w:val="00191C17"/>
    <w:rsid w:val="00191DFE"/>
    <w:rsid w:val="00191FBC"/>
    <w:rsid w:val="00192445"/>
    <w:rsid w:val="0019288F"/>
    <w:rsid w:val="00192E5C"/>
    <w:rsid w:val="001932B0"/>
    <w:rsid w:val="001937FE"/>
    <w:rsid w:val="00193838"/>
    <w:rsid w:val="00193840"/>
    <w:rsid w:val="0019389C"/>
    <w:rsid w:val="00193CA6"/>
    <w:rsid w:val="00194AD8"/>
    <w:rsid w:val="00195222"/>
    <w:rsid w:val="00195452"/>
    <w:rsid w:val="0019557C"/>
    <w:rsid w:val="001957E4"/>
    <w:rsid w:val="00196084"/>
    <w:rsid w:val="00196130"/>
    <w:rsid w:val="0019639E"/>
    <w:rsid w:val="0019655F"/>
    <w:rsid w:val="00196B18"/>
    <w:rsid w:val="001970ED"/>
    <w:rsid w:val="001972D2"/>
    <w:rsid w:val="001975D8"/>
    <w:rsid w:val="00197AE2"/>
    <w:rsid w:val="001A0705"/>
    <w:rsid w:val="001A0749"/>
    <w:rsid w:val="001A094E"/>
    <w:rsid w:val="001A0A68"/>
    <w:rsid w:val="001A0B2B"/>
    <w:rsid w:val="001A0B5E"/>
    <w:rsid w:val="001A0FEF"/>
    <w:rsid w:val="001A12EF"/>
    <w:rsid w:val="001A178E"/>
    <w:rsid w:val="001A1FF6"/>
    <w:rsid w:val="001A2325"/>
    <w:rsid w:val="001A2A50"/>
    <w:rsid w:val="001A2BA5"/>
    <w:rsid w:val="001A2CA7"/>
    <w:rsid w:val="001A3162"/>
    <w:rsid w:val="001A31B1"/>
    <w:rsid w:val="001A31B5"/>
    <w:rsid w:val="001A33E0"/>
    <w:rsid w:val="001A37D6"/>
    <w:rsid w:val="001A39E3"/>
    <w:rsid w:val="001A40A7"/>
    <w:rsid w:val="001A43FA"/>
    <w:rsid w:val="001A45F7"/>
    <w:rsid w:val="001A4709"/>
    <w:rsid w:val="001A47C5"/>
    <w:rsid w:val="001A47CB"/>
    <w:rsid w:val="001A4842"/>
    <w:rsid w:val="001A4A84"/>
    <w:rsid w:val="001A4B8A"/>
    <w:rsid w:val="001A5003"/>
    <w:rsid w:val="001A5407"/>
    <w:rsid w:val="001A59FB"/>
    <w:rsid w:val="001A5C2F"/>
    <w:rsid w:val="001A5C7D"/>
    <w:rsid w:val="001A5E9E"/>
    <w:rsid w:val="001A5FE0"/>
    <w:rsid w:val="001A6090"/>
    <w:rsid w:val="001A6113"/>
    <w:rsid w:val="001A6354"/>
    <w:rsid w:val="001A6366"/>
    <w:rsid w:val="001A7AC1"/>
    <w:rsid w:val="001A7AE8"/>
    <w:rsid w:val="001A7BDF"/>
    <w:rsid w:val="001A7EDC"/>
    <w:rsid w:val="001B002E"/>
    <w:rsid w:val="001B0566"/>
    <w:rsid w:val="001B1059"/>
    <w:rsid w:val="001B1077"/>
    <w:rsid w:val="001B108E"/>
    <w:rsid w:val="001B10F9"/>
    <w:rsid w:val="001B1152"/>
    <w:rsid w:val="001B1256"/>
    <w:rsid w:val="001B1313"/>
    <w:rsid w:val="001B16A8"/>
    <w:rsid w:val="001B18E8"/>
    <w:rsid w:val="001B1B8C"/>
    <w:rsid w:val="001B204E"/>
    <w:rsid w:val="001B2372"/>
    <w:rsid w:val="001B2862"/>
    <w:rsid w:val="001B2E5F"/>
    <w:rsid w:val="001B300A"/>
    <w:rsid w:val="001B30FE"/>
    <w:rsid w:val="001B3421"/>
    <w:rsid w:val="001B3443"/>
    <w:rsid w:val="001B3471"/>
    <w:rsid w:val="001B3593"/>
    <w:rsid w:val="001B391E"/>
    <w:rsid w:val="001B3C47"/>
    <w:rsid w:val="001B4145"/>
    <w:rsid w:val="001B4165"/>
    <w:rsid w:val="001B42EB"/>
    <w:rsid w:val="001B47B1"/>
    <w:rsid w:val="001B4D20"/>
    <w:rsid w:val="001B4FF4"/>
    <w:rsid w:val="001B57B5"/>
    <w:rsid w:val="001B59C7"/>
    <w:rsid w:val="001B6120"/>
    <w:rsid w:val="001B630A"/>
    <w:rsid w:val="001B64FC"/>
    <w:rsid w:val="001B6665"/>
    <w:rsid w:val="001B68CE"/>
    <w:rsid w:val="001B6DA2"/>
    <w:rsid w:val="001B6DFF"/>
    <w:rsid w:val="001B6F86"/>
    <w:rsid w:val="001B6FDC"/>
    <w:rsid w:val="001B71B3"/>
    <w:rsid w:val="001B7627"/>
    <w:rsid w:val="001B7D66"/>
    <w:rsid w:val="001B7E17"/>
    <w:rsid w:val="001B7F84"/>
    <w:rsid w:val="001C04DE"/>
    <w:rsid w:val="001C05F3"/>
    <w:rsid w:val="001C07E3"/>
    <w:rsid w:val="001C09A6"/>
    <w:rsid w:val="001C0ED3"/>
    <w:rsid w:val="001C15BB"/>
    <w:rsid w:val="001C1A43"/>
    <w:rsid w:val="001C1A6E"/>
    <w:rsid w:val="001C1AA7"/>
    <w:rsid w:val="001C1D25"/>
    <w:rsid w:val="001C2095"/>
    <w:rsid w:val="001C2A9B"/>
    <w:rsid w:val="001C2B01"/>
    <w:rsid w:val="001C2E7B"/>
    <w:rsid w:val="001C2EAC"/>
    <w:rsid w:val="001C2F73"/>
    <w:rsid w:val="001C30FD"/>
    <w:rsid w:val="001C31B8"/>
    <w:rsid w:val="001C31ED"/>
    <w:rsid w:val="001C398F"/>
    <w:rsid w:val="001C3DD6"/>
    <w:rsid w:val="001C4299"/>
    <w:rsid w:val="001C42BF"/>
    <w:rsid w:val="001C43BB"/>
    <w:rsid w:val="001C453D"/>
    <w:rsid w:val="001C4874"/>
    <w:rsid w:val="001C4ADF"/>
    <w:rsid w:val="001C4B49"/>
    <w:rsid w:val="001C4C54"/>
    <w:rsid w:val="001C4C61"/>
    <w:rsid w:val="001C5279"/>
    <w:rsid w:val="001C55B6"/>
    <w:rsid w:val="001C563E"/>
    <w:rsid w:val="001C5E58"/>
    <w:rsid w:val="001C5F94"/>
    <w:rsid w:val="001C6342"/>
    <w:rsid w:val="001C63A8"/>
    <w:rsid w:val="001C69FA"/>
    <w:rsid w:val="001C6B82"/>
    <w:rsid w:val="001C6E66"/>
    <w:rsid w:val="001C6F92"/>
    <w:rsid w:val="001C7712"/>
    <w:rsid w:val="001C7AD4"/>
    <w:rsid w:val="001C7CC9"/>
    <w:rsid w:val="001C7E99"/>
    <w:rsid w:val="001C7FD3"/>
    <w:rsid w:val="001D051B"/>
    <w:rsid w:val="001D0696"/>
    <w:rsid w:val="001D0CB9"/>
    <w:rsid w:val="001D0F64"/>
    <w:rsid w:val="001D1100"/>
    <w:rsid w:val="001D116D"/>
    <w:rsid w:val="001D1391"/>
    <w:rsid w:val="001D140F"/>
    <w:rsid w:val="001D1727"/>
    <w:rsid w:val="001D1871"/>
    <w:rsid w:val="001D1D2B"/>
    <w:rsid w:val="001D1F74"/>
    <w:rsid w:val="001D22A4"/>
    <w:rsid w:val="001D249A"/>
    <w:rsid w:val="001D25D7"/>
    <w:rsid w:val="001D2BE9"/>
    <w:rsid w:val="001D2E2C"/>
    <w:rsid w:val="001D36AE"/>
    <w:rsid w:val="001D3BC9"/>
    <w:rsid w:val="001D46FE"/>
    <w:rsid w:val="001D506D"/>
    <w:rsid w:val="001D50B2"/>
    <w:rsid w:val="001D50D8"/>
    <w:rsid w:val="001D53E7"/>
    <w:rsid w:val="001D5BA1"/>
    <w:rsid w:val="001D5C7E"/>
    <w:rsid w:val="001D5CF5"/>
    <w:rsid w:val="001D649E"/>
    <w:rsid w:val="001D6C87"/>
    <w:rsid w:val="001D71F4"/>
    <w:rsid w:val="001D72FD"/>
    <w:rsid w:val="001D75C0"/>
    <w:rsid w:val="001D7645"/>
    <w:rsid w:val="001D7969"/>
    <w:rsid w:val="001D7A32"/>
    <w:rsid w:val="001D7B9A"/>
    <w:rsid w:val="001D7D87"/>
    <w:rsid w:val="001E039C"/>
    <w:rsid w:val="001E0900"/>
    <w:rsid w:val="001E103D"/>
    <w:rsid w:val="001E14B6"/>
    <w:rsid w:val="001E1941"/>
    <w:rsid w:val="001E1A03"/>
    <w:rsid w:val="001E1CC9"/>
    <w:rsid w:val="001E1E86"/>
    <w:rsid w:val="001E238E"/>
    <w:rsid w:val="001E2483"/>
    <w:rsid w:val="001E24E5"/>
    <w:rsid w:val="001E2612"/>
    <w:rsid w:val="001E270A"/>
    <w:rsid w:val="001E2994"/>
    <w:rsid w:val="001E29AD"/>
    <w:rsid w:val="001E2B1E"/>
    <w:rsid w:val="001E2CFF"/>
    <w:rsid w:val="001E2F24"/>
    <w:rsid w:val="001E3005"/>
    <w:rsid w:val="001E3010"/>
    <w:rsid w:val="001E30D4"/>
    <w:rsid w:val="001E313B"/>
    <w:rsid w:val="001E3402"/>
    <w:rsid w:val="001E3459"/>
    <w:rsid w:val="001E34DF"/>
    <w:rsid w:val="001E36CD"/>
    <w:rsid w:val="001E36EE"/>
    <w:rsid w:val="001E3B9D"/>
    <w:rsid w:val="001E3F67"/>
    <w:rsid w:val="001E3FA3"/>
    <w:rsid w:val="001E44C2"/>
    <w:rsid w:val="001E4AE7"/>
    <w:rsid w:val="001E5021"/>
    <w:rsid w:val="001E52EB"/>
    <w:rsid w:val="001E5B33"/>
    <w:rsid w:val="001E6085"/>
    <w:rsid w:val="001E61D2"/>
    <w:rsid w:val="001E6889"/>
    <w:rsid w:val="001E6AAC"/>
    <w:rsid w:val="001E6C61"/>
    <w:rsid w:val="001E7190"/>
    <w:rsid w:val="001E740C"/>
    <w:rsid w:val="001E7D75"/>
    <w:rsid w:val="001E7EC3"/>
    <w:rsid w:val="001E7EF4"/>
    <w:rsid w:val="001F0002"/>
    <w:rsid w:val="001F012D"/>
    <w:rsid w:val="001F0925"/>
    <w:rsid w:val="001F0A06"/>
    <w:rsid w:val="001F1235"/>
    <w:rsid w:val="001F1282"/>
    <w:rsid w:val="001F13F2"/>
    <w:rsid w:val="001F142E"/>
    <w:rsid w:val="001F160C"/>
    <w:rsid w:val="001F1B29"/>
    <w:rsid w:val="001F1CB3"/>
    <w:rsid w:val="001F2045"/>
    <w:rsid w:val="001F21F0"/>
    <w:rsid w:val="001F22C3"/>
    <w:rsid w:val="001F2BB5"/>
    <w:rsid w:val="001F2F3A"/>
    <w:rsid w:val="001F3008"/>
    <w:rsid w:val="001F32C1"/>
    <w:rsid w:val="001F33B9"/>
    <w:rsid w:val="001F34B2"/>
    <w:rsid w:val="001F36A5"/>
    <w:rsid w:val="001F36F3"/>
    <w:rsid w:val="001F3824"/>
    <w:rsid w:val="001F38B5"/>
    <w:rsid w:val="001F3D46"/>
    <w:rsid w:val="001F4081"/>
    <w:rsid w:val="001F437C"/>
    <w:rsid w:val="001F4472"/>
    <w:rsid w:val="001F4480"/>
    <w:rsid w:val="001F4675"/>
    <w:rsid w:val="001F48CF"/>
    <w:rsid w:val="001F49B4"/>
    <w:rsid w:val="001F4AE0"/>
    <w:rsid w:val="001F4B6D"/>
    <w:rsid w:val="001F4BC2"/>
    <w:rsid w:val="001F4BDC"/>
    <w:rsid w:val="001F4E86"/>
    <w:rsid w:val="001F565F"/>
    <w:rsid w:val="001F5ACF"/>
    <w:rsid w:val="001F6826"/>
    <w:rsid w:val="001F68EC"/>
    <w:rsid w:val="001F69DD"/>
    <w:rsid w:val="001F6C92"/>
    <w:rsid w:val="001F6E06"/>
    <w:rsid w:val="001F7203"/>
    <w:rsid w:val="001F7361"/>
    <w:rsid w:val="001F7447"/>
    <w:rsid w:val="001F745C"/>
    <w:rsid w:val="001F757E"/>
    <w:rsid w:val="001F77BF"/>
    <w:rsid w:val="001F7A5D"/>
    <w:rsid w:val="001F7B6C"/>
    <w:rsid w:val="001F7DD9"/>
    <w:rsid w:val="0020011A"/>
    <w:rsid w:val="002006CB"/>
    <w:rsid w:val="00200846"/>
    <w:rsid w:val="0020084D"/>
    <w:rsid w:val="00201011"/>
    <w:rsid w:val="002011B0"/>
    <w:rsid w:val="002015B6"/>
    <w:rsid w:val="002018F9"/>
    <w:rsid w:val="00203181"/>
    <w:rsid w:val="002031BF"/>
    <w:rsid w:val="00203783"/>
    <w:rsid w:val="0020385F"/>
    <w:rsid w:val="002038F8"/>
    <w:rsid w:val="00204795"/>
    <w:rsid w:val="00204D93"/>
    <w:rsid w:val="002051D7"/>
    <w:rsid w:val="00205414"/>
    <w:rsid w:val="00205667"/>
    <w:rsid w:val="00205678"/>
    <w:rsid w:val="0020568E"/>
    <w:rsid w:val="0020588A"/>
    <w:rsid w:val="00205D31"/>
    <w:rsid w:val="00205EEE"/>
    <w:rsid w:val="00205FD3"/>
    <w:rsid w:val="002061D0"/>
    <w:rsid w:val="002068A0"/>
    <w:rsid w:val="00207021"/>
    <w:rsid w:val="00207193"/>
    <w:rsid w:val="0020724B"/>
    <w:rsid w:val="00207302"/>
    <w:rsid w:val="0020732F"/>
    <w:rsid w:val="0020751A"/>
    <w:rsid w:val="002078F9"/>
    <w:rsid w:val="00207CCA"/>
    <w:rsid w:val="00207D00"/>
    <w:rsid w:val="00210060"/>
    <w:rsid w:val="0021014F"/>
    <w:rsid w:val="002101E8"/>
    <w:rsid w:val="00210352"/>
    <w:rsid w:val="00210491"/>
    <w:rsid w:val="0021051B"/>
    <w:rsid w:val="002105C1"/>
    <w:rsid w:val="00210B14"/>
    <w:rsid w:val="00210C3A"/>
    <w:rsid w:val="0021134A"/>
    <w:rsid w:val="002116FD"/>
    <w:rsid w:val="00211991"/>
    <w:rsid w:val="00211D2F"/>
    <w:rsid w:val="00211E21"/>
    <w:rsid w:val="00212406"/>
    <w:rsid w:val="0021282F"/>
    <w:rsid w:val="0021316E"/>
    <w:rsid w:val="002131BD"/>
    <w:rsid w:val="002131ED"/>
    <w:rsid w:val="00213C15"/>
    <w:rsid w:val="00213EF5"/>
    <w:rsid w:val="002145A2"/>
    <w:rsid w:val="00215629"/>
    <w:rsid w:val="00215DD0"/>
    <w:rsid w:val="00216096"/>
    <w:rsid w:val="00216BF5"/>
    <w:rsid w:val="00216EC1"/>
    <w:rsid w:val="002172B6"/>
    <w:rsid w:val="00217379"/>
    <w:rsid w:val="002178E7"/>
    <w:rsid w:val="00220DF4"/>
    <w:rsid w:val="00220E7B"/>
    <w:rsid w:val="0022100D"/>
    <w:rsid w:val="00221503"/>
    <w:rsid w:val="00221722"/>
    <w:rsid w:val="00221FD0"/>
    <w:rsid w:val="0022257D"/>
    <w:rsid w:val="0022262A"/>
    <w:rsid w:val="002228E9"/>
    <w:rsid w:val="00223288"/>
    <w:rsid w:val="00223545"/>
    <w:rsid w:val="0022361E"/>
    <w:rsid w:val="00223ADB"/>
    <w:rsid w:val="00223B49"/>
    <w:rsid w:val="00223D5A"/>
    <w:rsid w:val="00223E31"/>
    <w:rsid w:val="00224428"/>
    <w:rsid w:val="002247EB"/>
    <w:rsid w:val="00224DD4"/>
    <w:rsid w:val="00224E6D"/>
    <w:rsid w:val="00224F96"/>
    <w:rsid w:val="002253F6"/>
    <w:rsid w:val="0022559A"/>
    <w:rsid w:val="002258DC"/>
    <w:rsid w:val="0022691C"/>
    <w:rsid w:val="00226A6D"/>
    <w:rsid w:val="00226C38"/>
    <w:rsid w:val="0022715F"/>
    <w:rsid w:val="002271CC"/>
    <w:rsid w:val="00227304"/>
    <w:rsid w:val="002273A5"/>
    <w:rsid w:val="0022743C"/>
    <w:rsid w:val="002278A0"/>
    <w:rsid w:val="00227B00"/>
    <w:rsid w:val="00230646"/>
    <w:rsid w:val="0023096A"/>
    <w:rsid w:val="002309CC"/>
    <w:rsid w:val="00230F00"/>
    <w:rsid w:val="00230FB1"/>
    <w:rsid w:val="00231BA9"/>
    <w:rsid w:val="00231E76"/>
    <w:rsid w:val="00231E85"/>
    <w:rsid w:val="0023209F"/>
    <w:rsid w:val="00232182"/>
    <w:rsid w:val="00232390"/>
    <w:rsid w:val="002323D5"/>
    <w:rsid w:val="0023286C"/>
    <w:rsid w:val="00232C48"/>
    <w:rsid w:val="00232D1B"/>
    <w:rsid w:val="00232E83"/>
    <w:rsid w:val="00232F9A"/>
    <w:rsid w:val="00233095"/>
    <w:rsid w:val="00233C01"/>
    <w:rsid w:val="00233DFD"/>
    <w:rsid w:val="0023413C"/>
    <w:rsid w:val="0023441B"/>
    <w:rsid w:val="00234669"/>
    <w:rsid w:val="002346F0"/>
    <w:rsid w:val="00234863"/>
    <w:rsid w:val="00234C2D"/>
    <w:rsid w:val="00234E8E"/>
    <w:rsid w:val="00234E96"/>
    <w:rsid w:val="00234F58"/>
    <w:rsid w:val="002355F4"/>
    <w:rsid w:val="00235A41"/>
    <w:rsid w:val="00236165"/>
    <w:rsid w:val="0023625E"/>
    <w:rsid w:val="0023629D"/>
    <w:rsid w:val="002362DE"/>
    <w:rsid w:val="002362F0"/>
    <w:rsid w:val="002363BA"/>
    <w:rsid w:val="0023675B"/>
    <w:rsid w:val="002368B7"/>
    <w:rsid w:val="0023690C"/>
    <w:rsid w:val="00236B74"/>
    <w:rsid w:val="00236B80"/>
    <w:rsid w:val="00236C23"/>
    <w:rsid w:val="002371E3"/>
    <w:rsid w:val="00237255"/>
    <w:rsid w:val="00237ADC"/>
    <w:rsid w:val="00237C06"/>
    <w:rsid w:val="00237E1C"/>
    <w:rsid w:val="00237EAF"/>
    <w:rsid w:val="0024006B"/>
    <w:rsid w:val="00240219"/>
    <w:rsid w:val="002403A6"/>
    <w:rsid w:val="00240783"/>
    <w:rsid w:val="00240C5B"/>
    <w:rsid w:val="00240E97"/>
    <w:rsid w:val="00240FBD"/>
    <w:rsid w:val="002410E1"/>
    <w:rsid w:val="002416D6"/>
    <w:rsid w:val="00241F1E"/>
    <w:rsid w:val="00242206"/>
    <w:rsid w:val="002424AF"/>
    <w:rsid w:val="002428F5"/>
    <w:rsid w:val="00243480"/>
    <w:rsid w:val="002435E6"/>
    <w:rsid w:val="0024382D"/>
    <w:rsid w:val="002439DC"/>
    <w:rsid w:val="0024413F"/>
    <w:rsid w:val="002441D2"/>
    <w:rsid w:val="0024490D"/>
    <w:rsid w:val="00244DC8"/>
    <w:rsid w:val="00244E66"/>
    <w:rsid w:val="002454FC"/>
    <w:rsid w:val="002455C4"/>
    <w:rsid w:val="002458BA"/>
    <w:rsid w:val="00245907"/>
    <w:rsid w:val="00245AF7"/>
    <w:rsid w:val="00245CE9"/>
    <w:rsid w:val="00245D4E"/>
    <w:rsid w:val="00245E4B"/>
    <w:rsid w:val="0024607E"/>
    <w:rsid w:val="002460B6"/>
    <w:rsid w:val="0024636C"/>
    <w:rsid w:val="00246413"/>
    <w:rsid w:val="00246E24"/>
    <w:rsid w:val="0024723C"/>
    <w:rsid w:val="002476E8"/>
    <w:rsid w:val="00247925"/>
    <w:rsid w:val="00247AA6"/>
    <w:rsid w:val="00247D0C"/>
    <w:rsid w:val="00247ECF"/>
    <w:rsid w:val="00247F65"/>
    <w:rsid w:val="00250E48"/>
    <w:rsid w:val="00251006"/>
    <w:rsid w:val="00251738"/>
    <w:rsid w:val="00251A15"/>
    <w:rsid w:val="00251D8F"/>
    <w:rsid w:val="002523AD"/>
    <w:rsid w:val="002524C5"/>
    <w:rsid w:val="002524D5"/>
    <w:rsid w:val="002528FF"/>
    <w:rsid w:val="00252A52"/>
    <w:rsid w:val="00252EC1"/>
    <w:rsid w:val="00252F9D"/>
    <w:rsid w:val="00252FC8"/>
    <w:rsid w:val="00252FD3"/>
    <w:rsid w:val="002536C6"/>
    <w:rsid w:val="002538C5"/>
    <w:rsid w:val="0025394D"/>
    <w:rsid w:val="00253B1D"/>
    <w:rsid w:val="00253BA0"/>
    <w:rsid w:val="00253CF6"/>
    <w:rsid w:val="00254062"/>
    <w:rsid w:val="002546FD"/>
    <w:rsid w:val="00254DCF"/>
    <w:rsid w:val="0025534B"/>
    <w:rsid w:val="002558B4"/>
    <w:rsid w:val="00255A64"/>
    <w:rsid w:val="00255BB7"/>
    <w:rsid w:val="00255DC5"/>
    <w:rsid w:val="00255E3C"/>
    <w:rsid w:val="00255E76"/>
    <w:rsid w:val="00256719"/>
    <w:rsid w:val="00257081"/>
    <w:rsid w:val="0025719D"/>
    <w:rsid w:val="00257363"/>
    <w:rsid w:val="00257541"/>
    <w:rsid w:val="0025764E"/>
    <w:rsid w:val="00257A39"/>
    <w:rsid w:val="00257AC4"/>
    <w:rsid w:val="00257BBE"/>
    <w:rsid w:val="00257BD2"/>
    <w:rsid w:val="00260319"/>
    <w:rsid w:val="002606C4"/>
    <w:rsid w:val="002606FC"/>
    <w:rsid w:val="002608E8"/>
    <w:rsid w:val="00260D0E"/>
    <w:rsid w:val="00260F95"/>
    <w:rsid w:val="002610D4"/>
    <w:rsid w:val="0026129B"/>
    <w:rsid w:val="002612FB"/>
    <w:rsid w:val="002613F4"/>
    <w:rsid w:val="00261647"/>
    <w:rsid w:val="00261730"/>
    <w:rsid w:val="00261952"/>
    <w:rsid w:val="002619A7"/>
    <w:rsid w:val="00261E83"/>
    <w:rsid w:val="00261EEF"/>
    <w:rsid w:val="00262553"/>
    <w:rsid w:val="00262866"/>
    <w:rsid w:val="00262A1A"/>
    <w:rsid w:val="00262A87"/>
    <w:rsid w:val="00262BAF"/>
    <w:rsid w:val="00262E75"/>
    <w:rsid w:val="0026300C"/>
    <w:rsid w:val="0026303C"/>
    <w:rsid w:val="00263216"/>
    <w:rsid w:val="00263688"/>
    <w:rsid w:val="00263EA5"/>
    <w:rsid w:val="0026459A"/>
    <w:rsid w:val="00264727"/>
    <w:rsid w:val="00264D26"/>
    <w:rsid w:val="00265414"/>
    <w:rsid w:val="00265BB8"/>
    <w:rsid w:val="00265C4C"/>
    <w:rsid w:val="00265C54"/>
    <w:rsid w:val="00265D55"/>
    <w:rsid w:val="00265F28"/>
    <w:rsid w:val="002660E0"/>
    <w:rsid w:val="002669B2"/>
    <w:rsid w:val="00266A34"/>
    <w:rsid w:val="00267203"/>
    <w:rsid w:val="00267518"/>
    <w:rsid w:val="00267642"/>
    <w:rsid w:val="00267AEA"/>
    <w:rsid w:val="00267B84"/>
    <w:rsid w:val="00267C87"/>
    <w:rsid w:val="00267EDF"/>
    <w:rsid w:val="002700E6"/>
    <w:rsid w:val="00270445"/>
    <w:rsid w:val="00270633"/>
    <w:rsid w:val="002707D1"/>
    <w:rsid w:val="00270D34"/>
    <w:rsid w:val="00271879"/>
    <w:rsid w:val="002723E7"/>
    <w:rsid w:val="002728F9"/>
    <w:rsid w:val="0027294B"/>
    <w:rsid w:val="0027303D"/>
    <w:rsid w:val="002730F0"/>
    <w:rsid w:val="00273114"/>
    <w:rsid w:val="00273CCA"/>
    <w:rsid w:val="00273EB4"/>
    <w:rsid w:val="002745D6"/>
    <w:rsid w:val="00274682"/>
    <w:rsid w:val="00274761"/>
    <w:rsid w:val="00274BEF"/>
    <w:rsid w:val="00274C4C"/>
    <w:rsid w:val="00275158"/>
    <w:rsid w:val="0027599A"/>
    <w:rsid w:val="00275C5A"/>
    <w:rsid w:val="00275EDC"/>
    <w:rsid w:val="00275FC7"/>
    <w:rsid w:val="0027600F"/>
    <w:rsid w:val="0027611B"/>
    <w:rsid w:val="00276451"/>
    <w:rsid w:val="002767C0"/>
    <w:rsid w:val="002769A4"/>
    <w:rsid w:val="00277251"/>
    <w:rsid w:val="00277696"/>
    <w:rsid w:val="0027798B"/>
    <w:rsid w:val="00277D4F"/>
    <w:rsid w:val="002802D7"/>
    <w:rsid w:val="002802FF"/>
    <w:rsid w:val="00280361"/>
    <w:rsid w:val="002807EE"/>
    <w:rsid w:val="00280EA8"/>
    <w:rsid w:val="00281009"/>
    <w:rsid w:val="00281014"/>
    <w:rsid w:val="0028117C"/>
    <w:rsid w:val="002811DE"/>
    <w:rsid w:val="002813D9"/>
    <w:rsid w:val="00281404"/>
    <w:rsid w:val="00281417"/>
    <w:rsid w:val="00281452"/>
    <w:rsid w:val="002814F2"/>
    <w:rsid w:val="00281774"/>
    <w:rsid w:val="002819E4"/>
    <w:rsid w:val="00281E4A"/>
    <w:rsid w:val="0028216F"/>
    <w:rsid w:val="002822CB"/>
    <w:rsid w:val="0028248A"/>
    <w:rsid w:val="002837BF"/>
    <w:rsid w:val="00283836"/>
    <w:rsid w:val="00283B6C"/>
    <w:rsid w:val="00283FA4"/>
    <w:rsid w:val="00284046"/>
    <w:rsid w:val="002841E9"/>
    <w:rsid w:val="002843AC"/>
    <w:rsid w:val="00284425"/>
    <w:rsid w:val="00284498"/>
    <w:rsid w:val="0028458F"/>
    <w:rsid w:val="00284EA4"/>
    <w:rsid w:val="00284FCD"/>
    <w:rsid w:val="00285212"/>
    <w:rsid w:val="002854CD"/>
    <w:rsid w:val="00285634"/>
    <w:rsid w:val="0028578A"/>
    <w:rsid w:val="0028586E"/>
    <w:rsid w:val="00285BCE"/>
    <w:rsid w:val="00285D75"/>
    <w:rsid w:val="00286283"/>
    <w:rsid w:val="00286360"/>
    <w:rsid w:val="002863C3"/>
    <w:rsid w:val="002863D3"/>
    <w:rsid w:val="002864A6"/>
    <w:rsid w:val="0028665D"/>
    <w:rsid w:val="00286683"/>
    <w:rsid w:val="002866AF"/>
    <w:rsid w:val="0028730E"/>
    <w:rsid w:val="0028739C"/>
    <w:rsid w:val="002876D8"/>
    <w:rsid w:val="00287806"/>
    <w:rsid w:val="0029024F"/>
    <w:rsid w:val="00290318"/>
    <w:rsid w:val="00290706"/>
    <w:rsid w:val="00290DFE"/>
    <w:rsid w:val="0029178E"/>
    <w:rsid w:val="002917E3"/>
    <w:rsid w:val="002918AB"/>
    <w:rsid w:val="00291D78"/>
    <w:rsid w:val="00291DEF"/>
    <w:rsid w:val="00291E4E"/>
    <w:rsid w:val="0029215D"/>
    <w:rsid w:val="00292569"/>
    <w:rsid w:val="00292F13"/>
    <w:rsid w:val="002931A2"/>
    <w:rsid w:val="002937F7"/>
    <w:rsid w:val="00293A09"/>
    <w:rsid w:val="00293CB0"/>
    <w:rsid w:val="00293E99"/>
    <w:rsid w:val="0029428A"/>
    <w:rsid w:val="0029435A"/>
    <w:rsid w:val="00294D46"/>
    <w:rsid w:val="00294E50"/>
    <w:rsid w:val="00295214"/>
    <w:rsid w:val="00295590"/>
    <w:rsid w:val="002959CD"/>
    <w:rsid w:val="002959D1"/>
    <w:rsid w:val="00295A9C"/>
    <w:rsid w:val="00296422"/>
    <w:rsid w:val="00297016"/>
    <w:rsid w:val="00297129"/>
    <w:rsid w:val="002972DC"/>
    <w:rsid w:val="002979E3"/>
    <w:rsid w:val="00297BA9"/>
    <w:rsid w:val="002A010C"/>
    <w:rsid w:val="002A0227"/>
    <w:rsid w:val="002A0E3C"/>
    <w:rsid w:val="002A14AB"/>
    <w:rsid w:val="002A1677"/>
    <w:rsid w:val="002A1752"/>
    <w:rsid w:val="002A1B18"/>
    <w:rsid w:val="002A1E33"/>
    <w:rsid w:val="002A1FD2"/>
    <w:rsid w:val="002A2463"/>
    <w:rsid w:val="002A2A0A"/>
    <w:rsid w:val="002A2AD6"/>
    <w:rsid w:val="002A2ADE"/>
    <w:rsid w:val="002A2D75"/>
    <w:rsid w:val="002A2F50"/>
    <w:rsid w:val="002A4009"/>
    <w:rsid w:val="002A4558"/>
    <w:rsid w:val="002A46F2"/>
    <w:rsid w:val="002A48E6"/>
    <w:rsid w:val="002A4CC9"/>
    <w:rsid w:val="002A4CCD"/>
    <w:rsid w:val="002A4F7B"/>
    <w:rsid w:val="002A553B"/>
    <w:rsid w:val="002A57DB"/>
    <w:rsid w:val="002A58D2"/>
    <w:rsid w:val="002A5BB6"/>
    <w:rsid w:val="002A5F04"/>
    <w:rsid w:val="002A63CD"/>
    <w:rsid w:val="002A667C"/>
    <w:rsid w:val="002A66EB"/>
    <w:rsid w:val="002A6ED6"/>
    <w:rsid w:val="002A6FE6"/>
    <w:rsid w:val="002A707D"/>
    <w:rsid w:val="002A7482"/>
    <w:rsid w:val="002A75F9"/>
    <w:rsid w:val="002A769F"/>
    <w:rsid w:val="002A7943"/>
    <w:rsid w:val="002A7B09"/>
    <w:rsid w:val="002A7C48"/>
    <w:rsid w:val="002A7D99"/>
    <w:rsid w:val="002B01AF"/>
    <w:rsid w:val="002B0525"/>
    <w:rsid w:val="002B0553"/>
    <w:rsid w:val="002B05A1"/>
    <w:rsid w:val="002B08D5"/>
    <w:rsid w:val="002B0902"/>
    <w:rsid w:val="002B09A4"/>
    <w:rsid w:val="002B0BDD"/>
    <w:rsid w:val="002B18ED"/>
    <w:rsid w:val="002B1973"/>
    <w:rsid w:val="002B1C1F"/>
    <w:rsid w:val="002B1D99"/>
    <w:rsid w:val="002B228D"/>
    <w:rsid w:val="002B2723"/>
    <w:rsid w:val="002B2BC7"/>
    <w:rsid w:val="002B2C00"/>
    <w:rsid w:val="002B2E7A"/>
    <w:rsid w:val="002B302F"/>
    <w:rsid w:val="002B3155"/>
    <w:rsid w:val="002B36B7"/>
    <w:rsid w:val="002B3CE8"/>
    <w:rsid w:val="002B3EB3"/>
    <w:rsid w:val="002B406A"/>
    <w:rsid w:val="002B4193"/>
    <w:rsid w:val="002B432F"/>
    <w:rsid w:val="002B4433"/>
    <w:rsid w:val="002B4476"/>
    <w:rsid w:val="002B44FB"/>
    <w:rsid w:val="002B4D2D"/>
    <w:rsid w:val="002B5073"/>
    <w:rsid w:val="002B534D"/>
    <w:rsid w:val="002B5523"/>
    <w:rsid w:val="002B573F"/>
    <w:rsid w:val="002B62B3"/>
    <w:rsid w:val="002B665D"/>
    <w:rsid w:val="002B6754"/>
    <w:rsid w:val="002B67BD"/>
    <w:rsid w:val="002B6983"/>
    <w:rsid w:val="002B69E8"/>
    <w:rsid w:val="002B6CCE"/>
    <w:rsid w:val="002B70AC"/>
    <w:rsid w:val="002B70BB"/>
    <w:rsid w:val="002B717D"/>
    <w:rsid w:val="002B7373"/>
    <w:rsid w:val="002B7689"/>
    <w:rsid w:val="002B79E0"/>
    <w:rsid w:val="002B7CE5"/>
    <w:rsid w:val="002B7ED0"/>
    <w:rsid w:val="002C09B5"/>
    <w:rsid w:val="002C0E02"/>
    <w:rsid w:val="002C0E90"/>
    <w:rsid w:val="002C0F04"/>
    <w:rsid w:val="002C10D1"/>
    <w:rsid w:val="002C1880"/>
    <w:rsid w:val="002C19DA"/>
    <w:rsid w:val="002C1CA9"/>
    <w:rsid w:val="002C20A5"/>
    <w:rsid w:val="002C2510"/>
    <w:rsid w:val="002C26DB"/>
    <w:rsid w:val="002C2775"/>
    <w:rsid w:val="002C27C1"/>
    <w:rsid w:val="002C2BF9"/>
    <w:rsid w:val="002C36B7"/>
    <w:rsid w:val="002C36E3"/>
    <w:rsid w:val="002C3768"/>
    <w:rsid w:val="002C3928"/>
    <w:rsid w:val="002C3EB0"/>
    <w:rsid w:val="002C454E"/>
    <w:rsid w:val="002C48B4"/>
    <w:rsid w:val="002C49A1"/>
    <w:rsid w:val="002C4D79"/>
    <w:rsid w:val="002C5099"/>
    <w:rsid w:val="002C5889"/>
    <w:rsid w:val="002C596A"/>
    <w:rsid w:val="002C62A8"/>
    <w:rsid w:val="002C62B4"/>
    <w:rsid w:val="002C6412"/>
    <w:rsid w:val="002C7002"/>
    <w:rsid w:val="002C710F"/>
    <w:rsid w:val="002C7130"/>
    <w:rsid w:val="002C71CE"/>
    <w:rsid w:val="002C72D0"/>
    <w:rsid w:val="002C734F"/>
    <w:rsid w:val="002C74D8"/>
    <w:rsid w:val="002C7D93"/>
    <w:rsid w:val="002C7DB3"/>
    <w:rsid w:val="002C7E56"/>
    <w:rsid w:val="002C7E97"/>
    <w:rsid w:val="002D00F9"/>
    <w:rsid w:val="002D08F8"/>
    <w:rsid w:val="002D0A58"/>
    <w:rsid w:val="002D0CCA"/>
    <w:rsid w:val="002D0F27"/>
    <w:rsid w:val="002D1926"/>
    <w:rsid w:val="002D1954"/>
    <w:rsid w:val="002D1BAC"/>
    <w:rsid w:val="002D1EC8"/>
    <w:rsid w:val="002D1F34"/>
    <w:rsid w:val="002D2F99"/>
    <w:rsid w:val="002D2FB5"/>
    <w:rsid w:val="002D3467"/>
    <w:rsid w:val="002D362C"/>
    <w:rsid w:val="002D3E47"/>
    <w:rsid w:val="002D428A"/>
    <w:rsid w:val="002D431E"/>
    <w:rsid w:val="002D437F"/>
    <w:rsid w:val="002D467C"/>
    <w:rsid w:val="002D472D"/>
    <w:rsid w:val="002D48D8"/>
    <w:rsid w:val="002D4B79"/>
    <w:rsid w:val="002D4E25"/>
    <w:rsid w:val="002D50AE"/>
    <w:rsid w:val="002D52CA"/>
    <w:rsid w:val="002D5499"/>
    <w:rsid w:val="002D5585"/>
    <w:rsid w:val="002D55F0"/>
    <w:rsid w:val="002D56BB"/>
    <w:rsid w:val="002D577C"/>
    <w:rsid w:val="002D5E0B"/>
    <w:rsid w:val="002D5E59"/>
    <w:rsid w:val="002D5F26"/>
    <w:rsid w:val="002D6667"/>
    <w:rsid w:val="002D66C3"/>
    <w:rsid w:val="002D6D6E"/>
    <w:rsid w:val="002D72B7"/>
    <w:rsid w:val="002D75CC"/>
    <w:rsid w:val="002D7747"/>
    <w:rsid w:val="002D77AC"/>
    <w:rsid w:val="002D7832"/>
    <w:rsid w:val="002D7E60"/>
    <w:rsid w:val="002D7E7F"/>
    <w:rsid w:val="002E00FE"/>
    <w:rsid w:val="002E0334"/>
    <w:rsid w:val="002E1035"/>
    <w:rsid w:val="002E1071"/>
    <w:rsid w:val="002E10F3"/>
    <w:rsid w:val="002E1573"/>
    <w:rsid w:val="002E15B9"/>
    <w:rsid w:val="002E17CA"/>
    <w:rsid w:val="002E1C90"/>
    <w:rsid w:val="002E1DC9"/>
    <w:rsid w:val="002E2158"/>
    <w:rsid w:val="002E2653"/>
    <w:rsid w:val="002E28B3"/>
    <w:rsid w:val="002E28F8"/>
    <w:rsid w:val="002E2D1E"/>
    <w:rsid w:val="002E3205"/>
    <w:rsid w:val="002E35E3"/>
    <w:rsid w:val="002E38BA"/>
    <w:rsid w:val="002E3940"/>
    <w:rsid w:val="002E3E7F"/>
    <w:rsid w:val="002E3FD2"/>
    <w:rsid w:val="002E453A"/>
    <w:rsid w:val="002E4BF6"/>
    <w:rsid w:val="002E4DD3"/>
    <w:rsid w:val="002E4ED0"/>
    <w:rsid w:val="002E4F02"/>
    <w:rsid w:val="002E5087"/>
    <w:rsid w:val="002E5B9D"/>
    <w:rsid w:val="002E623B"/>
    <w:rsid w:val="002E63FF"/>
    <w:rsid w:val="002E6975"/>
    <w:rsid w:val="002E6B5E"/>
    <w:rsid w:val="002E6C57"/>
    <w:rsid w:val="002E718B"/>
    <w:rsid w:val="002E7277"/>
    <w:rsid w:val="002E7718"/>
    <w:rsid w:val="002E7722"/>
    <w:rsid w:val="002E7EA0"/>
    <w:rsid w:val="002F03BE"/>
    <w:rsid w:val="002F041F"/>
    <w:rsid w:val="002F07BA"/>
    <w:rsid w:val="002F081E"/>
    <w:rsid w:val="002F0B70"/>
    <w:rsid w:val="002F0BCC"/>
    <w:rsid w:val="002F0DA9"/>
    <w:rsid w:val="002F1014"/>
    <w:rsid w:val="002F1148"/>
    <w:rsid w:val="002F1958"/>
    <w:rsid w:val="002F1DD7"/>
    <w:rsid w:val="002F1E3B"/>
    <w:rsid w:val="002F26BE"/>
    <w:rsid w:val="002F32FA"/>
    <w:rsid w:val="002F39D7"/>
    <w:rsid w:val="002F3AC2"/>
    <w:rsid w:val="002F3C2F"/>
    <w:rsid w:val="002F4126"/>
    <w:rsid w:val="002F433F"/>
    <w:rsid w:val="002F4D32"/>
    <w:rsid w:val="002F4E89"/>
    <w:rsid w:val="002F54FB"/>
    <w:rsid w:val="002F556B"/>
    <w:rsid w:val="002F55BE"/>
    <w:rsid w:val="002F60D8"/>
    <w:rsid w:val="002F6103"/>
    <w:rsid w:val="002F643C"/>
    <w:rsid w:val="002F6C71"/>
    <w:rsid w:val="002F6DC8"/>
    <w:rsid w:val="002F6F28"/>
    <w:rsid w:val="002F71C0"/>
    <w:rsid w:val="002F74F1"/>
    <w:rsid w:val="002F7683"/>
    <w:rsid w:val="003007D6"/>
    <w:rsid w:val="00300993"/>
    <w:rsid w:val="00300BEE"/>
    <w:rsid w:val="00300CBF"/>
    <w:rsid w:val="00300E72"/>
    <w:rsid w:val="00300FE8"/>
    <w:rsid w:val="00301017"/>
    <w:rsid w:val="003010DF"/>
    <w:rsid w:val="0030131B"/>
    <w:rsid w:val="0030133B"/>
    <w:rsid w:val="0030147E"/>
    <w:rsid w:val="0030155F"/>
    <w:rsid w:val="003018C6"/>
    <w:rsid w:val="00301E3A"/>
    <w:rsid w:val="00302205"/>
    <w:rsid w:val="00302328"/>
    <w:rsid w:val="003026B6"/>
    <w:rsid w:val="00302ECE"/>
    <w:rsid w:val="00302FA6"/>
    <w:rsid w:val="00303186"/>
    <w:rsid w:val="003036BA"/>
    <w:rsid w:val="003036F1"/>
    <w:rsid w:val="00303E03"/>
    <w:rsid w:val="00303F75"/>
    <w:rsid w:val="00304070"/>
    <w:rsid w:val="003042B3"/>
    <w:rsid w:val="00304B44"/>
    <w:rsid w:val="00304B74"/>
    <w:rsid w:val="00304DF8"/>
    <w:rsid w:val="0030587B"/>
    <w:rsid w:val="003059A4"/>
    <w:rsid w:val="003061B8"/>
    <w:rsid w:val="003064FD"/>
    <w:rsid w:val="00306D46"/>
    <w:rsid w:val="00306D98"/>
    <w:rsid w:val="00306E16"/>
    <w:rsid w:val="00307574"/>
    <w:rsid w:val="003077DB"/>
    <w:rsid w:val="0030786C"/>
    <w:rsid w:val="0030791F"/>
    <w:rsid w:val="00307ABE"/>
    <w:rsid w:val="00307D3E"/>
    <w:rsid w:val="00307DF3"/>
    <w:rsid w:val="00310087"/>
    <w:rsid w:val="0031031A"/>
    <w:rsid w:val="0031072F"/>
    <w:rsid w:val="00310981"/>
    <w:rsid w:val="00311212"/>
    <w:rsid w:val="00311537"/>
    <w:rsid w:val="00311A98"/>
    <w:rsid w:val="00311D9B"/>
    <w:rsid w:val="00311FEA"/>
    <w:rsid w:val="003120A4"/>
    <w:rsid w:val="003124D9"/>
    <w:rsid w:val="00312594"/>
    <w:rsid w:val="003130A4"/>
    <w:rsid w:val="0031310F"/>
    <w:rsid w:val="003136B5"/>
    <w:rsid w:val="0031389C"/>
    <w:rsid w:val="00313944"/>
    <w:rsid w:val="00313A3B"/>
    <w:rsid w:val="00313D55"/>
    <w:rsid w:val="0031437D"/>
    <w:rsid w:val="003148B8"/>
    <w:rsid w:val="00314E68"/>
    <w:rsid w:val="0031541B"/>
    <w:rsid w:val="0031543D"/>
    <w:rsid w:val="00315498"/>
    <w:rsid w:val="00315861"/>
    <w:rsid w:val="00315880"/>
    <w:rsid w:val="00315D50"/>
    <w:rsid w:val="0031630D"/>
    <w:rsid w:val="00316474"/>
    <w:rsid w:val="00316BDD"/>
    <w:rsid w:val="00316CD1"/>
    <w:rsid w:val="003170F0"/>
    <w:rsid w:val="00317A68"/>
    <w:rsid w:val="00317BA3"/>
    <w:rsid w:val="003202B8"/>
    <w:rsid w:val="00320482"/>
    <w:rsid w:val="003208C6"/>
    <w:rsid w:val="0032099C"/>
    <w:rsid w:val="00320DB0"/>
    <w:rsid w:val="00320ECF"/>
    <w:rsid w:val="00321115"/>
    <w:rsid w:val="00321143"/>
    <w:rsid w:val="003211B7"/>
    <w:rsid w:val="003212B9"/>
    <w:rsid w:val="00321562"/>
    <w:rsid w:val="00321B17"/>
    <w:rsid w:val="00321EDB"/>
    <w:rsid w:val="00322107"/>
    <w:rsid w:val="0032211D"/>
    <w:rsid w:val="003222D4"/>
    <w:rsid w:val="00322355"/>
    <w:rsid w:val="00322846"/>
    <w:rsid w:val="0032292A"/>
    <w:rsid w:val="00322A50"/>
    <w:rsid w:val="0032321D"/>
    <w:rsid w:val="0032386D"/>
    <w:rsid w:val="00323923"/>
    <w:rsid w:val="00323A80"/>
    <w:rsid w:val="00324945"/>
    <w:rsid w:val="00324B4D"/>
    <w:rsid w:val="00324CA9"/>
    <w:rsid w:val="00325084"/>
    <w:rsid w:val="00325894"/>
    <w:rsid w:val="00325CB6"/>
    <w:rsid w:val="00325DC2"/>
    <w:rsid w:val="00325EBA"/>
    <w:rsid w:val="00325F03"/>
    <w:rsid w:val="0032619C"/>
    <w:rsid w:val="00326279"/>
    <w:rsid w:val="00326783"/>
    <w:rsid w:val="0032678F"/>
    <w:rsid w:val="003267AA"/>
    <w:rsid w:val="00326A81"/>
    <w:rsid w:val="00326B49"/>
    <w:rsid w:val="00326DA7"/>
    <w:rsid w:val="003270E4"/>
    <w:rsid w:val="003274E5"/>
    <w:rsid w:val="00327A52"/>
    <w:rsid w:val="00327AFB"/>
    <w:rsid w:val="00327F7F"/>
    <w:rsid w:val="003308D7"/>
    <w:rsid w:val="0033091D"/>
    <w:rsid w:val="00330DAA"/>
    <w:rsid w:val="00330E3F"/>
    <w:rsid w:val="00330F5C"/>
    <w:rsid w:val="003315C5"/>
    <w:rsid w:val="00331645"/>
    <w:rsid w:val="00332415"/>
    <w:rsid w:val="00332640"/>
    <w:rsid w:val="00332770"/>
    <w:rsid w:val="00332988"/>
    <w:rsid w:val="00332BE3"/>
    <w:rsid w:val="00332DD8"/>
    <w:rsid w:val="003330B9"/>
    <w:rsid w:val="00333AB7"/>
    <w:rsid w:val="00333B8C"/>
    <w:rsid w:val="00333BF8"/>
    <w:rsid w:val="00333C71"/>
    <w:rsid w:val="00334269"/>
    <w:rsid w:val="00334801"/>
    <w:rsid w:val="0033490B"/>
    <w:rsid w:val="00334AAF"/>
    <w:rsid w:val="00334EE4"/>
    <w:rsid w:val="00335676"/>
    <w:rsid w:val="003356AF"/>
    <w:rsid w:val="00335A01"/>
    <w:rsid w:val="00335A1B"/>
    <w:rsid w:val="00335AED"/>
    <w:rsid w:val="00335E16"/>
    <w:rsid w:val="00335F61"/>
    <w:rsid w:val="00336094"/>
    <w:rsid w:val="003366C9"/>
    <w:rsid w:val="00336BA3"/>
    <w:rsid w:val="00336E7D"/>
    <w:rsid w:val="003370AA"/>
    <w:rsid w:val="003371B0"/>
    <w:rsid w:val="00337265"/>
    <w:rsid w:val="00337506"/>
    <w:rsid w:val="00337B16"/>
    <w:rsid w:val="00337C32"/>
    <w:rsid w:val="00340101"/>
    <w:rsid w:val="00340394"/>
    <w:rsid w:val="003407A1"/>
    <w:rsid w:val="00340DF1"/>
    <w:rsid w:val="003417B9"/>
    <w:rsid w:val="00341BAA"/>
    <w:rsid w:val="003421F2"/>
    <w:rsid w:val="003422DB"/>
    <w:rsid w:val="00342872"/>
    <w:rsid w:val="0034371D"/>
    <w:rsid w:val="003437F7"/>
    <w:rsid w:val="00343A18"/>
    <w:rsid w:val="00343D4D"/>
    <w:rsid w:val="003444AB"/>
    <w:rsid w:val="00344BBC"/>
    <w:rsid w:val="00344D43"/>
    <w:rsid w:val="00344E84"/>
    <w:rsid w:val="003450CB"/>
    <w:rsid w:val="003451C0"/>
    <w:rsid w:val="00345647"/>
    <w:rsid w:val="003457BD"/>
    <w:rsid w:val="00345B91"/>
    <w:rsid w:val="003461A3"/>
    <w:rsid w:val="00346325"/>
    <w:rsid w:val="00346AF5"/>
    <w:rsid w:val="00346C87"/>
    <w:rsid w:val="00346DFC"/>
    <w:rsid w:val="00347216"/>
    <w:rsid w:val="00347710"/>
    <w:rsid w:val="00347F5E"/>
    <w:rsid w:val="00350B51"/>
    <w:rsid w:val="00350D2E"/>
    <w:rsid w:val="00350E0A"/>
    <w:rsid w:val="00350E3F"/>
    <w:rsid w:val="00351304"/>
    <w:rsid w:val="003514D6"/>
    <w:rsid w:val="00351538"/>
    <w:rsid w:val="003517F9"/>
    <w:rsid w:val="0035188A"/>
    <w:rsid w:val="00351BA9"/>
    <w:rsid w:val="003521B2"/>
    <w:rsid w:val="00352365"/>
    <w:rsid w:val="00352483"/>
    <w:rsid w:val="0035289A"/>
    <w:rsid w:val="00353498"/>
    <w:rsid w:val="003536BA"/>
    <w:rsid w:val="003539C0"/>
    <w:rsid w:val="00353AFD"/>
    <w:rsid w:val="00353B13"/>
    <w:rsid w:val="0035442D"/>
    <w:rsid w:val="00354481"/>
    <w:rsid w:val="003548E9"/>
    <w:rsid w:val="00354F64"/>
    <w:rsid w:val="00355066"/>
    <w:rsid w:val="0035544D"/>
    <w:rsid w:val="003555A0"/>
    <w:rsid w:val="003557B7"/>
    <w:rsid w:val="003558BD"/>
    <w:rsid w:val="003559C7"/>
    <w:rsid w:val="0035620E"/>
    <w:rsid w:val="003566F8"/>
    <w:rsid w:val="00356A62"/>
    <w:rsid w:val="00356E87"/>
    <w:rsid w:val="00357183"/>
    <w:rsid w:val="0035730C"/>
    <w:rsid w:val="0035737E"/>
    <w:rsid w:val="003575BE"/>
    <w:rsid w:val="00357668"/>
    <w:rsid w:val="0035773F"/>
    <w:rsid w:val="00357B9E"/>
    <w:rsid w:val="00360345"/>
    <w:rsid w:val="003609FC"/>
    <w:rsid w:val="0036111E"/>
    <w:rsid w:val="00361946"/>
    <w:rsid w:val="00361A05"/>
    <w:rsid w:val="00362227"/>
    <w:rsid w:val="0036239C"/>
    <w:rsid w:val="003624C4"/>
    <w:rsid w:val="00362B7E"/>
    <w:rsid w:val="00362E93"/>
    <w:rsid w:val="00363B00"/>
    <w:rsid w:val="00363ED6"/>
    <w:rsid w:val="003646C6"/>
    <w:rsid w:val="003648D3"/>
    <w:rsid w:val="00364909"/>
    <w:rsid w:val="00364B56"/>
    <w:rsid w:val="00364B78"/>
    <w:rsid w:val="00364F37"/>
    <w:rsid w:val="0036504C"/>
    <w:rsid w:val="0036542A"/>
    <w:rsid w:val="003654AC"/>
    <w:rsid w:val="00365D53"/>
    <w:rsid w:val="00365DDD"/>
    <w:rsid w:val="003671D8"/>
    <w:rsid w:val="003674BD"/>
    <w:rsid w:val="00367700"/>
    <w:rsid w:val="00370BE5"/>
    <w:rsid w:val="003710CF"/>
    <w:rsid w:val="0037120A"/>
    <w:rsid w:val="00371474"/>
    <w:rsid w:val="00371492"/>
    <w:rsid w:val="00371C09"/>
    <w:rsid w:val="00372839"/>
    <w:rsid w:val="003730BB"/>
    <w:rsid w:val="0037358A"/>
    <w:rsid w:val="00373ACC"/>
    <w:rsid w:val="00373D2B"/>
    <w:rsid w:val="00373F4C"/>
    <w:rsid w:val="00374269"/>
    <w:rsid w:val="00374710"/>
    <w:rsid w:val="00374E0D"/>
    <w:rsid w:val="00374F25"/>
    <w:rsid w:val="003750F6"/>
    <w:rsid w:val="003752CF"/>
    <w:rsid w:val="00375338"/>
    <w:rsid w:val="00375544"/>
    <w:rsid w:val="00375720"/>
    <w:rsid w:val="00375A78"/>
    <w:rsid w:val="00375A7A"/>
    <w:rsid w:val="00375E16"/>
    <w:rsid w:val="003760FC"/>
    <w:rsid w:val="00376416"/>
    <w:rsid w:val="0037699C"/>
    <w:rsid w:val="00376C21"/>
    <w:rsid w:val="00376DAF"/>
    <w:rsid w:val="00376EB5"/>
    <w:rsid w:val="00377325"/>
    <w:rsid w:val="0037737B"/>
    <w:rsid w:val="0037777D"/>
    <w:rsid w:val="00377C1F"/>
    <w:rsid w:val="00377D83"/>
    <w:rsid w:val="00380021"/>
    <w:rsid w:val="00380191"/>
    <w:rsid w:val="0038062B"/>
    <w:rsid w:val="00380824"/>
    <w:rsid w:val="003809AF"/>
    <w:rsid w:val="00380A84"/>
    <w:rsid w:val="00380AC6"/>
    <w:rsid w:val="00380FB0"/>
    <w:rsid w:val="003814FB"/>
    <w:rsid w:val="0038178C"/>
    <w:rsid w:val="003819BF"/>
    <w:rsid w:val="003819F8"/>
    <w:rsid w:val="00381BF3"/>
    <w:rsid w:val="00381D83"/>
    <w:rsid w:val="0038201F"/>
    <w:rsid w:val="003822CA"/>
    <w:rsid w:val="003822FA"/>
    <w:rsid w:val="003829BF"/>
    <w:rsid w:val="00382E00"/>
    <w:rsid w:val="00382EF3"/>
    <w:rsid w:val="0038314C"/>
    <w:rsid w:val="003834A8"/>
    <w:rsid w:val="0038365C"/>
    <w:rsid w:val="0038369B"/>
    <w:rsid w:val="0038386B"/>
    <w:rsid w:val="003838A1"/>
    <w:rsid w:val="00383B78"/>
    <w:rsid w:val="00383BC1"/>
    <w:rsid w:val="003841CF"/>
    <w:rsid w:val="003842EF"/>
    <w:rsid w:val="00384403"/>
    <w:rsid w:val="0038453F"/>
    <w:rsid w:val="00384C93"/>
    <w:rsid w:val="00385016"/>
    <w:rsid w:val="003852D3"/>
    <w:rsid w:val="00385432"/>
    <w:rsid w:val="00385A9D"/>
    <w:rsid w:val="00385C3D"/>
    <w:rsid w:val="00385FC7"/>
    <w:rsid w:val="003860AC"/>
    <w:rsid w:val="0038623D"/>
    <w:rsid w:val="003863E2"/>
    <w:rsid w:val="0038669E"/>
    <w:rsid w:val="00386701"/>
    <w:rsid w:val="003867ED"/>
    <w:rsid w:val="003868E8"/>
    <w:rsid w:val="00386A0E"/>
    <w:rsid w:val="00386B40"/>
    <w:rsid w:val="00386C6C"/>
    <w:rsid w:val="00386F6E"/>
    <w:rsid w:val="00387121"/>
    <w:rsid w:val="003878D7"/>
    <w:rsid w:val="00387A23"/>
    <w:rsid w:val="00387A53"/>
    <w:rsid w:val="00387BDA"/>
    <w:rsid w:val="00387C02"/>
    <w:rsid w:val="00387CA1"/>
    <w:rsid w:val="003902B1"/>
    <w:rsid w:val="00390A92"/>
    <w:rsid w:val="00390C1F"/>
    <w:rsid w:val="00390F19"/>
    <w:rsid w:val="00390FD6"/>
    <w:rsid w:val="003910A9"/>
    <w:rsid w:val="00391437"/>
    <w:rsid w:val="003916C1"/>
    <w:rsid w:val="0039179C"/>
    <w:rsid w:val="003919BA"/>
    <w:rsid w:val="00391A75"/>
    <w:rsid w:val="0039206A"/>
    <w:rsid w:val="00392441"/>
    <w:rsid w:val="00392769"/>
    <w:rsid w:val="003929BC"/>
    <w:rsid w:val="00392C2D"/>
    <w:rsid w:val="003931F7"/>
    <w:rsid w:val="00393385"/>
    <w:rsid w:val="0039340D"/>
    <w:rsid w:val="00393740"/>
    <w:rsid w:val="00393970"/>
    <w:rsid w:val="00393AC9"/>
    <w:rsid w:val="00393D2C"/>
    <w:rsid w:val="00393ECB"/>
    <w:rsid w:val="003945C4"/>
    <w:rsid w:val="00394E26"/>
    <w:rsid w:val="00395175"/>
    <w:rsid w:val="00395254"/>
    <w:rsid w:val="0039590A"/>
    <w:rsid w:val="0039590D"/>
    <w:rsid w:val="00395BF8"/>
    <w:rsid w:val="00395C67"/>
    <w:rsid w:val="00395CC9"/>
    <w:rsid w:val="003961CD"/>
    <w:rsid w:val="003961CF"/>
    <w:rsid w:val="003961E5"/>
    <w:rsid w:val="003966E0"/>
    <w:rsid w:val="0039675F"/>
    <w:rsid w:val="003967F3"/>
    <w:rsid w:val="00396896"/>
    <w:rsid w:val="00396F07"/>
    <w:rsid w:val="00396FD0"/>
    <w:rsid w:val="0039783F"/>
    <w:rsid w:val="00397906"/>
    <w:rsid w:val="00397946"/>
    <w:rsid w:val="00397B98"/>
    <w:rsid w:val="003A0A1A"/>
    <w:rsid w:val="003A0B18"/>
    <w:rsid w:val="003A0CF8"/>
    <w:rsid w:val="003A10F0"/>
    <w:rsid w:val="003A1323"/>
    <w:rsid w:val="003A1872"/>
    <w:rsid w:val="003A1A7A"/>
    <w:rsid w:val="003A2286"/>
    <w:rsid w:val="003A2392"/>
    <w:rsid w:val="003A27F5"/>
    <w:rsid w:val="003A2831"/>
    <w:rsid w:val="003A314D"/>
    <w:rsid w:val="003A3587"/>
    <w:rsid w:val="003A3B31"/>
    <w:rsid w:val="003A3CB6"/>
    <w:rsid w:val="003A3CFA"/>
    <w:rsid w:val="003A3ED1"/>
    <w:rsid w:val="003A44DB"/>
    <w:rsid w:val="003A477A"/>
    <w:rsid w:val="003A48B9"/>
    <w:rsid w:val="003A4928"/>
    <w:rsid w:val="003A49BB"/>
    <w:rsid w:val="003A4C14"/>
    <w:rsid w:val="003A4F78"/>
    <w:rsid w:val="003A5BCC"/>
    <w:rsid w:val="003A6175"/>
    <w:rsid w:val="003A6421"/>
    <w:rsid w:val="003A64F1"/>
    <w:rsid w:val="003A6719"/>
    <w:rsid w:val="003A6886"/>
    <w:rsid w:val="003A6B21"/>
    <w:rsid w:val="003A7001"/>
    <w:rsid w:val="003A71A6"/>
    <w:rsid w:val="003A7250"/>
    <w:rsid w:val="003A7267"/>
    <w:rsid w:val="003A7326"/>
    <w:rsid w:val="003A7408"/>
    <w:rsid w:val="003A7B2D"/>
    <w:rsid w:val="003A7FBF"/>
    <w:rsid w:val="003B01AE"/>
    <w:rsid w:val="003B03D6"/>
    <w:rsid w:val="003B05B8"/>
    <w:rsid w:val="003B0788"/>
    <w:rsid w:val="003B08C8"/>
    <w:rsid w:val="003B0C94"/>
    <w:rsid w:val="003B102F"/>
    <w:rsid w:val="003B1327"/>
    <w:rsid w:val="003B13BC"/>
    <w:rsid w:val="003B14BE"/>
    <w:rsid w:val="003B1ADA"/>
    <w:rsid w:val="003B1B48"/>
    <w:rsid w:val="003B1CC4"/>
    <w:rsid w:val="003B1DDD"/>
    <w:rsid w:val="003B2255"/>
    <w:rsid w:val="003B242D"/>
    <w:rsid w:val="003B2537"/>
    <w:rsid w:val="003B28E3"/>
    <w:rsid w:val="003B2B85"/>
    <w:rsid w:val="003B3971"/>
    <w:rsid w:val="003B3B90"/>
    <w:rsid w:val="003B4017"/>
    <w:rsid w:val="003B4164"/>
    <w:rsid w:val="003B4FFA"/>
    <w:rsid w:val="003B5412"/>
    <w:rsid w:val="003B55C1"/>
    <w:rsid w:val="003B55D1"/>
    <w:rsid w:val="003B56C5"/>
    <w:rsid w:val="003B5B61"/>
    <w:rsid w:val="003B68D2"/>
    <w:rsid w:val="003B6E55"/>
    <w:rsid w:val="003B708C"/>
    <w:rsid w:val="003B79B4"/>
    <w:rsid w:val="003C02F9"/>
    <w:rsid w:val="003C03E0"/>
    <w:rsid w:val="003C09CC"/>
    <w:rsid w:val="003C0D66"/>
    <w:rsid w:val="003C0E6A"/>
    <w:rsid w:val="003C102F"/>
    <w:rsid w:val="003C10DC"/>
    <w:rsid w:val="003C1168"/>
    <w:rsid w:val="003C12AB"/>
    <w:rsid w:val="003C15F7"/>
    <w:rsid w:val="003C1654"/>
    <w:rsid w:val="003C17C2"/>
    <w:rsid w:val="003C1D34"/>
    <w:rsid w:val="003C22F3"/>
    <w:rsid w:val="003C2FB1"/>
    <w:rsid w:val="003C34D2"/>
    <w:rsid w:val="003C3955"/>
    <w:rsid w:val="003C3E0D"/>
    <w:rsid w:val="003C435C"/>
    <w:rsid w:val="003C4477"/>
    <w:rsid w:val="003C4486"/>
    <w:rsid w:val="003C4853"/>
    <w:rsid w:val="003C4A0E"/>
    <w:rsid w:val="003C4BB6"/>
    <w:rsid w:val="003C50AA"/>
    <w:rsid w:val="003C526D"/>
    <w:rsid w:val="003C5542"/>
    <w:rsid w:val="003C5D90"/>
    <w:rsid w:val="003C6266"/>
    <w:rsid w:val="003C6F02"/>
    <w:rsid w:val="003C6F23"/>
    <w:rsid w:val="003C71B9"/>
    <w:rsid w:val="003C7AD7"/>
    <w:rsid w:val="003C7C15"/>
    <w:rsid w:val="003C7D19"/>
    <w:rsid w:val="003C7D2F"/>
    <w:rsid w:val="003C7FB7"/>
    <w:rsid w:val="003D04B4"/>
    <w:rsid w:val="003D04BB"/>
    <w:rsid w:val="003D0C5A"/>
    <w:rsid w:val="003D0D40"/>
    <w:rsid w:val="003D14F4"/>
    <w:rsid w:val="003D1828"/>
    <w:rsid w:val="003D1BE0"/>
    <w:rsid w:val="003D1CA8"/>
    <w:rsid w:val="003D1DE4"/>
    <w:rsid w:val="003D1E9A"/>
    <w:rsid w:val="003D1EB2"/>
    <w:rsid w:val="003D1FA4"/>
    <w:rsid w:val="003D209D"/>
    <w:rsid w:val="003D2422"/>
    <w:rsid w:val="003D25BC"/>
    <w:rsid w:val="003D2807"/>
    <w:rsid w:val="003D28D2"/>
    <w:rsid w:val="003D29C9"/>
    <w:rsid w:val="003D2B2A"/>
    <w:rsid w:val="003D2BFC"/>
    <w:rsid w:val="003D343E"/>
    <w:rsid w:val="003D36B9"/>
    <w:rsid w:val="003D37F8"/>
    <w:rsid w:val="003D3978"/>
    <w:rsid w:val="003D39A1"/>
    <w:rsid w:val="003D3C02"/>
    <w:rsid w:val="003D3EA6"/>
    <w:rsid w:val="003D3FAA"/>
    <w:rsid w:val="003D3FBF"/>
    <w:rsid w:val="003D43DB"/>
    <w:rsid w:val="003D4A30"/>
    <w:rsid w:val="003D4AEF"/>
    <w:rsid w:val="003D533F"/>
    <w:rsid w:val="003D53D2"/>
    <w:rsid w:val="003D547F"/>
    <w:rsid w:val="003D560E"/>
    <w:rsid w:val="003D57AE"/>
    <w:rsid w:val="003D57EF"/>
    <w:rsid w:val="003D599D"/>
    <w:rsid w:val="003D68DA"/>
    <w:rsid w:val="003D72FE"/>
    <w:rsid w:val="003D7452"/>
    <w:rsid w:val="003D7467"/>
    <w:rsid w:val="003D796A"/>
    <w:rsid w:val="003D79BB"/>
    <w:rsid w:val="003D7C98"/>
    <w:rsid w:val="003D7D97"/>
    <w:rsid w:val="003D7D9D"/>
    <w:rsid w:val="003D7E40"/>
    <w:rsid w:val="003D7F4C"/>
    <w:rsid w:val="003E012B"/>
    <w:rsid w:val="003E03B9"/>
    <w:rsid w:val="003E0543"/>
    <w:rsid w:val="003E0BA3"/>
    <w:rsid w:val="003E0FE8"/>
    <w:rsid w:val="003E14BA"/>
    <w:rsid w:val="003E195B"/>
    <w:rsid w:val="003E1AB5"/>
    <w:rsid w:val="003E1C89"/>
    <w:rsid w:val="003E2260"/>
    <w:rsid w:val="003E24E1"/>
    <w:rsid w:val="003E24F3"/>
    <w:rsid w:val="003E264B"/>
    <w:rsid w:val="003E2953"/>
    <w:rsid w:val="003E2AE9"/>
    <w:rsid w:val="003E2C6A"/>
    <w:rsid w:val="003E2CF3"/>
    <w:rsid w:val="003E335F"/>
    <w:rsid w:val="003E3402"/>
    <w:rsid w:val="003E3552"/>
    <w:rsid w:val="003E4108"/>
    <w:rsid w:val="003E46C3"/>
    <w:rsid w:val="003E47EA"/>
    <w:rsid w:val="003E4B33"/>
    <w:rsid w:val="003E4C61"/>
    <w:rsid w:val="003E4E74"/>
    <w:rsid w:val="003E5053"/>
    <w:rsid w:val="003E50C9"/>
    <w:rsid w:val="003E515C"/>
    <w:rsid w:val="003E524B"/>
    <w:rsid w:val="003E529F"/>
    <w:rsid w:val="003E553F"/>
    <w:rsid w:val="003E5603"/>
    <w:rsid w:val="003E5842"/>
    <w:rsid w:val="003E65CA"/>
    <w:rsid w:val="003E6EAD"/>
    <w:rsid w:val="003E6FF8"/>
    <w:rsid w:val="003E7112"/>
    <w:rsid w:val="003E7313"/>
    <w:rsid w:val="003E749E"/>
    <w:rsid w:val="003E79A9"/>
    <w:rsid w:val="003E7F6A"/>
    <w:rsid w:val="003F01A7"/>
    <w:rsid w:val="003F0710"/>
    <w:rsid w:val="003F131C"/>
    <w:rsid w:val="003F177C"/>
    <w:rsid w:val="003F2475"/>
    <w:rsid w:val="003F2A23"/>
    <w:rsid w:val="003F2BEE"/>
    <w:rsid w:val="003F2C43"/>
    <w:rsid w:val="003F2EC0"/>
    <w:rsid w:val="003F321E"/>
    <w:rsid w:val="003F3399"/>
    <w:rsid w:val="003F3464"/>
    <w:rsid w:val="003F36E1"/>
    <w:rsid w:val="003F3AC0"/>
    <w:rsid w:val="003F3B09"/>
    <w:rsid w:val="003F3C26"/>
    <w:rsid w:val="003F3E82"/>
    <w:rsid w:val="003F3F96"/>
    <w:rsid w:val="003F3FA0"/>
    <w:rsid w:val="003F4156"/>
    <w:rsid w:val="003F426C"/>
    <w:rsid w:val="003F466A"/>
    <w:rsid w:val="003F46BF"/>
    <w:rsid w:val="003F4851"/>
    <w:rsid w:val="003F48CF"/>
    <w:rsid w:val="003F4AAB"/>
    <w:rsid w:val="003F503E"/>
    <w:rsid w:val="003F5375"/>
    <w:rsid w:val="003F57A9"/>
    <w:rsid w:val="003F5ADF"/>
    <w:rsid w:val="003F5F84"/>
    <w:rsid w:val="003F64D6"/>
    <w:rsid w:val="003F6719"/>
    <w:rsid w:val="003F6B3B"/>
    <w:rsid w:val="003F6BA9"/>
    <w:rsid w:val="003F7199"/>
    <w:rsid w:val="003F75D6"/>
    <w:rsid w:val="003F7DBF"/>
    <w:rsid w:val="004001A8"/>
    <w:rsid w:val="00400817"/>
    <w:rsid w:val="00400B29"/>
    <w:rsid w:val="0040137B"/>
    <w:rsid w:val="004013AE"/>
    <w:rsid w:val="0040144C"/>
    <w:rsid w:val="0040167D"/>
    <w:rsid w:val="004016C6"/>
    <w:rsid w:val="00401847"/>
    <w:rsid w:val="00401AEC"/>
    <w:rsid w:val="00402103"/>
    <w:rsid w:val="00402556"/>
    <w:rsid w:val="00402812"/>
    <w:rsid w:val="0040285C"/>
    <w:rsid w:val="00402AC5"/>
    <w:rsid w:val="00402CE1"/>
    <w:rsid w:val="00402DB0"/>
    <w:rsid w:val="004032A5"/>
    <w:rsid w:val="004036B0"/>
    <w:rsid w:val="0040504B"/>
    <w:rsid w:val="00405398"/>
    <w:rsid w:val="00405835"/>
    <w:rsid w:val="0040587D"/>
    <w:rsid w:val="0040589D"/>
    <w:rsid w:val="004059F4"/>
    <w:rsid w:val="00405CCF"/>
    <w:rsid w:val="00405E9B"/>
    <w:rsid w:val="00405FF1"/>
    <w:rsid w:val="00406124"/>
    <w:rsid w:val="004064AF"/>
    <w:rsid w:val="00406592"/>
    <w:rsid w:val="00406918"/>
    <w:rsid w:val="004070E5"/>
    <w:rsid w:val="00407F4B"/>
    <w:rsid w:val="00407FD2"/>
    <w:rsid w:val="00407FE5"/>
    <w:rsid w:val="00410049"/>
    <w:rsid w:val="004101B0"/>
    <w:rsid w:val="00410326"/>
    <w:rsid w:val="00410708"/>
    <w:rsid w:val="00410D78"/>
    <w:rsid w:val="00410DA8"/>
    <w:rsid w:val="00410EC7"/>
    <w:rsid w:val="00411543"/>
    <w:rsid w:val="004117F3"/>
    <w:rsid w:val="0041180D"/>
    <w:rsid w:val="00411A96"/>
    <w:rsid w:val="00411AB2"/>
    <w:rsid w:val="00411B39"/>
    <w:rsid w:val="00411D69"/>
    <w:rsid w:val="00411E6A"/>
    <w:rsid w:val="00411EDA"/>
    <w:rsid w:val="00411FAB"/>
    <w:rsid w:val="004121EC"/>
    <w:rsid w:val="0041236F"/>
    <w:rsid w:val="00412756"/>
    <w:rsid w:val="004127A7"/>
    <w:rsid w:val="00412A76"/>
    <w:rsid w:val="00412BFA"/>
    <w:rsid w:val="004130C6"/>
    <w:rsid w:val="0041317C"/>
    <w:rsid w:val="0041342A"/>
    <w:rsid w:val="0041391E"/>
    <w:rsid w:val="00413A1E"/>
    <w:rsid w:val="00413C42"/>
    <w:rsid w:val="00413C70"/>
    <w:rsid w:val="00414476"/>
    <w:rsid w:val="004145F4"/>
    <w:rsid w:val="004147AE"/>
    <w:rsid w:val="0041480A"/>
    <w:rsid w:val="0041490E"/>
    <w:rsid w:val="00414A9E"/>
    <w:rsid w:val="00414C2E"/>
    <w:rsid w:val="004151CF"/>
    <w:rsid w:val="00415221"/>
    <w:rsid w:val="0041522E"/>
    <w:rsid w:val="00415233"/>
    <w:rsid w:val="004156BE"/>
    <w:rsid w:val="00415A24"/>
    <w:rsid w:val="00415B59"/>
    <w:rsid w:val="004161A8"/>
    <w:rsid w:val="00416227"/>
    <w:rsid w:val="00416364"/>
    <w:rsid w:val="00416785"/>
    <w:rsid w:val="00416BFB"/>
    <w:rsid w:val="0041755F"/>
    <w:rsid w:val="00420280"/>
    <w:rsid w:val="00420329"/>
    <w:rsid w:val="0042047F"/>
    <w:rsid w:val="00420603"/>
    <w:rsid w:val="004206DC"/>
    <w:rsid w:val="00420AA6"/>
    <w:rsid w:val="00420B9F"/>
    <w:rsid w:val="00420DD1"/>
    <w:rsid w:val="00420FBC"/>
    <w:rsid w:val="004218F6"/>
    <w:rsid w:val="0042192C"/>
    <w:rsid w:val="00422198"/>
    <w:rsid w:val="00422260"/>
    <w:rsid w:val="004225E0"/>
    <w:rsid w:val="00422C42"/>
    <w:rsid w:val="00422CE9"/>
    <w:rsid w:val="00422E01"/>
    <w:rsid w:val="00422F79"/>
    <w:rsid w:val="00423E2F"/>
    <w:rsid w:val="0042413F"/>
    <w:rsid w:val="00424407"/>
    <w:rsid w:val="004245E9"/>
    <w:rsid w:val="00424843"/>
    <w:rsid w:val="0042495F"/>
    <w:rsid w:val="00424970"/>
    <w:rsid w:val="00425050"/>
    <w:rsid w:val="004251E3"/>
    <w:rsid w:val="00425289"/>
    <w:rsid w:val="004255BF"/>
    <w:rsid w:val="00425FDA"/>
    <w:rsid w:val="00426321"/>
    <w:rsid w:val="00426874"/>
    <w:rsid w:val="0042759D"/>
    <w:rsid w:val="00427911"/>
    <w:rsid w:val="004279CF"/>
    <w:rsid w:val="00427EC4"/>
    <w:rsid w:val="00427FA6"/>
    <w:rsid w:val="00430323"/>
    <w:rsid w:val="004308C7"/>
    <w:rsid w:val="00430CC3"/>
    <w:rsid w:val="00430E70"/>
    <w:rsid w:val="00430F2F"/>
    <w:rsid w:val="004319F8"/>
    <w:rsid w:val="00431BC8"/>
    <w:rsid w:val="00431E55"/>
    <w:rsid w:val="004321F6"/>
    <w:rsid w:val="00432593"/>
    <w:rsid w:val="00432E01"/>
    <w:rsid w:val="00432F45"/>
    <w:rsid w:val="00432F47"/>
    <w:rsid w:val="00432FD9"/>
    <w:rsid w:val="00433044"/>
    <w:rsid w:val="00433118"/>
    <w:rsid w:val="0043338A"/>
    <w:rsid w:val="0043366A"/>
    <w:rsid w:val="0043372E"/>
    <w:rsid w:val="00433764"/>
    <w:rsid w:val="00434005"/>
    <w:rsid w:val="00434088"/>
    <w:rsid w:val="0043485E"/>
    <w:rsid w:val="00434E48"/>
    <w:rsid w:val="00435035"/>
    <w:rsid w:val="004350BA"/>
    <w:rsid w:val="00435118"/>
    <w:rsid w:val="00435191"/>
    <w:rsid w:val="004357E4"/>
    <w:rsid w:val="004357FA"/>
    <w:rsid w:val="004358FD"/>
    <w:rsid w:val="00435940"/>
    <w:rsid w:val="00435B7A"/>
    <w:rsid w:val="00435D88"/>
    <w:rsid w:val="00435DD4"/>
    <w:rsid w:val="00435F45"/>
    <w:rsid w:val="00435FB1"/>
    <w:rsid w:val="00435FEB"/>
    <w:rsid w:val="00436073"/>
    <w:rsid w:val="00436D84"/>
    <w:rsid w:val="00437397"/>
    <w:rsid w:val="004375B9"/>
    <w:rsid w:val="00437718"/>
    <w:rsid w:val="00437B83"/>
    <w:rsid w:val="00437FF9"/>
    <w:rsid w:val="004400BD"/>
    <w:rsid w:val="00440105"/>
    <w:rsid w:val="00440218"/>
    <w:rsid w:val="00440346"/>
    <w:rsid w:val="004403C4"/>
    <w:rsid w:val="004405EC"/>
    <w:rsid w:val="00440F03"/>
    <w:rsid w:val="0044114C"/>
    <w:rsid w:val="00441208"/>
    <w:rsid w:val="00441308"/>
    <w:rsid w:val="00441B8A"/>
    <w:rsid w:val="00442076"/>
    <w:rsid w:val="00442277"/>
    <w:rsid w:val="004423CA"/>
    <w:rsid w:val="0044263F"/>
    <w:rsid w:val="004426FE"/>
    <w:rsid w:val="0044270E"/>
    <w:rsid w:val="004428D0"/>
    <w:rsid w:val="00442C3B"/>
    <w:rsid w:val="004436F4"/>
    <w:rsid w:val="00443E5B"/>
    <w:rsid w:val="00444185"/>
    <w:rsid w:val="004443A7"/>
    <w:rsid w:val="0044442C"/>
    <w:rsid w:val="00444448"/>
    <w:rsid w:val="004452C3"/>
    <w:rsid w:val="004455C8"/>
    <w:rsid w:val="0044591F"/>
    <w:rsid w:val="00445941"/>
    <w:rsid w:val="0044596B"/>
    <w:rsid w:val="00445F9D"/>
    <w:rsid w:val="0044646E"/>
    <w:rsid w:val="004464EB"/>
    <w:rsid w:val="0044651C"/>
    <w:rsid w:val="00446750"/>
    <w:rsid w:val="00446E52"/>
    <w:rsid w:val="0044757B"/>
    <w:rsid w:val="0044778D"/>
    <w:rsid w:val="00447D26"/>
    <w:rsid w:val="00447DFC"/>
    <w:rsid w:val="00450314"/>
    <w:rsid w:val="004515CF"/>
    <w:rsid w:val="00451AAB"/>
    <w:rsid w:val="00452097"/>
    <w:rsid w:val="004523C8"/>
    <w:rsid w:val="00452540"/>
    <w:rsid w:val="004525CB"/>
    <w:rsid w:val="004527CC"/>
    <w:rsid w:val="00452C19"/>
    <w:rsid w:val="00452FC5"/>
    <w:rsid w:val="004533FA"/>
    <w:rsid w:val="00453593"/>
    <w:rsid w:val="0045366C"/>
    <w:rsid w:val="00453708"/>
    <w:rsid w:val="00453918"/>
    <w:rsid w:val="00453FBC"/>
    <w:rsid w:val="0045408A"/>
    <w:rsid w:val="004543C7"/>
    <w:rsid w:val="004545C8"/>
    <w:rsid w:val="00454710"/>
    <w:rsid w:val="00454898"/>
    <w:rsid w:val="00454C21"/>
    <w:rsid w:val="00454E18"/>
    <w:rsid w:val="00454E32"/>
    <w:rsid w:val="004554BD"/>
    <w:rsid w:val="0045557C"/>
    <w:rsid w:val="00455B8C"/>
    <w:rsid w:val="00455D45"/>
    <w:rsid w:val="004567D4"/>
    <w:rsid w:val="00456F5A"/>
    <w:rsid w:val="00457558"/>
    <w:rsid w:val="00457891"/>
    <w:rsid w:val="00457B77"/>
    <w:rsid w:val="00457BB7"/>
    <w:rsid w:val="00460165"/>
    <w:rsid w:val="004603EF"/>
    <w:rsid w:val="004608EB"/>
    <w:rsid w:val="00461012"/>
    <w:rsid w:val="00461680"/>
    <w:rsid w:val="00461BD1"/>
    <w:rsid w:val="00461D57"/>
    <w:rsid w:val="00461F10"/>
    <w:rsid w:val="00461F6D"/>
    <w:rsid w:val="004623E1"/>
    <w:rsid w:val="00462646"/>
    <w:rsid w:val="004627CD"/>
    <w:rsid w:val="00462976"/>
    <w:rsid w:val="00462AE2"/>
    <w:rsid w:val="00462C9F"/>
    <w:rsid w:val="00462CD8"/>
    <w:rsid w:val="00462DBB"/>
    <w:rsid w:val="00463104"/>
    <w:rsid w:val="0046310E"/>
    <w:rsid w:val="00463C57"/>
    <w:rsid w:val="004643D4"/>
    <w:rsid w:val="00464572"/>
    <w:rsid w:val="00464595"/>
    <w:rsid w:val="00465282"/>
    <w:rsid w:val="0046528D"/>
    <w:rsid w:val="00465304"/>
    <w:rsid w:val="004653EF"/>
    <w:rsid w:val="004658B5"/>
    <w:rsid w:val="00465C57"/>
    <w:rsid w:val="00465CBE"/>
    <w:rsid w:val="00465D81"/>
    <w:rsid w:val="00465DD5"/>
    <w:rsid w:val="00465F5E"/>
    <w:rsid w:val="0046633F"/>
    <w:rsid w:val="00466821"/>
    <w:rsid w:val="00466B8C"/>
    <w:rsid w:val="00466D67"/>
    <w:rsid w:val="0046792E"/>
    <w:rsid w:val="00467936"/>
    <w:rsid w:val="00470208"/>
    <w:rsid w:val="004703A6"/>
    <w:rsid w:val="004704D4"/>
    <w:rsid w:val="004709D4"/>
    <w:rsid w:val="00470DEC"/>
    <w:rsid w:val="00471481"/>
    <w:rsid w:val="00471633"/>
    <w:rsid w:val="00471A8D"/>
    <w:rsid w:val="00471EA5"/>
    <w:rsid w:val="00472174"/>
    <w:rsid w:val="00472A79"/>
    <w:rsid w:val="00472D6E"/>
    <w:rsid w:val="00473823"/>
    <w:rsid w:val="0047387E"/>
    <w:rsid w:val="00473F19"/>
    <w:rsid w:val="004750ED"/>
    <w:rsid w:val="004752C0"/>
    <w:rsid w:val="00475438"/>
    <w:rsid w:val="004754DB"/>
    <w:rsid w:val="004757A4"/>
    <w:rsid w:val="004758CE"/>
    <w:rsid w:val="00475985"/>
    <w:rsid w:val="00475E22"/>
    <w:rsid w:val="00476413"/>
    <w:rsid w:val="00476B23"/>
    <w:rsid w:val="00476B72"/>
    <w:rsid w:val="00476CF4"/>
    <w:rsid w:val="00476D05"/>
    <w:rsid w:val="0047708F"/>
    <w:rsid w:val="0047709C"/>
    <w:rsid w:val="00477899"/>
    <w:rsid w:val="00477984"/>
    <w:rsid w:val="00477ACF"/>
    <w:rsid w:val="00477B14"/>
    <w:rsid w:val="00477CD8"/>
    <w:rsid w:val="00480813"/>
    <w:rsid w:val="0048088E"/>
    <w:rsid w:val="00480C52"/>
    <w:rsid w:val="00480DCB"/>
    <w:rsid w:val="00480F2B"/>
    <w:rsid w:val="004811DD"/>
    <w:rsid w:val="0048146E"/>
    <w:rsid w:val="00481661"/>
    <w:rsid w:val="00481771"/>
    <w:rsid w:val="00481AC8"/>
    <w:rsid w:val="00481DF7"/>
    <w:rsid w:val="00481F40"/>
    <w:rsid w:val="00481F60"/>
    <w:rsid w:val="004820A2"/>
    <w:rsid w:val="0048250E"/>
    <w:rsid w:val="0048260A"/>
    <w:rsid w:val="00482720"/>
    <w:rsid w:val="0048284E"/>
    <w:rsid w:val="00482BA9"/>
    <w:rsid w:val="00482BAB"/>
    <w:rsid w:val="00483356"/>
    <w:rsid w:val="004835CC"/>
    <w:rsid w:val="004835E7"/>
    <w:rsid w:val="00483B8C"/>
    <w:rsid w:val="00483DF0"/>
    <w:rsid w:val="0048427D"/>
    <w:rsid w:val="00484482"/>
    <w:rsid w:val="00484F8B"/>
    <w:rsid w:val="004850C9"/>
    <w:rsid w:val="00485184"/>
    <w:rsid w:val="0048574A"/>
    <w:rsid w:val="004859E1"/>
    <w:rsid w:val="00485A0E"/>
    <w:rsid w:val="00485A7B"/>
    <w:rsid w:val="00485CFB"/>
    <w:rsid w:val="00485FEF"/>
    <w:rsid w:val="00486162"/>
    <w:rsid w:val="00486211"/>
    <w:rsid w:val="004867E2"/>
    <w:rsid w:val="00486B0E"/>
    <w:rsid w:val="00487801"/>
    <w:rsid w:val="00487BBF"/>
    <w:rsid w:val="00487EE6"/>
    <w:rsid w:val="00490078"/>
    <w:rsid w:val="004902B9"/>
    <w:rsid w:val="004904E3"/>
    <w:rsid w:val="00490AEF"/>
    <w:rsid w:val="00490B17"/>
    <w:rsid w:val="0049115A"/>
    <w:rsid w:val="004916E6"/>
    <w:rsid w:val="00491B3A"/>
    <w:rsid w:val="00491DDC"/>
    <w:rsid w:val="00492619"/>
    <w:rsid w:val="00492991"/>
    <w:rsid w:val="00492A0B"/>
    <w:rsid w:val="00492CFD"/>
    <w:rsid w:val="004930B8"/>
    <w:rsid w:val="00493179"/>
    <w:rsid w:val="00493236"/>
    <w:rsid w:val="0049355B"/>
    <w:rsid w:val="004935F8"/>
    <w:rsid w:val="0049361C"/>
    <w:rsid w:val="00493EF3"/>
    <w:rsid w:val="00494207"/>
    <w:rsid w:val="00494DD5"/>
    <w:rsid w:val="004952BC"/>
    <w:rsid w:val="00495C85"/>
    <w:rsid w:val="00495CB0"/>
    <w:rsid w:val="00495CC0"/>
    <w:rsid w:val="004962D2"/>
    <w:rsid w:val="00496835"/>
    <w:rsid w:val="00496948"/>
    <w:rsid w:val="0049697B"/>
    <w:rsid w:val="004969AB"/>
    <w:rsid w:val="00496C38"/>
    <w:rsid w:val="00496C77"/>
    <w:rsid w:val="00496DFD"/>
    <w:rsid w:val="00496FC9"/>
    <w:rsid w:val="00497368"/>
    <w:rsid w:val="00497AB2"/>
    <w:rsid w:val="00497E63"/>
    <w:rsid w:val="004A026C"/>
    <w:rsid w:val="004A0DA1"/>
    <w:rsid w:val="004A1033"/>
    <w:rsid w:val="004A13D6"/>
    <w:rsid w:val="004A1ACB"/>
    <w:rsid w:val="004A2033"/>
    <w:rsid w:val="004A22E4"/>
    <w:rsid w:val="004A2482"/>
    <w:rsid w:val="004A256E"/>
    <w:rsid w:val="004A29EA"/>
    <w:rsid w:val="004A3B4D"/>
    <w:rsid w:val="004A3BC7"/>
    <w:rsid w:val="004A4D09"/>
    <w:rsid w:val="004A52E9"/>
    <w:rsid w:val="004A5504"/>
    <w:rsid w:val="004A6040"/>
    <w:rsid w:val="004A621D"/>
    <w:rsid w:val="004A62E0"/>
    <w:rsid w:val="004A638C"/>
    <w:rsid w:val="004A6597"/>
    <w:rsid w:val="004A6A94"/>
    <w:rsid w:val="004A70F7"/>
    <w:rsid w:val="004A7225"/>
    <w:rsid w:val="004A7365"/>
    <w:rsid w:val="004A770D"/>
    <w:rsid w:val="004A7792"/>
    <w:rsid w:val="004A7848"/>
    <w:rsid w:val="004A793B"/>
    <w:rsid w:val="004B0CF8"/>
    <w:rsid w:val="004B1440"/>
    <w:rsid w:val="004B153A"/>
    <w:rsid w:val="004B1767"/>
    <w:rsid w:val="004B17B6"/>
    <w:rsid w:val="004B1800"/>
    <w:rsid w:val="004B1847"/>
    <w:rsid w:val="004B1879"/>
    <w:rsid w:val="004B1B91"/>
    <w:rsid w:val="004B1CB4"/>
    <w:rsid w:val="004B1D25"/>
    <w:rsid w:val="004B1EE6"/>
    <w:rsid w:val="004B21B6"/>
    <w:rsid w:val="004B24BB"/>
    <w:rsid w:val="004B2EDE"/>
    <w:rsid w:val="004B2F18"/>
    <w:rsid w:val="004B345D"/>
    <w:rsid w:val="004B3A04"/>
    <w:rsid w:val="004B3AD7"/>
    <w:rsid w:val="004B3BE8"/>
    <w:rsid w:val="004B3C44"/>
    <w:rsid w:val="004B3C5E"/>
    <w:rsid w:val="004B3DDB"/>
    <w:rsid w:val="004B4232"/>
    <w:rsid w:val="004B4247"/>
    <w:rsid w:val="004B43F2"/>
    <w:rsid w:val="004B44FD"/>
    <w:rsid w:val="004B4C14"/>
    <w:rsid w:val="004B4FF7"/>
    <w:rsid w:val="004B53ED"/>
    <w:rsid w:val="004B54C9"/>
    <w:rsid w:val="004B5878"/>
    <w:rsid w:val="004B5898"/>
    <w:rsid w:val="004B595A"/>
    <w:rsid w:val="004B5CFC"/>
    <w:rsid w:val="004B604A"/>
    <w:rsid w:val="004B6147"/>
    <w:rsid w:val="004B65D0"/>
    <w:rsid w:val="004B69B0"/>
    <w:rsid w:val="004B6DFC"/>
    <w:rsid w:val="004B6F79"/>
    <w:rsid w:val="004B7113"/>
    <w:rsid w:val="004B751B"/>
    <w:rsid w:val="004B774D"/>
    <w:rsid w:val="004B7C52"/>
    <w:rsid w:val="004C01A7"/>
    <w:rsid w:val="004C0D53"/>
    <w:rsid w:val="004C0EF7"/>
    <w:rsid w:val="004C1097"/>
    <w:rsid w:val="004C12BD"/>
    <w:rsid w:val="004C1405"/>
    <w:rsid w:val="004C14A8"/>
    <w:rsid w:val="004C162E"/>
    <w:rsid w:val="004C1E09"/>
    <w:rsid w:val="004C1E44"/>
    <w:rsid w:val="004C21FD"/>
    <w:rsid w:val="004C26B3"/>
    <w:rsid w:val="004C2975"/>
    <w:rsid w:val="004C2AC2"/>
    <w:rsid w:val="004C3428"/>
    <w:rsid w:val="004C365E"/>
    <w:rsid w:val="004C391E"/>
    <w:rsid w:val="004C3B02"/>
    <w:rsid w:val="004C3BC6"/>
    <w:rsid w:val="004C3DA7"/>
    <w:rsid w:val="004C3F3B"/>
    <w:rsid w:val="004C3FB9"/>
    <w:rsid w:val="004C4AED"/>
    <w:rsid w:val="004C4BE7"/>
    <w:rsid w:val="004C519F"/>
    <w:rsid w:val="004C5326"/>
    <w:rsid w:val="004C5406"/>
    <w:rsid w:val="004C5AEA"/>
    <w:rsid w:val="004C5C82"/>
    <w:rsid w:val="004C61B4"/>
    <w:rsid w:val="004C6C58"/>
    <w:rsid w:val="004C6E17"/>
    <w:rsid w:val="004C7085"/>
    <w:rsid w:val="004C70D6"/>
    <w:rsid w:val="004C714E"/>
    <w:rsid w:val="004C73AC"/>
    <w:rsid w:val="004C73F7"/>
    <w:rsid w:val="004C76D3"/>
    <w:rsid w:val="004C7885"/>
    <w:rsid w:val="004C7DF2"/>
    <w:rsid w:val="004D048E"/>
    <w:rsid w:val="004D05D4"/>
    <w:rsid w:val="004D0628"/>
    <w:rsid w:val="004D0853"/>
    <w:rsid w:val="004D099C"/>
    <w:rsid w:val="004D0F98"/>
    <w:rsid w:val="004D19A7"/>
    <w:rsid w:val="004D1F9C"/>
    <w:rsid w:val="004D2393"/>
    <w:rsid w:val="004D2621"/>
    <w:rsid w:val="004D2C2D"/>
    <w:rsid w:val="004D2C60"/>
    <w:rsid w:val="004D304C"/>
    <w:rsid w:val="004D35DF"/>
    <w:rsid w:val="004D3670"/>
    <w:rsid w:val="004D3910"/>
    <w:rsid w:val="004D3B70"/>
    <w:rsid w:val="004D3DA9"/>
    <w:rsid w:val="004D4032"/>
    <w:rsid w:val="004D466C"/>
    <w:rsid w:val="004D5108"/>
    <w:rsid w:val="004D579C"/>
    <w:rsid w:val="004D57C2"/>
    <w:rsid w:val="004D5A41"/>
    <w:rsid w:val="004D5AB8"/>
    <w:rsid w:val="004D5CD2"/>
    <w:rsid w:val="004D5CF8"/>
    <w:rsid w:val="004D5DE7"/>
    <w:rsid w:val="004D6067"/>
    <w:rsid w:val="004D622B"/>
    <w:rsid w:val="004D6283"/>
    <w:rsid w:val="004D63F6"/>
    <w:rsid w:val="004D69B5"/>
    <w:rsid w:val="004D69EF"/>
    <w:rsid w:val="004D6E99"/>
    <w:rsid w:val="004D7227"/>
    <w:rsid w:val="004D7255"/>
    <w:rsid w:val="004D78E8"/>
    <w:rsid w:val="004D7946"/>
    <w:rsid w:val="004D7B5E"/>
    <w:rsid w:val="004E0081"/>
    <w:rsid w:val="004E0E7F"/>
    <w:rsid w:val="004E0EB8"/>
    <w:rsid w:val="004E10DF"/>
    <w:rsid w:val="004E1260"/>
    <w:rsid w:val="004E136F"/>
    <w:rsid w:val="004E1575"/>
    <w:rsid w:val="004E18E9"/>
    <w:rsid w:val="004E1C9E"/>
    <w:rsid w:val="004E1E95"/>
    <w:rsid w:val="004E2184"/>
    <w:rsid w:val="004E2564"/>
    <w:rsid w:val="004E25AB"/>
    <w:rsid w:val="004E281F"/>
    <w:rsid w:val="004E2ADC"/>
    <w:rsid w:val="004E3942"/>
    <w:rsid w:val="004E39CE"/>
    <w:rsid w:val="004E4328"/>
    <w:rsid w:val="004E43B2"/>
    <w:rsid w:val="004E4434"/>
    <w:rsid w:val="004E443B"/>
    <w:rsid w:val="004E4441"/>
    <w:rsid w:val="004E47E3"/>
    <w:rsid w:val="004E4BDD"/>
    <w:rsid w:val="004E4CF5"/>
    <w:rsid w:val="004E4D5F"/>
    <w:rsid w:val="004E4E10"/>
    <w:rsid w:val="004E4E7C"/>
    <w:rsid w:val="004E5483"/>
    <w:rsid w:val="004E5588"/>
    <w:rsid w:val="004E5BA6"/>
    <w:rsid w:val="004E5ED5"/>
    <w:rsid w:val="004E6DB9"/>
    <w:rsid w:val="004E6E00"/>
    <w:rsid w:val="004E7701"/>
    <w:rsid w:val="004E7794"/>
    <w:rsid w:val="004E779D"/>
    <w:rsid w:val="004F064E"/>
    <w:rsid w:val="004F074D"/>
    <w:rsid w:val="004F0A41"/>
    <w:rsid w:val="004F191C"/>
    <w:rsid w:val="004F1AA7"/>
    <w:rsid w:val="004F1BA4"/>
    <w:rsid w:val="004F1D02"/>
    <w:rsid w:val="004F1EE1"/>
    <w:rsid w:val="004F200D"/>
    <w:rsid w:val="004F250D"/>
    <w:rsid w:val="004F2679"/>
    <w:rsid w:val="004F2A22"/>
    <w:rsid w:val="004F2AAE"/>
    <w:rsid w:val="004F2F21"/>
    <w:rsid w:val="004F3362"/>
    <w:rsid w:val="004F34D7"/>
    <w:rsid w:val="004F3AAA"/>
    <w:rsid w:val="004F3B53"/>
    <w:rsid w:val="004F3DE5"/>
    <w:rsid w:val="004F3EB3"/>
    <w:rsid w:val="004F4226"/>
    <w:rsid w:val="004F4233"/>
    <w:rsid w:val="004F42B0"/>
    <w:rsid w:val="004F431B"/>
    <w:rsid w:val="004F43D1"/>
    <w:rsid w:val="004F4719"/>
    <w:rsid w:val="004F4764"/>
    <w:rsid w:val="004F4C66"/>
    <w:rsid w:val="004F4DFE"/>
    <w:rsid w:val="004F51EF"/>
    <w:rsid w:val="004F528E"/>
    <w:rsid w:val="004F54F4"/>
    <w:rsid w:val="004F6464"/>
    <w:rsid w:val="004F649D"/>
    <w:rsid w:val="004F6913"/>
    <w:rsid w:val="004F6A85"/>
    <w:rsid w:val="004F6D26"/>
    <w:rsid w:val="004F6E0E"/>
    <w:rsid w:val="004F7078"/>
    <w:rsid w:val="004F73BA"/>
    <w:rsid w:val="004F7589"/>
    <w:rsid w:val="004F776B"/>
    <w:rsid w:val="004F778B"/>
    <w:rsid w:val="004F7865"/>
    <w:rsid w:val="004F7886"/>
    <w:rsid w:val="004F78D4"/>
    <w:rsid w:val="004F7B8D"/>
    <w:rsid w:val="004F7D57"/>
    <w:rsid w:val="00500708"/>
    <w:rsid w:val="0050109C"/>
    <w:rsid w:val="005010E0"/>
    <w:rsid w:val="00501361"/>
    <w:rsid w:val="00501519"/>
    <w:rsid w:val="00501544"/>
    <w:rsid w:val="0050174E"/>
    <w:rsid w:val="00501854"/>
    <w:rsid w:val="00501D64"/>
    <w:rsid w:val="0050219B"/>
    <w:rsid w:val="00502A8A"/>
    <w:rsid w:val="00502BC5"/>
    <w:rsid w:val="00502C0E"/>
    <w:rsid w:val="00502D2D"/>
    <w:rsid w:val="00502DD1"/>
    <w:rsid w:val="0050309A"/>
    <w:rsid w:val="005031D8"/>
    <w:rsid w:val="005033E7"/>
    <w:rsid w:val="005036ED"/>
    <w:rsid w:val="00503F17"/>
    <w:rsid w:val="00503F3A"/>
    <w:rsid w:val="00504845"/>
    <w:rsid w:val="00504A85"/>
    <w:rsid w:val="00504AFE"/>
    <w:rsid w:val="005051C6"/>
    <w:rsid w:val="00505546"/>
    <w:rsid w:val="0050556A"/>
    <w:rsid w:val="005059FD"/>
    <w:rsid w:val="005064E2"/>
    <w:rsid w:val="005066E9"/>
    <w:rsid w:val="00506763"/>
    <w:rsid w:val="00506928"/>
    <w:rsid w:val="005076F3"/>
    <w:rsid w:val="005077EF"/>
    <w:rsid w:val="00507B56"/>
    <w:rsid w:val="00507C75"/>
    <w:rsid w:val="005102C2"/>
    <w:rsid w:val="0051037A"/>
    <w:rsid w:val="005103EE"/>
    <w:rsid w:val="005105D1"/>
    <w:rsid w:val="0051064B"/>
    <w:rsid w:val="00510720"/>
    <w:rsid w:val="00510D3E"/>
    <w:rsid w:val="005113EF"/>
    <w:rsid w:val="00511403"/>
    <w:rsid w:val="00511700"/>
    <w:rsid w:val="0051184B"/>
    <w:rsid w:val="00511AD5"/>
    <w:rsid w:val="00511B43"/>
    <w:rsid w:val="00511DBA"/>
    <w:rsid w:val="00511DC7"/>
    <w:rsid w:val="00511E4F"/>
    <w:rsid w:val="00512567"/>
    <w:rsid w:val="00512627"/>
    <w:rsid w:val="005129FE"/>
    <w:rsid w:val="00513441"/>
    <w:rsid w:val="00513458"/>
    <w:rsid w:val="0051354D"/>
    <w:rsid w:val="00513692"/>
    <w:rsid w:val="0051397C"/>
    <w:rsid w:val="00514080"/>
    <w:rsid w:val="005142C5"/>
    <w:rsid w:val="00514402"/>
    <w:rsid w:val="005146C6"/>
    <w:rsid w:val="00514F48"/>
    <w:rsid w:val="00514F91"/>
    <w:rsid w:val="0051501B"/>
    <w:rsid w:val="0051511F"/>
    <w:rsid w:val="005152B5"/>
    <w:rsid w:val="005152C0"/>
    <w:rsid w:val="005152D9"/>
    <w:rsid w:val="005154DD"/>
    <w:rsid w:val="00515673"/>
    <w:rsid w:val="00515855"/>
    <w:rsid w:val="00515886"/>
    <w:rsid w:val="005159A2"/>
    <w:rsid w:val="00515C84"/>
    <w:rsid w:val="00515D6E"/>
    <w:rsid w:val="00515EF3"/>
    <w:rsid w:val="005162C3"/>
    <w:rsid w:val="00516C05"/>
    <w:rsid w:val="00516C92"/>
    <w:rsid w:val="00516CF6"/>
    <w:rsid w:val="00517104"/>
    <w:rsid w:val="00517210"/>
    <w:rsid w:val="0051733C"/>
    <w:rsid w:val="0051735A"/>
    <w:rsid w:val="00517B17"/>
    <w:rsid w:val="00517BA4"/>
    <w:rsid w:val="00520F11"/>
    <w:rsid w:val="0052123C"/>
    <w:rsid w:val="005212D5"/>
    <w:rsid w:val="00521319"/>
    <w:rsid w:val="00521981"/>
    <w:rsid w:val="00521A01"/>
    <w:rsid w:val="00521DAF"/>
    <w:rsid w:val="00521DD3"/>
    <w:rsid w:val="00522272"/>
    <w:rsid w:val="0052271E"/>
    <w:rsid w:val="00522868"/>
    <w:rsid w:val="00522BC8"/>
    <w:rsid w:val="005230B8"/>
    <w:rsid w:val="005230E2"/>
    <w:rsid w:val="005232B9"/>
    <w:rsid w:val="00523602"/>
    <w:rsid w:val="00523C28"/>
    <w:rsid w:val="00523D28"/>
    <w:rsid w:val="00523E03"/>
    <w:rsid w:val="0052456A"/>
    <w:rsid w:val="00524A7D"/>
    <w:rsid w:val="00524E57"/>
    <w:rsid w:val="00525233"/>
    <w:rsid w:val="005252A2"/>
    <w:rsid w:val="0052544E"/>
    <w:rsid w:val="0052564E"/>
    <w:rsid w:val="00525663"/>
    <w:rsid w:val="005256C4"/>
    <w:rsid w:val="00525754"/>
    <w:rsid w:val="00525D15"/>
    <w:rsid w:val="00525E32"/>
    <w:rsid w:val="00525FB1"/>
    <w:rsid w:val="0052612E"/>
    <w:rsid w:val="00526335"/>
    <w:rsid w:val="00526767"/>
    <w:rsid w:val="00526C60"/>
    <w:rsid w:val="00526EFE"/>
    <w:rsid w:val="0052755B"/>
    <w:rsid w:val="00527CA0"/>
    <w:rsid w:val="00527D40"/>
    <w:rsid w:val="005309CF"/>
    <w:rsid w:val="00530E55"/>
    <w:rsid w:val="00530F0B"/>
    <w:rsid w:val="0053176B"/>
    <w:rsid w:val="00531CDD"/>
    <w:rsid w:val="00531F19"/>
    <w:rsid w:val="0053208A"/>
    <w:rsid w:val="00532349"/>
    <w:rsid w:val="00532543"/>
    <w:rsid w:val="00532A3B"/>
    <w:rsid w:val="00533517"/>
    <w:rsid w:val="0053352F"/>
    <w:rsid w:val="00533A19"/>
    <w:rsid w:val="00533A36"/>
    <w:rsid w:val="00533C99"/>
    <w:rsid w:val="00533EA7"/>
    <w:rsid w:val="005341B3"/>
    <w:rsid w:val="005341D7"/>
    <w:rsid w:val="00534259"/>
    <w:rsid w:val="00534337"/>
    <w:rsid w:val="00534861"/>
    <w:rsid w:val="00534A77"/>
    <w:rsid w:val="00534AB9"/>
    <w:rsid w:val="00534D7C"/>
    <w:rsid w:val="005350C8"/>
    <w:rsid w:val="00535203"/>
    <w:rsid w:val="00535500"/>
    <w:rsid w:val="005358B5"/>
    <w:rsid w:val="005359F7"/>
    <w:rsid w:val="00535B81"/>
    <w:rsid w:val="005362F7"/>
    <w:rsid w:val="005363DF"/>
    <w:rsid w:val="00536B2F"/>
    <w:rsid w:val="00536F42"/>
    <w:rsid w:val="00537182"/>
    <w:rsid w:val="00537514"/>
    <w:rsid w:val="00537520"/>
    <w:rsid w:val="0053765E"/>
    <w:rsid w:val="00537985"/>
    <w:rsid w:val="00537DFE"/>
    <w:rsid w:val="005400B8"/>
    <w:rsid w:val="00540348"/>
    <w:rsid w:val="005403A4"/>
    <w:rsid w:val="005405F2"/>
    <w:rsid w:val="00540A56"/>
    <w:rsid w:val="00541011"/>
    <w:rsid w:val="0054125D"/>
    <w:rsid w:val="005414BF"/>
    <w:rsid w:val="00541A17"/>
    <w:rsid w:val="00541E56"/>
    <w:rsid w:val="00541EDD"/>
    <w:rsid w:val="00542743"/>
    <w:rsid w:val="00542C2D"/>
    <w:rsid w:val="00542D7E"/>
    <w:rsid w:val="00542DFB"/>
    <w:rsid w:val="00543086"/>
    <w:rsid w:val="00543439"/>
    <w:rsid w:val="00543604"/>
    <w:rsid w:val="0054368C"/>
    <w:rsid w:val="005436F1"/>
    <w:rsid w:val="00543A85"/>
    <w:rsid w:val="00544CE0"/>
    <w:rsid w:val="00544FDF"/>
    <w:rsid w:val="005453FE"/>
    <w:rsid w:val="00545759"/>
    <w:rsid w:val="005459C0"/>
    <w:rsid w:val="00545BD7"/>
    <w:rsid w:val="00545CD4"/>
    <w:rsid w:val="00545F5F"/>
    <w:rsid w:val="00546281"/>
    <w:rsid w:val="005462EC"/>
    <w:rsid w:val="00546394"/>
    <w:rsid w:val="005464E4"/>
    <w:rsid w:val="00546AC3"/>
    <w:rsid w:val="005473DE"/>
    <w:rsid w:val="0054768D"/>
    <w:rsid w:val="0054785F"/>
    <w:rsid w:val="005478BD"/>
    <w:rsid w:val="005479E3"/>
    <w:rsid w:val="00547BD5"/>
    <w:rsid w:val="00547CB7"/>
    <w:rsid w:val="005503AA"/>
    <w:rsid w:val="00550D45"/>
    <w:rsid w:val="00550D6A"/>
    <w:rsid w:val="0055120A"/>
    <w:rsid w:val="00551985"/>
    <w:rsid w:val="00551DD9"/>
    <w:rsid w:val="00551F1C"/>
    <w:rsid w:val="00551FEC"/>
    <w:rsid w:val="00552242"/>
    <w:rsid w:val="00552292"/>
    <w:rsid w:val="0055281A"/>
    <w:rsid w:val="00552889"/>
    <w:rsid w:val="005528FC"/>
    <w:rsid w:val="00552BD3"/>
    <w:rsid w:val="005530C5"/>
    <w:rsid w:val="005532A0"/>
    <w:rsid w:val="005534E2"/>
    <w:rsid w:val="00553D28"/>
    <w:rsid w:val="00553EA5"/>
    <w:rsid w:val="005544E4"/>
    <w:rsid w:val="0055455F"/>
    <w:rsid w:val="0055478E"/>
    <w:rsid w:val="00554830"/>
    <w:rsid w:val="005548D9"/>
    <w:rsid w:val="00554F68"/>
    <w:rsid w:val="00555109"/>
    <w:rsid w:val="005556A6"/>
    <w:rsid w:val="0055575D"/>
    <w:rsid w:val="00555937"/>
    <w:rsid w:val="005563C1"/>
    <w:rsid w:val="0055654C"/>
    <w:rsid w:val="00556737"/>
    <w:rsid w:val="0055678E"/>
    <w:rsid w:val="00556B35"/>
    <w:rsid w:val="00556E14"/>
    <w:rsid w:val="0055741A"/>
    <w:rsid w:val="00557626"/>
    <w:rsid w:val="00557884"/>
    <w:rsid w:val="00557A2E"/>
    <w:rsid w:val="00557B13"/>
    <w:rsid w:val="00557BA5"/>
    <w:rsid w:val="00557CFC"/>
    <w:rsid w:val="0056002A"/>
    <w:rsid w:val="005600DD"/>
    <w:rsid w:val="005604F9"/>
    <w:rsid w:val="0056075F"/>
    <w:rsid w:val="00560D84"/>
    <w:rsid w:val="00560DBE"/>
    <w:rsid w:val="005611B7"/>
    <w:rsid w:val="005611E2"/>
    <w:rsid w:val="005615C7"/>
    <w:rsid w:val="005618D4"/>
    <w:rsid w:val="0056196B"/>
    <w:rsid w:val="005619B8"/>
    <w:rsid w:val="005619F1"/>
    <w:rsid w:val="00561AF8"/>
    <w:rsid w:val="00561B94"/>
    <w:rsid w:val="00562775"/>
    <w:rsid w:val="00563243"/>
    <w:rsid w:val="005634AB"/>
    <w:rsid w:val="00563A6F"/>
    <w:rsid w:val="00563CC2"/>
    <w:rsid w:val="00563CE9"/>
    <w:rsid w:val="005643F5"/>
    <w:rsid w:val="00564682"/>
    <w:rsid w:val="00564714"/>
    <w:rsid w:val="00564867"/>
    <w:rsid w:val="00564BB4"/>
    <w:rsid w:val="00564DD8"/>
    <w:rsid w:val="005651CF"/>
    <w:rsid w:val="005656FF"/>
    <w:rsid w:val="00565A9E"/>
    <w:rsid w:val="00565C79"/>
    <w:rsid w:val="00565DF0"/>
    <w:rsid w:val="00566114"/>
    <w:rsid w:val="005664B0"/>
    <w:rsid w:val="005667F2"/>
    <w:rsid w:val="0056696F"/>
    <w:rsid w:val="005669B4"/>
    <w:rsid w:val="00567419"/>
    <w:rsid w:val="00567771"/>
    <w:rsid w:val="00567FC1"/>
    <w:rsid w:val="0057003E"/>
    <w:rsid w:val="005704CA"/>
    <w:rsid w:val="0057072A"/>
    <w:rsid w:val="00570765"/>
    <w:rsid w:val="005708F4"/>
    <w:rsid w:val="00570A77"/>
    <w:rsid w:val="00571013"/>
    <w:rsid w:val="00571242"/>
    <w:rsid w:val="0057136A"/>
    <w:rsid w:val="005713C7"/>
    <w:rsid w:val="005714E9"/>
    <w:rsid w:val="00571710"/>
    <w:rsid w:val="00571808"/>
    <w:rsid w:val="00571CAE"/>
    <w:rsid w:val="00571FDF"/>
    <w:rsid w:val="00572269"/>
    <w:rsid w:val="005723DD"/>
    <w:rsid w:val="0057244A"/>
    <w:rsid w:val="0057284C"/>
    <w:rsid w:val="005728FD"/>
    <w:rsid w:val="00572A83"/>
    <w:rsid w:val="00572CAE"/>
    <w:rsid w:val="00572F26"/>
    <w:rsid w:val="005731EC"/>
    <w:rsid w:val="005734DF"/>
    <w:rsid w:val="00573BB4"/>
    <w:rsid w:val="00573E2E"/>
    <w:rsid w:val="00574463"/>
    <w:rsid w:val="0057452E"/>
    <w:rsid w:val="00574547"/>
    <w:rsid w:val="005745BD"/>
    <w:rsid w:val="00574DBB"/>
    <w:rsid w:val="005750C5"/>
    <w:rsid w:val="005752DE"/>
    <w:rsid w:val="005753BE"/>
    <w:rsid w:val="00575419"/>
    <w:rsid w:val="00575549"/>
    <w:rsid w:val="00575643"/>
    <w:rsid w:val="00575817"/>
    <w:rsid w:val="00575BD8"/>
    <w:rsid w:val="00575CB7"/>
    <w:rsid w:val="00575D60"/>
    <w:rsid w:val="00575D8D"/>
    <w:rsid w:val="00575EB9"/>
    <w:rsid w:val="00575F1C"/>
    <w:rsid w:val="00576251"/>
    <w:rsid w:val="00576972"/>
    <w:rsid w:val="00576F2A"/>
    <w:rsid w:val="00577095"/>
    <w:rsid w:val="005771D9"/>
    <w:rsid w:val="00577248"/>
    <w:rsid w:val="00577932"/>
    <w:rsid w:val="005802B4"/>
    <w:rsid w:val="00580493"/>
    <w:rsid w:val="00580577"/>
    <w:rsid w:val="005808E6"/>
    <w:rsid w:val="00580B83"/>
    <w:rsid w:val="00580CF3"/>
    <w:rsid w:val="00580D64"/>
    <w:rsid w:val="00580ED3"/>
    <w:rsid w:val="00581038"/>
    <w:rsid w:val="00581152"/>
    <w:rsid w:val="005811A4"/>
    <w:rsid w:val="00581549"/>
    <w:rsid w:val="00582664"/>
    <w:rsid w:val="00582841"/>
    <w:rsid w:val="005828D8"/>
    <w:rsid w:val="00582D45"/>
    <w:rsid w:val="00583576"/>
    <w:rsid w:val="005835A2"/>
    <w:rsid w:val="00583699"/>
    <w:rsid w:val="00583AD9"/>
    <w:rsid w:val="00583BC1"/>
    <w:rsid w:val="00584375"/>
    <w:rsid w:val="0058438D"/>
    <w:rsid w:val="00584B62"/>
    <w:rsid w:val="00584BE1"/>
    <w:rsid w:val="005854FA"/>
    <w:rsid w:val="00585705"/>
    <w:rsid w:val="00585776"/>
    <w:rsid w:val="00585865"/>
    <w:rsid w:val="005858BF"/>
    <w:rsid w:val="00585C3E"/>
    <w:rsid w:val="00585CDD"/>
    <w:rsid w:val="00585EF0"/>
    <w:rsid w:val="0058629B"/>
    <w:rsid w:val="005864AC"/>
    <w:rsid w:val="00586867"/>
    <w:rsid w:val="00586984"/>
    <w:rsid w:val="00587058"/>
    <w:rsid w:val="005871A2"/>
    <w:rsid w:val="005877B8"/>
    <w:rsid w:val="00587894"/>
    <w:rsid w:val="00587EA3"/>
    <w:rsid w:val="00587FB5"/>
    <w:rsid w:val="0059112A"/>
    <w:rsid w:val="005912F4"/>
    <w:rsid w:val="005914E0"/>
    <w:rsid w:val="0059182E"/>
    <w:rsid w:val="00591957"/>
    <w:rsid w:val="00591AF0"/>
    <w:rsid w:val="0059207D"/>
    <w:rsid w:val="00592828"/>
    <w:rsid w:val="00592AFD"/>
    <w:rsid w:val="00592B0F"/>
    <w:rsid w:val="00592EA7"/>
    <w:rsid w:val="00592FC3"/>
    <w:rsid w:val="00593335"/>
    <w:rsid w:val="0059345A"/>
    <w:rsid w:val="0059356F"/>
    <w:rsid w:val="0059398F"/>
    <w:rsid w:val="00593A52"/>
    <w:rsid w:val="00593A88"/>
    <w:rsid w:val="00593A9E"/>
    <w:rsid w:val="00594413"/>
    <w:rsid w:val="005944D2"/>
    <w:rsid w:val="0059483A"/>
    <w:rsid w:val="00595984"/>
    <w:rsid w:val="00595C18"/>
    <w:rsid w:val="00596851"/>
    <w:rsid w:val="00596918"/>
    <w:rsid w:val="00596B97"/>
    <w:rsid w:val="00596C2A"/>
    <w:rsid w:val="00596CD5"/>
    <w:rsid w:val="00596CE8"/>
    <w:rsid w:val="00596D21"/>
    <w:rsid w:val="00596EDE"/>
    <w:rsid w:val="0059734B"/>
    <w:rsid w:val="00597891"/>
    <w:rsid w:val="005979A6"/>
    <w:rsid w:val="00597BF9"/>
    <w:rsid w:val="005A086A"/>
    <w:rsid w:val="005A09DB"/>
    <w:rsid w:val="005A0C11"/>
    <w:rsid w:val="005A1B38"/>
    <w:rsid w:val="005A1EEE"/>
    <w:rsid w:val="005A1F67"/>
    <w:rsid w:val="005A2341"/>
    <w:rsid w:val="005A23BD"/>
    <w:rsid w:val="005A25BF"/>
    <w:rsid w:val="005A279B"/>
    <w:rsid w:val="005A2963"/>
    <w:rsid w:val="005A2F94"/>
    <w:rsid w:val="005A309A"/>
    <w:rsid w:val="005A327E"/>
    <w:rsid w:val="005A373D"/>
    <w:rsid w:val="005A37D6"/>
    <w:rsid w:val="005A3B77"/>
    <w:rsid w:val="005A4036"/>
    <w:rsid w:val="005A43DA"/>
    <w:rsid w:val="005A49B2"/>
    <w:rsid w:val="005A4B2D"/>
    <w:rsid w:val="005A5171"/>
    <w:rsid w:val="005A52C5"/>
    <w:rsid w:val="005A5755"/>
    <w:rsid w:val="005A6140"/>
    <w:rsid w:val="005A61AC"/>
    <w:rsid w:val="005A681D"/>
    <w:rsid w:val="005A6836"/>
    <w:rsid w:val="005A683E"/>
    <w:rsid w:val="005A6A3D"/>
    <w:rsid w:val="005A70FE"/>
    <w:rsid w:val="005A74C0"/>
    <w:rsid w:val="005A7565"/>
    <w:rsid w:val="005A7752"/>
    <w:rsid w:val="005A77E4"/>
    <w:rsid w:val="005A7A45"/>
    <w:rsid w:val="005A7BF9"/>
    <w:rsid w:val="005A7F3A"/>
    <w:rsid w:val="005B0154"/>
    <w:rsid w:val="005B030F"/>
    <w:rsid w:val="005B04F6"/>
    <w:rsid w:val="005B05EE"/>
    <w:rsid w:val="005B06DB"/>
    <w:rsid w:val="005B07DA"/>
    <w:rsid w:val="005B098B"/>
    <w:rsid w:val="005B0B58"/>
    <w:rsid w:val="005B1091"/>
    <w:rsid w:val="005B11B3"/>
    <w:rsid w:val="005B1319"/>
    <w:rsid w:val="005B13E9"/>
    <w:rsid w:val="005B1C07"/>
    <w:rsid w:val="005B259D"/>
    <w:rsid w:val="005B262E"/>
    <w:rsid w:val="005B26B3"/>
    <w:rsid w:val="005B2855"/>
    <w:rsid w:val="005B29B5"/>
    <w:rsid w:val="005B29BC"/>
    <w:rsid w:val="005B2D23"/>
    <w:rsid w:val="005B378E"/>
    <w:rsid w:val="005B3850"/>
    <w:rsid w:val="005B424A"/>
    <w:rsid w:val="005B434E"/>
    <w:rsid w:val="005B461C"/>
    <w:rsid w:val="005B464F"/>
    <w:rsid w:val="005B4960"/>
    <w:rsid w:val="005B4B93"/>
    <w:rsid w:val="005B4E53"/>
    <w:rsid w:val="005B4FA2"/>
    <w:rsid w:val="005B5221"/>
    <w:rsid w:val="005B5804"/>
    <w:rsid w:val="005B5857"/>
    <w:rsid w:val="005B5E19"/>
    <w:rsid w:val="005B6373"/>
    <w:rsid w:val="005B6639"/>
    <w:rsid w:val="005B6AC3"/>
    <w:rsid w:val="005B6F30"/>
    <w:rsid w:val="005B707D"/>
    <w:rsid w:val="005B71DF"/>
    <w:rsid w:val="005B761A"/>
    <w:rsid w:val="005B7848"/>
    <w:rsid w:val="005B7A99"/>
    <w:rsid w:val="005B7C57"/>
    <w:rsid w:val="005C02CD"/>
    <w:rsid w:val="005C02F2"/>
    <w:rsid w:val="005C0514"/>
    <w:rsid w:val="005C17A1"/>
    <w:rsid w:val="005C19C4"/>
    <w:rsid w:val="005C1B83"/>
    <w:rsid w:val="005C1F06"/>
    <w:rsid w:val="005C2022"/>
    <w:rsid w:val="005C204E"/>
    <w:rsid w:val="005C20C0"/>
    <w:rsid w:val="005C25FF"/>
    <w:rsid w:val="005C28F8"/>
    <w:rsid w:val="005C2C29"/>
    <w:rsid w:val="005C2D55"/>
    <w:rsid w:val="005C343E"/>
    <w:rsid w:val="005C346B"/>
    <w:rsid w:val="005C3657"/>
    <w:rsid w:val="005C37C3"/>
    <w:rsid w:val="005C3E86"/>
    <w:rsid w:val="005C4193"/>
    <w:rsid w:val="005C4215"/>
    <w:rsid w:val="005C435F"/>
    <w:rsid w:val="005C4714"/>
    <w:rsid w:val="005C4926"/>
    <w:rsid w:val="005C4C1E"/>
    <w:rsid w:val="005C4E65"/>
    <w:rsid w:val="005C521B"/>
    <w:rsid w:val="005C5401"/>
    <w:rsid w:val="005C55B7"/>
    <w:rsid w:val="005C58CA"/>
    <w:rsid w:val="005C5ABC"/>
    <w:rsid w:val="005C6270"/>
    <w:rsid w:val="005C6612"/>
    <w:rsid w:val="005C690F"/>
    <w:rsid w:val="005C6B68"/>
    <w:rsid w:val="005C6B76"/>
    <w:rsid w:val="005C6EC3"/>
    <w:rsid w:val="005C6FD4"/>
    <w:rsid w:val="005C7409"/>
    <w:rsid w:val="005C76AC"/>
    <w:rsid w:val="005C77E1"/>
    <w:rsid w:val="005C79AA"/>
    <w:rsid w:val="005C7BCA"/>
    <w:rsid w:val="005C7BD1"/>
    <w:rsid w:val="005C7D3E"/>
    <w:rsid w:val="005C7DAF"/>
    <w:rsid w:val="005C7DF2"/>
    <w:rsid w:val="005D0012"/>
    <w:rsid w:val="005D044D"/>
    <w:rsid w:val="005D05DB"/>
    <w:rsid w:val="005D081C"/>
    <w:rsid w:val="005D090F"/>
    <w:rsid w:val="005D0ABD"/>
    <w:rsid w:val="005D0B73"/>
    <w:rsid w:val="005D12FF"/>
    <w:rsid w:val="005D18AD"/>
    <w:rsid w:val="005D2267"/>
    <w:rsid w:val="005D26B4"/>
    <w:rsid w:val="005D27A4"/>
    <w:rsid w:val="005D29B9"/>
    <w:rsid w:val="005D30B8"/>
    <w:rsid w:val="005D332A"/>
    <w:rsid w:val="005D3E06"/>
    <w:rsid w:val="005D3E3C"/>
    <w:rsid w:val="005D3EAB"/>
    <w:rsid w:val="005D4101"/>
    <w:rsid w:val="005D42CF"/>
    <w:rsid w:val="005D435A"/>
    <w:rsid w:val="005D4924"/>
    <w:rsid w:val="005D49ED"/>
    <w:rsid w:val="005D56A0"/>
    <w:rsid w:val="005D5BDB"/>
    <w:rsid w:val="005D68EE"/>
    <w:rsid w:val="005D69B6"/>
    <w:rsid w:val="005D6E98"/>
    <w:rsid w:val="005D7199"/>
    <w:rsid w:val="005D720D"/>
    <w:rsid w:val="005D73DC"/>
    <w:rsid w:val="005D742C"/>
    <w:rsid w:val="005D74ED"/>
    <w:rsid w:val="005E00BB"/>
    <w:rsid w:val="005E0C47"/>
    <w:rsid w:val="005E147C"/>
    <w:rsid w:val="005E1995"/>
    <w:rsid w:val="005E1A33"/>
    <w:rsid w:val="005E1A63"/>
    <w:rsid w:val="005E209A"/>
    <w:rsid w:val="005E21BB"/>
    <w:rsid w:val="005E2527"/>
    <w:rsid w:val="005E2831"/>
    <w:rsid w:val="005E28C7"/>
    <w:rsid w:val="005E2905"/>
    <w:rsid w:val="005E2D81"/>
    <w:rsid w:val="005E3260"/>
    <w:rsid w:val="005E4341"/>
    <w:rsid w:val="005E4435"/>
    <w:rsid w:val="005E4A4D"/>
    <w:rsid w:val="005E4AC8"/>
    <w:rsid w:val="005E4F99"/>
    <w:rsid w:val="005E5068"/>
    <w:rsid w:val="005E53FF"/>
    <w:rsid w:val="005E59F5"/>
    <w:rsid w:val="005E5A01"/>
    <w:rsid w:val="005E5A5C"/>
    <w:rsid w:val="005E5AA2"/>
    <w:rsid w:val="005E5CC6"/>
    <w:rsid w:val="005E6010"/>
    <w:rsid w:val="005E652B"/>
    <w:rsid w:val="005E6BF4"/>
    <w:rsid w:val="005E6CBC"/>
    <w:rsid w:val="005E72FF"/>
    <w:rsid w:val="005E73C0"/>
    <w:rsid w:val="005E7516"/>
    <w:rsid w:val="005E79C7"/>
    <w:rsid w:val="005E7AF8"/>
    <w:rsid w:val="005E7B1E"/>
    <w:rsid w:val="005E7C46"/>
    <w:rsid w:val="005F010C"/>
    <w:rsid w:val="005F033C"/>
    <w:rsid w:val="005F06A7"/>
    <w:rsid w:val="005F07ED"/>
    <w:rsid w:val="005F0ECC"/>
    <w:rsid w:val="005F175A"/>
    <w:rsid w:val="005F176C"/>
    <w:rsid w:val="005F1AFF"/>
    <w:rsid w:val="005F1FD2"/>
    <w:rsid w:val="005F2448"/>
    <w:rsid w:val="005F2706"/>
    <w:rsid w:val="005F29C2"/>
    <w:rsid w:val="005F30D5"/>
    <w:rsid w:val="005F3645"/>
    <w:rsid w:val="005F39D5"/>
    <w:rsid w:val="005F3FFE"/>
    <w:rsid w:val="005F40D5"/>
    <w:rsid w:val="005F4DDD"/>
    <w:rsid w:val="005F50AB"/>
    <w:rsid w:val="005F544C"/>
    <w:rsid w:val="005F58D5"/>
    <w:rsid w:val="005F5D1F"/>
    <w:rsid w:val="005F5EB4"/>
    <w:rsid w:val="005F66A5"/>
    <w:rsid w:val="005F6793"/>
    <w:rsid w:val="005F69EB"/>
    <w:rsid w:val="005F6A8F"/>
    <w:rsid w:val="005F6B53"/>
    <w:rsid w:val="005F6BB7"/>
    <w:rsid w:val="005F6CF6"/>
    <w:rsid w:val="005F6E52"/>
    <w:rsid w:val="005F7588"/>
    <w:rsid w:val="005F7AB3"/>
    <w:rsid w:val="006003C9"/>
    <w:rsid w:val="00600791"/>
    <w:rsid w:val="0060081E"/>
    <w:rsid w:val="0060085D"/>
    <w:rsid w:val="0060095F"/>
    <w:rsid w:val="00600E4A"/>
    <w:rsid w:val="00601236"/>
    <w:rsid w:val="00601780"/>
    <w:rsid w:val="00601863"/>
    <w:rsid w:val="00601C08"/>
    <w:rsid w:val="00601C17"/>
    <w:rsid w:val="0060208D"/>
    <w:rsid w:val="00602109"/>
    <w:rsid w:val="006028D3"/>
    <w:rsid w:val="00602941"/>
    <w:rsid w:val="00602A87"/>
    <w:rsid w:val="00602ABC"/>
    <w:rsid w:val="00602D8F"/>
    <w:rsid w:val="00602D92"/>
    <w:rsid w:val="00603C21"/>
    <w:rsid w:val="00603C5A"/>
    <w:rsid w:val="00603DB9"/>
    <w:rsid w:val="00603E3C"/>
    <w:rsid w:val="00603EE5"/>
    <w:rsid w:val="00603F2C"/>
    <w:rsid w:val="006041AD"/>
    <w:rsid w:val="00604920"/>
    <w:rsid w:val="00605B1E"/>
    <w:rsid w:val="006063AB"/>
    <w:rsid w:val="00606C6A"/>
    <w:rsid w:val="00606D2F"/>
    <w:rsid w:val="00606F1B"/>
    <w:rsid w:val="00606FBA"/>
    <w:rsid w:val="0060720C"/>
    <w:rsid w:val="00607217"/>
    <w:rsid w:val="00607669"/>
    <w:rsid w:val="006076F4"/>
    <w:rsid w:val="00607AFD"/>
    <w:rsid w:val="006101FB"/>
    <w:rsid w:val="00610691"/>
    <w:rsid w:val="00610B0A"/>
    <w:rsid w:val="00610CA1"/>
    <w:rsid w:val="00610F7A"/>
    <w:rsid w:val="006117A0"/>
    <w:rsid w:val="00611885"/>
    <w:rsid w:val="00611930"/>
    <w:rsid w:val="00611B12"/>
    <w:rsid w:val="00611CA7"/>
    <w:rsid w:val="00611E07"/>
    <w:rsid w:val="00611E17"/>
    <w:rsid w:val="00611FB4"/>
    <w:rsid w:val="006120A2"/>
    <w:rsid w:val="0061272E"/>
    <w:rsid w:val="00612993"/>
    <w:rsid w:val="00612B5B"/>
    <w:rsid w:val="00612C2B"/>
    <w:rsid w:val="00612C47"/>
    <w:rsid w:val="00612F97"/>
    <w:rsid w:val="0061345D"/>
    <w:rsid w:val="0061408C"/>
    <w:rsid w:val="006147C1"/>
    <w:rsid w:val="00614D20"/>
    <w:rsid w:val="006152A1"/>
    <w:rsid w:val="0061544F"/>
    <w:rsid w:val="0061549B"/>
    <w:rsid w:val="00615F8A"/>
    <w:rsid w:val="00616802"/>
    <w:rsid w:val="006173F2"/>
    <w:rsid w:val="00617CC3"/>
    <w:rsid w:val="00617E12"/>
    <w:rsid w:val="00620249"/>
    <w:rsid w:val="00620324"/>
    <w:rsid w:val="0062064B"/>
    <w:rsid w:val="006206A8"/>
    <w:rsid w:val="0062091B"/>
    <w:rsid w:val="00620C25"/>
    <w:rsid w:val="00621282"/>
    <w:rsid w:val="00621396"/>
    <w:rsid w:val="00621445"/>
    <w:rsid w:val="00621477"/>
    <w:rsid w:val="0062185F"/>
    <w:rsid w:val="00621ADA"/>
    <w:rsid w:val="00621ADC"/>
    <w:rsid w:val="00621BE0"/>
    <w:rsid w:val="00621EB2"/>
    <w:rsid w:val="00621FC8"/>
    <w:rsid w:val="00622186"/>
    <w:rsid w:val="006222DF"/>
    <w:rsid w:val="00622373"/>
    <w:rsid w:val="0062268E"/>
    <w:rsid w:val="00622802"/>
    <w:rsid w:val="00622C4C"/>
    <w:rsid w:val="00623166"/>
    <w:rsid w:val="0062317E"/>
    <w:rsid w:val="006233FB"/>
    <w:rsid w:val="00623DAC"/>
    <w:rsid w:val="00623F7B"/>
    <w:rsid w:val="00623F89"/>
    <w:rsid w:val="00624182"/>
    <w:rsid w:val="00624572"/>
    <w:rsid w:val="006249C9"/>
    <w:rsid w:val="00624BD4"/>
    <w:rsid w:val="00625CF1"/>
    <w:rsid w:val="00625E83"/>
    <w:rsid w:val="0062607C"/>
    <w:rsid w:val="0062616B"/>
    <w:rsid w:val="00626774"/>
    <w:rsid w:val="00626AC0"/>
    <w:rsid w:val="00626EA9"/>
    <w:rsid w:val="00626F8B"/>
    <w:rsid w:val="0062758B"/>
    <w:rsid w:val="006277C0"/>
    <w:rsid w:val="00627FC0"/>
    <w:rsid w:val="006303F2"/>
    <w:rsid w:val="006305C2"/>
    <w:rsid w:val="00630895"/>
    <w:rsid w:val="00630B0B"/>
    <w:rsid w:val="00630D6F"/>
    <w:rsid w:val="00630DAC"/>
    <w:rsid w:val="0063158F"/>
    <w:rsid w:val="0063188B"/>
    <w:rsid w:val="00631D6B"/>
    <w:rsid w:val="00631E53"/>
    <w:rsid w:val="00631F23"/>
    <w:rsid w:val="00632183"/>
    <w:rsid w:val="006325C2"/>
    <w:rsid w:val="00632787"/>
    <w:rsid w:val="00632AF3"/>
    <w:rsid w:val="00632CD8"/>
    <w:rsid w:val="006330A1"/>
    <w:rsid w:val="006336DA"/>
    <w:rsid w:val="00633A27"/>
    <w:rsid w:val="00633A8A"/>
    <w:rsid w:val="006342C8"/>
    <w:rsid w:val="00634322"/>
    <w:rsid w:val="0063465B"/>
    <w:rsid w:val="0063479F"/>
    <w:rsid w:val="0063483D"/>
    <w:rsid w:val="00634BD2"/>
    <w:rsid w:val="00634C15"/>
    <w:rsid w:val="00634CEB"/>
    <w:rsid w:val="00634D23"/>
    <w:rsid w:val="00634E98"/>
    <w:rsid w:val="006353F0"/>
    <w:rsid w:val="006354F9"/>
    <w:rsid w:val="006355D9"/>
    <w:rsid w:val="006357B5"/>
    <w:rsid w:val="00635856"/>
    <w:rsid w:val="00635AB4"/>
    <w:rsid w:val="00635AC1"/>
    <w:rsid w:val="00635C3A"/>
    <w:rsid w:val="00635C50"/>
    <w:rsid w:val="00635FF9"/>
    <w:rsid w:val="006364A1"/>
    <w:rsid w:val="0063661F"/>
    <w:rsid w:val="00636661"/>
    <w:rsid w:val="00636747"/>
    <w:rsid w:val="0063678E"/>
    <w:rsid w:val="00636A44"/>
    <w:rsid w:val="00636D0A"/>
    <w:rsid w:val="00637153"/>
    <w:rsid w:val="00637721"/>
    <w:rsid w:val="00637BFD"/>
    <w:rsid w:val="00637C5C"/>
    <w:rsid w:val="00637E94"/>
    <w:rsid w:val="00640090"/>
    <w:rsid w:val="00640345"/>
    <w:rsid w:val="006408D3"/>
    <w:rsid w:val="00641146"/>
    <w:rsid w:val="0064141A"/>
    <w:rsid w:val="0064147F"/>
    <w:rsid w:val="00641993"/>
    <w:rsid w:val="00641C4E"/>
    <w:rsid w:val="00641FB3"/>
    <w:rsid w:val="00642371"/>
    <w:rsid w:val="006424FB"/>
    <w:rsid w:val="00642611"/>
    <w:rsid w:val="006426EC"/>
    <w:rsid w:val="00642E3D"/>
    <w:rsid w:val="00643114"/>
    <w:rsid w:val="006432F2"/>
    <w:rsid w:val="00643372"/>
    <w:rsid w:val="006433C1"/>
    <w:rsid w:val="0064347B"/>
    <w:rsid w:val="0064394F"/>
    <w:rsid w:val="0064395C"/>
    <w:rsid w:val="00643B90"/>
    <w:rsid w:val="0064414F"/>
    <w:rsid w:val="0064434C"/>
    <w:rsid w:val="00644A6C"/>
    <w:rsid w:val="00644E67"/>
    <w:rsid w:val="00644ED5"/>
    <w:rsid w:val="006451D7"/>
    <w:rsid w:val="00645575"/>
    <w:rsid w:val="0064565D"/>
    <w:rsid w:val="00645A45"/>
    <w:rsid w:val="00645CAA"/>
    <w:rsid w:val="00646161"/>
    <w:rsid w:val="00646456"/>
    <w:rsid w:val="006464D5"/>
    <w:rsid w:val="006471CC"/>
    <w:rsid w:val="006471FD"/>
    <w:rsid w:val="006472AA"/>
    <w:rsid w:val="006472FE"/>
    <w:rsid w:val="006476DA"/>
    <w:rsid w:val="0064785F"/>
    <w:rsid w:val="006479F3"/>
    <w:rsid w:val="00647A29"/>
    <w:rsid w:val="00647CD6"/>
    <w:rsid w:val="00647EA4"/>
    <w:rsid w:val="0065079F"/>
    <w:rsid w:val="006508C6"/>
    <w:rsid w:val="0065150C"/>
    <w:rsid w:val="00651A31"/>
    <w:rsid w:val="00651F54"/>
    <w:rsid w:val="006524A4"/>
    <w:rsid w:val="0065253D"/>
    <w:rsid w:val="00652A28"/>
    <w:rsid w:val="00652AB1"/>
    <w:rsid w:val="00652B33"/>
    <w:rsid w:val="00652F10"/>
    <w:rsid w:val="00653026"/>
    <w:rsid w:val="006533BF"/>
    <w:rsid w:val="0065362A"/>
    <w:rsid w:val="0065379F"/>
    <w:rsid w:val="00653868"/>
    <w:rsid w:val="00654B24"/>
    <w:rsid w:val="00654D02"/>
    <w:rsid w:val="00654DB7"/>
    <w:rsid w:val="00654E5B"/>
    <w:rsid w:val="00654EBA"/>
    <w:rsid w:val="006550AD"/>
    <w:rsid w:val="00655467"/>
    <w:rsid w:val="00655903"/>
    <w:rsid w:val="00655C13"/>
    <w:rsid w:val="00656083"/>
    <w:rsid w:val="00656188"/>
    <w:rsid w:val="006562C6"/>
    <w:rsid w:val="0065663E"/>
    <w:rsid w:val="0065681A"/>
    <w:rsid w:val="006568AC"/>
    <w:rsid w:val="0065715A"/>
    <w:rsid w:val="00657320"/>
    <w:rsid w:val="006577A6"/>
    <w:rsid w:val="00657DE4"/>
    <w:rsid w:val="00657EE3"/>
    <w:rsid w:val="00660066"/>
    <w:rsid w:val="00660703"/>
    <w:rsid w:val="00660795"/>
    <w:rsid w:val="0066095E"/>
    <w:rsid w:val="00661021"/>
    <w:rsid w:val="006610F1"/>
    <w:rsid w:val="006612BC"/>
    <w:rsid w:val="0066150A"/>
    <w:rsid w:val="0066159C"/>
    <w:rsid w:val="006616E5"/>
    <w:rsid w:val="00661792"/>
    <w:rsid w:val="00661C6B"/>
    <w:rsid w:val="00661E5D"/>
    <w:rsid w:val="00661EBA"/>
    <w:rsid w:val="006620AE"/>
    <w:rsid w:val="00662161"/>
    <w:rsid w:val="006622B7"/>
    <w:rsid w:val="006627AC"/>
    <w:rsid w:val="006627B8"/>
    <w:rsid w:val="0066283B"/>
    <w:rsid w:val="00662ABA"/>
    <w:rsid w:val="00662D3E"/>
    <w:rsid w:val="00662FE5"/>
    <w:rsid w:val="00662FF1"/>
    <w:rsid w:val="00663817"/>
    <w:rsid w:val="00663901"/>
    <w:rsid w:val="00663952"/>
    <w:rsid w:val="00663CE6"/>
    <w:rsid w:val="00663CED"/>
    <w:rsid w:val="00663F7B"/>
    <w:rsid w:val="006644FB"/>
    <w:rsid w:val="006648E4"/>
    <w:rsid w:val="0066497C"/>
    <w:rsid w:val="00664CE6"/>
    <w:rsid w:val="0066502C"/>
    <w:rsid w:val="00665439"/>
    <w:rsid w:val="00665636"/>
    <w:rsid w:val="006656E0"/>
    <w:rsid w:val="006657D8"/>
    <w:rsid w:val="00665971"/>
    <w:rsid w:val="00665C0C"/>
    <w:rsid w:val="00665D31"/>
    <w:rsid w:val="00666208"/>
    <w:rsid w:val="0066623D"/>
    <w:rsid w:val="006664AC"/>
    <w:rsid w:val="00667527"/>
    <w:rsid w:val="00667BE3"/>
    <w:rsid w:val="00667EA3"/>
    <w:rsid w:val="006700AE"/>
    <w:rsid w:val="00670257"/>
    <w:rsid w:val="00670496"/>
    <w:rsid w:val="006706D3"/>
    <w:rsid w:val="00670770"/>
    <w:rsid w:val="00670775"/>
    <w:rsid w:val="00670A03"/>
    <w:rsid w:val="00670D52"/>
    <w:rsid w:val="00670DB0"/>
    <w:rsid w:val="00671004"/>
    <w:rsid w:val="0067185D"/>
    <w:rsid w:val="00671ABC"/>
    <w:rsid w:val="00671B44"/>
    <w:rsid w:val="00671F34"/>
    <w:rsid w:val="006723B3"/>
    <w:rsid w:val="00672553"/>
    <w:rsid w:val="00672646"/>
    <w:rsid w:val="0067327F"/>
    <w:rsid w:val="00673461"/>
    <w:rsid w:val="00673828"/>
    <w:rsid w:val="00673B57"/>
    <w:rsid w:val="00673D74"/>
    <w:rsid w:val="006741B9"/>
    <w:rsid w:val="006741F3"/>
    <w:rsid w:val="00674413"/>
    <w:rsid w:val="0067451A"/>
    <w:rsid w:val="00674A8D"/>
    <w:rsid w:val="00674CFC"/>
    <w:rsid w:val="00674DC4"/>
    <w:rsid w:val="00674DE4"/>
    <w:rsid w:val="00674E42"/>
    <w:rsid w:val="00674F99"/>
    <w:rsid w:val="00674FEA"/>
    <w:rsid w:val="0067526A"/>
    <w:rsid w:val="006754DC"/>
    <w:rsid w:val="00675A55"/>
    <w:rsid w:val="00676126"/>
    <w:rsid w:val="006764C4"/>
    <w:rsid w:val="00676563"/>
    <w:rsid w:val="00676B5A"/>
    <w:rsid w:val="006775FE"/>
    <w:rsid w:val="00680258"/>
    <w:rsid w:val="0068040E"/>
    <w:rsid w:val="00680518"/>
    <w:rsid w:val="006805C7"/>
    <w:rsid w:val="006808C2"/>
    <w:rsid w:val="00680D48"/>
    <w:rsid w:val="006813F8"/>
    <w:rsid w:val="006815D9"/>
    <w:rsid w:val="00681834"/>
    <w:rsid w:val="00682112"/>
    <w:rsid w:val="00682179"/>
    <w:rsid w:val="006821CA"/>
    <w:rsid w:val="006824E5"/>
    <w:rsid w:val="006826ED"/>
    <w:rsid w:val="00682A9A"/>
    <w:rsid w:val="00682ABE"/>
    <w:rsid w:val="00682B12"/>
    <w:rsid w:val="00682BA6"/>
    <w:rsid w:val="00682F19"/>
    <w:rsid w:val="0068338C"/>
    <w:rsid w:val="00683C12"/>
    <w:rsid w:val="00683ED4"/>
    <w:rsid w:val="006843C6"/>
    <w:rsid w:val="0068442D"/>
    <w:rsid w:val="0068451B"/>
    <w:rsid w:val="00684679"/>
    <w:rsid w:val="00684885"/>
    <w:rsid w:val="006848C0"/>
    <w:rsid w:val="00684B57"/>
    <w:rsid w:val="00684C39"/>
    <w:rsid w:val="00684F1C"/>
    <w:rsid w:val="00685311"/>
    <w:rsid w:val="006856DA"/>
    <w:rsid w:val="00685EA8"/>
    <w:rsid w:val="00685F6C"/>
    <w:rsid w:val="00686878"/>
    <w:rsid w:val="00686957"/>
    <w:rsid w:val="0068729B"/>
    <w:rsid w:val="006872BA"/>
    <w:rsid w:val="00687327"/>
    <w:rsid w:val="00687C2A"/>
    <w:rsid w:val="00687FB3"/>
    <w:rsid w:val="006902D1"/>
    <w:rsid w:val="00690683"/>
    <w:rsid w:val="00690690"/>
    <w:rsid w:val="00690795"/>
    <w:rsid w:val="00690981"/>
    <w:rsid w:val="00690B65"/>
    <w:rsid w:val="00690DC1"/>
    <w:rsid w:val="00691498"/>
    <w:rsid w:val="00691629"/>
    <w:rsid w:val="00691648"/>
    <w:rsid w:val="006917D7"/>
    <w:rsid w:val="006924D5"/>
    <w:rsid w:val="006926C5"/>
    <w:rsid w:val="0069366E"/>
    <w:rsid w:val="0069371D"/>
    <w:rsid w:val="0069434C"/>
    <w:rsid w:val="00694352"/>
    <w:rsid w:val="00694506"/>
    <w:rsid w:val="0069479F"/>
    <w:rsid w:val="006949B8"/>
    <w:rsid w:val="00694F44"/>
    <w:rsid w:val="006952A2"/>
    <w:rsid w:val="006957AF"/>
    <w:rsid w:val="006958F5"/>
    <w:rsid w:val="00695D7F"/>
    <w:rsid w:val="00695F42"/>
    <w:rsid w:val="00696091"/>
    <w:rsid w:val="00696313"/>
    <w:rsid w:val="00696722"/>
    <w:rsid w:val="0069681B"/>
    <w:rsid w:val="00696A0B"/>
    <w:rsid w:val="00696AD6"/>
    <w:rsid w:val="00696EF9"/>
    <w:rsid w:val="00696F51"/>
    <w:rsid w:val="006970DD"/>
    <w:rsid w:val="00697285"/>
    <w:rsid w:val="006973F7"/>
    <w:rsid w:val="00697705"/>
    <w:rsid w:val="006979A5"/>
    <w:rsid w:val="006A016F"/>
    <w:rsid w:val="006A0211"/>
    <w:rsid w:val="006A03C7"/>
    <w:rsid w:val="006A052D"/>
    <w:rsid w:val="006A0865"/>
    <w:rsid w:val="006A0B01"/>
    <w:rsid w:val="006A0DF7"/>
    <w:rsid w:val="006A115F"/>
    <w:rsid w:val="006A12D1"/>
    <w:rsid w:val="006A152F"/>
    <w:rsid w:val="006A1875"/>
    <w:rsid w:val="006A1BB4"/>
    <w:rsid w:val="006A1C9C"/>
    <w:rsid w:val="006A1E29"/>
    <w:rsid w:val="006A2366"/>
    <w:rsid w:val="006A26AC"/>
    <w:rsid w:val="006A2CE9"/>
    <w:rsid w:val="006A2D61"/>
    <w:rsid w:val="006A2EF1"/>
    <w:rsid w:val="006A3780"/>
    <w:rsid w:val="006A3A03"/>
    <w:rsid w:val="006A3EF5"/>
    <w:rsid w:val="006A4321"/>
    <w:rsid w:val="006A43D9"/>
    <w:rsid w:val="006A449D"/>
    <w:rsid w:val="006A6224"/>
    <w:rsid w:val="006A6421"/>
    <w:rsid w:val="006A66C0"/>
    <w:rsid w:val="006A6B99"/>
    <w:rsid w:val="006A7556"/>
    <w:rsid w:val="006A755B"/>
    <w:rsid w:val="006A79A8"/>
    <w:rsid w:val="006A7D24"/>
    <w:rsid w:val="006A7E5F"/>
    <w:rsid w:val="006B0817"/>
    <w:rsid w:val="006B0B54"/>
    <w:rsid w:val="006B0E40"/>
    <w:rsid w:val="006B14DB"/>
    <w:rsid w:val="006B1578"/>
    <w:rsid w:val="006B162F"/>
    <w:rsid w:val="006B20B8"/>
    <w:rsid w:val="006B2147"/>
    <w:rsid w:val="006B23CD"/>
    <w:rsid w:val="006B241D"/>
    <w:rsid w:val="006B261B"/>
    <w:rsid w:val="006B2C90"/>
    <w:rsid w:val="006B2DB9"/>
    <w:rsid w:val="006B3330"/>
    <w:rsid w:val="006B35DB"/>
    <w:rsid w:val="006B35E6"/>
    <w:rsid w:val="006B367D"/>
    <w:rsid w:val="006B3D08"/>
    <w:rsid w:val="006B420D"/>
    <w:rsid w:val="006B43A1"/>
    <w:rsid w:val="006B465A"/>
    <w:rsid w:val="006B48E1"/>
    <w:rsid w:val="006B50C0"/>
    <w:rsid w:val="006B55F8"/>
    <w:rsid w:val="006B59D8"/>
    <w:rsid w:val="006B5ABC"/>
    <w:rsid w:val="006B5DB6"/>
    <w:rsid w:val="006B6040"/>
    <w:rsid w:val="006B643B"/>
    <w:rsid w:val="006B67DC"/>
    <w:rsid w:val="006B69A0"/>
    <w:rsid w:val="006B6AE6"/>
    <w:rsid w:val="006B6D2B"/>
    <w:rsid w:val="006B6DD0"/>
    <w:rsid w:val="006B721F"/>
    <w:rsid w:val="006B76BA"/>
    <w:rsid w:val="006B7A3B"/>
    <w:rsid w:val="006B7FC9"/>
    <w:rsid w:val="006C0399"/>
    <w:rsid w:val="006C0688"/>
    <w:rsid w:val="006C158E"/>
    <w:rsid w:val="006C1D02"/>
    <w:rsid w:val="006C2677"/>
    <w:rsid w:val="006C2A8E"/>
    <w:rsid w:val="006C3255"/>
    <w:rsid w:val="006C3687"/>
    <w:rsid w:val="006C3772"/>
    <w:rsid w:val="006C3A61"/>
    <w:rsid w:val="006C3F26"/>
    <w:rsid w:val="006C4390"/>
    <w:rsid w:val="006C4A82"/>
    <w:rsid w:val="006C4C97"/>
    <w:rsid w:val="006C5610"/>
    <w:rsid w:val="006C65A4"/>
    <w:rsid w:val="006C6804"/>
    <w:rsid w:val="006C6957"/>
    <w:rsid w:val="006C74D2"/>
    <w:rsid w:val="006C7997"/>
    <w:rsid w:val="006C7B0C"/>
    <w:rsid w:val="006C7BEB"/>
    <w:rsid w:val="006D07B2"/>
    <w:rsid w:val="006D0808"/>
    <w:rsid w:val="006D09F7"/>
    <w:rsid w:val="006D0D17"/>
    <w:rsid w:val="006D0DB4"/>
    <w:rsid w:val="006D0E4A"/>
    <w:rsid w:val="006D1010"/>
    <w:rsid w:val="006D1736"/>
    <w:rsid w:val="006D1AA8"/>
    <w:rsid w:val="006D1B94"/>
    <w:rsid w:val="006D1B9B"/>
    <w:rsid w:val="006D1E53"/>
    <w:rsid w:val="006D1E68"/>
    <w:rsid w:val="006D1EBC"/>
    <w:rsid w:val="006D27E5"/>
    <w:rsid w:val="006D28CE"/>
    <w:rsid w:val="006D28E4"/>
    <w:rsid w:val="006D29AD"/>
    <w:rsid w:val="006D3468"/>
    <w:rsid w:val="006D368E"/>
    <w:rsid w:val="006D36C5"/>
    <w:rsid w:val="006D3C7D"/>
    <w:rsid w:val="006D3D07"/>
    <w:rsid w:val="006D4220"/>
    <w:rsid w:val="006D4659"/>
    <w:rsid w:val="006D4852"/>
    <w:rsid w:val="006D4C6B"/>
    <w:rsid w:val="006D4CA7"/>
    <w:rsid w:val="006D58B2"/>
    <w:rsid w:val="006D5CC7"/>
    <w:rsid w:val="006D5D5F"/>
    <w:rsid w:val="006D5DA3"/>
    <w:rsid w:val="006D634F"/>
    <w:rsid w:val="006D6642"/>
    <w:rsid w:val="006D68FB"/>
    <w:rsid w:val="006D711C"/>
    <w:rsid w:val="006D73DE"/>
    <w:rsid w:val="006D78C6"/>
    <w:rsid w:val="006D7A78"/>
    <w:rsid w:val="006D7E86"/>
    <w:rsid w:val="006D7F93"/>
    <w:rsid w:val="006E044B"/>
    <w:rsid w:val="006E0681"/>
    <w:rsid w:val="006E0BB2"/>
    <w:rsid w:val="006E0DA7"/>
    <w:rsid w:val="006E1443"/>
    <w:rsid w:val="006E1498"/>
    <w:rsid w:val="006E1A42"/>
    <w:rsid w:val="006E2225"/>
    <w:rsid w:val="006E237E"/>
    <w:rsid w:val="006E23AD"/>
    <w:rsid w:val="006E2868"/>
    <w:rsid w:val="006E2EAF"/>
    <w:rsid w:val="006E2FFB"/>
    <w:rsid w:val="006E31D0"/>
    <w:rsid w:val="006E332B"/>
    <w:rsid w:val="006E337C"/>
    <w:rsid w:val="006E35E4"/>
    <w:rsid w:val="006E3944"/>
    <w:rsid w:val="006E3A31"/>
    <w:rsid w:val="006E402E"/>
    <w:rsid w:val="006E4943"/>
    <w:rsid w:val="006E4EC5"/>
    <w:rsid w:val="006E4F04"/>
    <w:rsid w:val="006E4FA2"/>
    <w:rsid w:val="006E5037"/>
    <w:rsid w:val="006E5961"/>
    <w:rsid w:val="006E5966"/>
    <w:rsid w:val="006E5A5C"/>
    <w:rsid w:val="006E5ABE"/>
    <w:rsid w:val="006E5BD9"/>
    <w:rsid w:val="006E5ED4"/>
    <w:rsid w:val="006E601C"/>
    <w:rsid w:val="006E60EB"/>
    <w:rsid w:val="006E6D14"/>
    <w:rsid w:val="006E6E84"/>
    <w:rsid w:val="006E720D"/>
    <w:rsid w:val="006E78E7"/>
    <w:rsid w:val="006E790F"/>
    <w:rsid w:val="006E7A13"/>
    <w:rsid w:val="006E7C5C"/>
    <w:rsid w:val="006E7FC4"/>
    <w:rsid w:val="006F0221"/>
    <w:rsid w:val="006F0301"/>
    <w:rsid w:val="006F0EDE"/>
    <w:rsid w:val="006F10C8"/>
    <w:rsid w:val="006F158F"/>
    <w:rsid w:val="006F1B12"/>
    <w:rsid w:val="006F1C47"/>
    <w:rsid w:val="006F22DD"/>
    <w:rsid w:val="006F2573"/>
    <w:rsid w:val="006F26E4"/>
    <w:rsid w:val="006F2915"/>
    <w:rsid w:val="006F29E5"/>
    <w:rsid w:val="006F304A"/>
    <w:rsid w:val="006F306C"/>
    <w:rsid w:val="006F34DB"/>
    <w:rsid w:val="006F36F0"/>
    <w:rsid w:val="006F3F78"/>
    <w:rsid w:val="006F4105"/>
    <w:rsid w:val="006F4516"/>
    <w:rsid w:val="006F4A4C"/>
    <w:rsid w:val="006F4AD2"/>
    <w:rsid w:val="006F536E"/>
    <w:rsid w:val="006F552F"/>
    <w:rsid w:val="006F62BB"/>
    <w:rsid w:val="006F63A5"/>
    <w:rsid w:val="006F64B5"/>
    <w:rsid w:val="006F6570"/>
    <w:rsid w:val="006F65BF"/>
    <w:rsid w:val="006F6AAC"/>
    <w:rsid w:val="006F6B1B"/>
    <w:rsid w:val="006F6D71"/>
    <w:rsid w:val="006F6EFF"/>
    <w:rsid w:val="006F7082"/>
    <w:rsid w:val="006F7378"/>
    <w:rsid w:val="006F7886"/>
    <w:rsid w:val="006F78B2"/>
    <w:rsid w:val="006F7BD8"/>
    <w:rsid w:val="006F7C11"/>
    <w:rsid w:val="00700546"/>
    <w:rsid w:val="007006A8"/>
    <w:rsid w:val="007008A0"/>
    <w:rsid w:val="007008DE"/>
    <w:rsid w:val="00700BFA"/>
    <w:rsid w:val="00700D4E"/>
    <w:rsid w:val="00700F70"/>
    <w:rsid w:val="007010C3"/>
    <w:rsid w:val="007011E3"/>
    <w:rsid w:val="0070142B"/>
    <w:rsid w:val="007016E8"/>
    <w:rsid w:val="00701B2A"/>
    <w:rsid w:val="0070276E"/>
    <w:rsid w:val="0070294A"/>
    <w:rsid w:val="00702DA4"/>
    <w:rsid w:val="00702F8F"/>
    <w:rsid w:val="0070321B"/>
    <w:rsid w:val="00703457"/>
    <w:rsid w:val="00703475"/>
    <w:rsid w:val="00703762"/>
    <w:rsid w:val="00704725"/>
    <w:rsid w:val="007048D3"/>
    <w:rsid w:val="0070493A"/>
    <w:rsid w:val="00704DBF"/>
    <w:rsid w:val="00704F83"/>
    <w:rsid w:val="007051A8"/>
    <w:rsid w:val="007052E3"/>
    <w:rsid w:val="0070553F"/>
    <w:rsid w:val="0070670C"/>
    <w:rsid w:val="007069C9"/>
    <w:rsid w:val="00706B60"/>
    <w:rsid w:val="00706F59"/>
    <w:rsid w:val="00707519"/>
    <w:rsid w:val="007076F2"/>
    <w:rsid w:val="00707832"/>
    <w:rsid w:val="007079FC"/>
    <w:rsid w:val="00707E18"/>
    <w:rsid w:val="00707F52"/>
    <w:rsid w:val="00707FD5"/>
    <w:rsid w:val="00710122"/>
    <w:rsid w:val="00710360"/>
    <w:rsid w:val="007106E8"/>
    <w:rsid w:val="00710E23"/>
    <w:rsid w:val="00710E4C"/>
    <w:rsid w:val="0071124F"/>
    <w:rsid w:val="00711410"/>
    <w:rsid w:val="00711A36"/>
    <w:rsid w:val="00712475"/>
    <w:rsid w:val="007125D3"/>
    <w:rsid w:val="00712B69"/>
    <w:rsid w:val="00712C8D"/>
    <w:rsid w:val="00712F06"/>
    <w:rsid w:val="00712F70"/>
    <w:rsid w:val="007133F5"/>
    <w:rsid w:val="007136AB"/>
    <w:rsid w:val="00713A41"/>
    <w:rsid w:val="0071429D"/>
    <w:rsid w:val="007144FD"/>
    <w:rsid w:val="007147F3"/>
    <w:rsid w:val="00714A87"/>
    <w:rsid w:val="00714ADD"/>
    <w:rsid w:val="00714C26"/>
    <w:rsid w:val="00714E40"/>
    <w:rsid w:val="00715096"/>
    <w:rsid w:val="007150BF"/>
    <w:rsid w:val="0071518C"/>
    <w:rsid w:val="0071529C"/>
    <w:rsid w:val="007152DC"/>
    <w:rsid w:val="00715666"/>
    <w:rsid w:val="00715751"/>
    <w:rsid w:val="00715B89"/>
    <w:rsid w:val="00715EE1"/>
    <w:rsid w:val="00715FEA"/>
    <w:rsid w:val="00716167"/>
    <w:rsid w:val="007170DA"/>
    <w:rsid w:val="007172AD"/>
    <w:rsid w:val="0071753B"/>
    <w:rsid w:val="00717546"/>
    <w:rsid w:val="00717A26"/>
    <w:rsid w:val="00717D95"/>
    <w:rsid w:val="007200DE"/>
    <w:rsid w:val="0072074F"/>
    <w:rsid w:val="00720801"/>
    <w:rsid w:val="00720C21"/>
    <w:rsid w:val="00720EC0"/>
    <w:rsid w:val="00721246"/>
    <w:rsid w:val="007213D5"/>
    <w:rsid w:val="00721751"/>
    <w:rsid w:val="007219EC"/>
    <w:rsid w:val="00721CAE"/>
    <w:rsid w:val="00721D66"/>
    <w:rsid w:val="0072234B"/>
    <w:rsid w:val="007223A0"/>
    <w:rsid w:val="00722403"/>
    <w:rsid w:val="0072279E"/>
    <w:rsid w:val="007227B2"/>
    <w:rsid w:val="00722B1B"/>
    <w:rsid w:val="00722B34"/>
    <w:rsid w:val="00722B42"/>
    <w:rsid w:val="00722C67"/>
    <w:rsid w:val="00722D01"/>
    <w:rsid w:val="00722E29"/>
    <w:rsid w:val="00723930"/>
    <w:rsid w:val="00723A2C"/>
    <w:rsid w:val="00723B29"/>
    <w:rsid w:val="00723B99"/>
    <w:rsid w:val="0072416F"/>
    <w:rsid w:val="007241EE"/>
    <w:rsid w:val="007242CC"/>
    <w:rsid w:val="00724471"/>
    <w:rsid w:val="00724692"/>
    <w:rsid w:val="007248BF"/>
    <w:rsid w:val="007248FD"/>
    <w:rsid w:val="00724B9A"/>
    <w:rsid w:val="00724BAD"/>
    <w:rsid w:val="00725072"/>
    <w:rsid w:val="007253DD"/>
    <w:rsid w:val="00725B79"/>
    <w:rsid w:val="00726A41"/>
    <w:rsid w:val="00726E43"/>
    <w:rsid w:val="00727345"/>
    <w:rsid w:val="00727554"/>
    <w:rsid w:val="00727C94"/>
    <w:rsid w:val="00730664"/>
    <w:rsid w:val="00730BEE"/>
    <w:rsid w:val="00731075"/>
    <w:rsid w:val="00731447"/>
    <w:rsid w:val="007316B6"/>
    <w:rsid w:val="00731765"/>
    <w:rsid w:val="00731B0A"/>
    <w:rsid w:val="00731EAE"/>
    <w:rsid w:val="007320E1"/>
    <w:rsid w:val="007329C5"/>
    <w:rsid w:val="00733073"/>
    <w:rsid w:val="007333B1"/>
    <w:rsid w:val="007333EC"/>
    <w:rsid w:val="007336AF"/>
    <w:rsid w:val="00733FA2"/>
    <w:rsid w:val="00734636"/>
    <w:rsid w:val="00734994"/>
    <w:rsid w:val="00735033"/>
    <w:rsid w:val="007350CB"/>
    <w:rsid w:val="00735328"/>
    <w:rsid w:val="0073569A"/>
    <w:rsid w:val="00735A1E"/>
    <w:rsid w:val="00735CFB"/>
    <w:rsid w:val="00735EA0"/>
    <w:rsid w:val="007361AF"/>
    <w:rsid w:val="007362D9"/>
    <w:rsid w:val="00736363"/>
    <w:rsid w:val="007365AC"/>
    <w:rsid w:val="007367C2"/>
    <w:rsid w:val="0073685B"/>
    <w:rsid w:val="0073688B"/>
    <w:rsid w:val="00736B65"/>
    <w:rsid w:val="00736DA2"/>
    <w:rsid w:val="00737096"/>
    <w:rsid w:val="00737101"/>
    <w:rsid w:val="00737165"/>
    <w:rsid w:val="0073749C"/>
    <w:rsid w:val="0073755E"/>
    <w:rsid w:val="00737B4F"/>
    <w:rsid w:val="00737FED"/>
    <w:rsid w:val="00740165"/>
    <w:rsid w:val="007401E9"/>
    <w:rsid w:val="00740662"/>
    <w:rsid w:val="00740B3E"/>
    <w:rsid w:val="00740D96"/>
    <w:rsid w:val="00741214"/>
    <w:rsid w:val="00741369"/>
    <w:rsid w:val="0074155D"/>
    <w:rsid w:val="00741AF8"/>
    <w:rsid w:val="00741DF2"/>
    <w:rsid w:val="00741E45"/>
    <w:rsid w:val="007421F5"/>
    <w:rsid w:val="007423C8"/>
    <w:rsid w:val="00743214"/>
    <w:rsid w:val="00743797"/>
    <w:rsid w:val="0074420E"/>
    <w:rsid w:val="00744456"/>
    <w:rsid w:val="0074448C"/>
    <w:rsid w:val="007449BF"/>
    <w:rsid w:val="00744D7C"/>
    <w:rsid w:val="00744E85"/>
    <w:rsid w:val="00745271"/>
    <w:rsid w:val="007456AD"/>
    <w:rsid w:val="00745B6C"/>
    <w:rsid w:val="00745D13"/>
    <w:rsid w:val="007463FE"/>
    <w:rsid w:val="0074654C"/>
    <w:rsid w:val="00746584"/>
    <w:rsid w:val="00746633"/>
    <w:rsid w:val="007466BE"/>
    <w:rsid w:val="00746BC0"/>
    <w:rsid w:val="00746BE8"/>
    <w:rsid w:val="00746FCE"/>
    <w:rsid w:val="007473B8"/>
    <w:rsid w:val="00747406"/>
    <w:rsid w:val="00747AD3"/>
    <w:rsid w:val="00747B15"/>
    <w:rsid w:val="0075047C"/>
    <w:rsid w:val="007505AA"/>
    <w:rsid w:val="007509F0"/>
    <w:rsid w:val="00750B2A"/>
    <w:rsid w:val="007510B4"/>
    <w:rsid w:val="0075166E"/>
    <w:rsid w:val="007518FE"/>
    <w:rsid w:val="0075192E"/>
    <w:rsid w:val="007519E6"/>
    <w:rsid w:val="00751E45"/>
    <w:rsid w:val="00752142"/>
    <w:rsid w:val="00752143"/>
    <w:rsid w:val="007523F9"/>
    <w:rsid w:val="007525CF"/>
    <w:rsid w:val="0075262E"/>
    <w:rsid w:val="00752843"/>
    <w:rsid w:val="00752AE4"/>
    <w:rsid w:val="00752CDC"/>
    <w:rsid w:val="00752E84"/>
    <w:rsid w:val="007534E3"/>
    <w:rsid w:val="0075357E"/>
    <w:rsid w:val="007536CB"/>
    <w:rsid w:val="00753B29"/>
    <w:rsid w:val="00754013"/>
    <w:rsid w:val="00754624"/>
    <w:rsid w:val="00754B54"/>
    <w:rsid w:val="00754F72"/>
    <w:rsid w:val="007555C9"/>
    <w:rsid w:val="00755A74"/>
    <w:rsid w:val="00755C3F"/>
    <w:rsid w:val="00755C45"/>
    <w:rsid w:val="00755C9F"/>
    <w:rsid w:val="007567CE"/>
    <w:rsid w:val="00756C90"/>
    <w:rsid w:val="007573E8"/>
    <w:rsid w:val="007574A9"/>
    <w:rsid w:val="0075787D"/>
    <w:rsid w:val="00757C25"/>
    <w:rsid w:val="007604E5"/>
    <w:rsid w:val="00760745"/>
    <w:rsid w:val="00760828"/>
    <w:rsid w:val="00760852"/>
    <w:rsid w:val="0076089B"/>
    <w:rsid w:val="00760A95"/>
    <w:rsid w:val="00760C4E"/>
    <w:rsid w:val="00760F9E"/>
    <w:rsid w:val="007616E6"/>
    <w:rsid w:val="00761A69"/>
    <w:rsid w:val="00761CCF"/>
    <w:rsid w:val="00761FCA"/>
    <w:rsid w:val="007622E8"/>
    <w:rsid w:val="0076230D"/>
    <w:rsid w:val="00762442"/>
    <w:rsid w:val="007624FB"/>
    <w:rsid w:val="007627BE"/>
    <w:rsid w:val="00762C9F"/>
    <w:rsid w:val="00762D89"/>
    <w:rsid w:val="0076304C"/>
    <w:rsid w:val="007637BF"/>
    <w:rsid w:val="00763D4E"/>
    <w:rsid w:val="00763E5F"/>
    <w:rsid w:val="007644A5"/>
    <w:rsid w:val="007645F6"/>
    <w:rsid w:val="00764659"/>
    <w:rsid w:val="007646CF"/>
    <w:rsid w:val="00764849"/>
    <w:rsid w:val="00764A4A"/>
    <w:rsid w:val="00764B5C"/>
    <w:rsid w:val="00764F03"/>
    <w:rsid w:val="00765435"/>
    <w:rsid w:val="007657BC"/>
    <w:rsid w:val="00765899"/>
    <w:rsid w:val="00765A4D"/>
    <w:rsid w:val="00765B1A"/>
    <w:rsid w:val="00765DC1"/>
    <w:rsid w:val="00765F4C"/>
    <w:rsid w:val="00766338"/>
    <w:rsid w:val="00766865"/>
    <w:rsid w:val="00766876"/>
    <w:rsid w:val="00767024"/>
    <w:rsid w:val="0076737D"/>
    <w:rsid w:val="00767CFF"/>
    <w:rsid w:val="00767DB8"/>
    <w:rsid w:val="00767EF6"/>
    <w:rsid w:val="00767F15"/>
    <w:rsid w:val="0077031E"/>
    <w:rsid w:val="00770408"/>
    <w:rsid w:val="00770465"/>
    <w:rsid w:val="00770A75"/>
    <w:rsid w:val="00770CB4"/>
    <w:rsid w:val="00771356"/>
    <w:rsid w:val="0077194D"/>
    <w:rsid w:val="00772661"/>
    <w:rsid w:val="00772686"/>
    <w:rsid w:val="00772A38"/>
    <w:rsid w:val="00772A70"/>
    <w:rsid w:val="00772F92"/>
    <w:rsid w:val="007732F3"/>
    <w:rsid w:val="007732FF"/>
    <w:rsid w:val="00773530"/>
    <w:rsid w:val="00773791"/>
    <w:rsid w:val="0077393A"/>
    <w:rsid w:val="00773DA5"/>
    <w:rsid w:val="00774014"/>
    <w:rsid w:val="007743B6"/>
    <w:rsid w:val="007745B9"/>
    <w:rsid w:val="00774A93"/>
    <w:rsid w:val="0077530D"/>
    <w:rsid w:val="00775732"/>
    <w:rsid w:val="007759A1"/>
    <w:rsid w:val="00775E94"/>
    <w:rsid w:val="00775F8F"/>
    <w:rsid w:val="007762E2"/>
    <w:rsid w:val="00776A29"/>
    <w:rsid w:val="00776CF8"/>
    <w:rsid w:val="00776DB2"/>
    <w:rsid w:val="007772C7"/>
    <w:rsid w:val="00777335"/>
    <w:rsid w:val="00777853"/>
    <w:rsid w:val="00777C11"/>
    <w:rsid w:val="00777F44"/>
    <w:rsid w:val="0078029D"/>
    <w:rsid w:val="007808DE"/>
    <w:rsid w:val="00780A40"/>
    <w:rsid w:val="00780A86"/>
    <w:rsid w:val="00780C48"/>
    <w:rsid w:val="00780DD0"/>
    <w:rsid w:val="007818DD"/>
    <w:rsid w:val="0078199B"/>
    <w:rsid w:val="00781A1E"/>
    <w:rsid w:val="00781C64"/>
    <w:rsid w:val="00781F11"/>
    <w:rsid w:val="007821EB"/>
    <w:rsid w:val="0078224D"/>
    <w:rsid w:val="007826D2"/>
    <w:rsid w:val="0078270C"/>
    <w:rsid w:val="007828CD"/>
    <w:rsid w:val="00783157"/>
    <w:rsid w:val="00783558"/>
    <w:rsid w:val="0078362F"/>
    <w:rsid w:val="007836B7"/>
    <w:rsid w:val="00783BBD"/>
    <w:rsid w:val="00783C0A"/>
    <w:rsid w:val="00783E4C"/>
    <w:rsid w:val="0078421E"/>
    <w:rsid w:val="007843F2"/>
    <w:rsid w:val="007844E4"/>
    <w:rsid w:val="007845CE"/>
    <w:rsid w:val="007846FA"/>
    <w:rsid w:val="007848C8"/>
    <w:rsid w:val="00784930"/>
    <w:rsid w:val="00784963"/>
    <w:rsid w:val="00784C1E"/>
    <w:rsid w:val="007854B6"/>
    <w:rsid w:val="00785A2B"/>
    <w:rsid w:val="00785A9F"/>
    <w:rsid w:val="00785ADB"/>
    <w:rsid w:val="007863EE"/>
    <w:rsid w:val="00786434"/>
    <w:rsid w:val="007865F8"/>
    <w:rsid w:val="00786728"/>
    <w:rsid w:val="00786EA7"/>
    <w:rsid w:val="00787112"/>
    <w:rsid w:val="00787338"/>
    <w:rsid w:val="007874E3"/>
    <w:rsid w:val="007875B4"/>
    <w:rsid w:val="0078760A"/>
    <w:rsid w:val="007877A0"/>
    <w:rsid w:val="007878A2"/>
    <w:rsid w:val="00787AAF"/>
    <w:rsid w:val="00787FD1"/>
    <w:rsid w:val="007902E4"/>
    <w:rsid w:val="00790997"/>
    <w:rsid w:val="00790B21"/>
    <w:rsid w:val="00790D77"/>
    <w:rsid w:val="00791008"/>
    <w:rsid w:val="00791097"/>
    <w:rsid w:val="0079186E"/>
    <w:rsid w:val="007921D0"/>
    <w:rsid w:val="00792216"/>
    <w:rsid w:val="007924D3"/>
    <w:rsid w:val="007925DF"/>
    <w:rsid w:val="00793038"/>
    <w:rsid w:val="0079333F"/>
    <w:rsid w:val="0079380C"/>
    <w:rsid w:val="00793D50"/>
    <w:rsid w:val="0079412C"/>
    <w:rsid w:val="00794E57"/>
    <w:rsid w:val="0079555A"/>
    <w:rsid w:val="007962F0"/>
    <w:rsid w:val="00796501"/>
    <w:rsid w:val="007969E3"/>
    <w:rsid w:val="00796ADB"/>
    <w:rsid w:val="00796DBC"/>
    <w:rsid w:val="007973F1"/>
    <w:rsid w:val="00797958"/>
    <w:rsid w:val="007A089C"/>
    <w:rsid w:val="007A08AA"/>
    <w:rsid w:val="007A0A12"/>
    <w:rsid w:val="007A0D33"/>
    <w:rsid w:val="007A0E79"/>
    <w:rsid w:val="007A10A2"/>
    <w:rsid w:val="007A132D"/>
    <w:rsid w:val="007A1345"/>
    <w:rsid w:val="007A15B5"/>
    <w:rsid w:val="007A1F30"/>
    <w:rsid w:val="007A2352"/>
    <w:rsid w:val="007A29F3"/>
    <w:rsid w:val="007A2B8D"/>
    <w:rsid w:val="007A2C39"/>
    <w:rsid w:val="007A2CFA"/>
    <w:rsid w:val="007A2DDB"/>
    <w:rsid w:val="007A2EB1"/>
    <w:rsid w:val="007A2FC5"/>
    <w:rsid w:val="007A3166"/>
    <w:rsid w:val="007A34F0"/>
    <w:rsid w:val="007A3526"/>
    <w:rsid w:val="007A36CE"/>
    <w:rsid w:val="007A379B"/>
    <w:rsid w:val="007A3A4C"/>
    <w:rsid w:val="007A3AE3"/>
    <w:rsid w:val="007A3D6B"/>
    <w:rsid w:val="007A4020"/>
    <w:rsid w:val="007A4271"/>
    <w:rsid w:val="007A4E2E"/>
    <w:rsid w:val="007A50FE"/>
    <w:rsid w:val="007A5109"/>
    <w:rsid w:val="007A54F6"/>
    <w:rsid w:val="007A5A16"/>
    <w:rsid w:val="007A6390"/>
    <w:rsid w:val="007A6BD6"/>
    <w:rsid w:val="007A6CF8"/>
    <w:rsid w:val="007A6D23"/>
    <w:rsid w:val="007A70BA"/>
    <w:rsid w:val="007A71A1"/>
    <w:rsid w:val="007A73CE"/>
    <w:rsid w:val="007A76C6"/>
    <w:rsid w:val="007A7990"/>
    <w:rsid w:val="007B01BE"/>
    <w:rsid w:val="007B05EF"/>
    <w:rsid w:val="007B0B74"/>
    <w:rsid w:val="007B0B82"/>
    <w:rsid w:val="007B0C09"/>
    <w:rsid w:val="007B0C8E"/>
    <w:rsid w:val="007B0D52"/>
    <w:rsid w:val="007B0D68"/>
    <w:rsid w:val="007B0F89"/>
    <w:rsid w:val="007B178A"/>
    <w:rsid w:val="007B1B8F"/>
    <w:rsid w:val="007B1F65"/>
    <w:rsid w:val="007B1F7B"/>
    <w:rsid w:val="007B21D3"/>
    <w:rsid w:val="007B251D"/>
    <w:rsid w:val="007B2D0E"/>
    <w:rsid w:val="007B2E72"/>
    <w:rsid w:val="007B3533"/>
    <w:rsid w:val="007B3D03"/>
    <w:rsid w:val="007B4576"/>
    <w:rsid w:val="007B4A0F"/>
    <w:rsid w:val="007B4F58"/>
    <w:rsid w:val="007B5281"/>
    <w:rsid w:val="007B528D"/>
    <w:rsid w:val="007B5C06"/>
    <w:rsid w:val="007B621A"/>
    <w:rsid w:val="007B62B2"/>
    <w:rsid w:val="007B63CA"/>
    <w:rsid w:val="007B63D1"/>
    <w:rsid w:val="007B6529"/>
    <w:rsid w:val="007B657D"/>
    <w:rsid w:val="007B6726"/>
    <w:rsid w:val="007B6F5C"/>
    <w:rsid w:val="007B7297"/>
    <w:rsid w:val="007B77D1"/>
    <w:rsid w:val="007C0436"/>
    <w:rsid w:val="007C07C7"/>
    <w:rsid w:val="007C0C5C"/>
    <w:rsid w:val="007C0CB5"/>
    <w:rsid w:val="007C0FC8"/>
    <w:rsid w:val="007C1056"/>
    <w:rsid w:val="007C14D4"/>
    <w:rsid w:val="007C1C1F"/>
    <w:rsid w:val="007C1CD9"/>
    <w:rsid w:val="007C2502"/>
    <w:rsid w:val="007C2758"/>
    <w:rsid w:val="007C2A39"/>
    <w:rsid w:val="007C2D89"/>
    <w:rsid w:val="007C2E63"/>
    <w:rsid w:val="007C3201"/>
    <w:rsid w:val="007C32EF"/>
    <w:rsid w:val="007C361D"/>
    <w:rsid w:val="007C379C"/>
    <w:rsid w:val="007C39C7"/>
    <w:rsid w:val="007C4009"/>
    <w:rsid w:val="007C40D6"/>
    <w:rsid w:val="007C434B"/>
    <w:rsid w:val="007C44C4"/>
    <w:rsid w:val="007C4B84"/>
    <w:rsid w:val="007C4CF5"/>
    <w:rsid w:val="007C4FF9"/>
    <w:rsid w:val="007C5182"/>
    <w:rsid w:val="007C53BB"/>
    <w:rsid w:val="007C57AD"/>
    <w:rsid w:val="007C5BB1"/>
    <w:rsid w:val="007C5CFD"/>
    <w:rsid w:val="007C612E"/>
    <w:rsid w:val="007C6282"/>
    <w:rsid w:val="007C658B"/>
    <w:rsid w:val="007C66C1"/>
    <w:rsid w:val="007C68DE"/>
    <w:rsid w:val="007C6A5B"/>
    <w:rsid w:val="007C70FF"/>
    <w:rsid w:val="007C7131"/>
    <w:rsid w:val="007C7259"/>
    <w:rsid w:val="007C777A"/>
    <w:rsid w:val="007C78E9"/>
    <w:rsid w:val="007C7C25"/>
    <w:rsid w:val="007D004F"/>
    <w:rsid w:val="007D028F"/>
    <w:rsid w:val="007D035F"/>
    <w:rsid w:val="007D06B2"/>
    <w:rsid w:val="007D0B38"/>
    <w:rsid w:val="007D0C5A"/>
    <w:rsid w:val="007D12C5"/>
    <w:rsid w:val="007D13B6"/>
    <w:rsid w:val="007D156E"/>
    <w:rsid w:val="007D17E0"/>
    <w:rsid w:val="007D18FA"/>
    <w:rsid w:val="007D2357"/>
    <w:rsid w:val="007D25C5"/>
    <w:rsid w:val="007D27D8"/>
    <w:rsid w:val="007D28AC"/>
    <w:rsid w:val="007D296F"/>
    <w:rsid w:val="007D2D13"/>
    <w:rsid w:val="007D2DBE"/>
    <w:rsid w:val="007D2F63"/>
    <w:rsid w:val="007D4300"/>
    <w:rsid w:val="007D43C0"/>
    <w:rsid w:val="007D4431"/>
    <w:rsid w:val="007D48D8"/>
    <w:rsid w:val="007D48F1"/>
    <w:rsid w:val="007D4AA4"/>
    <w:rsid w:val="007D4FC6"/>
    <w:rsid w:val="007D5287"/>
    <w:rsid w:val="007D5440"/>
    <w:rsid w:val="007D54E2"/>
    <w:rsid w:val="007D596C"/>
    <w:rsid w:val="007D59A6"/>
    <w:rsid w:val="007D5AF1"/>
    <w:rsid w:val="007D649B"/>
    <w:rsid w:val="007D6532"/>
    <w:rsid w:val="007D68E2"/>
    <w:rsid w:val="007D68EF"/>
    <w:rsid w:val="007D69EB"/>
    <w:rsid w:val="007D6E80"/>
    <w:rsid w:val="007D70A2"/>
    <w:rsid w:val="007D732A"/>
    <w:rsid w:val="007D747C"/>
    <w:rsid w:val="007D7FAA"/>
    <w:rsid w:val="007E023F"/>
    <w:rsid w:val="007E04B1"/>
    <w:rsid w:val="007E0EC4"/>
    <w:rsid w:val="007E128F"/>
    <w:rsid w:val="007E129C"/>
    <w:rsid w:val="007E135D"/>
    <w:rsid w:val="007E16BE"/>
    <w:rsid w:val="007E17CA"/>
    <w:rsid w:val="007E186A"/>
    <w:rsid w:val="007E1CF3"/>
    <w:rsid w:val="007E1FB4"/>
    <w:rsid w:val="007E2202"/>
    <w:rsid w:val="007E2424"/>
    <w:rsid w:val="007E29A3"/>
    <w:rsid w:val="007E3236"/>
    <w:rsid w:val="007E326A"/>
    <w:rsid w:val="007E3D7D"/>
    <w:rsid w:val="007E4013"/>
    <w:rsid w:val="007E4748"/>
    <w:rsid w:val="007E4AB4"/>
    <w:rsid w:val="007E4BEB"/>
    <w:rsid w:val="007E5324"/>
    <w:rsid w:val="007E5C3D"/>
    <w:rsid w:val="007E5C84"/>
    <w:rsid w:val="007E5D40"/>
    <w:rsid w:val="007E5FED"/>
    <w:rsid w:val="007E62A1"/>
    <w:rsid w:val="007E62F5"/>
    <w:rsid w:val="007E675B"/>
    <w:rsid w:val="007E67AB"/>
    <w:rsid w:val="007E6AC7"/>
    <w:rsid w:val="007E6FE9"/>
    <w:rsid w:val="007E7059"/>
    <w:rsid w:val="007F019D"/>
    <w:rsid w:val="007F05A9"/>
    <w:rsid w:val="007F06BB"/>
    <w:rsid w:val="007F0EF3"/>
    <w:rsid w:val="007F1017"/>
    <w:rsid w:val="007F1207"/>
    <w:rsid w:val="007F12B3"/>
    <w:rsid w:val="007F131B"/>
    <w:rsid w:val="007F1D51"/>
    <w:rsid w:val="007F20EA"/>
    <w:rsid w:val="007F2347"/>
    <w:rsid w:val="007F29AE"/>
    <w:rsid w:val="007F2EAF"/>
    <w:rsid w:val="007F333F"/>
    <w:rsid w:val="007F3468"/>
    <w:rsid w:val="007F3A92"/>
    <w:rsid w:val="007F3DE1"/>
    <w:rsid w:val="007F3EB0"/>
    <w:rsid w:val="007F3EE4"/>
    <w:rsid w:val="007F42AB"/>
    <w:rsid w:val="007F469C"/>
    <w:rsid w:val="007F4A3F"/>
    <w:rsid w:val="007F4A61"/>
    <w:rsid w:val="007F4A8D"/>
    <w:rsid w:val="007F5169"/>
    <w:rsid w:val="007F5255"/>
    <w:rsid w:val="007F56CC"/>
    <w:rsid w:val="007F5729"/>
    <w:rsid w:val="007F5AF4"/>
    <w:rsid w:val="007F61C2"/>
    <w:rsid w:val="007F6EDE"/>
    <w:rsid w:val="007F746A"/>
    <w:rsid w:val="0080023E"/>
    <w:rsid w:val="00800536"/>
    <w:rsid w:val="008006DA"/>
    <w:rsid w:val="00800DEE"/>
    <w:rsid w:val="00801709"/>
    <w:rsid w:val="0080276A"/>
    <w:rsid w:val="00802AF6"/>
    <w:rsid w:val="00802C56"/>
    <w:rsid w:val="00802CD2"/>
    <w:rsid w:val="00803074"/>
    <w:rsid w:val="0080326E"/>
    <w:rsid w:val="0080345B"/>
    <w:rsid w:val="008035AB"/>
    <w:rsid w:val="00803E51"/>
    <w:rsid w:val="00803F9F"/>
    <w:rsid w:val="00804090"/>
    <w:rsid w:val="008040B5"/>
    <w:rsid w:val="00804C7A"/>
    <w:rsid w:val="00804E26"/>
    <w:rsid w:val="00804E37"/>
    <w:rsid w:val="0080501A"/>
    <w:rsid w:val="00805142"/>
    <w:rsid w:val="00805454"/>
    <w:rsid w:val="0080566B"/>
    <w:rsid w:val="008058F7"/>
    <w:rsid w:val="00805BE9"/>
    <w:rsid w:val="00805D49"/>
    <w:rsid w:val="00805ECF"/>
    <w:rsid w:val="00805FCE"/>
    <w:rsid w:val="008061E1"/>
    <w:rsid w:val="00806574"/>
    <w:rsid w:val="0080671D"/>
    <w:rsid w:val="00806743"/>
    <w:rsid w:val="008069EE"/>
    <w:rsid w:val="008071D1"/>
    <w:rsid w:val="008072B6"/>
    <w:rsid w:val="00807948"/>
    <w:rsid w:val="00807A8B"/>
    <w:rsid w:val="008102D5"/>
    <w:rsid w:val="00810513"/>
    <w:rsid w:val="0081061B"/>
    <w:rsid w:val="00810770"/>
    <w:rsid w:val="00810AA5"/>
    <w:rsid w:val="00810ADF"/>
    <w:rsid w:val="00810AEA"/>
    <w:rsid w:val="00810F3A"/>
    <w:rsid w:val="008112D0"/>
    <w:rsid w:val="00811383"/>
    <w:rsid w:val="008114E8"/>
    <w:rsid w:val="00812149"/>
    <w:rsid w:val="008122C8"/>
    <w:rsid w:val="00812CAC"/>
    <w:rsid w:val="00812E04"/>
    <w:rsid w:val="00812EC9"/>
    <w:rsid w:val="00813379"/>
    <w:rsid w:val="008139D9"/>
    <w:rsid w:val="00814631"/>
    <w:rsid w:val="0081469B"/>
    <w:rsid w:val="00814C17"/>
    <w:rsid w:val="008150BE"/>
    <w:rsid w:val="0081549E"/>
    <w:rsid w:val="0081580E"/>
    <w:rsid w:val="00815ACA"/>
    <w:rsid w:val="00815D1F"/>
    <w:rsid w:val="00815D23"/>
    <w:rsid w:val="0081627E"/>
    <w:rsid w:val="00816361"/>
    <w:rsid w:val="008164E1"/>
    <w:rsid w:val="008166EF"/>
    <w:rsid w:val="00816C81"/>
    <w:rsid w:val="00816FEF"/>
    <w:rsid w:val="00817505"/>
    <w:rsid w:val="00817510"/>
    <w:rsid w:val="00817C02"/>
    <w:rsid w:val="00817CCF"/>
    <w:rsid w:val="00817F33"/>
    <w:rsid w:val="00817F83"/>
    <w:rsid w:val="00820618"/>
    <w:rsid w:val="00820A7B"/>
    <w:rsid w:val="00820A8C"/>
    <w:rsid w:val="0082107F"/>
    <w:rsid w:val="008215FB"/>
    <w:rsid w:val="008220CC"/>
    <w:rsid w:val="0082255E"/>
    <w:rsid w:val="00822FBB"/>
    <w:rsid w:val="00823174"/>
    <w:rsid w:val="00823267"/>
    <w:rsid w:val="008233C1"/>
    <w:rsid w:val="008234F3"/>
    <w:rsid w:val="00823975"/>
    <w:rsid w:val="00823BF3"/>
    <w:rsid w:val="00823EDD"/>
    <w:rsid w:val="00823F2E"/>
    <w:rsid w:val="00824435"/>
    <w:rsid w:val="0082493A"/>
    <w:rsid w:val="00824AB3"/>
    <w:rsid w:val="00824D09"/>
    <w:rsid w:val="00825378"/>
    <w:rsid w:val="0082557F"/>
    <w:rsid w:val="008256DF"/>
    <w:rsid w:val="008256F9"/>
    <w:rsid w:val="0082571F"/>
    <w:rsid w:val="00825751"/>
    <w:rsid w:val="00825D96"/>
    <w:rsid w:val="0082630C"/>
    <w:rsid w:val="00826415"/>
    <w:rsid w:val="008264EB"/>
    <w:rsid w:val="008267BA"/>
    <w:rsid w:val="008268B1"/>
    <w:rsid w:val="008268CE"/>
    <w:rsid w:val="0082726E"/>
    <w:rsid w:val="008273D6"/>
    <w:rsid w:val="00827567"/>
    <w:rsid w:val="0082768D"/>
    <w:rsid w:val="00827C23"/>
    <w:rsid w:val="00827CB6"/>
    <w:rsid w:val="0083006D"/>
    <w:rsid w:val="008302D2"/>
    <w:rsid w:val="008303C9"/>
    <w:rsid w:val="00830644"/>
    <w:rsid w:val="008306EB"/>
    <w:rsid w:val="00830973"/>
    <w:rsid w:val="00830B92"/>
    <w:rsid w:val="008311E8"/>
    <w:rsid w:val="008312AA"/>
    <w:rsid w:val="00831934"/>
    <w:rsid w:val="00831AF2"/>
    <w:rsid w:val="00831D1E"/>
    <w:rsid w:val="00831EC8"/>
    <w:rsid w:val="00831ED3"/>
    <w:rsid w:val="008321E5"/>
    <w:rsid w:val="008324E0"/>
    <w:rsid w:val="008329D7"/>
    <w:rsid w:val="00832A26"/>
    <w:rsid w:val="00832AB4"/>
    <w:rsid w:val="00832C74"/>
    <w:rsid w:val="008330F5"/>
    <w:rsid w:val="00833692"/>
    <w:rsid w:val="008339EF"/>
    <w:rsid w:val="00833B05"/>
    <w:rsid w:val="00833E16"/>
    <w:rsid w:val="00834B50"/>
    <w:rsid w:val="00834E2F"/>
    <w:rsid w:val="00835237"/>
    <w:rsid w:val="008354BF"/>
    <w:rsid w:val="0083576C"/>
    <w:rsid w:val="008358BF"/>
    <w:rsid w:val="00835989"/>
    <w:rsid w:val="00835A05"/>
    <w:rsid w:val="00835AD0"/>
    <w:rsid w:val="00835B5C"/>
    <w:rsid w:val="00835F00"/>
    <w:rsid w:val="00835F91"/>
    <w:rsid w:val="008362B4"/>
    <w:rsid w:val="00836AFF"/>
    <w:rsid w:val="0083719E"/>
    <w:rsid w:val="008372DE"/>
    <w:rsid w:val="00837E1C"/>
    <w:rsid w:val="00837FEF"/>
    <w:rsid w:val="008400E9"/>
    <w:rsid w:val="00840219"/>
    <w:rsid w:val="00840537"/>
    <w:rsid w:val="00840B8A"/>
    <w:rsid w:val="00840C40"/>
    <w:rsid w:val="00840CA2"/>
    <w:rsid w:val="008412A4"/>
    <w:rsid w:val="00841AE4"/>
    <w:rsid w:val="00841D52"/>
    <w:rsid w:val="00841E7E"/>
    <w:rsid w:val="0084276D"/>
    <w:rsid w:val="00842A11"/>
    <w:rsid w:val="00842C66"/>
    <w:rsid w:val="00843311"/>
    <w:rsid w:val="00843442"/>
    <w:rsid w:val="00843540"/>
    <w:rsid w:val="00843633"/>
    <w:rsid w:val="0084374F"/>
    <w:rsid w:val="00843CCC"/>
    <w:rsid w:val="00843D4E"/>
    <w:rsid w:val="00843F03"/>
    <w:rsid w:val="00843F8B"/>
    <w:rsid w:val="00844A22"/>
    <w:rsid w:val="00844B8B"/>
    <w:rsid w:val="00844E8F"/>
    <w:rsid w:val="0084512E"/>
    <w:rsid w:val="00845911"/>
    <w:rsid w:val="008466F5"/>
    <w:rsid w:val="00846C8E"/>
    <w:rsid w:val="0084709C"/>
    <w:rsid w:val="00847703"/>
    <w:rsid w:val="00847C86"/>
    <w:rsid w:val="00847D91"/>
    <w:rsid w:val="00847DF5"/>
    <w:rsid w:val="00847E87"/>
    <w:rsid w:val="00847F27"/>
    <w:rsid w:val="00850015"/>
    <w:rsid w:val="008502FC"/>
    <w:rsid w:val="00850B3A"/>
    <w:rsid w:val="00850E52"/>
    <w:rsid w:val="00850E74"/>
    <w:rsid w:val="0085138D"/>
    <w:rsid w:val="00851625"/>
    <w:rsid w:val="008517B5"/>
    <w:rsid w:val="00851C2C"/>
    <w:rsid w:val="00851E9D"/>
    <w:rsid w:val="00851F7C"/>
    <w:rsid w:val="00852261"/>
    <w:rsid w:val="00852341"/>
    <w:rsid w:val="0085241B"/>
    <w:rsid w:val="0085309D"/>
    <w:rsid w:val="00853600"/>
    <w:rsid w:val="00853EE4"/>
    <w:rsid w:val="0085440D"/>
    <w:rsid w:val="00854C6E"/>
    <w:rsid w:val="008550D6"/>
    <w:rsid w:val="008551EB"/>
    <w:rsid w:val="00855548"/>
    <w:rsid w:val="008557F2"/>
    <w:rsid w:val="00855D71"/>
    <w:rsid w:val="00855FAF"/>
    <w:rsid w:val="0085629A"/>
    <w:rsid w:val="008563B5"/>
    <w:rsid w:val="00856818"/>
    <w:rsid w:val="00856897"/>
    <w:rsid w:val="00856BB7"/>
    <w:rsid w:val="00856CDE"/>
    <w:rsid w:val="00856E9A"/>
    <w:rsid w:val="00857102"/>
    <w:rsid w:val="008572AB"/>
    <w:rsid w:val="008572FC"/>
    <w:rsid w:val="00857508"/>
    <w:rsid w:val="0085791A"/>
    <w:rsid w:val="00857AB3"/>
    <w:rsid w:val="00860157"/>
    <w:rsid w:val="0086024A"/>
    <w:rsid w:val="00860453"/>
    <w:rsid w:val="0086075D"/>
    <w:rsid w:val="008609ED"/>
    <w:rsid w:val="00860A4F"/>
    <w:rsid w:val="00860F9C"/>
    <w:rsid w:val="008612C3"/>
    <w:rsid w:val="0086134E"/>
    <w:rsid w:val="0086169A"/>
    <w:rsid w:val="008616A1"/>
    <w:rsid w:val="008619AF"/>
    <w:rsid w:val="00861F6B"/>
    <w:rsid w:val="00862502"/>
    <w:rsid w:val="00862C97"/>
    <w:rsid w:val="00862CC1"/>
    <w:rsid w:val="00863085"/>
    <w:rsid w:val="008642A7"/>
    <w:rsid w:val="008642EA"/>
    <w:rsid w:val="00864A47"/>
    <w:rsid w:val="00864C76"/>
    <w:rsid w:val="008652F1"/>
    <w:rsid w:val="00865477"/>
    <w:rsid w:val="0086574C"/>
    <w:rsid w:val="0086582B"/>
    <w:rsid w:val="008660D4"/>
    <w:rsid w:val="008664D2"/>
    <w:rsid w:val="00866658"/>
    <w:rsid w:val="0086684A"/>
    <w:rsid w:val="00866870"/>
    <w:rsid w:val="00866F58"/>
    <w:rsid w:val="00866F73"/>
    <w:rsid w:val="00867194"/>
    <w:rsid w:val="00867424"/>
    <w:rsid w:val="00867926"/>
    <w:rsid w:val="008679EE"/>
    <w:rsid w:val="00867D26"/>
    <w:rsid w:val="00867FD9"/>
    <w:rsid w:val="00870415"/>
    <w:rsid w:val="0087046F"/>
    <w:rsid w:val="00870474"/>
    <w:rsid w:val="008705B0"/>
    <w:rsid w:val="00871368"/>
    <w:rsid w:val="008717B7"/>
    <w:rsid w:val="00871A88"/>
    <w:rsid w:val="00871CF2"/>
    <w:rsid w:val="00871E9A"/>
    <w:rsid w:val="00871FA9"/>
    <w:rsid w:val="00871FDA"/>
    <w:rsid w:val="00872336"/>
    <w:rsid w:val="008723E0"/>
    <w:rsid w:val="00872438"/>
    <w:rsid w:val="008728E9"/>
    <w:rsid w:val="00872B0E"/>
    <w:rsid w:val="00872D72"/>
    <w:rsid w:val="00873B3E"/>
    <w:rsid w:val="00873E8B"/>
    <w:rsid w:val="00873FA0"/>
    <w:rsid w:val="00874107"/>
    <w:rsid w:val="00874153"/>
    <w:rsid w:val="008750FB"/>
    <w:rsid w:val="008759D5"/>
    <w:rsid w:val="0087624D"/>
    <w:rsid w:val="00876448"/>
    <w:rsid w:val="0087650E"/>
    <w:rsid w:val="00876C59"/>
    <w:rsid w:val="00876E28"/>
    <w:rsid w:val="00876E2F"/>
    <w:rsid w:val="008778AD"/>
    <w:rsid w:val="00877A39"/>
    <w:rsid w:val="00877BC1"/>
    <w:rsid w:val="00880941"/>
    <w:rsid w:val="00880E77"/>
    <w:rsid w:val="00880F52"/>
    <w:rsid w:val="008811B0"/>
    <w:rsid w:val="008813BB"/>
    <w:rsid w:val="008813CC"/>
    <w:rsid w:val="00881647"/>
    <w:rsid w:val="00881C63"/>
    <w:rsid w:val="00881EC0"/>
    <w:rsid w:val="00882479"/>
    <w:rsid w:val="00882770"/>
    <w:rsid w:val="00882874"/>
    <w:rsid w:val="0088295A"/>
    <w:rsid w:val="00882AEA"/>
    <w:rsid w:val="00882D45"/>
    <w:rsid w:val="00882E3C"/>
    <w:rsid w:val="0088308A"/>
    <w:rsid w:val="008831D9"/>
    <w:rsid w:val="00883787"/>
    <w:rsid w:val="00884374"/>
    <w:rsid w:val="00884E40"/>
    <w:rsid w:val="008852C4"/>
    <w:rsid w:val="00885319"/>
    <w:rsid w:val="008855E4"/>
    <w:rsid w:val="00885758"/>
    <w:rsid w:val="00885BB0"/>
    <w:rsid w:val="00885DC7"/>
    <w:rsid w:val="0088664F"/>
    <w:rsid w:val="00886785"/>
    <w:rsid w:val="00886992"/>
    <w:rsid w:val="00886CD2"/>
    <w:rsid w:val="00887047"/>
    <w:rsid w:val="00887329"/>
    <w:rsid w:val="008873C5"/>
    <w:rsid w:val="008878E5"/>
    <w:rsid w:val="00887DD9"/>
    <w:rsid w:val="008901F8"/>
    <w:rsid w:val="008903DA"/>
    <w:rsid w:val="0089050D"/>
    <w:rsid w:val="00891182"/>
    <w:rsid w:val="00891535"/>
    <w:rsid w:val="0089166E"/>
    <w:rsid w:val="0089177C"/>
    <w:rsid w:val="00891E6F"/>
    <w:rsid w:val="00891EA2"/>
    <w:rsid w:val="0089230D"/>
    <w:rsid w:val="0089249E"/>
    <w:rsid w:val="008925C9"/>
    <w:rsid w:val="0089275D"/>
    <w:rsid w:val="00892A36"/>
    <w:rsid w:val="00892AD1"/>
    <w:rsid w:val="00892F76"/>
    <w:rsid w:val="00893239"/>
    <w:rsid w:val="00893657"/>
    <w:rsid w:val="00893757"/>
    <w:rsid w:val="008938AD"/>
    <w:rsid w:val="00893AAE"/>
    <w:rsid w:val="00893C42"/>
    <w:rsid w:val="00894012"/>
    <w:rsid w:val="0089420E"/>
    <w:rsid w:val="00894324"/>
    <w:rsid w:val="008943AE"/>
    <w:rsid w:val="00894489"/>
    <w:rsid w:val="00894A40"/>
    <w:rsid w:val="00894BD5"/>
    <w:rsid w:val="00894C8E"/>
    <w:rsid w:val="00894CD6"/>
    <w:rsid w:val="00895734"/>
    <w:rsid w:val="00895B99"/>
    <w:rsid w:val="00895CDF"/>
    <w:rsid w:val="00896245"/>
    <w:rsid w:val="008963A5"/>
    <w:rsid w:val="00896827"/>
    <w:rsid w:val="00896B9D"/>
    <w:rsid w:val="00896C8E"/>
    <w:rsid w:val="00896D5D"/>
    <w:rsid w:val="00896D7D"/>
    <w:rsid w:val="00896EBF"/>
    <w:rsid w:val="00897247"/>
    <w:rsid w:val="008978FD"/>
    <w:rsid w:val="00897F30"/>
    <w:rsid w:val="008A0271"/>
    <w:rsid w:val="008A0551"/>
    <w:rsid w:val="008A0BA0"/>
    <w:rsid w:val="008A0CB1"/>
    <w:rsid w:val="008A1017"/>
    <w:rsid w:val="008A1152"/>
    <w:rsid w:val="008A1238"/>
    <w:rsid w:val="008A164D"/>
    <w:rsid w:val="008A21A8"/>
    <w:rsid w:val="008A26DF"/>
    <w:rsid w:val="008A28DD"/>
    <w:rsid w:val="008A29AD"/>
    <w:rsid w:val="008A300C"/>
    <w:rsid w:val="008A3158"/>
    <w:rsid w:val="008A3163"/>
    <w:rsid w:val="008A3363"/>
    <w:rsid w:val="008A3371"/>
    <w:rsid w:val="008A3A5A"/>
    <w:rsid w:val="008A3C3E"/>
    <w:rsid w:val="008A3E91"/>
    <w:rsid w:val="008A3EFC"/>
    <w:rsid w:val="008A403F"/>
    <w:rsid w:val="008A40AD"/>
    <w:rsid w:val="008A41B2"/>
    <w:rsid w:val="008A433A"/>
    <w:rsid w:val="008A4444"/>
    <w:rsid w:val="008A4680"/>
    <w:rsid w:val="008A469F"/>
    <w:rsid w:val="008A49B8"/>
    <w:rsid w:val="008A4EE8"/>
    <w:rsid w:val="008A5108"/>
    <w:rsid w:val="008A51B7"/>
    <w:rsid w:val="008A52EC"/>
    <w:rsid w:val="008A582C"/>
    <w:rsid w:val="008A58D3"/>
    <w:rsid w:val="008A5C2B"/>
    <w:rsid w:val="008A5D2B"/>
    <w:rsid w:val="008A606C"/>
    <w:rsid w:val="008A64DC"/>
    <w:rsid w:val="008A69ED"/>
    <w:rsid w:val="008A6A0C"/>
    <w:rsid w:val="008A6D39"/>
    <w:rsid w:val="008A6D66"/>
    <w:rsid w:val="008A6FB1"/>
    <w:rsid w:val="008A7906"/>
    <w:rsid w:val="008A79DE"/>
    <w:rsid w:val="008B023F"/>
    <w:rsid w:val="008B0948"/>
    <w:rsid w:val="008B0A04"/>
    <w:rsid w:val="008B0C06"/>
    <w:rsid w:val="008B0CBB"/>
    <w:rsid w:val="008B0F21"/>
    <w:rsid w:val="008B1025"/>
    <w:rsid w:val="008B1757"/>
    <w:rsid w:val="008B1ABE"/>
    <w:rsid w:val="008B1C33"/>
    <w:rsid w:val="008B2272"/>
    <w:rsid w:val="008B2674"/>
    <w:rsid w:val="008B2BBB"/>
    <w:rsid w:val="008B349B"/>
    <w:rsid w:val="008B3820"/>
    <w:rsid w:val="008B39B6"/>
    <w:rsid w:val="008B41EF"/>
    <w:rsid w:val="008B43EF"/>
    <w:rsid w:val="008B4663"/>
    <w:rsid w:val="008B4B6F"/>
    <w:rsid w:val="008B4E6C"/>
    <w:rsid w:val="008B5132"/>
    <w:rsid w:val="008B5286"/>
    <w:rsid w:val="008B5316"/>
    <w:rsid w:val="008B5EAF"/>
    <w:rsid w:val="008B6081"/>
    <w:rsid w:val="008B60BA"/>
    <w:rsid w:val="008B6BE7"/>
    <w:rsid w:val="008B6F1B"/>
    <w:rsid w:val="008B719B"/>
    <w:rsid w:val="008B7335"/>
    <w:rsid w:val="008B762C"/>
    <w:rsid w:val="008B7707"/>
    <w:rsid w:val="008B792D"/>
    <w:rsid w:val="008B7992"/>
    <w:rsid w:val="008B7A56"/>
    <w:rsid w:val="008B7D7E"/>
    <w:rsid w:val="008C0036"/>
    <w:rsid w:val="008C0313"/>
    <w:rsid w:val="008C031B"/>
    <w:rsid w:val="008C03A2"/>
    <w:rsid w:val="008C04C6"/>
    <w:rsid w:val="008C09DA"/>
    <w:rsid w:val="008C0AC8"/>
    <w:rsid w:val="008C0BDA"/>
    <w:rsid w:val="008C0C1C"/>
    <w:rsid w:val="008C1019"/>
    <w:rsid w:val="008C1125"/>
    <w:rsid w:val="008C1765"/>
    <w:rsid w:val="008C17B7"/>
    <w:rsid w:val="008C1856"/>
    <w:rsid w:val="008C18A1"/>
    <w:rsid w:val="008C22A7"/>
    <w:rsid w:val="008C28AC"/>
    <w:rsid w:val="008C2DFF"/>
    <w:rsid w:val="008C3EFE"/>
    <w:rsid w:val="008C4097"/>
    <w:rsid w:val="008C425F"/>
    <w:rsid w:val="008C42D1"/>
    <w:rsid w:val="008C4397"/>
    <w:rsid w:val="008C5088"/>
    <w:rsid w:val="008C55FB"/>
    <w:rsid w:val="008C5610"/>
    <w:rsid w:val="008C5739"/>
    <w:rsid w:val="008C5B93"/>
    <w:rsid w:val="008C5D47"/>
    <w:rsid w:val="008C5D7D"/>
    <w:rsid w:val="008C5FE6"/>
    <w:rsid w:val="008C6457"/>
    <w:rsid w:val="008C67B1"/>
    <w:rsid w:val="008C6E00"/>
    <w:rsid w:val="008C7282"/>
    <w:rsid w:val="008C7ECB"/>
    <w:rsid w:val="008D1114"/>
    <w:rsid w:val="008D15B4"/>
    <w:rsid w:val="008D15C9"/>
    <w:rsid w:val="008D18DA"/>
    <w:rsid w:val="008D1AC6"/>
    <w:rsid w:val="008D1EDF"/>
    <w:rsid w:val="008D2005"/>
    <w:rsid w:val="008D30BC"/>
    <w:rsid w:val="008D3214"/>
    <w:rsid w:val="008D3372"/>
    <w:rsid w:val="008D3485"/>
    <w:rsid w:val="008D364B"/>
    <w:rsid w:val="008D37D4"/>
    <w:rsid w:val="008D3B86"/>
    <w:rsid w:val="008D4132"/>
    <w:rsid w:val="008D41FC"/>
    <w:rsid w:val="008D429E"/>
    <w:rsid w:val="008D43FD"/>
    <w:rsid w:val="008D46FE"/>
    <w:rsid w:val="008D4755"/>
    <w:rsid w:val="008D4BA5"/>
    <w:rsid w:val="008D4C3D"/>
    <w:rsid w:val="008D4F2B"/>
    <w:rsid w:val="008D525A"/>
    <w:rsid w:val="008D53A0"/>
    <w:rsid w:val="008D53E6"/>
    <w:rsid w:val="008D5678"/>
    <w:rsid w:val="008D5939"/>
    <w:rsid w:val="008D61DA"/>
    <w:rsid w:val="008D62C3"/>
    <w:rsid w:val="008D6616"/>
    <w:rsid w:val="008D6835"/>
    <w:rsid w:val="008D73B7"/>
    <w:rsid w:val="008D743C"/>
    <w:rsid w:val="008D744E"/>
    <w:rsid w:val="008D7558"/>
    <w:rsid w:val="008D7C2F"/>
    <w:rsid w:val="008D7F66"/>
    <w:rsid w:val="008E02D3"/>
    <w:rsid w:val="008E0698"/>
    <w:rsid w:val="008E06F2"/>
    <w:rsid w:val="008E09C0"/>
    <w:rsid w:val="008E0D3C"/>
    <w:rsid w:val="008E0DEC"/>
    <w:rsid w:val="008E1A22"/>
    <w:rsid w:val="008E1B9E"/>
    <w:rsid w:val="008E20EE"/>
    <w:rsid w:val="008E2653"/>
    <w:rsid w:val="008E281F"/>
    <w:rsid w:val="008E2990"/>
    <w:rsid w:val="008E2BBD"/>
    <w:rsid w:val="008E2D93"/>
    <w:rsid w:val="008E2D94"/>
    <w:rsid w:val="008E377D"/>
    <w:rsid w:val="008E393D"/>
    <w:rsid w:val="008E3A37"/>
    <w:rsid w:val="008E3AFD"/>
    <w:rsid w:val="008E3B95"/>
    <w:rsid w:val="008E3BA0"/>
    <w:rsid w:val="008E3D27"/>
    <w:rsid w:val="008E48BB"/>
    <w:rsid w:val="008E4AFF"/>
    <w:rsid w:val="008E5063"/>
    <w:rsid w:val="008E55AB"/>
    <w:rsid w:val="008E590B"/>
    <w:rsid w:val="008E5BA9"/>
    <w:rsid w:val="008E5D24"/>
    <w:rsid w:val="008E62E4"/>
    <w:rsid w:val="008E67B9"/>
    <w:rsid w:val="008E688E"/>
    <w:rsid w:val="008E6F7D"/>
    <w:rsid w:val="008E6FC2"/>
    <w:rsid w:val="008E7537"/>
    <w:rsid w:val="008E7F90"/>
    <w:rsid w:val="008F0022"/>
    <w:rsid w:val="008F0486"/>
    <w:rsid w:val="008F06A8"/>
    <w:rsid w:val="008F07CB"/>
    <w:rsid w:val="008F0DB7"/>
    <w:rsid w:val="008F1138"/>
    <w:rsid w:val="008F120A"/>
    <w:rsid w:val="008F1245"/>
    <w:rsid w:val="008F136E"/>
    <w:rsid w:val="008F15B3"/>
    <w:rsid w:val="008F15E6"/>
    <w:rsid w:val="008F18B5"/>
    <w:rsid w:val="008F1AE4"/>
    <w:rsid w:val="008F223D"/>
    <w:rsid w:val="008F23DC"/>
    <w:rsid w:val="008F27E0"/>
    <w:rsid w:val="008F294E"/>
    <w:rsid w:val="008F2CB3"/>
    <w:rsid w:val="008F2EF9"/>
    <w:rsid w:val="008F2F64"/>
    <w:rsid w:val="008F3327"/>
    <w:rsid w:val="008F37E8"/>
    <w:rsid w:val="008F3997"/>
    <w:rsid w:val="008F3A74"/>
    <w:rsid w:val="008F3D22"/>
    <w:rsid w:val="008F3E4B"/>
    <w:rsid w:val="008F3E64"/>
    <w:rsid w:val="008F3ED8"/>
    <w:rsid w:val="008F3F8B"/>
    <w:rsid w:val="008F48EB"/>
    <w:rsid w:val="008F4AA4"/>
    <w:rsid w:val="008F4F0B"/>
    <w:rsid w:val="008F4FED"/>
    <w:rsid w:val="008F5045"/>
    <w:rsid w:val="008F51BF"/>
    <w:rsid w:val="008F51F6"/>
    <w:rsid w:val="008F5924"/>
    <w:rsid w:val="008F5A2D"/>
    <w:rsid w:val="008F65DC"/>
    <w:rsid w:val="008F68F9"/>
    <w:rsid w:val="008F6A68"/>
    <w:rsid w:val="008F6A7B"/>
    <w:rsid w:val="008F6E40"/>
    <w:rsid w:val="008F7B1C"/>
    <w:rsid w:val="008F7DED"/>
    <w:rsid w:val="009000CE"/>
    <w:rsid w:val="0090059A"/>
    <w:rsid w:val="00900F00"/>
    <w:rsid w:val="009010EA"/>
    <w:rsid w:val="00901305"/>
    <w:rsid w:val="009017ED"/>
    <w:rsid w:val="00901B60"/>
    <w:rsid w:val="00901E9A"/>
    <w:rsid w:val="00901EDC"/>
    <w:rsid w:val="009022D0"/>
    <w:rsid w:val="00902403"/>
    <w:rsid w:val="00902496"/>
    <w:rsid w:val="00902662"/>
    <w:rsid w:val="00902972"/>
    <w:rsid w:val="00902B25"/>
    <w:rsid w:val="0090312C"/>
    <w:rsid w:val="00903219"/>
    <w:rsid w:val="00903892"/>
    <w:rsid w:val="00903BAE"/>
    <w:rsid w:val="009042E4"/>
    <w:rsid w:val="009046C4"/>
    <w:rsid w:val="0090488B"/>
    <w:rsid w:val="009048B2"/>
    <w:rsid w:val="0090494C"/>
    <w:rsid w:val="00904AE6"/>
    <w:rsid w:val="00904BF4"/>
    <w:rsid w:val="00904F24"/>
    <w:rsid w:val="009054D8"/>
    <w:rsid w:val="00905AE2"/>
    <w:rsid w:val="00905BAF"/>
    <w:rsid w:val="00905EBC"/>
    <w:rsid w:val="009062A5"/>
    <w:rsid w:val="00906638"/>
    <w:rsid w:val="0090672C"/>
    <w:rsid w:val="00907513"/>
    <w:rsid w:val="00907699"/>
    <w:rsid w:val="0090778B"/>
    <w:rsid w:val="00910004"/>
    <w:rsid w:val="0091070A"/>
    <w:rsid w:val="00910940"/>
    <w:rsid w:val="00910992"/>
    <w:rsid w:val="00910A6B"/>
    <w:rsid w:val="00910C36"/>
    <w:rsid w:val="00910DD9"/>
    <w:rsid w:val="00910EB6"/>
    <w:rsid w:val="00910FA7"/>
    <w:rsid w:val="00911272"/>
    <w:rsid w:val="00911339"/>
    <w:rsid w:val="00911509"/>
    <w:rsid w:val="0091151B"/>
    <w:rsid w:val="009116F1"/>
    <w:rsid w:val="00911708"/>
    <w:rsid w:val="009118DA"/>
    <w:rsid w:val="00912675"/>
    <w:rsid w:val="0091268F"/>
    <w:rsid w:val="009129AA"/>
    <w:rsid w:val="009129FA"/>
    <w:rsid w:val="00912AAA"/>
    <w:rsid w:val="00912B52"/>
    <w:rsid w:val="00912C6C"/>
    <w:rsid w:val="00912E24"/>
    <w:rsid w:val="009135D6"/>
    <w:rsid w:val="009135F1"/>
    <w:rsid w:val="00913824"/>
    <w:rsid w:val="00913E89"/>
    <w:rsid w:val="00914414"/>
    <w:rsid w:val="009144E6"/>
    <w:rsid w:val="00914BDD"/>
    <w:rsid w:val="00914C77"/>
    <w:rsid w:val="00914DED"/>
    <w:rsid w:val="00915CC1"/>
    <w:rsid w:val="00915F39"/>
    <w:rsid w:val="00916277"/>
    <w:rsid w:val="0091679B"/>
    <w:rsid w:val="00916C8A"/>
    <w:rsid w:val="009174A2"/>
    <w:rsid w:val="009176A6"/>
    <w:rsid w:val="00917829"/>
    <w:rsid w:val="00917A48"/>
    <w:rsid w:val="00917BF3"/>
    <w:rsid w:val="00917D60"/>
    <w:rsid w:val="0092061C"/>
    <w:rsid w:val="00920914"/>
    <w:rsid w:val="00920E34"/>
    <w:rsid w:val="00921374"/>
    <w:rsid w:val="009213C7"/>
    <w:rsid w:val="0092191C"/>
    <w:rsid w:val="00921ACB"/>
    <w:rsid w:val="00921D47"/>
    <w:rsid w:val="00921E5A"/>
    <w:rsid w:val="00922379"/>
    <w:rsid w:val="00922841"/>
    <w:rsid w:val="00922F5D"/>
    <w:rsid w:val="0092369B"/>
    <w:rsid w:val="009245EB"/>
    <w:rsid w:val="009249BC"/>
    <w:rsid w:val="009249CF"/>
    <w:rsid w:val="00924E16"/>
    <w:rsid w:val="00924EDD"/>
    <w:rsid w:val="00924F00"/>
    <w:rsid w:val="009255CF"/>
    <w:rsid w:val="009256A4"/>
    <w:rsid w:val="009257A9"/>
    <w:rsid w:val="00925B5D"/>
    <w:rsid w:val="00925B69"/>
    <w:rsid w:val="00925C45"/>
    <w:rsid w:val="00925C88"/>
    <w:rsid w:val="00925EC5"/>
    <w:rsid w:val="00925F74"/>
    <w:rsid w:val="00926157"/>
    <w:rsid w:val="00926554"/>
    <w:rsid w:val="0092656F"/>
    <w:rsid w:val="009267DA"/>
    <w:rsid w:val="00926C86"/>
    <w:rsid w:val="00926D09"/>
    <w:rsid w:val="00926D97"/>
    <w:rsid w:val="00927748"/>
    <w:rsid w:val="00927BB5"/>
    <w:rsid w:val="0093017B"/>
    <w:rsid w:val="00930309"/>
    <w:rsid w:val="009304B9"/>
    <w:rsid w:val="00930A9E"/>
    <w:rsid w:val="00930AE7"/>
    <w:rsid w:val="00930E74"/>
    <w:rsid w:val="00931165"/>
    <w:rsid w:val="00931697"/>
    <w:rsid w:val="009317FA"/>
    <w:rsid w:val="009323A1"/>
    <w:rsid w:val="00932A81"/>
    <w:rsid w:val="00932DF3"/>
    <w:rsid w:val="00932F8D"/>
    <w:rsid w:val="00933544"/>
    <w:rsid w:val="009336B8"/>
    <w:rsid w:val="00933BED"/>
    <w:rsid w:val="00934040"/>
    <w:rsid w:val="009346A7"/>
    <w:rsid w:val="009346D6"/>
    <w:rsid w:val="00934988"/>
    <w:rsid w:val="00934B38"/>
    <w:rsid w:val="00934D67"/>
    <w:rsid w:val="00934D8A"/>
    <w:rsid w:val="00934EC2"/>
    <w:rsid w:val="0093528F"/>
    <w:rsid w:val="009353BE"/>
    <w:rsid w:val="009353C7"/>
    <w:rsid w:val="009354FF"/>
    <w:rsid w:val="00935C62"/>
    <w:rsid w:val="009363A7"/>
    <w:rsid w:val="009364B8"/>
    <w:rsid w:val="0093651D"/>
    <w:rsid w:val="009367E0"/>
    <w:rsid w:val="00936A36"/>
    <w:rsid w:val="00936D59"/>
    <w:rsid w:val="00937089"/>
    <w:rsid w:val="00937123"/>
    <w:rsid w:val="00937556"/>
    <w:rsid w:val="009377D1"/>
    <w:rsid w:val="00937C45"/>
    <w:rsid w:val="00937F6E"/>
    <w:rsid w:val="00940043"/>
    <w:rsid w:val="00940079"/>
    <w:rsid w:val="009406D2"/>
    <w:rsid w:val="00940785"/>
    <w:rsid w:val="0094085B"/>
    <w:rsid w:val="00941D12"/>
    <w:rsid w:val="00941F03"/>
    <w:rsid w:val="00942129"/>
    <w:rsid w:val="0094347E"/>
    <w:rsid w:val="0094358E"/>
    <w:rsid w:val="00943D32"/>
    <w:rsid w:val="00943D3F"/>
    <w:rsid w:val="00943E13"/>
    <w:rsid w:val="00944123"/>
    <w:rsid w:val="00944C27"/>
    <w:rsid w:val="00944C43"/>
    <w:rsid w:val="00944F8A"/>
    <w:rsid w:val="00945154"/>
    <w:rsid w:val="0094584F"/>
    <w:rsid w:val="00945D78"/>
    <w:rsid w:val="00946173"/>
    <w:rsid w:val="00946201"/>
    <w:rsid w:val="0094728F"/>
    <w:rsid w:val="009474F9"/>
    <w:rsid w:val="00947864"/>
    <w:rsid w:val="0094792F"/>
    <w:rsid w:val="0094795E"/>
    <w:rsid w:val="00947AC6"/>
    <w:rsid w:val="0095057F"/>
    <w:rsid w:val="00950949"/>
    <w:rsid w:val="00950C37"/>
    <w:rsid w:val="00950ECE"/>
    <w:rsid w:val="00950F0A"/>
    <w:rsid w:val="009510A2"/>
    <w:rsid w:val="00951782"/>
    <w:rsid w:val="009517F2"/>
    <w:rsid w:val="00952001"/>
    <w:rsid w:val="009526FE"/>
    <w:rsid w:val="00952820"/>
    <w:rsid w:val="009528BD"/>
    <w:rsid w:val="009529FB"/>
    <w:rsid w:val="00952BE7"/>
    <w:rsid w:val="00953254"/>
    <w:rsid w:val="00953257"/>
    <w:rsid w:val="00953787"/>
    <w:rsid w:val="00953868"/>
    <w:rsid w:val="00953B15"/>
    <w:rsid w:val="0095474C"/>
    <w:rsid w:val="009549F4"/>
    <w:rsid w:val="00954B55"/>
    <w:rsid w:val="00954BE4"/>
    <w:rsid w:val="00954C19"/>
    <w:rsid w:val="00954F4C"/>
    <w:rsid w:val="009553F0"/>
    <w:rsid w:val="00955B09"/>
    <w:rsid w:val="00955BA4"/>
    <w:rsid w:val="00955C59"/>
    <w:rsid w:val="00955DB9"/>
    <w:rsid w:val="00956536"/>
    <w:rsid w:val="009568CB"/>
    <w:rsid w:val="009569F5"/>
    <w:rsid w:val="00956B53"/>
    <w:rsid w:val="00956C1F"/>
    <w:rsid w:val="00957389"/>
    <w:rsid w:val="00957D92"/>
    <w:rsid w:val="00957ED2"/>
    <w:rsid w:val="00960005"/>
    <w:rsid w:val="009601C3"/>
    <w:rsid w:val="0096071F"/>
    <w:rsid w:val="009608BB"/>
    <w:rsid w:val="009608C8"/>
    <w:rsid w:val="0096142D"/>
    <w:rsid w:val="009620F7"/>
    <w:rsid w:val="00962846"/>
    <w:rsid w:val="00962B23"/>
    <w:rsid w:val="00962BF4"/>
    <w:rsid w:val="00962CB9"/>
    <w:rsid w:val="00962E15"/>
    <w:rsid w:val="00963046"/>
    <w:rsid w:val="009637BC"/>
    <w:rsid w:val="00963F83"/>
    <w:rsid w:val="00964061"/>
    <w:rsid w:val="00964312"/>
    <w:rsid w:val="00964BAA"/>
    <w:rsid w:val="00964CA0"/>
    <w:rsid w:val="009651E9"/>
    <w:rsid w:val="009652DF"/>
    <w:rsid w:val="00965B8A"/>
    <w:rsid w:val="00965CB5"/>
    <w:rsid w:val="00965F2D"/>
    <w:rsid w:val="00966069"/>
    <w:rsid w:val="009662BC"/>
    <w:rsid w:val="0096637B"/>
    <w:rsid w:val="00966E67"/>
    <w:rsid w:val="0096700D"/>
    <w:rsid w:val="00967542"/>
    <w:rsid w:val="00967590"/>
    <w:rsid w:val="00967E4D"/>
    <w:rsid w:val="00967E5A"/>
    <w:rsid w:val="00970354"/>
    <w:rsid w:val="009703C8"/>
    <w:rsid w:val="0097071F"/>
    <w:rsid w:val="00970A50"/>
    <w:rsid w:val="00970D83"/>
    <w:rsid w:val="00970FDF"/>
    <w:rsid w:val="0097109C"/>
    <w:rsid w:val="0097139F"/>
    <w:rsid w:val="0097171A"/>
    <w:rsid w:val="00971780"/>
    <w:rsid w:val="009717AC"/>
    <w:rsid w:val="00971902"/>
    <w:rsid w:val="00971CCF"/>
    <w:rsid w:val="00971DE4"/>
    <w:rsid w:val="00972354"/>
    <w:rsid w:val="00972396"/>
    <w:rsid w:val="009726DB"/>
    <w:rsid w:val="00972820"/>
    <w:rsid w:val="00972D12"/>
    <w:rsid w:val="00972ED9"/>
    <w:rsid w:val="00973438"/>
    <w:rsid w:val="009735E8"/>
    <w:rsid w:val="00973694"/>
    <w:rsid w:val="00973FA1"/>
    <w:rsid w:val="00974370"/>
    <w:rsid w:val="0097483A"/>
    <w:rsid w:val="009748D5"/>
    <w:rsid w:val="00974BD8"/>
    <w:rsid w:val="009751C1"/>
    <w:rsid w:val="0097535F"/>
    <w:rsid w:val="0097581F"/>
    <w:rsid w:val="0097606F"/>
    <w:rsid w:val="00976622"/>
    <w:rsid w:val="00976B39"/>
    <w:rsid w:val="00976CFA"/>
    <w:rsid w:val="0097773A"/>
    <w:rsid w:val="009779A2"/>
    <w:rsid w:val="00977CBC"/>
    <w:rsid w:val="00977EC2"/>
    <w:rsid w:val="00980591"/>
    <w:rsid w:val="00980BF2"/>
    <w:rsid w:val="009811F1"/>
    <w:rsid w:val="00981446"/>
    <w:rsid w:val="0098144A"/>
    <w:rsid w:val="00981D47"/>
    <w:rsid w:val="00981D90"/>
    <w:rsid w:val="00982540"/>
    <w:rsid w:val="009825E5"/>
    <w:rsid w:val="0098262F"/>
    <w:rsid w:val="00982689"/>
    <w:rsid w:val="009826BC"/>
    <w:rsid w:val="0098288D"/>
    <w:rsid w:val="009838E2"/>
    <w:rsid w:val="00983BFC"/>
    <w:rsid w:val="00983E57"/>
    <w:rsid w:val="009846C0"/>
    <w:rsid w:val="00984700"/>
    <w:rsid w:val="009847FD"/>
    <w:rsid w:val="009849B0"/>
    <w:rsid w:val="009849EB"/>
    <w:rsid w:val="00984FD3"/>
    <w:rsid w:val="009851E0"/>
    <w:rsid w:val="009852D8"/>
    <w:rsid w:val="00985448"/>
    <w:rsid w:val="00985766"/>
    <w:rsid w:val="00985DE2"/>
    <w:rsid w:val="009860D8"/>
    <w:rsid w:val="009863C6"/>
    <w:rsid w:val="00986547"/>
    <w:rsid w:val="0098675D"/>
    <w:rsid w:val="00986925"/>
    <w:rsid w:val="00986B10"/>
    <w:rsid w:val="00986C2E"/>
    <w:rsid w:val="009878EA"/>
    <w:rsid w:val="00987970"/>
    <w:rsid w:val="00987AF0"/>
    <w:rsid w:val="00987BA4"/>
    <w:rsid w:val="00990074"/>
    <w:rsid w:val="00990351"/>
    <w:rsid w:val="00990731"/>
    <w:rsid w:val="0099083A"/>
    <w:rsid w:val="00990A11"/>
    <w:rsid w:val="009910DA"/>
    <w:rsid w:val="0099119E"/>
    <w:rsid w:val="009916E2"/>
    <w:rsid w:val="00991CF6"/>
    <w:rsid w:val="00992152"/>
    <w:rsid w:val="0099226B"/>
    <w:rsid w:val="00992366"/>
    <w:rsid w:val="0099261E"/>
    <w:rsid w:val="009926E0"/>
    <w:rsid w:val="00992BEC"/>
    <w:rsid w:val="00992C25"/>
    <w:rsid w:val="00992D73"/>
    <w:rsid w:val="00993D21"/>
    <w:rsid w:val="00993F39"/>
    <w:rsid w:val="00993FB7"/>
    <w:rsid w:val="00994318"/>
    <w:rsid w:val="0099451E"/>
    <w:rsid w:val="00994638"/>
    <w:rsid w:val="00994A19"/>
    <w:rsid w:val="00994CC9"/>
    <w:rsid w:val="0099583B"/>
    <w:rsid w:val="00995ABD"/>
    <w:rsid w:val="00995BFC"/>
    <w:rsid w:val="00995FEA"/>
    <w:rsid w:val="00996098"/>
    <w:rsid w:val="0099630C"/>
    <w:rsid w:val="00996506"/>
    <w:rsid w:val="009965B9"/>
    <w:rsid w:val="0099689B"/>
    <w:rsid w:val="00996B1A"/>
    <w:rsid w:val="00996B26"/>
    <w:rsid w:val="00996B7E"/>
    <w:rsid w:val="00996C0C"/>
    <w:rsid w:val="009970AE"/>
    <w:rsid w:val="009976E4"/>
    <w:rsid w:val="0099787E"/>
    <w:rsid w:val="009A0055"/>
    <w:rsid w:val="009A0763"/>
    <w:rsid w:val="009A07F7"/>
    <w:rsid w:val="009A0A10"/>
    <w:rsid w:val="009A0B13"/>
    <w:rsid w:val="009A0B50"/>
    <w:rsid w:val="009A0E8B"/>
    <w:rsid w:val="009A188A"/>
    <w:rsid w:val="009A18F6"/>
    <w:rsid w:val="009A1B87"/>
    <w:rsid w:val="009A1C4D"/>
    <w:rsid w:val="009A2252"/>
    <w:rsid w:val="009A23CB"/>
    <w:rsid w:val="009A26CD"/>
    <w:rsid w:val="009A26D4"/>
    <w:rsid w:val="009A2866"/>
    <w:rsid w:val="009A2A9F"/>
    <w:rsid w:val="009A2B7B"/>
    <w:rsid w:val="009A2BB9"/>
    <w:rsid w:val="009A2DCC"/>
    <w:rsid w:val="009A2FB8"/>
    <w:rsid w:val="009A308C"/>
    <w:rsid w:val="009A318A"/>
    <w:rsid w:val="009A3240"/>
    <w:rsid w:val="009A34E9"/>
    <w:rsid w:val="009A3C93"/>
    <w:rsid w:val="009A4275"/>
    <w:rsid w:val="009A4DB3"/>
    <w:rsid w:val="009A4F4E"/>
    <w:rsid w:val="009A525B"/>
    <w:rsid w:val="009A5843"/>
    <w:rsid w:val="009A5A99"/>
    <w:rsid w:val="009A5ABC"/>
    <w:rsid w:val="009A5D1F"/>
    <w:rsid w:val="009A5F35"/>
    <w:rsid w:val="009A5FB5"/>
    <w:rsid w:val="009A624F"/>
    <w:rsid w:val="009A64D2"/>
    <w:rsid w:val="009A68BF"/>
    <w:rsid w:val="009A6D0A"/>
    <w:rsid w:val="009A6D66"/>
    <w:rsid w:val="009A6D91"/>
    <w:rsid w:val="009A6ED1"/>
    <w:rsid w:val="009A73B2"/>
    <w:rsid w:val="009A7589"/>
    <w:rsid w:val="009A7F10"/>
    <w:rsid w:val="009B0510"/>
    <w:rsid w:val="009B06D8"/>
    <w:rsid w:val="009B08B8"/>
    <w:rsid w:val="009B14CE"/>
    <w:rsid w:val="009B16D6"/>
    <w:rsid w:val="009B186E"/>
    <w:rsid w:val="009B1BCA"/>
    <w:rsid w:val="009B205F"/>
    <w:rsid w:val="009B2222"/>
    <w:rsid w:val="009B226E"/>
    <w:rsid w:val="009B2387"/>
    <w:rsid w:val="009B254C"/>
    <w:rsid w:val="009B26C4"/>
    <w:rsid w:val="009B2A03"/>
    <w:rsid w:val="009B2ADE"/>
    <w:rsid w:val="009B2BDD"/>
    <w:rsid w:val="009B34C8"/>
    <w:rsid w:val="009B34D7"/>
    <w:rsid w:val="009B3C51"/>
    <w:rsid w:val="009B3E26"/>
    <w:rsid w:val="009B4416"/>
    <w:rsid w:val="009B46FA"/>
    <w:rsid w:val="009B4787"/>
    <w:rsid w:val="009B4A88"/>
    <w:rsid w:val="009B4C19"/>
    <w:rsid w:val="009B4C4D"/>
    <w:rsid w:val="009B5002"/>
    <w:rsid w:val="009B515E"/>
    <w:rsid w:val="009B597A"/>
    <w:rsid w:val="009B5AEC"/>
    <w:rsid w:val="009B640A"/>
    <w:rsid w:val="009B6AEE"/>
    <w:rsid w:val="009B707B"/>
    <w:rsid w:val="009B7188"/>
    <w:rsid w:val="009B71E7"/>
    <w:rsid w:val="009B737D"/>
    <w:rsid w:val="009B73CC"/>
    <w:rsid w:val="009B75B2"/>
    <w:rsid w:val="009B7981"/>
    <w:rsid w:val="009B7C90"/>
    <w:rsid w:val="009C047B"/>
    <w:rsid w:val="009C0563"/>
    <w:rsid w:val="009C0CD3"/>
    <w:rsid w:val="009C0D41"/>
    <w:rsid w:val="009C11CF"/>
    <w:rsid w:val="009C11EB"/>
    <w:rsid w:val="009C1271"/>
    <w:rsid w:val="009C167B"/>
    <w:rsid w:val="009C16EE"/>
    <w:rsid w:val="009C1913"/>
    <w:rsid w:val="009C2828"/>
    <w:rsid w:val="009C29D4"/>
    <w:rsid w:val="009C2B8A"/>
    <w:rsid w:val="009C3706"/>
    <w:rsid w:val="009C3A3A"/>
    <w:rsid w:val="009C3CDE"/>
    <w:rsid w:val="009C416C"/>
    <w:rsid w:val="009C426B"/>
    <w:rsid w:val="009C486B"/>
    <w:rsid w:val="009C4A8E"/>
    <w:rsid w:val="009C4B9B"/>
    <w:rsid w:val="009C51FD"/>
    <w:rsid w:val="009C5692"/>
    <w:rsid w:val="009C578F"/>
    <w:rsid w:val="009C5897"/>
    <w:rsid w:val="009C59EA"/>
    <w:rsid w:val="009C5CEC"/>
    <w:rsid w:val="009C5CF5"/>
    <w:rsid w:val="009C5E2E"/>
    <w:rsid w:val="009C5F3F"/>
    <w:rsid w:val="009C6086"/>
    <w:rsid w:val="009C63B1"/>
    <w:rsid w:val="009C6763"/>
    <w:rsid w:val="009C6778"/>
    <w:rsid w:val="009C6C53"/>
    <w:rsid w:val="009C6CEA"/>
    <w:rsid w:val="009C6F75"/>
    <w:rsid w:val="009C7452"/>
    <w:rsid w:val="009C76B1"/>
    <w:rsid w:val="009C7938"/>
    <w:rsid w:val="009C7B85"/>
    <w:rsid w:val="009D00E9"/>
    <w:rsid w:val="009D0117"/>
    <w:rsid w:val="009D01E9"/>
    <w:rsid w:val="009D0209"/>
    <w:rsid w:val="009D0254"/>
    <w:rsid w:val="009D0473"/>
    <w:rsid w:val="009D0704"/>
    <w:rsid w:val="009D07EE"/>
    <w:rsid w:val="009D09AD"/>
    <w:rsid w:val="009D0A7F"/>
    <w:rsid w:val="009D0B0A"/>
    <w:rsid w:val="009D145F"/>
    <w:rsid w:val="009D159D"/>
    <w:rsid w:val="009D160F"/>
    <w:rsid w:val="009D1A64"/>
    <w:rsid w:val="009D1AB7"/>
    <w:rsid w:val="009D25A0"/>
    <w:rsid w:val="009D28CE"/>
    <w:rsid w:val="009D2B43"/>
    <w:rsid w:val="009D2BB8"/>
    <w:rsid w:val="009D2C71"/>
    <w:rsid w:val="009D3079"/>
    <w:rsid w:val="009D30E2"/>
    <w:rsid w:val="009D3210"/>
    <w:rsid w:val="009D325C"/>
    <w:rsid w:val="009D35B0"/>
    <w:rsid w:val="009D35DA"/>
    <w:rsid w:val="009D3736"/>
    <w:rsid w:val="009D38E6"/>
    <w:rsid w:val="009D3EE8"/>
    <w:rsid w:val="009D461F"/>
    <w:rsid w:val="009D48BE"/>
    <w:rsid w:val="009D4AEC"/>
    <w:rsid w:val="009D4E98"/>
    <w:rsid w:val="009D50BE"/>
    <w:rsid w:val="009D5179"/>
    <w:rsid w:val="009D5532"/>
    <w:rsid w:val="009D5666"/>
    <w:rsid w:val="009D57C8"/>
    <w:rsid w:val="009D5898"/>
    <w:rsid w:val="009D592C"/>
    <w:rsid w:val="009D5A1B"/>
    <w:rsid w:val="009D5B91"/>
    <w:rsid w:val="009D60B7"/>
    <w:rsid w:val="009D64ED"/>
    <w:rsid w:val="009D6983"/>
    <w:rsid w:val="009D6B10"/>
    <w:rsid w:val="009D703F"/>
    <w:rsid w:val="009D707F"/>
    <w:rsid w:val="009D70BA"/>
    <w:rsid w:val="009D710C"/>
    <w:rsid w:val="009D71A2"/>
    <w:rsid w:val="009D72BD"/>
    <w:rsid w:val="009D792E"/>
    <w:rsid w:val="009D7ED7"/>
    <w:rsid w:val="009D7ED9"/>
    <w:rsid w:val="009E041A"/>
    <w:rsid w:val="009E05B9"/>
    <w:rsid w:val="009E0DFE"/>
    <w:rsid w:val="009E0F28"/>
    <w:rsid w:val="009E1365"/>
    <w:rsid w:val="009E14F0"/>
    <w:rsid w:val="009E157F"/>
    <w:rsid w:val="009E1A18"/>
    <w:rsid w:val="009E1A6D"/>
    <w:rsid w:val="009E20C2"/>
    <w:rsid w:val="009E20D4"/>
    <w:rsid w:val="009E226C"/>
    <w:rsid w:val="009E26DD"/>
    <w:rsid w:val="009E284C"/>
    <w:rsid w:val="009E2B7B"/>
    <w:rsid w:val="009E2E1C"/>
    <w:rsid w:val="009E2EF2"/>
    <w:rsid w:val="009E30A0"/>
    <w:rsid w:val="009E31F6"/>
    <w:rsid w:val="009E3320"/>
    <w:rsid w:val="009E3AB0"/>
    <w:rsid w:val="009E3C73"/>
    <w:rsid w:val="009E3C8C"/>
    <w:rsid w:val="009E403E"/>
    <w:rsid w:val="009E42EA"/>
    <w:rsid w:val="009E494C"/>
    <w:rsid w:val="009E49DC"/>
    <w:rsid w:val="009E4C07"/>
    <w:rsid w:val="009E4F29"/>
    <w:rsid w:val="009E55CE"/>
    <w:rsid w:val="009E5A81"/>
    <w:rsid w:val="009E5CAB"/>
    <w:rsid w:val="009E6346"/>
    <w:rsid w:val="009E6476"/>
    <w:rsid w:val="009E6CEA"/>
    <w:rsid w:val="009E76E9"/>
    <w:rsid w:val="009E777F"/>
    <w:rsid w:val="009E799A"/>
    <w:rsid w:val="009E7C5B"/>
    <w:rsid w:val="009E7CF0"/>
    <w:rsid w:val="009E7D4E"/>
    <w:rsid w:val="009F04BA"/>
    <w:rsid w:val="009F095A"/>
    <w:rsid w:val="009F0C9E"/>
    <w:rsid w:val="009F0D84"/>
    <w:rsid w:val="009F0ED3"/>
    <w:rsid w:val="009F1232"/>
    <w:rsid w:val="009F1503"/>
    <w:rsid w:val="009F15C9"/>
    <w:rsid w:val="009F169A"/>
    <w:rsid w:val="009F171A"/>
    <w:rsid w:val="009F17F2"/>
    <w:rsid w:val="009F19B3"/>
    <w:rsid w:val="009F1D8E"/>
    <w:rsid w:val="009F1DB0"/>
    <w:rsid w:val="009F2C11"/>
    <w:rsid w:val="009F3239"/>
    <w:rsid w:val="009F3456"/>
    <w:rsid w:val="009F3652"/>
    <w:rsid w:val="009F394C"/>
    <w:rsid w:val="009F3A45"/>
    <w:rsid w:val="009F3E98"/>
    <w:rsid w:val="009F3FB3"/>
    <w:rsid w:val="009F43C8"/>
    <w:rsid w:val="009F4497"/>
    <w:rsid w:val="009F4896"/>
    <w:rsid w:val="009F48AC"/>
    <w:rsid w:val="009F4905"/>
    <w:rsid w:val="009F4C33"/>
    <w:rsid w:val="009F4DDA"/>
    <w:rsid w:val="009F50DD"/>
    <w:rsid w:val="009F59D4"/>
    <w:rsid w:val="009F5AC4"/>
    <w:rsid w:val="009F5E32"/>
    <w:rsid w:val="009F5F91"/>
    <w:rsid w:val="009F6120"/>
    <w:rsid w:val="009F627C"/>
    <w:rsid w:val="009F6946"/>
    <w:rsid w:val="009F6C82"/>
    <w:rsid w:val="009F6F1A"/>
    <w:rsid w:val="009F738C"/>
    <w:rsid w:val="009F7439"/>
    <w:rsid w:val="009F7607"/>
    <w:rsid w:val="009F76E0"/>
    <w:rsid w:val="009F7E32"/>
    <w:rsid w:val="009F7E36"/>
    <w:rsid w:val="009F7E89"/>
    <w:rsid w:val="00A0003C"/>
    <w:rsid w:val="00A0030E"/>
    <w:rsid w:val="00A00386"/>
    <w:rsid w:val="00A00563"/>
    <w:rsid w:val="00A00B95"/>
    <w:rsid w:val="00A00BA5"/>
    <w:rsid w:val="00A00D11"/>
    <w:rsid w:val="00A00D76"/>
    <w:rsid w:val="00A01184"/>
    <w:rsid w:val="00A01211"/>
    <w:rsid w:val="00A01449"/>
    <w:rsid w:val="00A01869"/>
    <w:rsid w:val="00A01A4E"/>
    <w:rsid w:val="00A01E24"/>
    <w:rsid w:val="00A024F8"/>
    <w:rsid w:val="00A02B10"/>
    <w:rsid w:val="00A02E44"/>
    <w:rsid w:val="00A030BA"/>
    <w:rsid w:val="00A03530"/>
    <w:rsid w:val="00A037C2"/>
    <w:rsid w:val="00A03CD4"/>
    <w:rsid w:val="00A03D43"/>
    <w:rsid w:val="00A03E4D"/>
    <w:rsid w:val="00A03ED0"/>
    <w:rsid w:val="00A03F81"/>
    <w:rsid w:val="00A04137"/>
    <w:rsid w:val="00A04380"/>
    <w:rsid w:val="00A045AF"/>
    <w:rsid w:val="00A04786"/>
    <w:rsid w:val="00A0479A"/>
    <w:rsid w:val="00A0482E"/>
    <w:rsid w:val="00A04D5E"/>
    <w:rsid w:val="00A0543B"/>
    <w:rsid w:val="00A05472"/>
    <w:rsid w:val="00A05C32"/>
    <w:rsid w:val="00A05C73"/>
    <w:rsid w:val="00A05CD9"/>
    <w:rsid w:val="00A0618F"/>
    <w:rsid w:val="00A0627C"/>
    <w:rsid w:val="00A0653F"/>
    <w:rsid w:val="00A067F1"/>
    <w:rsid w:val="00A06A80"/>
    <w:rsid w:val="00A06B00"/>
    <w:rsid w:val="00A06C55"/>
    <w:rsid w:val="00A06EEB"/>
    <w:rsid w:val="00A0704B"/>
    <w:rsid w:val="00A070A5"/>
    <w:rsid w:val="00A0744F"/>
    <w:rsid w:val="00A075E3"/>
    <w:rsid w:val="00A103D1"/>
    <w:rsid w:val="00A104EB"/>
    <w:rsid w:val="00A10B7F"/>
    <w:rsid w:val="00A11371"/>
    <w:rsid w:val="00A11A29"/>
    <w:rsid w:val="00A11AFE"/>
    <w:rsid w:val="00A11BB8"/>
    <w:rsid w:val="00A11BDE"/>
    <w:rsid w:val="00A11CD0"/>
    <w:rsid w:val="00A11D74"/>
    <w:rsid w:val="00A12016"/>
    <w:rsid w:val="00A12208"/>
    <w:rsid w:val="00A1251B"/>
    <w:rsid w:val="00A12900"/>
    <w:rsid w:val="00A1291B"/>
    <w:rsid w:val="00A12987"/>
    <w:rsid w:val="00A13016"/>
    <w:rsid w:val="00A1304D"/>
    <w:rsid w:val="00A13367"/>
    <w:rsid w:val="00A133CB"/>
    <w:rsid w:val="00A1375C"/>
    <w:rsid w:val="00A138A8"/>
    <w:rsid w:val="00A13948"/>
    <w:rsid w:val="00A13B05"/>
    <w:rsid w:val="00A14746"/>
    <w:rsid w:val="00A14861"/>
    <w:rsid w:val="00A14B26"/>
    <w:rsid w:val="00A14ECC"/>
    <w:rsid w:val="00A14EEB"/>
    <w:rsid w:val="00A15218"/>
    <w:rsid w:val="00A1532F"/>
    <w:rsid w:val="00A153D2"/>
    <w:rsid w:val="00A1555B"/>
    <w:rsid w:val="00A1557C"/>
    <w:rsid w:val="00A155C5"/>
    <w:rsid w:val="00A155F2"/>
    <w:rsid w:val="00A155F6"/>
    <w:rsid w:val="00A15BD2"/>
    <w:rsid w:val="00A15C6F"/>
    <w:rsid w:val="00A15EA9"/>
    <w:rsid w:val="00A16566"/>
    <w:rsid w:val="00A16658"/>
    <w:rsid w:val="00A16843"/>
    <w:rsid w:val="00A16AD8"/>
    <w:rsid w:val="00A16CBE"/>
    <w:rsid w:val="00A16DAC"/>
    <w:rsid w:val="00A17060"/>
    <w:rsid w:val="00A175E1"/>
    <w:rsid w:val="00A176D5"/>
    <w:rsid w:val="00A17745"/>
    <w:rsid w:val="00A178F9"/>
    <w:rsid w:val="00A2021E"/>
    <w:rsid w:val="00A202E5"/>
    <w:rsid w:val="00A2099F"/>
    <w:rsid w:val="00A20A8C"/>
    <w:rsid w:val="00A20E55"/>
    <w:rsid w:val="00A20E5C"/>
    <w:rsid w:val="00A21703"/>
    <w:rsid w:val="00A21793"/>
    <w:rsid w:val="00A219AC"/>
    <w:rsid w:val="00A21BB9"/>
    <w:rsid w:val="00A21C95"/>
    <w:rsid w:val="00A21CF3"/>
    <w:rsid w:val="00A221B4"/>
    <w:rsid w:val="00A222A2"/>
    <w:rsid w:val="00A22315"/>
    <w:rsid w:val="00A22A83"/>
    <w:rsid w:val="00A22B24"/>
    <w:rsid w:val="00A22C24"/>
    <w:rsid w:val="00A23081"/>
    <w:rsid w:val="00A2345F"/>
    <w:rsid w:val="00A246DD"/>
    <w:rsid w:val="00A24813"/>
    <w:rsid w:val="00A24A4D"/>
    <w:rsid w:val="00A24F0B"/>
    <w:rsid w:val="00A253F1"/>
    <w:rsid w:val="00A25557"/>
    <w:rsid w:val="00A2561E"/>
    <w:rsid w:val="00A25707"/>
    <w:rsid w:val="00A2571E"/>
    <w:rsid w:val="00A2580F"/>
    <w:rsid w:val="00A269BB"/>
    <w:rsid w:val="00A26C78"/>
    <w:rsid w:val="00A26F6E"/>
    <w:rsid w:val="00A27322"/>
    <w:rsid w:val="00A2766E"/>
    <w:rsid w:val="00A2782B"/>
    <w:rsid w:val="00A279BA"/>
    <w:rsid w:val="00A27AEC"/>
    <w:rsid w:val="00A27B05"/>
    <w:rsid w:val="00A27D2A"/>
    <w:rsid w:val="00A30301"/>
    <w:rsid w:val="00A303FC"/>
    <w:rsid w:val="00A30501"/>
    <w:rsid w:val="00A30E76"/>
    <w:rsid w:val="00A314AE"/>
    <w:rsid w:val="00A31705"/>
    <w:rsid w:val="00A31927"/>
    <w:rsid w:val="00A31F8C"/>
    <w:rsid w:val="00A320DB"/>
    <w:rsid w:val="00A32224"/>
    <w:rsid w:val="00A32666"/>
    <w:rsid w:val="00A326CA"/>
    <w:rsid w:val="00A32780"/>
    <w:rsid w:val="00A32DA0"/>
    <w:rsid w:val="00A32E5B"/>
    <w:rsid w:val="00A33076"/>
    <w:rsid w:val="00A34200"/>
    <w:rsid w:val="00A3476C"/>
    <w:rsid w:val="00A34902"/>
    <w:rsid w:val="00A34A3C"/>
    <w:rsid w:val="00A34A7D"/>
    <w:rsid w:val="00A34C06"/>
    <w:rsid w:val="00A34E6F"/>
    <w:rsid w:val="00A34E99"/>
    <w:rsid w:val="00A34EAC"/>
    <w:rsid w:val="00A35151"/>
    <w:rsid w:val="00A355A2"/>
    <w:rsid w:val="00A35994"/>
    <w:rsid w:val="00A35C67"/>
    <w:rsid w:val="00A35D16"/>
    <w:rsid w:val="00A36090"/>
    <w:rsid w:val="00A364D3"/>
    <w:rsid w:val="00A3656C"/>
    <w:rsid w:val="00A3678B"/>
    <w:rsid w:val="00A36D6A"/>
    <w:rsid w:val="00A36D72"/>
    <w:rsid w:val="00A36E80"/>
    <w:rsid w:val="00A37143"/>
    <w:rsid w:val="00A377BA"/>
    <w:rsid w:val="00A377D1"/>
    <w:rsid w:val="00A37BCD"/>
    <w:rsid w:val="00A37DD4"/>
    <w:rsid w:val="00A37F7E"/>
    <w:rsid w:val="00A403DE"/>
    <w:rsid w:val="00A40898"/>
    <w:rsid w:val="00A40B98"/>
    <w:rsid w:val="00A40C63"/>
    <w:rsid w:val="00A41689"/>
    <w:rsid w:val="00A417D1"/>
    <w:rsid w:val="00A42499"/>
    <w:rsid w:val="00A42592"/>
    <w:rsid w:val="00A4278F"/>
    <w:rsid w:val="00A42849"/>
    <w:rsid w:val="00A42A66"/>
    <w:rsid w:val="00A42B3C"/>
    <w:rsid w:val="00A42CBE"/>
    <w:rsid w:val="00A42F40"/>
    <w:rsid w:val="00A430DA"/>
    <w:rsid w:val="00A43174"/>
    <w:rsid w:val="00A437EF"/>
    <w:rsid w:val="00A4392F"/>
    <w:rsid w:val="00A43A4D"/>
    <w:rsid w:val="00A43C59"/>
    <w:rsid w:val="00A43DE9"/>
    <w:rsid w:val="00A44133"/>
    <w:rsid w:val="00A44405"/>
    <w:rsid w:val="00A447C6"/>
    <w:rsid w:val="00A44CFD"/>
    <w:rsid w:val="00A45085"/>
    <w:rsid w:val="00A45119"/>
    <w:rsid w:val="00A45165"/>
    <w:rsid w:val="00A456A9"/>
    <w:rsid w:val="00A45AE9"/>
    <w:rsid w:val="00A466CA"/>
    <w:rsid w:val="00A46F20"/>
    <w:rsid w:val="00A474E5"/>
    <w:rsid w:val="00A477E4"/>
    <w:rsid w:val="00A47FF1"/>
    <w:rsid w:val="00A500E3"/>
    <w:rsid w:val="00A505BF"/>
    <w:rsid w:val="00A5063C"/>
    <w:rsid w:val="00A508F5"/>
    <w:rsid w:val="00A50B4D"/>
    <w:rsid w:val="00A50B5B"/>
    <w:rsid w:val="00A50DDB"/>
    <w:rsid w:val="00A50ECD"/>
    <w:rsid w:val="00A512F9"/>
    <w:rsid w:val="00A512FC"/>
    <w:rsid w:val="00A51551"/>
    <w:rsid w:val="00A518F3"/>
    <w:rsid w:val="00A51A21"/>
    <w:rsid w:val="00A51CB2"/>
    <w:rsid w:val="00A525AF"/>
    <w:rsid w:val="00A52729"/>
    <w:rsid w:val="00A527BE"/>
    <w:rsid w:val="00A527CA"/>
    <w:rsid w:val="00A529C6"/>
    <w:rsid w:val="00A52B81"/>
    <w:rsid w:val="00A52E94"/>
    <w:rsid w:val="00A533D0"/>
    <w:rsid w:val="00A533E0"/>
    <w:rsid w:val="00A5352D"/>
    <w:rsid w:val="00A53675"/>
    <w:rsid w:val="00A53691"/>
    <w:rsid w:val="00A53E81"/>
    <w:rsid w:val="00A53FB8"/>
    <w:rsid w:val="00A541E3"/>
    <w:rsid w:val="00A54258"/>
    <w:rsid w:val="00A546E9"/>
    <w:rsid w:val="00A54850"/>
    <w:rsid w:val="00A549B4"/>
    <w:rsid w:val="00A55168"/>
    <w:rsid w:val="00A552C3"/>
    <w:rsid w:val="00A552F7"/>
    <w:rsid w:val="00A55430"/>
    <w:rsid w:val="00A55446"/>
    <w:rsid w:val="00A557E5"/>
    <w:rsid w:val="00A5591E"/>
    <w:rsid w:val="00A55F01"/>
    <w:rsid w:val="00A56222"/>
    <w:rsid w:val="00A564D7"/>
    <w:rsid w:val="00A56B6A"/>
    <w:rsid w:val="00A573EB"/>
    <w:rsid w:val="00A575A0"/>
    <w:rsid w:val="00A5769D"/>
    <w:rsid w:val="00A57739"/>
    <w:rsid w:val="00A578DC"/>
    <w:rsid w:val="00A60120"/>
    <w:rsid w:val="00A60680"/>
    <w:rsid w:val="00A60820"/>
    <w:rsid w:val="00A60AE7"/>
    <w:rsid w:val="00A6107D"/>
    <w:rsid w:val="00A611A0"/>
    <w:rsid w:val="00A611CF"/>
    <w:rsid w:val="00A612D8"/>
    <w:rsid w:val="00A6168A"/>
    <w:rsid w:val="00A6189A"/>
    <w:rsid w:val="00A618C8"/>
    <w:rsid w:val="00A619A9"/>
    <w:rsid w:val="00A61A59"/>
    <w:rsid w:val="00A61B40"/>
    <w:rsid w:val="00A61E4A"/>
    <w:rsid w:val="00A61E4C"/>
    <w:rsid w:val="00A61EE9"/>
    <w:rsid w:val="00A6242A"/>
    <w:rsid w:val="00A625DE"/>
    <w:rsid w:val="00A62A4B"/>
    <w:rsid w:val="00A62D79"/>
    <w:rsid w:val="00A63126"/>
    <w:rsid w:val="00A637D7"/>
    <w:rsid w:val="00A63848"/>
    <w:rsid w:val="00A6389C"/>
    <w:rsid w:val="00A640E2"/>
    <w:rsid w:val="00A6460C"/>
    <w:rsid w:val="00A64D65"/>
    <w:rsid w:val="00A64EF5"/>
    <w:rsid w:val="00A6503B"/>
    <w:rsid w:val="00A65102"/>
    <w:rsid w:val="00A65670"/>
    <w:rsid w:val="00A65E39"/>
    <w:rsid w:val="00A66163"/>
    <w:rsid w:val="00A6649E"/>
    <w:rsid w:val="00A664F3"/>
    <w:rsid w:val="00A66732"/>
    <w:rsid w:val="00A66AFF"/>
    <w:rsid w:val="00A66ED3"/>
    <w:rsid w:val="00A66EF8"/>
    <w:rsid w:val="00A6725B"/>
    <w:rsid w:val="00A67631"/>
    <w:rsid w:val="00A676EE"/>
    <w:rsid w:val="00A67931"/>
    <w:rsid w:val="00A67F1F"/>
    <w:rsid w:val="00A700A8"/>
    <w:rsid w:val="00A703C1"/>
    <w:rsid w:val="00A70605"/>
    <w:rsid w:val="00A708AE"/>
    <w:rsid w:val="00A70945"/>
    <w:rsid w:val="00A709B0"/>
    <w:rsid w:val="00A70B25"/>
    <w:rsid w:val="00A7119C"/>
    <w:rsid w:val="00A7122B"/>
    <w:rsid w:val="00A715E6"/>
    <w:rsid w:val="00A71CE7"/>
    <w:rsid w:val="00A7206F"/>
    <w:rsid w:val="00A72C10"/>
    <w:rsid w:val="00A73134"/>
    <w:rsid w:val="00A731C7"/>
    <w:rsid w:val="00A7323F"/>
    <w:rsid w:val="00A7324F"/>
    <w:rsid w:val="00A7365A"/>
    <w:rsid w:val="00A73B38"/>
    <w:rsid w:val="00A73E6E"/>
    <w:rsid w:val="00A73EC9"/>
    <w:rsid w:val="00A740AA"/>
    <w:rsid w:val="00A7418F"/>
    <w:rsid w:val="00A746DA"/>
    <w:rsid w:val="00A75210"/>
    <w:rsid w:val="00A752CB"/>
    <w:rsid w:val="00A7533A"/>
    <w:rsid w:val="00A75425"/>
    <w:rsid w:val="00A756FC"/>
    <w:rsid w:val="00A7575A"/>
    <w:rsid w:val="00A759F5"/>
    <w:rsid w:val="00A75A39"/>
    <w:rsid w:val="00A75CEE"/>
    <w:rsid w:val="00A75E3C"/>
    <w:rsid w:val="00A75F05"/>
    <w:rsid w:val="00A76001"/>
    <w:rsid w:val="00A76560"/>
    <w:rsid w:val="00A76868"/>
    <w:rsid w:val="00A76AFB"/>
    <w:rsid w:val="00A76B67"/>
    <w:rsid w:val="00A77118"/>
    <w:rsid w:val="00A7725E"/>
    <w:rsid w:val="00A777B2"/>
    <w:rsid w:val="00A77885"/>
    <w:rsid w:val="00A77A4C"/>
    <w:rsid w:val="00A800D1"/>
    <w:rsid w:val="00A80134"/>
    <w:rsid w:val="00A8061A"/>
    <w:rsid w:val="00A8063A"/>
    <w:rsid w:val="00A8074E"/>
    <w:rsid w:val="00A80DCF"/>
    <w:rsid w:val="00A80E3C"/>
    <w:rsid w:val="00A80E7B"/>
    <w:rsid w:val="00A815F9"/>
    <w:rsid w:val="00A816B0"/>
    <w:rsid w:val="00A81A38"/>
    <w:rsid w:val="00A81F02"/>
    <w:rsid w:val="00A822D2"/>
    <w:rsid w:val="00A82326"/>
    <w:rsid w:val="00A82556"/>
    <w:rsid w:val="00A825D4"/>
    <w:rsid w:val="00A82615"/>
    <w:rsid w:val="00A828F6"/>
    <w:rsid w:val="00A82A87"/>
    <w:rsid w:val="00A82AA0"/>
    <w:rsid w:val="00A82B73"/>
    <w:rsid w:val="00A82BCF"/>
    <w:rsid w:val="00A8361F"/>
    <w:rsid w:val="00A83704"/>
    <w:rsid w:val="00A8372E"/>
    <w:rsid w:val="00A838EB"/>
    <w:rsid w:val="00A83D68"/>
    <w:rsid w:val="00A845D7"/>
    <w:rsid w:val="00A845F1"/>
    <w:rsid w:val="00A848D4"/>
    <w:rsid w:val="00A848F3"/>
    <w:rsid w:val="00A84947"/>
    <w:rsid w:val="00A8498D"/>
    <w:rsid w:val="00A84B0B"/>
    <w:rsid w:val="00A84ED7"/>
    <w:rsid w:val="00A851A7"/>
    <w:rsid w:val="00A85322"/>
    <w:rsid w:val="00A85811"/>
    <w:rsid w:val="00A859B8"/>
    <w:rsid w:val="00A85CE7"/>
    <w:rsid w:val="00A86130"/>
    <w:rsid w:val="00A864C9"/>
    <w:rsid w:val="00A86696"/>
    <w:rsid w:val="00A86E8B"/>
    <w:rsid w:val="00A87164"/>
    <w:rsid w:val="00A871A9"/>
    <w:rsid w:val="00A90352"/>
    <w:rsid w:val="00A90FEC"/>
    <w:rsid w:val="00A915CA"/>
    <w:rsid w:val="00A91990"/>
    <w:rsid w:val="00A91A68"/>
    <w:rsid w:val="00A91AEC"/>
    <w:rsid w:val="00A91BF3"/>
    <w:rsid w:val="00A91DEF"/>
    <w:rsid w:val="00A92006"/>
    <w:rsid w:val="00A926BE"/>
    <w:rsid w:val="00A92DDD"/>
    <w:rsid w:val="00A92EB8"/>
    <w:rsid w:val="00A93072"/>
    <w:rsid w:val="00A934F6"/>
    <w:rsid w:val="00A937E8"/>
    <w:rsid w:val="00A93805"/>
    <w:rsid w:val="00A938BD"/>
    <w:rsid w:val="00A93953"/>
    <w:rsid w:val="00A93C0F"/>
    <w:rsid w:val="00A93C8C"/>
    <w:rsid w:val="00A93E83"/>
    <w:rsid w:val="00A93FC7"/>
    <w:rsid w:val="00A94408"/>
    <w:rsid w:val="00A94439"/>
    <w:rsid w:val="00A9458A"/>
    <w:rsid w:val="00A948D8"/>
    <w:rsid w:val="00A94E82"/>
    <w:rsid w:val="00A952D3"/>
    <w:rsid w:val="00A954A9"/>
    <w:rsid w:val="00A95536"/>
    <w:rsid w:val="00A9581E"/>
    <w:rsid w:val="00A95992"/>
    <w:rsid w:val="00A959D8"/>
    <w:rsid w:val="00A95C51"/>
    <w:rsid w:val="00A96508"/>
    <w:rsid w:val="00A9666B"/>
    <w:rsid w:val="00A966F8"/>
    <w:rsid w:val="00A96840"/>
    <w:rsid w:val="00A9697F"/>
    <w:rsid w:val="00A96D7C"/>
    <w:rsid w:val="00A97276"/>
    <w:rsid w:val="00A977E9"/>
    <w:rsid w:val="00A97930"/>
    <w:rsid w:val="00A97985"/>
    <w:rsid w:val="00A97A7D"/>
    <w:rsid w:val="00A97CF5"/>
    <w:rsid w:val="00A97D36"/>
    <w:rsid w:val="00AA010C"/>
    <w:rsid w:val="00AA05C5"/>
    <w:rsid w:val="00AA06E0"/>
    <w:rsid w:val="00AA0795"/>
    <w:rsid w:val="00AA0852"/>
    <w:rsid w:val="00AA0DA2"/>
    <w:rsid w:val="00AA0DAA"/>
    <w:rsid w:val="00AA10D8"/>
    <w:rsid w:val="00AA113D"/>
    <w:rsid w:val="00AA13E5"/>
    <w:rsid w:val="00AA16CD"/>
    <w:rsid w:val="00AA1BA2"/>
    <w:rsid w:val="00AA1CBD"/>
    <w:rsid w:val="00AA28D4"/>
    <w:rsid w:val="00AA2D6A"/>
    <w:rsid w:val="00AA331C"/>
    <w:rsid w:val="00AA3649"/>
    <w:rsid w:val="00AA38AF"/>
    <w:rsid w:val="00AA4272"/>
    <w:rsid w:val="00AA46FD"/>
    <w:rsid w:val="00AA49F8"/>
    <w:rsid w:val="00AA4A30"/>
    <w:rsid w:val="00AA4D4A"/>
    <w:rsid w:val="00AA4D73"/>
    <w:rsid w:val="00AA4FA6"/>
    <w:rsid w:val="00AA53E9"/>
    <w:rsid w:val="00AA549E"/>
    <w:rsid w:val="00AA5854"/>
    <w:rsid w:val="00AA5A23"/>
    <w:rsid w:val="00AA5C8C"/>
    <w:rsid w:val="00AA5DC0"/>
    <w:rsid w:val="00AA6394"/>
    <w:rsid w:val="00AA68A2"/>
    <w:rsid w:val="00AA68CD"/>
    <w:rsid w:val="00AA691F"/>
    <w:rsid w:val="00AA6BD5"/>
    <w:rsid w:val="00AA6BD8"/>
    <w:rsid w:val="00AA6C7D"/>
    <w:rsid w:val="00AA6D4C"/>
    <w:rsid w:val="00AA72CF"/>
    <w:rsid w:val="00AA7590"/>
    <w:rsid w:val="00AA7BC2"/>
    <w:rsid w:val="00AA7E2C"/>
    <w:rsid w:val="00AA7E4D"/>
    <w:rsid w:val="00AA7FD6"/>
    <w:rsid w:val="00AB042A"/>
    <w:rsid w:val="00AB0E81"/>
    <w:rsid w:val="00AB11AD"/>
    <w:rsid w:val="00AB17A8"/>
    <w:rsid w:val="00AB19EF"/>
    <w:rsid w:val="00AB1A68"/>
    <w:rsid w:val="00AB1B7F"/>
    <w:rsid w:val="00AB1CCC"/>
    <w:rsid w:val="00AB1DB9"/>
    <w:rsid w:val="00AB1F38"/>
    <w:rsid w:val="00AB224D"/>
    <w:rsid w:val="00AB2495"/>
    <w:rsid w:val="00AB26ED"/>
    <w:rsid w:val="00AB2D34"/>
    <w:rsid w:val="00AB3430"/>
    <w:rsid w:val="00AB37B9"/>
    <w:rsid w:val="00AB39E7"/>
    <w:rsid w:val="00AB406E"/>
    <w:rsid w:val="00AB429A"/>
    <w:rsid w:val="00AB47C8"/>
    <w:rsid w:val="00AB4AD1"/>
    <w:rsid w:val="00AB4C1C"/>
    <w:rsid w:val="00AB4EB3"/>
    <w:rsid w:val="00AB56A8"/>
    <w:rsid w:val="00AB5ADB"/>
    <w:rsid w:val="00AB5C6C"/>
    <w:rsid w:val="00AB5E07"/>
    <w:rsid w:val="00AB5F2F"/>
    <w:rsid w:val="00AB6253"/>
    <w:rsid w:val="00AB7407"/>
    <w:rsid w:val="00AB7CFA"/>
    <w:rsid w:val="00AC00D6"/>
    <w:rsid w:val="00AC0291"/>
    <w:rsid w:val="00AC03C2"/>
    <w:rsid w:val="00AC1048"/>
    <w:rsid w:val="00AC117A"/>
    <w:rsid w:val="00AC1458"/>
    <w:rsid w:val="00AC195F"/>
    <w:rsid w:val="00AC1D3C"/>
    <w:rsid w:val="00AC24E5"/>
    <w:rsid w:val="00AC25FA"/>
    <w:rsid w:val="00AC27DC"/>
    <w:rsid w:val="00AC283F"/>
    <w:rsid w:val="00AC2BA2"/>
    <w:rsid w:val="00AC32DA"/>
    <w:rsid w:val="00AC3454"/>
    <w:rsid w:val="00AC36D6"/>
    <w:rsid w:val="00AC3922"/>
    <w:rsid w:val="00AC3ED0"/>
    <w:rsid w:val="00AC41B9"/>
    <w:rsid w:val="00AC4448"/>
    <w:rsid w:val="00AC4BA4"/>
    <w:rsid w:val="00AC4E42"/>
    <w:rsid w:val="00AC5B1A"/>
    <w:rsid w:val="00AC5B42"/>
    <w:rsid w:val="00AC5B48"/>
    <w:rsid w:val="00AC5B4E"/>
    <w:rsid w:val="00AC5B9A"/>
    <w:rsid w:val="00AC6376"/>
    <w:rsid w:val="00AC686E"/>
    <w:rsid w:val="00AC6D4E"/>
    <w:rsid w:val="00AC6DDA"/>
    <w:rsid w:val="00AC6E41"/>
    <w:rsid w:val="00AC6E8D"/>
    <w:rsid w:val="00AC6FB4"/>
    <w:rsid w:val="00AC7615"/>
    <w:rsid w:val="00AC7A9D"/>
    <w:rsid w:val="00AC7AB8"/>
    <w:rsid w:val="00AC7C33"/>
    <w:rsid w:val="00AC7E82"/>
    <w:rsid w:val="00AD00D7"/>
    <w:rsid w:val="00AD0B7F"/>
    <w:rsid w:val="00AD0CE7"/>
    <w:rsid w:val="00AD1068"/>
    <w:rsid w:val="00AD1450"/>
    <w:rsid w:val="00AD15E8"/>
    <w:rsid w:val="00AD1670"/>
    <w:rsid w:val="00AD1AC0"/>
    <w:rsid w:val="00AD2008"/>
    <w:rsid w:val="00AD212B"/>
    <w:rsid w:val="00AD27C0"/>
    <w:rsid w:val="00AD27FF"/>
    <w:rsid w:val="00AD29A7"/>
    <w:rsid w:val="00AD2AFE"/>
    <w:rsid w:val="00AD356D"/>
    <w:rsid w:val="00AD3578"/>
    <w:rsid w:val="00AD381C"/>
    <w:rsid w:val="00AD3E3D"/>
    <w:rsid w:val="00AD3EE0"/>
    <w:rsid w:val="00AD415B"/>
    <w:rsid w:val="00AD4386"/>
    <w:rsid w:val="00AD4588"/>
    <w:rsid w:val="00AD458E"/>
    <w:rsid w:val="00AD4A6B"/>
    <w:rsid w:val="00AD4B57"/>
    <w:rsid w:val="00AD58EE"/>
    <w:rsid w:val="00AD5C0E"/>
    <w:rsid w:val="00AD61F2"/>
    <w:rsid w:val="00AD6245"/>
    <w:rsid w:val="00AD6502"/>
    <w:rsid w:val="00AD65A6"/>
    <w:rsid w:val="00AD695B"/>
    <w:rsid w:val="00AD7582"/>
    <w:rsid w:val="00AD7699"/>
    <w:rsid w:val="00AD7872"/>
    <w:rsid w:val="00AD7965"/>
    <w:rsid w:val="00AE02AB"/>
    <w:rsid w:val="00AE04C6"/>
    <w:rsid w:val="00AE0641"/>
    <w:rsid w:val="00AE0695"/>
    <w:rsid w:val="00AE09AA"/>
    <w:rsid w:val="00AE0B51"/>
    <w:rsid w:val="00AE1B75"/>
    <w:rsid w:val="00AE1BB5"/>
    <w:rsid w:val="00AE1BBD"/>
    <w:rsid w:val="00AE1F37"/>
    <w:rsid w:val="00AE244E"/>
    <w:rsid w:val="00AE29A7"/>
    <w:rsid w:val="00AE2B14"/>
    <w:rsid w:val="00AE2D8A"/>
    <w:rsid w:val="00AE3452"/>
    <w:rsid w:val="00AE3858"/>
    <w:rsid w:val="00AE3E7E"/>
    <w:rsid w:val="00AE3FB8"/>
    <w:rsid w:val="00AE4388"/>
    <w:rsid w:val="00AE4C07"/>
    <w:rsid w:val="00AE4F7F"/>
    <w:rsid w:val="00AE51C9"/>
    <w:rsid w:val="00AE534B"/>
    <w:rsid w:val="00AE55FF"/>
    <w:rsid w:val="00AE593D"/>
    <w:rsid w:val="00AE59A5"/>
    <w:rsid w:val="00AE5D8C"/>
    <w:rsid w:val="00AE643D"/>
    <w:rsid w:val="00AE6A64"/>
    <w:rsid w:val="00AE6AC0"/>
    <w:rsid w:val="00AE6BF5"/>
    <w:rsid w:val="00AE6E23"/>
    <w:rsid w:val="00AE73ED"/>
    <w:rsid w:val="00AE7E2F"/>
    <w:rsid w:val="00AE7E53"/>
    <w:rsid w:val="00AE7EBA"/>
    <w:rsid w:val="00AE7F27"/>
    <w:rsid w:val="00AF003E"/>
    <w:rsid w:val="00AF0546"/>
    <w:rsid w:val="00AF05A8"/>
    <w:rsid w:val="00AF0839"/>
    <w:rsid w:val="00AF11F9"/>
    <w:rsid w:val="00AF1315"/>
    <w:rsid w:val="00AF1433"/>
    <w:rsid w:val="00AF18C3"/>
    <w:rsid w:val="00AF190E"/>
    <w:rsid w:val="00AF19BF"/>
    <w:rsid w:val="00AF1BE4"/>
    <w:rsid w:val="00AF2176"/>
    <w:rsid w:val="00AF21E3"/>
    <w:rsid w:val="00AF21EE"/>
    <w:rsid w:val="00AF245F"/>
    <w:rsid w:val="00AF26D1"/>
    <w:rsid w:val="00AF2947"/>
    <w:rsid w:val="00AF2D2B"/>
    <w:rsid w:val="00AF2DC3"/>
    <w:rsid w:val="00AF2E13"/>
    <w:rsid w:val="00AF2E8C"/>
    <w:rsid w:val="00AF3134"/>
    <w:rsid w:val="00AF31F9"/>
    <w:rsid w:val="00AF37A3"/>
    <w:rsid w:val="00AF3FCD"/>
    <w:rsid w:val="00AF40E2"/>
    <w:rsid w:val="00AF42F7"/>
    <w:rsid w:val="00AF44F4"/>
    <w:rsid w:val="00AF454C"/>
    <w:rsid w:val="00AF4F22"/>
    <w:rsid w:val="00AF57BC"/>
    <w:rsid w:val="00AF5DA4"/>
    <w:rsid w:val="00AF65D0"/>
    <w:rsid w:val="00AF6851"/>
    <w:rsid w:val="00AF70BA"/>
    <w:rsid w:val="00AF7982"/>
    <w:rsid w:val="00AF79D4"/>
    <w:rsid w:val="00AF7B45"/>
    <w:rsid w:val="00AF7EBF"/>
    <w:rsid w:val="00B001F6"/>
    <w:rsid w:val="00B004DC"/>
    <w:rsid w:val="00B004E4"/>
    <w:rsid w:val="00B007B7"/>
    <w:rsid w:val="00B00A3F"/>
    <w:rsid w:val="00B00B49"/>
    <w:rsid w:val="00B012BF"/>
    <w:rsid w:val="00B0160B"/>
    <w:rsid w:val="00B01785"/>
    <w:rsid w:val="00B02055"/>
    <w:rsid w:val="00B020E8"/>
    <w:rsid w:val="00B02220"/>
    <w:rsid w:val="00B02269"/>
    <w:rsid w:val="00B02615"/>
    <w:rsid w:val="00B02F75"/>
    <w:rsid w:val="00B031BE"/>
    <w:rsid w:val="00B033E5"/>
    <w:rsid w:val="00B0343A"/>
    <w:rsid w:val="00B03A63"/>
    <w:rsid w:val="00B03B0F"/>
    <w:rsid w:val="00B04A3C"/>
    <w:rsid w:val="00B04A66"/>
    <w:rsid w:val="00B04F60"/>
    <w:rsid w:val="00B0576E"/>
    <w:rsid w:val="00B0580E"/>
    <w:rsid w:val="00B05C76"/>
    <w:rsid w:val="00B06180"/>
    <w:rsid w:val="00B068EE"/>
    <w:rsid w:val="00B06DBB"/>
    <w:rsid w:val="00B07027"/>
    <w:rsid w:val="00B070EF"/>
    <w:rsid w:val="00B07265"/>
    <w:rsid w:val="00B076B6"/>
    <w:rsid w:val="00B07822"/>
    <w:rsid w:val="00B07F62"/>
    <w:rsid w:val="00B1005A"/>
    <w:rsid w:val="00B101CB"/>
    <w:rsid w:val="00B10727"/>
    <w:rsid w:val="00B10964"/>
    <w:rsid w:val="00B10D03"/>
    <w:rsid w:val="00B10EA9"/>
    <w:rsid w:val="00B116B1"/>
    <w:rsid w:val="00B117F1"/>
    <w:rsid w:val="00B119E9"/>
    <w:rsid w:val="00B11A20"/>
    <w:rsid w:val="00B11F15"/>
    <w:rsid w:val="00B122DD"/>
    <w:rsid w:val="00B12333"/>
    <w:rsid w:val="00B123E5"/>
    <w:rsid w:val="00B123EE"/>
    <w:rsid w:val="00B12917"/>
    <w:rsid w:val="00B12975"/>
    <w:rsid w:val="00B129A4"/>
    <w:rsid w:val="00B129F4"/>
    <w:rsid w:val="00B12CB8"/>
    <w:rsid w:val="00B12DC3"/>
    <w:rsid w:val="00B12E9F"/>
    <w:rsid w:val="00B12EF6"/>
    <w:rsid w:val="00B1301D"/>
    <w:rsid w:val="00B13481"/>
    <w:rsid w:val="00B13736"/>
    <w:rsid w:val="00B138D6"/>
    <w:rsid w:val="00B13C29"/>
    <w:rsid w:val="00B13D74"/>
    <w:rsid w:val="00B1446E"/>
    <w:rsid w:val="00B145A0"/>
    <w:rsid w:val="00B14769"/>
    <w:rsid w:val="00B14CA1"/>
    <w:rsid w:val="00B14F18"/>
    <w:rsid w:val="00B15229"/>
    <w:rsid w:val="00B15371"/>
    <w:rsid w:val="00B153C7"/>
    <w:rsid w:val="00B1556A"/>
    <w:rsid w:val="00B15A5E"/>
    <w:rsid w:val="00B162D4"/>
    <w:rsid w:val="00B1649B"/>
    <w:rsid w:val="00B168EA"/>
    <w:rsid w:val="00B16AA7"/>
    <w:rsid w:val="00B16C86"/>
    <w:rsid w:val="00B16F83"/>
    <w:rsid w:val="00B1724B"/>
    <w:rsid w:val="00B178C3"/>
    <w:rsid w:val="00B17B01"/>
    <w:rsid w:val="00B17C2B"/>
    <w:rsid w:val="00B201A4"/>
    <w:rsid w:val="00B201D1"/>
    <w:rsid w:val="00B203F5"/>
    <w:rsid w:val="00B206B6"/>
    <w:rsid w:val="00B20940"/>
    <w:rsid w:val="00B20C63"/>
    <w:rsid w:val="00B20FCA"/>
    <w:rsid w:val="00B213A6"/>
    <w:rsid w:val="00B21A24"/>
    <w:rsid w:val="00B21B18"/>
    <w:rsid w:val="00B21FD9"/>
    <w:rsid w:val="00B220AD"/>
    <w:rsid w:val="00B22110"/>
    <w:rsid w:val="00B2212B"/>
    <w:rsid w:val="00B22B37"/>
    <w:rsid w:val="00B22FF5"/>
    <w:rsid w:val="00B235B0"/>
    <w:rsid w:val="00B23E97"/>
    <w:rsid w:val="00B247B5"/>
    <w:rsid w:val="00B247ED"/>
    <w:rsid w:val="00B24DF6"/>
    <w:rsid w:val="00B25218"/>
    <w:rsid w:val="00B252D1"/>
    <w:rsid w:val="00B25327"/>
    <w:rsid w:val="00B25329"/>
    <w:rsid w:val="00B25751"/>
    <w:rsid w:val="00B25B39"/>
    <w:rsid w:val="00B25C47"/>
    <w:rsid w:val="00B25EED"/>
    <w:rsid w:val="00B261BA"/>
    <w:rsid w:val="00B2626E"/>
    <w:rsid w:val="00B26442"/>
    <w:rsid w:val="00B265EA"/>
    <w:rsid w:val="00B26AE2"/>
    <w:rsid w:val="00B27624"/>
    <w:rsid w:val="00B2796A"/>
    <w:rsid w:val="00B279F4"/>
    <w:rsid w:val="00B27A61"/>
    <w:rsid w:val="00B27C63"/>
    <w:rsid w:val="00B3038C"/>
    <w:rsid w:val="00B304F4"/>
    <w:rsid w:val="00B308CA"/>
    <w:rsid w:val="00B30D55"/>
    <w:rsid w:val="00B313A5"/>
    <w:rsid w:val="00B319BC"/>
    <w:rsid w:val="00B31A5A"/>
    <w:rsid w:val="00B31B50"/>
    <w:rsid w:val="00B31F5E"/>
    <w:rsid w:val="00B321CD"/>
    <w:rsid w:val="00B324AE"/>
    <w:rsid w:val="00B32576"/>
    <w:rsid w:val="00B32AEA"/>
    <w:rsid w:val="00B32AF1"/>
    <w:rsid w:val="00B32C94"/>
    <w:rsid w:val="00B33226"/>
    <w:rsid w:val="00B333EC"/>
    <w:rsid w:val="00B33450"/>
    <w:rsid w:val="00B3396F"/>
    <w:rsid w:val="00B33DC0"/>
    <w:rsid w:val="00B34CD3"/>
    <w:rsid w:val="00B34FE2"/>
    <w:rsid w:val="00B35166"/>
    <w:rsid w:val="00B35421"/>
    <w:rsid w:val="00B356D4"/>
    <w:rsid w:val="00B357D8"/>
    <w:rsid w:val="00B3593A"/>
    <w:rsid w:val="00B360F4"/>
    <w:rsid w:val="00B363A6"/>
    <w:rsid w:val="00B36637"/>
    <w:rsid w:val="00B3682A"/>
    <w:rsid w:val="00B36A00"/>
    <w:rsid w:val="00B372C9"/>
    <w:rsid w:val="00B37485"/>
    <w:rsid w:val="00B374A2"/>
    <w:rsid w:val="00B37844"/>
    <w:rsid w:val="00B3792B"/>
    <w:rsid w:val="00B37AD9"/>
    <w:rsid w:val="00B37BFC"/>
    <w:rsid w:val="00B37F9A"/>
    <w:rsid w:val="00B400F5"/>
    <w:rsid w:val="00B40358"/>
    <w:rsid w:val="00B406EA"/>
    <w:rsid w:val="00B40BD5"/>
    <w:rsid w:val="00B40DA8"/>
    <w:rsid w:val="00B41614"/>
    <w:rsid w:val="00B416D6"/>
    <w:rsid w:val="00B417D1"/>
    <w:rsid w:val="00B41E10"/>
    <w:rsid w:val="00B420EA"/>
    <w:rsid w:val="00B42851"/>
    <w:rsid w:val="00B42ADC"/>
    <w:rsid w:val="00B42F80"/>
    <w:rsid w:val="00B43580"/>
    <w:rsid w:val="00B435CB"/>
    <w:rsid w:val="00B44168"/>
    <w:rsid w:val="00B445C8"/>
    <w:rsid w:val="00B446DB"/>
    <w:rsid w:val="00B44839"/>
    <w:rsid w:val="00B4485C"/>
    <w:rsid w:val="00B44AFF"/>
    <w:rsid w:val="00B44C2F"/>
    <w:rsid w:val="00B45086"/>
    <w:rsid w:val="00B4512B"/>
    <w:rsid w:val="00B4524A"/>
    <w:rsid w:val="00B4567D"/>
    <w:rsid w:val="00B457B3"/>
    <w:rsid w:val="00B4585D"/>
    <w:rsid w:val="00B45B37"/>
    <w:rsid w:val="00B45C17"/>
    <w:rsid w:val="00B461BC"/>
    <w:rsid w:val="00B462C9"/>
    <w:rsid w:val="00B4635B"/>
    <w:rsid w:val="00B465EC"/>
    <w:rsid w:val="00B46B37"/>
    <w:rsid w:val="00B46CC2"/>
    <w:rsid w:val="00B46D9E"/>
    <w:rsid w:val="00B46DEC"/>
    <w:rsid w:val="00B471D3"/>
    <w:rsid w:val="00B474FF"/>
    <w:rsid w:val="00B47A6A"/>
    <w:rsid w:val="00B47B09"/>
    <w:rsid w:val="00B47EF3"/>
    <w:rsid w:val="00B5011E"/>
    <w:rsid w:val="00B502AB"/>
    <w:rsid w:val="00B505C8"/>
    <w:rsid w:val="00B50C19"/>
    <w:rsid w:val="00B50DB8"/>
    <w:rsid w:val="00B51079"/>
    <w:rsid w:val="00B511AF"/>
    <w:rsid w:val="00B51545"/>
    <w:rsid w:val="00B51D6B"/>
    <w:rsid w:val="00B51DEA"/>
    <w:rsid w:val="00B523E4"/>
    <w:rsid w:val="00B5249B"/>
    <w:rsid w:val="00B52733"/>
    <w:rsid w:val="00B527D8"/>
    <w:rsid w:val="00B52804"/>
    <w:rsid w:val="00B528CF"/>
    <w:rsid w:val="00B52ED2"/>
    <w:rsid w:val="00B5344F"/>
    <w:rsid w:val="00B5356A"/>
    <w:rsid w:val="00B53654"/>
    <w:rsid w:val="00B53905"/>
    <w:rsid w:val="00B53926"/>
    <w:rsid w:val="00B53BD4"/>
    <w:rsid w:val="00B54184"/>
    <w:rsid w:val="00B546DB"/>
    <w:rsid w:val="00B54705"/>
    <w:rsid w:val="00B54903"/>
    <w:rsid w:val="00B5498E"/>
    <w:rsid w:val="00B54B5B"/>
    <w:rsid w:val="00B54C2C"/>
    <w:rsid w:val="00B54DA8"/>
    <w:rsid w:val="00B55066"/>
    <w:rsid w:val="00B55296"/>
    <w:rsid w:val="00B5556F"/>
    <w:rsid w:val="00B5562E"/>
    <w:rsid w:val="00B55862"/>
    <w:rsid w:val="00B558C6"/>
    <w:rsid w:val="00B55D65"/>
    <w:rsid w:val="00B55EFB"/>
    <w:rsid w:val="00B56305"/>
    <w:rsid w:val="00B56C43"/>
    <w:rsid w:val="00B56D69"/>
    <w:rsid w:val="00B57000"/>
    <w:rsid w:val="00B572BD"/>
    <w:rsid w:val="00B57464"/>
    <w:rsid w:val="00B5775C"/>
    <w:rsid w:val="00B57AE3"/>
    <w:rsid w:val="00B57CCD"/>
    <w:rsid w:val="00B6009E"/>
    <w:rsid w:val="00B6068F"/>
    <w:rsid w:val="00B60707"/>
    <w:rsid w:val="00B60939"/>
    <w:rsid w:val="00B60AFD"/>
    <w:rsid w:val="00B60BB5"/>
    <w:rsid w:val="00B61174"/>
    <w:rsid w:val="00B6160D"/>
    <w:rsid w:val="00B61E33"/>
    <w:rsid w:val="00B621B8"/>
    <w:rsid w:val="00B62715"/>
    <w:rsid w:val="00B63039"/>
    <w:rsid w:val="00B6308F"/>
    <w:rsid w:val="00B63451"/>
    <w:rsid w:val="00B63895"/>
    <w:rsid w:val="00B63FF9"/>
    <w:rsid w:val="00B648C4"/>
    <w:rsid w:val="00B64C39"/>
    <w:rsid w:val="00B64D68"/>
    <w:rsid w:val="00B64D81"/>
    <w:rsid w:val="00B64EC4"/>
    <w:rsid w:val="00B653BF"/>
    <w:rsid w:val="00B65611"/>
    <w:rsid w:val="00B66945"/>
    <w:rsid w:val="00B66AFE"/>
    <w:rsid w:val="00B66C91"/>
    <w:rsid w:val="00B66EE3"/>
    <w:rsid w:val="00B67012"/>
    <w:rsid w:val="00B67388"/>
    <w:rsid w:val="00B676F9"/>
    <w:rsid w:val="00B67C17"/>
    <w:rsid w:val="00B67EA7"/>
    <w:rsid w:val="00B67F2B"/>
    <w:rsid w:val="00B70238"/>
    <w:rsid w:val="00B70473"/>
    <w:rsid w:val="00B70A0F"/>
    <w:rsid w:val="00B70E8E"/>
    <w:rsid w:val="00B710B7"/>
    <w:rsid w:val="00B71186"/>
    <w:rsid w:val="00B71195"/>
    <w:rsid w:val="00B72503"/>
    <w:rsid w:val="00B7266D"/>
    <w:rsid w:val="00B726D7"/>
    <w:rsid w:val="00B728F5"/>
    <w:rsid w:val="00B72C69"/>
    <w:rsid w:val="00B73E18"/>
    <w:rsid w:val="00B74AFA"/>
    <w:rsid w:val="00B74CB5"/>
    <w:rsid w:val="00B74E38"/>
    <w:rsid w:val="00B75920"/>
    <w:rsid w:val="00B759F4"/>
    <w:rsid w:val="00B76109"/>
    <w:rsid w:val="00B7683E"/>
    <w:rsid w:val="00B76A65"/>
    <w:rsid w:val="00B76C10"/>
    <w:rsid w:val="00B76C92"/>
    <w:rsid w:val="00B76E3C"/>
    <w:rsid w:val="00B7729C"/>
    <w:rsid w:val="00B773D6"/>
    <w:rsid w:val="00B775DB"/>
    <w:rsid w:val="00B776FC"/>
    <w:rsid w:val="00B77841"/>
    <w:rsid w:val="00B8061A"/>
    <w:rsid w:val="00B80984"/>
    <w:rsid w:val="00B80EFD"/>
    <w:rsid w:val="00B813F2"/>
    <w:rsid w:val="00B814A6"/>
    <w:rsid w:val="00B8151B"/>
    <w:rsid w:val="00B818A4"/>
    <w:rsid w:val="00B818E3"/>
    <w:rsid w:val="00B81A1E"/>
    <w:rsid w:val="00B81BA7"/>
    <w:rsid w:val="00B81EFA"/>
    <w:rsid w:val="00B823E3"/>
    <w:rsid w:val="00B82643"/>
    <w:rsid w:val="00B8286B"/>
    <w:rsid w:val="00B82B01"/>
    <w:rsid w:val="00B8367A"/>
    <w:rsid w:val="00B836EC"/>
    <w:rsid w:val="00B83739"/>
    <w:rsid w:val="00B83895"/>
    <w:rsid w:val="00B83BD8"/>
    <w:rsid w:val="00B84117"/>
    <w:rsid w:val="00B84390"/>
    <w:rsid w:val="00B84A49"/>
    <w:rsid w:val="00B8500C"/>
    <w:rsid w:val="00B854D2"/>
    <w:rsid w:val="00B85807"/>
    <w:rsid w:val="00B858F0"/>
    <w:rsid w:val="00B85AA2"/>
    <w:rsid w:val="00B8649C"/>
    <w:rsid w:val="00B8695D"/>
    <w:rsid w:val="00B869B1"/>
    <w:rsid w:val="00B87145"/>
    <w:rsid w:val="00B87170"/>
    <w:rsid w:val="00B873A1"/>
    <w:rsid w:val="00B8783A"/>
    <w:rsid w:val="00B87C8F"/>
    <w:rsid w:val="00B87D2E"/>
    <w:rsid w:val="00B87F0A"/>
    <w:rsid w:val="00B900C5"/>
    <w:rsid w:val="00B904F0"/>
    <w:rsid w:val="00B90DE8"/>
    <w:rsid w:val="00B90F0E"/>
    <w:rsid w:val="00B91326"/>
    <w:rsid w:val="00B91CA9"/>
    <w:rsid w:val="00B92D0B"/>
    <w:rsid w:val="00B92FBD"/>
    <w:rsid w:val="00B92FDF"/>
    <w:rsid w:val="00B931B5"/>
    <w:rsid w:val="00B93460"/>
    <w:rsid w:val="00B940F1"/>
    <w:rsid w:val="00B94414"/>
    <w:rsid w:val="00B94945"/>
    <w:rsid w:val="00B94D98"/>
    <w:rsid w:val="00B94D9B"/>
    <w:rsid w:val="00B94DD6"/>
    <w:rsid w:val="00B9516C"/>
    <w:rsid w:val="00B951E9"/>
    <w:rsid w:val="00B955F1"/>
    <w:rsid w:val="00B95C52"/>
    <w:rsid w:val="00B95E2D"/>
    <w:rsid w:val="00B96085"/>
    <w:rsid w:val="00B972BC"/>
    <w:rsid w:val="00B97509"/>
    <w:rsid w:val="00B9786F"/>
    <w:rsid w:val="00B97887"/>
    <w:rsid w:val="00B97C5C"/>
    <w:rsid w:val="00BA06D0"/>
    <w:rsid w:val="00BA0871"/>
    <w:rsid w:val="00BA0E53"/>
    <w:rsid w:val="00BA10DF"/>
    <w:rsid w:val="00BA13CE"/>
    <w:rsid w:val="00BA1583"/>
    <w:rsid w:val="00BA184F"/>
    <w:rsid w:val="00BA1D55"/>
    <w:rsid w:val="00BA2112"/>
    <w:rsid w:val="00BA2288"/>
    <w:rsid w:val="00BA245D"/>
    <w:rsid w:val="00BA31AB"/>
    <w:rsid w:val="00BA322D"/>
    <w:rsid w:val="00BA374A"/>
    <w:rsid w:val="00BA379D"/>
    <w:rsid w:val="00BA390B"/>
    <w:rsid w:val="00BA399C"/>
    <w:rsid w:val="00BA3DC0"/>
    <w:rsid w:val="00BA41B1"/>
    <w:rsid w:val="00BA41FA"/>
    <w:rsid w:val="00BA451F"/>
    <w:rsid w:val="00BA47DA"/>
    <w:rsid w:val="00BA49C7"/>
    <w:rsid w:val="00BA4C3F"/>
    <w:rsid w:val="00BA51D1"/>
    <w:rsid w:val="00BA5405"/>
    <w:rsid w:val="00BA5B0E"/>
    <w:rsid w:val="00BA5E28"/>
    <w:rsid w:val="00BA5EDE"/>
    <w:rsid w:val="00BA6028"/>
    <w:rsid w:val="00BA61C7"/>
    <w:rsid w:val="00BA63FA"/>
    <w:rsid w:val="00BA645F"/>
    <w:rsid w:val="00BA6B39"/>
    <w:rsid w:val="00BA6C13"/>
    <w:rsid w:val="00BA6D11"/>
    <w:rsid w:val="00BA6D63"/>
    <w:rsid w:val="00BA6FC8"/>
    <w:rsid w:val="00BA738D"/>
    <w:rsid w:val="00BA7609"/>
    <w:rsid w:val="00BA77DE"/>
    <w:rsid w:val="00BA7D51"/>
    <w:rsid w:val="00BA7D53"/>
    <w:rsid w:val="00BA7FEF"/>
    <w:rsid w:val="00BB003D"/>
    <w:rsid w:val="00BB00B3"/>
    <w:rsid w:val="00BB0BDD"/>
    <w:rsid w:val="00BB0D5D"/>
    <w:rsid w:val="00BB0E88"/>
    <w:rsid w:val="00BB1121"/>
    <w:rsid w:val="00BB1508"/>
    <w:rsid w:val="00BB15C3"/>
    <w:rsid w:val="00BB176C"/>
    <w:rsid w:val="00BB1B6F"/>
    <w:rsid w:val="00BB1D92"/>
    <w:rsid w:val="00BB1DDF"/>
    <w:rsid w:val="00BB22A4"/>
    <w:rsid w:val="00BB2460"/>
    <w:rsid w:val="00BB258A"/>
    <w:rsid w:val="00BB293E"/>
    <w:rsid w:val="00BB2A73"/>
    <w:rsid w:val="00BB2E3D"/>
    <w:rsid w:val="00BB3374"/>
    <w:rsid w:val="00BB38CE"/>
    <w:rsid w:val="00BB3A45"/>
    <w:rsid w:val="00BB3D50"/>
    <w:rsid w:val="00BB412E"/>
    <w:rsid w:val="00BB439C"/>
    <w:rsid w:val="00BB46CD"/>
    <w:rsid w:val="00BB488C"/>
    <w:rsid w:val="00BB498D"/>
    <w:rsid w:val="00BB4ACC"/>
    <w:rsid w:val="00BB4E40"/>
    <w:rsid w:val="00BB56F3"/>
    <w:rsid w:val="00BB59CC"/>
    <w:rsid w:val="00BB5BD2"/>
    <w:rsid w:val="00BB62DF"/>
    <w:rsid w:val="00BB6601"/>
    <w:rsid w:val="00BB6872"/>
    <w:rsid w:val="00BB6C41"/>
    <w:rsid w:val="00BB703E"/>
    <w:rsid w:val="00BB709E"/>
    <w:rsid w:val="00BB732D"/>
    <w:rsid w:val="00BB7405"/>
    <w:rsid w:val="00BB7422"/>
    <w:rsid w:val="00BB74D1"/>
    <w:rsid w:val="00BB76A1"/>
    <w:rsid w:val="00BC0239"/>
    <w:rsid w:val="00BC0430"/>
    <w:rsid w:val="00BC0A27"/>
    <w:rsid w:val="00BC0C9F"/>
    <w:rsid w:val="00BC127E"/>
    <w:rsid w:val="00BC15B2"/>
    <w:rsid w:val="00BC1A97"/>
    <w:rsid w:val="00BC1BF9"/>
    <w:rsid w:val="00BC26ED"/>
    <w:rsid w:val="00BC2A23"/>
    <w:rsid w:val="00BC2C91"/>
    <w:rsid w:val="00BC3631"/>
    <w:rsid w:val="00BC38AC"/>
    <w:rsid w:val="00BC39F2"/>
    <w:rsid w:val="00BC3A6C"/>
    <w:rsid w:val="00BC3BBD"/>
    <w:rsid w:val="00BC4336"/>
    <w:rsid w:val="00BC4439"/>
    <w:rsid w:val="00BC4999"/>
    <w:rsid w:val="00BC4C33"/>
    <w:rsid w:val="00BC5160"/>
    <w:rsid w:val="00BC5312"/>
    <w:rsid w:val="00BC54F3"/>
    <w:rsid w:val="00BC58D9"/>
    <w:rsid w:val="00BC591F"/>
    <w:rsid w:val="00BC5BE5"/>
    <w:rsid w:val="00BC5C4F"/>
    <w:rsid w:val="00BC5FF5"/>
    <w:rsid w:val="00BC6451"/>
    <w:rsid w:val="00BC64E4"/>
    <w:rsid w:val="00BC6BCD"/>
    <w:rsid w:val="00BC7D3B"/>
    <w:rsid w:val="00BC7D3D"/>
    <w:rsid w:val="00BC7D6D"/>
    <w:rsid w:val="00BC7E8B"/>
    <w:rsid w:val="00BD0066"/>
    <w:rsid w:val="00BD0187"/>
    <w:rsid w:val="00BD03E3"/>
    <w:rsid w:val="00BD0FCC"/>
    <w:rsid w:val="00BD150F"/>
    <w:rsid w:val="00BD1C2F"/>
    <w:rsid w:val="00BD1D44"/>
    <w:rsid w:val="00BD1EF1"/>
    <w:rsid w:val="00BD2108"/>
    <w:rsid w:val="00BD2157"/>
    <w:rsid w:val="00BD232B"/>
    <w:rsid w:val="00BD2330"/>
    <w:rsid w:val="00BD27A7"/>
    <w:rsid w:val="00BD2AB7"/>
    <w:rsid w:val="00BD2F31"/>
    <w:rsid w:val="00BD317E"/>
    <w:rsid w:val="00BD31F4"/>
    <w:rsid w:val="00BD3718"/>
    <w:rsid w:val="00BD3781"/>
    <w:rsid w:val="00BD389F"/>
    <w:rsid w:val="00BD3A4F"/>
    <w:rsid w:val="00BD3C63"/>
    <w:rsid w:val="00BD4529"/>
    <w:rsid w:val="00BD45C7"/>
    <w:rsid w:val="00BD4752"/>
    <w:rsid w:val="00BD4B84"/>
    <w:rsid w:val="00BD4F6B"/>
    <w:rsid w:val="00BD5148"/>
    <w:rsid w:val="00BD52A2"/>
    <w:rsid w:val="00BD5BEE"/>
    <w:rsid w:val="00BD5EE8"/>
    <w:rsid w:val="00BD61BD"/>
    <w:rsid w:val="00BD6306"/>
    <w:rsid w:val="00BD6361"/>
    <w:rsid w:val="00BD68A3"/>
    <w:rsid w:val="00BD6938"/>
    <w:rsid w:val="00BD6CF3"/>
    <w:rsid w:val="00BD6D59"/>
    <w:rsid w:val="00BD6FF9"/>
    <w:rsid w:val="00BD75A2"/>
    <w:rsid w:val="00BD7898"/>
    <w:rsid w:val="00BD7F72"/>
    <w:rsid w:val="00BD7F7B"/>
    <w:rsid w:val="00BE00F5"/>
    <w:rsid w:val="00BE065E"/>
    <w:rsid w:val="00BE069B"/>
    <w:rsid w:val="00BE09A3"/>
    <w:rsid w:val="00BE0B51"/>
    <w:rsid w:val="00BE0C82"/>
    <w:rsid w:val="00BE0ECA"/>
    <w:rsid w:val="00BE1596"/>
    <w:rsid w:val="00BE2180"/>
    <w:rsid w:val="00BE21F2"/>
    <w:rsid w:val="00BE266A"/>
    <w:rsid w:val="00BE2DCF"/>
    <w:rsid w:val="00BE3603"/>
    <w:rsid w:val="00BE3F40"/>
    <w:rsid w:val="00BE3FB7"/>
    <w:rsid w:val="00BE414E"/>
    <w:rsid w:val="00BE4275"/>
    <w:rsid w:val="00BE4C23"/>
    <w:rsid w:val="00BE4F77"/>
    <w:rsid w:val="00BE50B3"/>
    <w:rsid w:val="00BE52C7"/>
    <w:rsid w:val="00BE5374"/>
    <w:rsid w:val="00BE5385"/>
    <w:rsid w:val="00BE544B"/>
    <w:rsid w:val="00BE54EE"/>
    <w:rsid w:val="00BE5744"/>
    <w:rsid w:val="00BE5B0C"/>
    <w:rsid w:val="00BE5B6A"/>
    <w:rsid w:val="00BE618D"/>
    <w:rsid w:val="00BE65AD"/>
    <w:rsid w:val="00BE6934"/>
    <w:rsid w:val="00BE6A31"/>
    <w:rsid w:val="00BE6CB5"/>
    <w:rsid w:val="00BE6E2B"/>
    <w:rsid w:val="00BE77F4"/>
    <w:rsid w:val="00BE7841"/>
    <w:rsid w:val="00BE7A50"/>
    <w:rsid w:val="00BE7F16"/>
    <w:rsid w:val="00BE7FE3"/>
    <w:rsid w:val="00BF053A"/>
    <w:rsid w:val="00BF059A"/>
    <w:rsid w:val="00BF06AE"/>
    <w:rsid w:val="00BF0A56"/>
    <w:rsid w:val="00BF0CBF"/>
    <w:rsid w:val="00BF0D5A"/>
    <w:rsid w:val="00BF0D5F"/>
    <w:rsid w:val="00BF0F01"/>
    <w:rsid w:val="00BF0F95"/>
    <w:rsid w:val="00BF18CA"/>
    <w:rsid w:val="00BF1C1B"/>
    <w:rsid w:val="00BF2080"/>
    <w:rsid w:val="00BF2433"/>
    <w:rsid w:val="00BF269F"/>
    <w:rsid w:val="00BF2B96"/>
    <w:rsid w:val="00BF2E6E"/>
    <w:rsid w:val="00BF35C8"/>
    <w:rsid w:val="00BF38B7"/>
    <w:rsid w:val="00BF391E"/>
    <w:rsid w:val="00BF400B"/>
    <w:rsid w:val="00BF41E3"/>
    <w:rsid w:val="00BF472F"/>
    <w:rsid w:val="00BF483C"/>
    <w:rsid w:val="00BF49D7"/>
    <w:rsid w:val="00BF4F59"/>
    <w:rsid w:val="00BF5041"/>
    <w:rsid w:val="00BF5EF1"/>
    <w:rsid w:val="00BF61C9"/>
    <w:rsid w:val="00BF6314"/>
    <w:rsid w:val="00BF6603"/>
    <w:rsid w:val="00BF6AD9"/>
    <w:rsid w:val="00BF6B79"/>
    <w:rsid w:val="00BF6BF8"/>
    <w:rsid w:val="00BF6C94"/>
    <w:rsid w:val="00BF6EB0"/>
    <w:rsid w:val="00BF7011"/>
    <w:rsid w:val="00BF7561"/>
    <w:rsid w:val="00BF79C3"/>
    <w:rsid w:val="00BF7DEF"/>
    <w:rsid w:val="00C00424"/>
    <w:rsid w:val="00C008BC"/>
    <w:rsid w:val="00C0092F"/>
    <w:rsid w:val="00C00BB0"/>
    <w:rsid w:val="00C00D94"/>
    <w:rsid w:val="00C00FAD"/>
    <w:rsid w:val="00C01577"/>
    <w:rsid w:val="00C017BE"/>
    <w:rsid w:val="00C0198D"/>
    <w:rsid w:val="00C01C95"/>
    <w:rsid w:val="00C020DD"/>
    <w:rsid w:val="00C0219E"/>
    <w:rsid w:val="00C02278"/>
    <w:rsid w:val="00C026DE"/>
    <w:rsid w:val="00C029EB"/>
    <w:rsid w:val="00C02E59"/>
    <w:rsid w:val="00C03262"/>
    <w:rsid w:val="00C033A0"/>
    <w:rsid w:val="00C033B2"/>
    <w:rsid w:val="00C04121"/>
    <w:rsid w:val="00C0429D"/>
    <w:rsid w:val="00C04C4C"/>
    <w:rsid w:val="00C04CC1"/>
    <w:rsid w:val="00C05093"/>
    <w:rsid w:val="00C054F8"/>
    <w:rsid w:val="00C0558F"/>
    <w:rsid w:val="00C05C05"/>
    <w:rsid w:val="00C05C9B"/>
    <w:rsid w:val="00C05DAE"/>
    <w:rsid w:val="00C0651E"/>
    <w:rsid w:val="00C0654E"/>
    <w:rsid w:val="00C06F15"/>
    <w:rsid w:val="00C07482"/>
    <w:rsid w:val="00C078AB"/>
    <w:rsid w:val="00C07D2C"/>
    <w:rsid w:val="00C10453"/>
    <w:rsid w:val="00C106A2"/>
    <w:rsid w:val="00C1073B"/>
    <w:rsid w:val="00C11674"/>
    <w:rsid w:val="00C1179F"/>
    <w:rsid w:val="00C11B5C"/>
    <w:rsid w:val="00C11CEE"/>
    <w:rsid w:val="00C12000"/>
    <w:rsid w:val="00C1200A"/>
    <w:rsid w:val="00C12798"/>
    <w:rsid w:val="00C127B9"/>
    <w:rsid w:val="00C128D0"/>
    <w:rsid w:val="00C128FA"/>
    <w:rsid w:val="00C12B55"/>
    <w:rsid w:val="00C12C14"/>
    <w:rsid w:val="00C12E09"/>
    <w:rsid w:val="00C1311D"/>
    <w:rsid w:val="00C13850"/>
    <w:rsid w:val="00C13920"/>
    <w:rsid w:val="00C13D15"/>
    <w:rsid w:val="00C13E6F"/>
    <w:rsid w:val="00C14829"/>
    <w:rsid w:val="00C14D0B"/>
    <w:rsid w:val="00C1507D"/>
    <w:rsid w:val="00C15205"/>
    <w:rsid w:val="00C152F5"/>
    <w:rsid w:val="00C155AC"/>
    <w:rsid w:val="00C15F04"/>
    <w:rsid w:val="00C163AE"/>
    <w:rsid w:val="00C16669"/>
    <w:rsid w:val="00C16731"/>
    <w:rsid w:val="00C17240"/>
    <w:rsid w:val="00C173A0"/>
    <w:rsid w:val="00C179B3"/>
    <w:rsid w:val="00C17AAA"/>
    <w:rsid w:val="00C17DC2"/>
    <w:rsid w:val="00C17E3F"/>
    <w:rsid w:val="00C200AA"/>
    <w:rsid w:val="00C20351"/>
    <w:rsid w:val="00C203D3"/>
    <w:rsid w:val="00C20F1E"/>
    <w:rsid w:val="00C20F7E"/>
    <w:rsid w:val="00C213A3"/>
    <w:rsid w:val="00C21628"/>
    <w:rsid w:val="00C21B32"/>
    <w:rsid w:val="00C21E05"/>
    <w:rsid w:val="00C220CF"/>
    <w:rsid w:val="00C22317"/>
    <w:rsid w:val="00C226EA"/>
    <w:rsid w:val="00C229CF"/>
    <w:rsid w:val="00C22A75"/>
    <w:rsid w:val="00C22D7A"/>
    <w:rsid w:val="00C22E2A"/>
    <w:rsid w:val="00C237ED"/>
    <w:rsid w:val="00C239D5"/>
    <w:rsid w:val="00C23B83"/>
    <w:rsid w:val="00C23F59"/>
    <w:rsid w:val="00C24380"/>
    <w:rsid w:val="00C245FF"/>
    <w:rsid w:val="00C24632"/>
    <w:rsid w:val="00C24A50"/>
    <w:rsid w:val="00C24BD9"/>
    <w:rsid w:val="00C24D0D"/>
    <w:rsid w:val="00C250F8"/>
    <w:rsid w:val="00C25418"/>
    <w:rsid w:val="00C25887"/>
    <w:rsid w:val="00C25AC0"/>
    <w:rsid w:val="00C25D71"/>
    <w:rsid w:val="00C25D9C"/>
    <w:rsid w:val="00C25EB5"/>
    <w:rsid w:val="00C25F3C"/>
    <w:rsid w:val="00C260F6"/>
    <w:rsid w:val="00C26E39"/>
    <w:rsid w:val="00C26E67"/>
    <w:rsid w:val="00C26EF3"/>
    <w:rsid w:val="00C27491"/>
    <w:rsid w:val="00C2778B"/>
    <w:rsid w:val="00C277A5"/>
    <w:rsid w:val="00C27CBD"/>
    <w:rsid w:val="00C27FF3"/>
    <w:rsid w:val="00C30A2E"/>
    <w:rsid w:val="00C31278"/>
    <w:rsid w:val="00C3160F"/>
    <w:rsid w:val="00C31649"/>
    <w:rsid w:val="00C31AAA"/>
    <w:rsid w:val="00C31D0E"/>
    <w:rsid w:val="00C31F6E"/>
    <w:rsid w:val="00C32033"/>
    <w:rsid w:val="00C32076"/>
    <w:rsid w:val="00C32293"/>
    <w:rsid w:val="00C32DBB"/>
    <w:rsid w:val="00C330E9"/>
    <w:rsid w:val="00C33240"/>
    <w:rsid w:val="00C3362E"/>
    <w:rsid w:val="00C336B8"/>
    <w:rsid w:val="00C33B12"/>
    <w:rsid w:val="00C340FE"/>
    <w:rsid w:val="00C3434C"/>
    <w:rsid w:val="00C344BC"/>
    <w:rsid w:val="00C34830"/>
    <w:rsid w:val="00C34ACC"/>
    <w:rsid w:val="00C34EC9"/>
    <w:rsid w:val="00C3520A"/>
    <w:rsid w:val="00C355DA"/>
    <w:rsid w:val="00C356C1"/>
    <w:rsid w:val="00C3597E"/>
    <w:rsid w:val="00C35B2D"/>
    <w:rsid w:val="00C3608D"/>
    <w:rsid w:val="00C36657"/>
    <w:rsid w:val="00C36CE9"/>
    <w:rsid w:val="00C376D6"/>
    <w:rsid w:val="00C37779"/>
    <w:rsid w:val="00C400C6"/>
    <w:rsid w:val="00C40385"/>
    <w:rsid w:val="00C40869"/>
    <w:rsid w:val="00C40BA8"/>
    <w:rsid w:val="00C4133C"/>
    <w:rsid w:val="00C414EF"/>
    <w:rsid w:val="00C41768"/>
    <w:rsid w:val="00C418A8"/>
    <w:rsid w:val="00C42194"/>
    <w:rsid w:val="00C425BE"/>
    <w:rsid w:val="00C42B61"/>
    <w:rsid w:val="00C42EB9"/>
    <w:rsid w:val="00C43469"/>
    <w:rsid w:val="00C436C2"/>
    <w:rsid w:val="00C43C25"/>
    <w:rsid w:val="00C43CAE"/>
    <w:rsid w:val="00C43EF6"/>
    <w:rsid w:val="00C43F19"/>
    <w:rsid w:val="00C44E61"/>
    <w:rsid w:val="00C4520F"/>
    <w:rsid w:val="00C4573B"/>
    <w:rsid w:val="00C4581D"/>
    <w:rsid w:val="00C45A26"/>
    <w:rsid w:val="00C45CF8"/>
    <w:rsid w:val="00C45EF6"/>
    <w:rsid w:val="00C45F9E"/>
    <w:rsid w:val="00C45FBA"/>
    <w:rsid w:val="00C462D6"/>
    <w:rsid w:val="00C46435"/>
    <w:rsid w:val="00C4655F"/>
    <w:rsid w:val="00C465ED"/>
    <w:rsid w:val="00C46796"/>
    <w:rsid w:val="00C46D15"/>
    <w:rsid w:val="00C47043"/>
    <w:rsid w:val="00C475AA"/>
    <w:rsid w:val="00C47A7C"/>
    <w:rsid w:val="00C50023"/>
    <w:rsid w:val="00C51021"/>
    <w:rsid w:val="00C510E8"/>
    <w:rsid w:val="00C51242"/>
    <w:rsid w:val="00C514E6"/>
    <w:rsid w:val="00C51843"/>
    <w:rsid w:val="00C51AF4"/>
    <w:rsid w:val="00C51C6E"/>
    <w:rsid w:val="00C52075"/>
    <w:rsid w:val="00C520FC"/>
    <w:rsid w:val="00C52253"/>
    <w:rsid w:val="00C525B7"/>
    <w:rsid w:val="00C527C7"/>
    <w:rsid w:val="00C52AB4"/>
    <w:rsid w:val="00C52CD9"/>
    <w:rsid w:val="00C52D5A"/>
    <w:rsid w:val="00C52E8B"/>
    <w:rsid w:val="00C5311A"/>
    <w:rsid w:val="00C53389"/>
    <w:rsid w:val="00C539C1"/>
    <w:rsid w:val="00C53C98"/>
    <w:rsid w:val="00C53D1E"/>
    <w:rsid w:val="00C53EB4"/>
    <w:rsid w:val="00C53EDD"/>
    <w:rsid w:val="00C53F8D"/>
    <w:rsid w:val="00C53FE5"/>
    <w:rsid w:val="00C541D7"/>
    <w:rsid w:val="00C543DB"/>
    <w:rsid w:val="00C5475F"/>
    <w:rsid w:val="00C54819"/>
    <w:rsid w:val="00C55101"/>
    <w:rsid w:val="00C557CF"/>
    <w:rsid w:val="00C55C7D"/>
    <w:rsid w:val="00C55ECD"/>
    <w:rsid w:val="00C56391"/>
    <w:rsid w:val="00C56816"/>
    <w:rsid w:val="00C56E90"/>
    <w:rsid w:val="00C56FCF"/>
    <w:rsid w:val="00C572F6"/>
    <w:rsid w:val="00C5753B"/>
    <w:rsid w:val="00C57AD0"/>
    <w:rsid w:val="00C57B6C"/>
    <w:rsid w:val="00C57BEF"/>
    <w:rsid w:val="00C601F9"/>
    <w:rsid w:val="00C604B6"/>
    <w:rsid w:val="00C607BA"/>
    <w:rsid w:val="00C616DB"/>
    <w:rsid w:val="00C616DE"/>
    <w:rsid w:val="00C61A59"/>
    <w:rsid w:val="00C6248A"/>
    <w:rsid w:val="00C62630"/>
    <w:rsid w:val="00C628A6"/>
    <w:rsid w:val="00C62915"/>
    <w:rsid w:val="00C62B5E"/>
    <w:rsid w:val="00C63322"/>
    <w:rsid w:val="00C63B8D"/>
    <w:rsid w:val="00C63DCC"/>
    <w:rsid w:val="00C64229"/>
    <w:rsid w:val="00C64344"/>
    <w:rsid w:val="00C64391"/>
    <w:rsid w:val="00C64BAA"/>
    <w:rsid w:val="00C64C06"/>
    <w:rsid w:val="00C64DA8"/>
    <w:rsid w:val="00C64F29"/>
    <w:rsid w:val="00C65108"/>
    <w:rsid w:val="00C65183"/>
    <w:rsid w:val="00C6539B"/>
    <w:rsid w:val="00C65576"/>
    <w:rsid w:val="00C6603E"/>
    <w:rsid w:val="00C6603F"/>
    <w:rsid w:val="00C660D0"/>
    <w:rsid w:val="00C66165"/>
    <w:rsid w:val="00C661E8"/>
    <w:rsid w:val="00C66358"/>
    <w:rsid w:val="00C66417"/>
    <w:rsid w:val="00C66512"/>
    <w:rsid w:val="00C66541"/>
    <w:rsid w:val="00C66A3B"/>
    <w:rsid w:val="00C66C00"/>
    <w:rsid w:val="00C678C0"/>
    <w:rsid w:val="00C678D8"/>
    <w:rsid w:val="00C67BAF"/>
    <w:rsid w:val="00C67CC1"/>
    <w:rsid w:val="00C700F4"/>
    <w:rsid w:val="00C7037B"/>
    <w:rsid w:val="00C70464"/>
    <w:rsid w:val="00C7060A"/>
    <w:rsid w:val="00C70651"/>
    <w:rsid w:val="00C70910"/>
    <w:rsid w:val="00C70AC3"/>
    <w:rsid w:val="00C70F88"/>
    <w:rsid w:val="00C7151A"/>
    <w:rsid w:val="00C717E3"/>
    <w:rsid w:val="00C7198A"/>
    <w:rsid w:val="00C71BED"/>
    <w:rsid w:val="00C71E1A"/>
    <w:rsid w:val="00C71F60"/>
    <w:rsid w:val="00C721C0"/>
    <w:rsid w:val="00C72241"/>
    <w:rsid w:val="00C72373"/>
    <w:rsid w:val="00C7306C"/>
    <w:rsid w:val="00C73276"/>
    <w:rsid w:val="00C73431"/>
    <w:rsid w:val="00C73803"/>
    <w:rsid w:val="00C73FF5"/>
    <w:rsid w:val="00C742DB"/>
    <w:rsid w:val="00C742F0"/>
    <w:rsid w:val="00C74E97"/>
    <w:rsid w:val="00C74EEE"/>
    <w:rsid w:val="00C750B3"/>
    <w:rsid w:val="00C750C8"/>
    <w:rsid w:val="00C75154"/>
    <w:rsid w:val="00C7560F"/>
    <w:rsid w:val="00C75745"/>
    <w:rsid w:val="00C75785"/>
    <w:rsid w:val="00C75963"/>
    <w:rsid w:val="00C75A54"/>
    <w:rsid w:val="00C760F3"/>
    <w:rsid w:val="00C769B3"/>
    <w:rsid w:val="00C76FFF"/>
    <w:rsid w:val="00C779A3"/>
    <w:rsid w:val="00C77AB9"/>
    <w:rsid w:val="00C77F35"/>
    <w:rsid w:val="00C80102"/>
    <w:rsid w:val="00C80619"/>
    <w:rsid w:val="00C8063B"/>
    <w:rsid w:val="00C80A0E"/>
    <w:rsid w:val="00C80CDE"/>
    <w:rsid w:val="00C80DDD"/>
    <w:rsid w:val="00C81090"/>
    <w:rsid w:val="00C8149F"/>
    <w:rsid w:val="00C81914"/>
    <w:rsid w:val="00C81C14"/>
    <w:rsid w:val="00C81FDA"/>
    <w:rsid w:val="00C8213F"/>
    <w:rsid w:val="00C823EC"/>
    <w:rsid w:val="00C8280D"/>
    <w:rsid w:val="00C82DE8"/>
    <w:rsid w:val="00C82F83"/>
    <w:rsid w:val="00C8303F"/>
    <w:rsid w:val="00C83217"/>
    <w:rsid w:val="00C832C7"/>
    <w:rsid w:val="00C83369"/>
    <w:rsid w:val="00C83525"/>
    <w:rsid w:val="00C843F2"/>
    <w:rsid w:val="00C845F9"/>
    <w:rsid w:val="00C849BE"/>
    <w:rsid w:val="00C84C42"/>
    <w:rsid w:val="00C85154"/>
    <w:rsid w:val="00C85218"/>
    <w:rsid w:val="00C853F6"/>
    <w:rsid w:val="00C8541A"/>
    <w:rsid w:val="00C85616"/>
    <w:rsid w:val="00C85635"/>
    <w:rsid w:val="00C859D3"/>
    <w:rsid w:val="00C85A31"/>
    <w:rsid w:val="00C85A70"/>
    <w:rsid w:val="00C85A7F"/>
    <w:rsid w:val="00C85E14"/>
    <w:rsid w:val="00C85EFB"/>
    <w:rsid w:val="00C85F38"/>
    <w:rsid w:val="00C86004"/>
    <w:rsid w:val="00C8656E"/>
    <w:rsid w:val="00C865B4"/>
    <w:rsid w:val="00C868C0"/>
    <w:rsid w:val="00C86DC8"/>
    <w:rsid w:val="00C8701A"/>
    <w:rsid w:val="00C8720B"/>
    <w:rsid w:val="00C87606"/>
    <w:rsid w:val="00C8797A"/>
    <w:rsid w:val="00C879BA"/>
    <w:rsid w:val="00C87DC2"/>
    <w:rsid w:val="00C87F5F"/>
    <w:rsid w:val="00C900B8"/>
    <w:rsid w:val="00C90197"/>
    <w:rsid w:val="00C908CF"/>
    <w:rsid w:val="00C90BF8"/>
    <w:rsid w:val="00C90C71"/>
    <w:rsid w:val="00C90FAB"/>
    <w:rsid w:val="00C91296"/>
    <w:rsid w:val="00C919C1"/>
    <w:rsid w:val="00C91F62"/>
    <w:rsid w:val="00C91FD1"/>
    <w:rsid w:val="00C9201F"/>
    <w:rsid w:val="00C921E5"/>
    <w:rsid w:val="00C92706"/>
    <w:rsid w:val="00C9270A"/>
    <w:rsid w:val="00C92911"/>
    <w:rsid w:val="00C92CAE"/>
    <w:rsid w:val="00C92D99"/>
    <w:rsid w:val="00C930A5"/>
    <w:rsid w:val="00C931CF"/>
    <w:rsid w:val="00C9384C"/>
    <w:rsid w:val="00C938CF"/>
    <w:rsid w:val="00C93E84"/>
    <w:rsid w:val="00C93FB4"/>
    <w:rsid w:val="00C94053"/>
    <w:rsid w:val="00C94487"/>
    <w:rsid w:val="00C945A7"/>
    <w:rsid w:val="00C947D1"/>
    <w:rsid w:val="00C949DA"/>
    <w:rsid w:val="00C94D01"/>
    <w:rsid w:val="00C94DC8"/>
    <w:rsid w:val="00C94E0E"/>
    <w:rsid w:val="00C94F56"/>
    <w:rsid w:val="00C951C0"/>
    <w:rsid w:val="00C95264"/>
    <w:rsid w:val="00C959B8"/>
    <w:rsid w:val="00C9624D"/>
    <w:rsid w:val="00C967D6"/>
    <w:rsid w:val="00C968F3"/>
    <w:rsid w:val="00C969DA"/>
    <w:rsid w:val="00C96B2A"/>
    <w:rsid w:val="00C96BFA"/>
    <w:rsid w:val="00C96D16"/>
    <w:rsid w:val="00C96D7F"/>
    <w:rsid w:val="00C97033"/>
    <w:rsid w:val="00C971CD"/>
    <w:rsid w:val="00C972EA"/>
    <w:rsid w:val="00C97409"/>
    <w:rsid w:val="00C97AA9"/>
    <w:rsid w:val="00C97D8E"/>
    <w:rsid w:val="00C97DCC"/>
    <w:rsid w:val="00CA02C7"/>
    <w:rsid w:val="00CA06D8"/>
    <w:rsid w:val="00CA0BA6"/>
    <w:rsid w:val="00CA12BE"/>
    <w:rsid w:val="00CA1442"/>
    <w:rsid w:val="00CA1513"/>
    <w:rsid w:val="00CA2239"/>
    <w:rsid w:val="00CA22B0"/>
    <w:rsid w:val="00CA23CF"/>
    <w:rsid w:val="00CA2C77"/>
    <w:rsid w:val="00CA2F52"/>
    <w:rsid w:val="00CA3286"/>
    <w:rsid w:val="00CA3287"/>
    <w:rsid w:val="00CA3402"/>
    <w:rsid w:val="00CA3766"/>
    <w:rsid w:val="00CA39ED"/>
    <w:rsid w:val="00CA3C57"/>
    <w:rsid w:val="00CA3DF5"/>
    <w:rsid w:val="00CA3E66"/>
    <w:rsid w:val="00CA3F32"/>
    <w:rsid w:val="00CA444F"/>
    <w:rsid w:val="00CA44EB"/>
    <w:rsid w:val="00CA46C8"/>
    <w:rsid w:val="00CA4A6E"/>
    <w:rsid w:val="00CA4C0D"/>
    <w:rsid w:val="00CA4CC3"/>
    <w:rsid w:val="00CA5149"/>
    <w:rsid w:val="00CA5245"/>
    <w:rsid w:val="00CA5718"/>
    <w:rsid w:val="00CA5EDE"/>
    <w:rsid w:val="00CA5F5C"/>
    <w:rsid w:val="00CA6781"/>
    <w:rsid w:val="00CA6860"/>
    <w:rsid w:val="00CA68FC"/>
    <w:rsid w:val="00CA6FCC"/>
    <w:rsid w:val="00CA711E"/>
    <w:rsid w:val="00CA71F4"/>
    <w:rsid w:val="00CA7879"/>
    <w:rsid w:val="00CA7B09"/>
    <w:rsid w:val="00CA7B4A"/>
    <w:rsid w:val="00CA7DA8"/>
    <w:rsid w:val="00CA7FCE"/>
    <w:rsid w:val="00CB0B1F"/>
    <w:rsid w:val="00CB12A5"/>
    <w:rsid w:val="00CB1351"/>
    <w:rsid w:val="00CB145F"/>
    <w:rsid w:val="00CB1CAC"/>
    <w:rsid w:val="00CB1E94"/>
    <w:rsid w:val="00CB21B9"/>
    <w:rsid w:val="00CB2647"/>
    <w:rsid w:val="00CB2708"/>
    <w:rsid w:val="00CB2F2A"/>
    <w:rsid w:val="00CB3669"/>
    <w:rsid w:val="00CB36D4"/>
    <w:rsid w:val="00CB3B8A"/>
    <w:rsid w:val="00CB3DA0"/>
    <w:rsid w:val="00CB3E94"/>
    <w:rsid w:val="00CB4508"/>
    <w:rsid w:val="00CB4EE1"/>
    <w:rsid w:val="00CB4EF2"/>
    <w:rsid w:val="00CB4FBF"/>
    <w:rsid w:val="00CB5417"/>
    <w:rsid w:val="00CB54B2"/>
    <w:rsid w:val="00CB5684"/>
    <w:rsid w:val="00CB5B1A"/>
    <w:rsid w:val="00CB6656"/>
    <w:rsid w:val="00CB66DF"/>
    <w:rsid w:val="00CB6B22"/>
    <w:rsid w:val="00CB6D3C"/>
    <w:rsid w:val="00CB7513"/>
    <w:rsid w:val="00CB7B18"/>
    <w:rsid w:val="00CB7C70"/>
    <w:rsid w:val="00CB7F5F"/>
    <w:rsid w:val="00CC0288"/>
    <w:rsid w:val="00CC049E"/>
    <w:rsid w:val="00CC05FF"/>
    <w:rsid w:val="00CC06FD"/>
    <w:rsid w:val="00CC0B29"/>
    <w:rsid w:val="00CC0FD8"/>
    <w:rsid w:val="00CC10FD"/>
    <w:rsid w:val="00CC12B2"/>
    <w:rsid w:val="00CC131C"/>
    <w:rsid w:val="00CC160B"/>
    <w:rsid w:val="00CC1635"/>
    <w:rsid w:val="00CC1896"/>
    <w:rsid w:val="00CC1A8D"/>
    <w:rsid w:val="00CC1B39"/>
    <w:rsid w:val="00CC1BFA"/>
    <w:rsid w:val="00CC23AD"/>
    <w:rsid w:val="00CC28B2"/>
    <w:rsid w:val="00CC2999"/>
    <w:rsid w:val="00CC2B6F"/>
    <w:rsid w:val="00CC2C3B"/>
    <w:rsid w:val="00CC2E9F"/>
    <w:rsid w:val="00CC3245"/>
    <w:rsid w:val="00CC32EF"/>
    <w:rsid w:val="00CC3546"/>
    <w:rsid w:val="00CC35EA"/>
    <w:rsid w:val="00CC3848"/>
    <w:rsid w:val="00CC3B68"/>
    <w:rsid w:val="00CC45A1"/>
    <w:rsid w:val="00CC4D7E"/>
    <w:rsid w:val="00CC4E57"/>
    <w:rsid w:val="00CC5445"/>
    <w:rsid w:val="00CC5961"/>
    <w:rsid w:val="00CC636B"/>
    <w:rsid w:val="00CC6AC6"/>
    <w:rsid w:val="00CC6D5E"/>
    <w:rsid w:val="00CC6E2B"/>
    <w:rsid w:val="00CC7529"/>
    <w:rsid w:val="00CC781C"/>
    <w:rsid w:val="00CC7B37"/>
    <w:rsid w:val="00CC7B6B"/>
    <w:rsid w:val="00CC7CDC"/>
    <w:rsid w:val="00CC7D63"/>
    <w:rsid w:val="00CD0200"/>
    <w:rsid w:val="00CD0286"/>
    <w:rsid w:val="00CD0898"/>
    <w:rsid w:val="00CD1014"/>
    <w:rsid w:val="00CD1AA4"/>
    <w:rsid w:val="00CD1B02"/>
    <w:rsid w:val="00CD2192"/>
    <w:rsid w:val="00CD22A1"/>
    <w:rsid w:val="00CD2D19"/>
    <w:rsid w:val="00CD2D30"/>
    <w:rsid w:val="00CD2D66"/>
    <w:rsid w:val="00CD2F0B"/>
    <w:rsid w:val="00CD3084"/>
    <w:rsid w:val="00CD3250"/>
    <w:rsid w:val="00CD34E8"/>
    <w:rsid w:val="00CD3B7F"/>
    <w:rsid w:val="00CD3F77"/>
    <w:rsid w:val="00CD406B"/>
    <w:rsid w:val="00CD474C"/>
    <w:rsid w:val="00CD47E1"/>
    <w:rsid w:val="00CD48B7"/>
    <w:rsid w:val="00CD49F8"/>
    <w:rsid w:val="00CD4B28"/>
    <w:rsid w:val="00CD4B38"/>
    <w:rsid w:val="00CD548E"/>
    <w:rsid w:val="00CD5560"/>
    <w:rsid w:val="00CD5EFA"/>
    <w:rsid w:val="00CD6009"/>
    <w:rsid w:val="00CD6799"/>
    <w:rsid w:val="00CD69F3"/>
    <w:rsid w:val="00CD6ADC"/>
    <w:rsid w:val="00CD6B27"/>
    <w:rsid w:val="00CD6D8E"/>
    <w:rsid w:val="00CD70D8"/>
    <w:rsid w:val="00CD7193"/>
    <w:rsid w:val="00CD782D"/>
    <w:rsid w:val="00CD78AC"/>
    <w:rsid w:val="00CD7947"/>
    <w:rsid w:val="00CE010F"/>
    <w:rsid w:val="00CE0143"/>
    <w:rsid w:val="00CE07DC"/>
    <w:rsid w:val="00CE0AD1"/>
    <w:rsid w:val="00CE0DF6"/>
    <w:rsid w:val="00CE0FF6"/>
    <w:rsid w:val="00CE11F8"/>
    <w:rsid w:val="00CE14D8"/>
    <w:rsid w:val="00CE1523"/>
    <w:rsid w:val="00CE164C"/>
    <w:rsid w:val="00CE2085"/>
    <w:rsid w:val="00CE2396"/>
    <w:rsid w:val="00CE2A95"/>
    <w:rsid w:val="00CE2B72"/>
    <w:rsid w:val="00CE302F"/>
    <w:rsid w:val="00CE3352"/>
    <w:rsid w:val="00CE3529"/>
    <w:rsid w:val="00CE355A"/>
    <w:rsid w:val="00CE38C8"/>
    <w:rsid w:val="00CE3A2C"/>
    <w:rsid w:val="00CE3A95"/>
    <w:rsid w:val="00CE4073"/>
    <w:rsid w:val="00CE4431"/>
    <w:rsid w:val="00CE45C9"/>
    <w:rsid w:val="00CE4DA8"/>
    <w:rsid w:val="00CE4F06"/>
    <w:rsid w:val="00CE524F"/>
    <w:rsid w:val="00CE57AF"/>
    <w:rsid w:val="00CE57C9"/>
    <w:rsid w:val="00CE585C"/>
    <w:rsid w:val="00CE58CC"/>
    <w:rsid w:val="00CE5FC1"/>
    <w:rsid w:val="00CE60FE"/>
    <w:rsid w:val="00CE6274"/>
    <w:rsid w:val="00CE6382"/>
    <w:rsid w:val="00CE6482"/>
    <w:rsid w:val="00CE69AF"/>
    <w:rsid w:val="00CE6FB4"/>
    <w:rsid w:val="00CE76B9"/>
    <w:rsid w:val="00CE76F8"/>
    <w:rsid w:val="00CE7734"/>
    <w:rsid w:val="00CE77B6"/>
    <w:rsid w:val="00CF01B7"/>
    <w:rsid w:val="00CF0259"/>
    <w:rsid w:val="00CF0283"/>
    <w:rsid w:val="00CF0325"/>
    <w:rsid w:val="00CF049C"/>
    <w:rsid w:val="00CF0ACF"/>
    <w:rsid w:val="00CF0BC4"/>
    <w:rsid w:val="00CF0D45"/>
    <w:rsid w:val="00CF1432"/>
    <w:rsid w:val="00CF15A4"/>
    <w:rsid w:val="00CF1BB2"/>
    <w:rsid w:val="00CF1C21"/>
    <w:rsid w:val="00CF2125"/>
    <w:rsid w:val="00CF233E"/>
    <w:rsid w:val="00CF2ACD"/>
    <w:rsid w:val="00CF2B8D"/>
    <w:rsid w:val="00CF2C72"/>
    <w:rsid w:val="00CF2F78"/>
    <w:rsid w:val="00CF31D7"/>
    <w:rsid w:val="00CF3203"/>
    <w:rsid w:val="00CF326E"/>
    <w:rsid w:val="00CF3389"/>
    <w:rsid w:val="00CF35E3"/>
    <w:rsid w:val="00CF3681"/>
    <w:rsid w:val="00CF3A1B"/>
    <w:rsid w:val="00CF3D2A"/>
    <w:rsid w:val="00CF418A"/>
    <w:rsid w:val="00CF41E0"/>
    <w:rsid w:val="00CF4239"/>
    <w:rsid w:val="00CF456B"/>
    <w:rsid w:val="00CF4EF7"/>
    <w:rsid w:val="00CF514E"/>
    <w:rsid w:val="00CF54EA"/>
    <w:rsid w:val="00CF56B1"/>
    <w:rsid w:val="00CF5A22"/>
    <w:rsid w:val="00CF5B43"/>
    <w:rsid w:val="00CF6027"/>
    <w:rsid w:val="00CF62A5"/>
    <w:rsid w:val="00CF6403"/>
    <w:rsid w:val="00CF67BC"/>
    <w:rsid w:val="00CF67DA"/>
    <w:rsid w:val="00CF68F6"/>
    <w:rsid w:val="00CF6A07"/>
    <w:rsid w:val="00CF6C85"/>
    <w:rsid w:val="00CF6D08"/>
    <w:rsid w:val="00CF6D30"/>
    <w:rsid w:val="00CF6E10"/>
    <w:rsid w:val="00CF6ECA"/>
    <w:rsid w:val="00CF70B6"/>
    <w:rsid w:val="00CF77BF"/>
    <w:rsid w:val="00CF797B"/>
    <w:rsid w:val="00CF7EEA"/>
    <w:rsid w:val="00D00121"/>
    <w:rsid w:val="00D00228"/>
    <w:rsid w:val="00D00CDD"/>
    <w:rsid w:val="00D012DA"/>
    <w:rsid w:val="00D01927"/>
    <w:rsid w:val="00D01FB1"/>
    <w:rsid w:val="00D0262E"/>
    <w:rsid w:val="00D0281C"/>
    <w:rsid w:val="00D0294F"/>
    <w:rsid w:val="00D02BF9"/>
    <w:rsid w:val="00D02E1A"/>
    <w:rsid w:val="00D03679"/>
    <w:rsid w:val="00D0370C"/>
    <w:rsid w:val="00D04433"/>
    <w:rsid w:val="00D044B0"/>
    <w:rsid w:val="00D0474A"/>
    <w:rsid w:val="00D04867"/>
    <w:rsid w:val="00D04A0A"/>
    <w:rsid w:val="00D04B9A"/>
    <w:rsid w:val="00D04CB9"/>
    <w:rsid w:val="00D0509C"/>
    <w:rsid w:val="00D053AA"/>
    <w:rsid w:val="00D055CD"/>
    <w:rsid w:val="00D0599E"/>
    <w:rsid w:val="00D05E3D"/>
    <w:rsid w:val="00D06139"/>
    <w:rsid w:val="00D0629B"/>
    <w:rsid w:val="00D06989"/>
    <w:rsid w:val="00D06AD3"/>
    <w:rsid w:val="00D06E43"/>
    <w:rsid w:val="00D07200"/>
    <w:rsid w:val="00D07889"/>
    <w:rsid w:val="00D07A0B"/>
    <w:rsid w:val="00D07B3C"/>
    <w:rsid w:val="00D100DA"/>
    <w:rsid w:val="00D1021D"/>
    <w:rsid w:val="00D103B2"/>
    <w:rsid w:val="00D10453"/>
    <w:rsid w:val="00D105FF"/>
    <w:rsid w:val="00D10C62"/>
    <w:rsid w:val="00D10F1F"/>
    <w:rsid w:val="00D110BD"/>
    <w:rsid w:val="00D111F8"/>
    <w:rsid w:val="00D1124A"/>
    <w:rsid w:val="00D114F7"/>
    <w:rsid w:val="00D118E6"/>
    <w:rsid w:val="00D12271"/>
    <w:rsid w:val="00D122EB"/>
    <w:rsid w:val="00D12349"/>
    <w:rsid w:val="00D12908"/>
    <w:rsid w:val="00D12D36"/>
    <w:rsid w:val="00D1334F"/>
    <w:rsid w:val="00D13452"/>
    <w:rsid w:val="00D13675"/>
    <w:rsid w:val="00D13906"/>
    <w:rsid w:val="00D141E1"/>
    <w:rsid w:val="00D144F3"/>
    <w:rsid w:val="00D14732"/>
    <w:rsid w:val="00D14AAC"/>
    <w:rsid w:val="00D14E1D"/>
    <w:rsid w:val="00D151BD"/>
    <w:rsid w:val="00D15314"/>
    <w:rsid w:val="00D1561E"/>
    <w:rsid w:val="00D15966"/>
    <w:rsid w:val="00D15B48"/>
    <w:rsid w:val="00D1639B"/>
    <w:rsid w:val="00D16422"/>
    <w:rsid w:val="00D16754"/>
    <w:rsid w:val="00D1685A"/>
    <w:rsid w:val="00D16B2C"/>
    <w:rsid w:val="00D16DCE"/>
    <w:rsid w:val="00D17163"/>
    <w:rsid w:val="00D175F4"/>
    <w:rsid w:val="00D17605"/>
    <w:rsid w:val="00D17790"/>
    <w:rsid w:val="00D17C3D"/>
    <w:rsid w:val="00D17CAE"/>
    <w:rsid w:val="00D17D6C"/>
    <w:rsid w:val="00D17FE5"/>
    <w:rsid w:val="00D20073"/>
    <w:rsid w:val="00D20581"/>
    <w:rsid w:val="00D205B6"/>
    <w:rsid w:val="00D2080B"/>
    <w:rsid w:val="00D210B1"/>
    <w:rsid w:val="00D2155B"/>
    <w:rsid w:val="00D21A1E"/>
    <w:rsid w:val="00D21A6A"/>
    <w:rsid w:val="00D21AD3"/>
    <w:rsid w:val="00D21BB2"/>
    <w:rsid w:val="00D220A1"/>
    <w:rsid w:val="00D2213F"/>
    <w:rsid w:val="00D22853"/>
    <w:rsid w:val="00D22CD1"/>
    <w:rsid w:val="00D23601"/>
    <w:rsid w:val="00D236FC"/>
    <w:rsid w:val="00D238D3"/>
    <w:rsid w:val="00D23B30"/>
    <w:rsid w:val="00D23D11"/>
    <w:rsid w:val="00D23E4F"/>
    <w:rsid w:val="00D23E75"/>
    <w:rsid w:val="00D2416D"/>
    <w:rsid w:val="00D24468"/>
    <w:rsid w:val="00D244B6"/>
    <w:rsid w:val="00D246C0"/>
    <w:rsid w:val="00D24879"/>
    <w:rsid w:val="00D24926"/>
    <w:rsid w:val="00D24A37"/>
    <w:rsid w:val="00D24AA5"/>
    <w:rsid w:val="00D24B8C"/>
    <w:rsid w:val="00D2612D"/>
    <w:rsid w:val="00D26421"/>
    <w:rsid w:val="00D2663A"/>
    <w:rsid w:val="00D26674"/>
    <w:rsid w:val="00D26ABD"/>
    <w:rsid w:val="00D2754D"/>
    <w:rsid w:val="00D27662"/>
    <w:rsid w:val="00D27740"/>
    <w:rsid w:val="00D277DF"/>
    <w:rsid w:val="00D27B27"/>
    <w:rsid w:val="00D27CC2"/>
    <w:rsid w:val="00D27FDF"/>
    <w:rsid w:val="00D30498"/>
    <w:rsid w:val="00D30978"/>
    <w:rsid w:val="00D309AA"/>
    <w:rsid w:val="00D30AD2"/>
    <w:rsid w:val="00D30B15"/>
    <w:rsid w:val="00D30CD6"/>
    <w:rsid w:val="00D30D5B"/>
    <w:rsid w:val="00D3108F"/>
    <w:rsid w:val="00D31691"/>
    <w:rsid w:val="00D316F5"/>
    <w:rsid w:val="00D31BD0"/>
    <w:rsid w:val="00D31E49"/>
    <w:rsid w:val="00D32082"/>
    <w:rsid w:val="00D3263D"/>
    <w:rsid w:val="00D32BAD"/>
    <w:rsid w:val="00D32CF3"/>
    <w:rsid w:val="00D332DE"/>
    <w:rsid w:val="00D33511"/>
    <w:rsid w:val="00D33835"/>
    <w:rsid w:val="00D33BE9"/>
    <w:rsid w:val="00D33D32"/>
    <w:rsid w:val="00D33F93"/>
    <w:rsid w:val="00D34256"/>
    <w:rsid w:val="00D34896"/>
    <w:rsid w:val="00D3495E"/>
    <w:rsid w:val="00D34BC1"/>
    <w:rsid w:val="00D34D63"/>
    <w:rsid w:val="00D34F32"/>
    <w:rsid w:val="00D35285"/>
    <w:rsid w:val="00D355F2"/>
    <w:rsid w:val="00D357FF"/>
    <w:rsid w:val="00D35B14"/>
    <w:rsid w:val="00D35CD7"/>
    <w:rsid w:val="00D360B8"/>
    <w:rsid w:val="00D360FB"/>
    <w:rsid w:val="00D36186"/>
    <w:rsid w:val="00D36370"/>
    <w:rsid w:val="00D37051"/>
    <w:rsid w:val="00D37198"/>
    <w:rsid w:val="00D372A2"/>
    <w:rsid w:val="00D376FC"/>
    <w:rsid w:val="00D37763"/>
    <w:rsid w:val="00D37A70"/>
    <w:rsid w:val="00D37DEF"/>
    <w:rsid w:val="00D40006"/>
    <w:rsid w:val="00D4024A"/>
    <w:rsid w:val="00D405AA"/>
    <w:rsid w:val="00D4086F"/>
    <w:rsid w:val="00D40C15"/>
    <w:rsid w:val="00D4105D"/>
    <w:rsid w:val="00D41474"/>
    <w:rsid w:val="00D419B8"/>
    <w:rsid w:val="00D41B59"/>
    <w:rsid w:val="00D41E07"/>
    <w:rsid w:val="00D424C7"/>
    <w:rsid w:val="00D42505"/>
    <w:rsid w:val="00D42715"/>
    <w:rsid w:val="00D42717"/>
    <w:rsid w:val="00D42A78"/>
    <w:rsid w:val="00D42E96"/>
    <w:rsid w:val="00D432BD"/>
    <w:rsid w:val="00D434A8"/>
    <w:rsid w:val="00D437D4"/>
    <w:rsid w:val="00D43951"/>
    <w:rsid w:val="00D43B2A"/>
    <w:rsid w:val="00D43CF1"/>
    <w:rsid w:val="00D43D83"/>
    <w:rsid w:val="00D4449B"/>
    <w:rsid w:val="00D445E6"/>
    <w:rsid w:val="00D4477E"/>
    <w:rsid w:val="00D454C4"/>
    <w:rsid w:val="00D45556"/>
    <w:rsid w:val="00D457A2"/>
    <w:rsid w:val="00D4606F"/>
    <w:rsid w:val="00D46D65"/>
    <w:rsid w:val="00D47575"/>
    <w:rsid w:val="00D47910"/>
    <w:rsid w:val="00D47D9B"/>
    <w:rsid w:val="00D47F85"/>
    <w:rsid w:val="00D5048B"/>
    <w:rsid w:val="00D50662"/>
    <w:rsid w:val="00D50994"/>
    <w:rsid w:val="00D50AFE"/>
    <w:rsid w:val="00D50CBF"/>
    <w:rsid w:val="00D50D0C"/>
    <w:rsid w:val="00D50FBB"/>
    <w:rsid w:val="00D510E8"/>
    <w:rsid w:val="00D515A8"/>
    <w:rsid w:val="00D516E3"/>
    <w:rsid w:val="00D51717"/>
    <w:rsid w:val="00D51B94"/>
    <w:rsid w:val="00D51BA6"/>
    <w:rsid w:val="00D51D60"/>
    <w:rsid w:val="00D51F6A"/>
    <w:rsid w:val="00D523A5"/>
    <w:rsid w:val="00D5243B"/>
    <w:rsid w:val="00D527C3"/>
    <w:rsid w:val="00D5329E"/>
    <w:rsid w:val="00D533EC"/>
    <w:rsid w:val="00D539F3"/>
    <w:rsid w:val="00D53AD5"/>
    <w:rsid w:val="00D53BBB"/>
    <w:rsid w:val="00D53CDC"/>
    <w:rsid w:val="00D53E9C"/>
    <w:rsid w:val="00D53FEF"/>
    <w:rsid w:val="00D54252"/>
    <w:rsid w:val="00D548AC"/>
    <w:rsid w:val="00D55363"/>
    <w:rsid w:val="00D5584A"/>
    <w:rsid w:val="00D55BCD"/>
    <w:rsid w:val="00D560DC"/>
    <w:rsid w:val="00D56643"/>
    <w:rsid w:val="00D56A95"/>
    <w:rsid w:val="00D56C7E"/>
    <w:rsid w:val="00D56D5C"/>
    <w:rsid w:val="00D57387"/>
    <w:rsid w:val="00D577E7"/>
    <w:rsid w:val="00D57811"/>
    <w:rsid w:val="00D57860"/>
    <w:rsid w:val="00D57CFA"/>
    <w:rsid w:val="00D57E5C"/>
    <w:rsid w:val="00D6029F"/>
    <w:rsid w:val="00D602B3"/>
    <w:rsid w:val="00D6076E"/>
    <w:rsid w:val="00D608AA"/>
    <w:rsid w:val="00D60F4D"/>
    <w:rsid w:val="00D618B1"/>
    <w:rsid w:val="00D61DDC"/>
    <w:rsid w:val="00D61F4B"/>
    <w:rsid w:val="00D621B3"/>
    <w:rsid w:val="00D62369"/>
    <w:rsid w:val="00D629CD"/>
    <w:rsid w:val="00D62EF5"/>
    <w:rsid w:val="00D62FF0"/>
    <w:rsid w:val="00D631FA"/>
    <w:rsid w:val="00D636AE"/>
    <w:rsid w:val="00D637F0"/>
    <w:rsid w:val="00D63DDA"/>
    <w:rsid w:val="00D63F1B"/>
    <w:rsid w:val="00D63F7B"/>
    <w:rsid w:val="00D643D0"/>
    <w:rsid w:val="00D643FE"/>
    <w:rsid w:val="00D64986"/>
    <w:rsid w:val="00D64EF1"/>
    <w:rsid w:val="00D65307"/>
    <w:rsid w:val="00D653FC"/>
    <w:rsid w:val="00D657D5"/>
    <w:rsid w:val="00D65871"/>
    <w:rsid w:val="00D65889"/>
    <w:rsid w:val="00D65BA1"/>
    <w:rsid w:val="00D65C0A"/>
    <w:rsid w:val="00D664B7"/>
    <w:rsid w:val="00D66D86"/>
    <w:rsid w:val="00D66F1E"/>
    <w:rsid w:val="00D673A9"/>
    <w:rsid w:val="00D67813"/>
    <w:rsid w:val="00D6789E"/>
    <w:rsid w:val="00D67C53"/>
    <w:rsid w:val="00D70F16"/>
    <w:rsid w:val="00D70F8C"/>
    <w:rsid w:val="00D70F92"/>
    <w:rsid w:val="00D714C1"/>
    <w:rsid w:val="00D71742"/>
    <w:rsid w:val="00D717CC"/>
    <w:rsid w:val="00D719BC"/>
    <w:rsid w:val="00D71F13"/>
    <w:rsid w:val="00D72513"/>
    <w:rsid w:val="00D72617"/>
    <w:rsid w:val="00D72C45"/>
    <w:rsid w:val="00D72DC2"/>
    <w:rsid w:val="00D72F57"/>
    <w:rsid w:val="00D7312E"/>
    <w:rsid w:val="00D7344F"/>
    <w:rsid w:val="00D734DF"/>
    <w:rsid w:val="00D74E9C"/>
    <w:rsid w:val="00D75202"/>
    <w:rsid w:val="00D75CAC"/>
    <w:rsid w:val="00D75CBA"/>
    <w:rsid w:val="00D75E43"/>
    <w:rsid w:val="00D762F1"/>
    <w:rsid w:val="00D76732"/>
    <w:rsid w:val="00D76A44"/>
    <w:rsid w:val="00D76F4E"/>
    <w:rsid w:val="00D7700D"/>
    <w:rsid w:val="00D7717D"/>
    <w:rsid w:val="00D77382"/>
    <w:rsid w:val="00D776A6"/>
    <w:rsid w:val="00D7794C"/>
    <w:rsid w:val="00D77C29"/>
    <w:rsid w:val="00D77EF1"/>
    <w:rsid w:val="00D8018C"/>
    <w:rsid w:val="00D805D7"/>
    <w:rsid w:val="00D8127E"/>
    <w:rsid w:val="00D81333"/>
    <w:rsid w:val="00D815EF"/>
    <w:rsid w:val="00D818AC"/>
    <w:rsid w:val="00D81949"/>
    <w:rsid w:val="00D81B3A"/>
    <w:rsid w:val="00D81BDC"/>
    <w:rsid w:val="00D81DEC"/>
    <w:rsid w:val="00D81F26"/>
    <w:rsid w:val="00D8229B"/>
    <w:rsid w:val="00D822E2"/>
    <w:rsid w:val="00D82796"/>
    <w:rsid w:val="00D82F7A"/>
    <w:rsid w:val="00D83502"/>
    <w:rsid w:val="00D83630"/>
    <w:rsid w:val="00D83717"/>
    <w:rsid w:val="00D83AAC"/>
    <w:rsid w:val="00D83C3B"/>
    <w:rsid w:val="00D83CC6"/>
    <w:rsid w:val="00D843F2"/>
    <w:rsid w:val="00D844EB"/>
    <w:rsid w:val="00D8477E"/>
    <w:rsid w:val="00D8494F"/>
    <w:rsid w:val="00D84A6C"/>
    <w:rsid w:val="00D84C1E"/>
    <w:rsid w:val="00D84E43"/>
    <w:rsid w:val="00D85309"/>
    <w:rsid w:val="00D85501"/>
    <w:rsid w:val="00D85538"/>
    <w:rsid w:val="00D85692"/>
    <w:rsid w:val="00D85BAC"/>
    <w:rsid w:val="00D85F5F"/>
    <w:rsid w:val="00D86156"/>
    <w:rsid w:val="00D86231"/>
    <w:rsid w:val="00D868AB"/>
    <w:rsid w:val="00D86B42"/>
    <w:rsid w:val="00D87026"/>
    <w:rsid w:val="00D87A0D"/>
    <w:rsid w:val="00D9000B"/>
    <w:rsid w:val="00D901B5"/>
    <w:rsid w:val="00D902CC"/>
    <w:rsid w:val="00D903B1"/>
    <w:rsid w:val="00D90446"/>
    <w:rsid w:val="00D9051F"/>
    <w:rsid w:val="00D912AB"/>
    <w:rsid w:val="00D91829"/>
    <w:rsid w:val="00D91923"/>
    <w:rsid w:val="00D91B5B"/>
    <w:rsid w:val="00D91D3D"/>
    <w:rsid w:val="00D923D8"/>
    <w:rsid w:val="00D92D9D"/>
    <w:rsid w:val="00D92E0A"/>
    <w:rsid w:val="00D92E3D"/>
    <w:rsid w:val="00D93076"/>
    <w:rsid w:val="00D93424"/>
    <w:rsid w:val="00D93753"/>
    <w:rsid w:val="00D93EE5"/>
    <w:rsid w:val="00D94692"/>
    <w:rsid w:val="00D94FB9"/>
    <w:rsid w:val="00D9519A"/>
    <w:rsid w:val="00D9539C"/>
    <w:rsid w:val="00D9562F"/>
    <w:rsid w:val="00D956A4"/>
    <w:rsid w:val="00D957E9"/>
    <w:rsid w:val="00D9580A"/>
    <w:rsid w:val="00D95E3E"/>
    <w:rsid w:val="00D96A47"/>
    <w:rsid w:val="00D96F10"/>
    <w:rsid w:val="00D97278"/>
    <w:rsid w:val="00D974E9"/>
    <w:rsid w:val="00D977EB"/>
    <w:rsid w:val="00D97A29"/>
    <w:rsid w:val="00D97D16"/>
    <w:rsid w:val="00DA045C"/>
    <w:rsid w:val="00DA09A0"/>
    <w:rsid w:val="00DA0C7F"/>
    <w:rsid w:val="00DA0E42"/>
    <w:rsid w:val="00DA194E"/>
    <w:rsid w:val="00DA1AA9"/>
    <w:rsid w:val="00DA20D9"/>
    <w:rsid w:val="00DA278D"/>
    <w:rsid w:val="00DA2931"/>
    <w:rsid w:val="00DA296F"/>
    <w:rsid w:val="00DA2C04"/>
    <w:rsid w:val="00DA2DF5"/>
    <w:rsid w:val="00DA3167"/>
    <w:rsid w:val="00DA3485"/>
    <w:rsid w:val="00DA3711"/>
    <w:rsid w:val="00DA3F33"/>
    <w:rsid w:val="00DA4195"/>
    <w:rsid w:val="00DA44D5"/>
    <w:rsid w:val="00DA4542"/>
    <w:rsid w:val="00DA45E9"/>
    <w:rsid w:val="00DA491E"/>
    <w:rsid w:val="00DA4D77"/>
    <w:rsid w:val="00DA4DC3"/>
    <w:rsid w:val="00DA5050"/>
    <w:rsid w:val="00DA5BCC"/>
    <w:rsid w:val="00DA5C00"/>
    <w:rsid w:val="00DA606E"/>
    <w:rsid w:val="00DA648B"/>
    <w:rsid w:val="00DA68DA"/>
    <w:rsid w:val="00DA6C8E"/>
    <w:rsid w:val="00DA6EF6"/>
    <w:rsid w:val="00DA77A5"/>
    <w:rsid w:val="00DA7AB6"/>
    <w:rsid w:val="00DA7AE1"/>
    <w:rsid w:val="00DA7BAA"/>
    <w:rsid w:val="00DA7E37"/>
    <w:rsid w:val="00DA7F2B"/>
    <w:rsid w:val="00DA7F91"/>
    <w:rsid w:val="00DB0733"/>
    <w:rsid w:val="00DB08A7"/>
    <w:rsid w:val="00DB0E36"/>
    <w:rsid w:val="00DB1106"/>
    <w:rsid w:val="00DB1422"/>
    <w:rsid w:val="00DB1BE1"/>
    <w:rsid w:val="00DB25D2"/>
    <w:rsid w:val="00DB2723"/>
    <w:rsid w:val="00DB2935"/>
    <w:rsid w:val="00DB329C"/>
    <w:rsid w:val="00DB3576"/>
    <w:rsid w:val="00DB3679"/>
    <w:rsid w:val="00DB38E1"/>
    <w:rsid w:val="00DB38FF"/>
    <w:rsid w:val="00DB3DBF"/>
    <w:rsid w:val="00DB4148"/>
    <w:rsid w:val="00DB43F4"/>
    <w:rsid w:val="00DB477A"/>
    <w:rsid w:val="00DB484F"/>
    <w:rsid w:val="00DB48A4"/>
    <w:rsid w:val="00DB4AC3"/>
    <w:rsid w:val="00DB4B01"/>
    <w:rsid w:val="00DB4D4E"/>
    <w:rsid w:val="00DB53C9"/>
    <w:rsid w:val="00DB5425"/>
    <w:rsid w:val="00DB54F8"/>
    <w:rsid w:val="00DB556F"/>
    <w:rsid w:val="00DB5E26"/>
    <w:rsid w:val="00DB62D6"/>
    <w:rsid w:val="00DB6443"/>
    <w:rsid w:val="00DB6970"/>
    <w:rsid w:val="00DB6A63"/>
    <w:rsid w:val="00DB6ABD"/>
    <w:rsid w:val="00DB6ABF"/>
    <w:rsid w:val="00DB6B02"/>
    <w:rsid w:val="00DB6E35"/>
    <w:rsid w:val="00DB6F6E"/>
    <w:rsid w:val="00DB6FAC"/>
    <w:rsid w:val="00DB76EA"/>
    <w:rsid w:val="00DB7D0C"/>
    <w:rsid w:val="00DB7EA3"/>
    <w:rsid w:val="00DB7FA0"/>
    <w:rsid w:val="00DB7FA3"/>
    <w:rsid w:val="00DB7FB1"/>
    <w:rsid w:val="00DB7FB5"/>
    <w:rsid w:val="00DC04F6"/>
    <w:rsid w:val="00DC0690"/>
    <w:rsid w:val="00DC0A00"/>
    <w:rsid w:val="00DC1118"/>
    <w:rsid w:val="00DC1321"/>
    <w:rsid w:val="00DC14CE"/>
    <w:rsid w:val="00DC16BA"/>
    <w:rsid w:val="00DC18D2"/>
    <w:rsid w:val="00DC18E7"/>
    <w:rsid w:val="00DC1951"/>
    <w:rsid w:val="00DC1D65"/>
    <w:rsid w:val="00DC1E5E"/>
    <w:rsid w:val="00DC20AA"/>
    <w:rsid w:val="00DC224A"/>
    <w:rsid w:val="00DC2BDA"/>
    <w:rsid w:val="00DC2FEE"/>
    <w:rsid w:val="00DC316B"/>
    <w:rsid w:val="00DC322A"/>
    <w:rsid w:val="00DC34AB"/>
    <w:rsid w:val="00DC3720"/>
    <w:rsid w:val="00DC37F3"/>
    <w:rsid w:val="00DC394C"/>
    <w:rsid w:val="00DC3BCA"/>
    <w:rsid w:val="00DC3C57"/>
    <w:rsid w:val="00DC3C94"/>
    <w:rsid w:val="00DC45C1"/>
    <w:rsid w:val="00DC45F4"/>
    <w:rsid w:val="00DC45F5"/>
    <w:rsid w:val="00DC4688"/>
    <w:rsid w:val="00DC483F"/>
    <w:rsid w:val="00DC48FD"/>
    <w:rsid w:val="00DC5501"/>
    <w:rsid w:val="00DC5AF6"/>
    <w:rsid w:val="00DC5D6F"/>
    <w:rsid w:val="00DC5DE4"/>
    <w:rsid w:val="00DC65A1"/>
    <w:rsid w:val="00DC6B2B"/>
    <w:rsid w:val="00DC7154"/>
    <w:rsid w:val="00DC73F1"/>
    <w:rsid w:val="00DC7A14"/>
    <w:rsid w:val="00DC7D5C"/>
    <w:rsid w:val="00DC7E8A"/>
    <w:rsid w:val="00DC7F59"/>
    <w:rsid w:val="00DC7FBE"/>
    <w:rsid w:val="00DD0960"/>
    <w:rsid w:val="00DD0978"/>
    <w:rsid w:val="00DD0F78"/>
    <w:rsid w:val="00DD1398"/>
    <w:rsid w:val="00DD144C"/>
    <w:rsid w:val="00DD1942"/>
    <w:rsid w:val="00DD1CDC"/>
    <w:rsid w:val="00DD1E56"/>
    <w:rsid w:val="00DD1E95"/>
    <w:rsid w:val="00DD1EA5"/>
    <w:rsid w:val="00DD1FDD"/>
    <w:rsid w:val="00DD244D"/>
    <w:rsid w:val="00DD273C"/>
    <w:rsid w:val="00DD2A0B"/>
    <w:rsid w:val="00DD3441"/>
    <w:rsid w:val="00DD3562"/>
    <w:rsid w:val="00DD39D6"/>
    <w:rsid w:val="00DD3F28"/>
    <w:rsid w:val="00DD4159"/>
    <w:rsid w:val="00DD4446"/>
    <w:rsid w:val="00DD4537"/>
    <w:rsid w:val="00DD4C96"/>
    <w:rsid w:val="00DD4E15"/>
    <w:rsid w:val="00DD4E37"/>
    <w:rsid w:val="00DD51D8"/>
    <w:rsid w:val="00DD51DF"/>
    <w:rsid w:val="00DD55AF"/>
    <w:rsid w:val="00DD5705"/>
    <w:rsid w:val="00DD5847"/>
    <w:rsid w:val="00DD59AA"/>
    <w:rsid w:val="00DD5AE8"/>
    <w:rsid w:val="00DD5CDB"/>
    <w:rsid w:val="00DD5E59"/>
    <w:rsid w:val="00DD67E9"/>
    <w:rsid w:val="00DD69C1"/>
    <w:rsid w:val="00DD69E9"/>
    <w:rsid w:val="00DD6AB5"/>
    <w:rsid w:val="00DD6AFD"/>
    <w:rsid w:val="00DD704D"/>
    <w:rsid w:val="00DD7438"/>
    <w:rsid w:val="00DD7462"/>
    <w:rsid w:val="00DD7708"/>
    <w:rsid w:val="00DD7CC9"/>
    <w:rsid w:val="00DD7FBA"/>
    <w:rsid w:val="00DE0BD5"/>
    <w:rsid w:val="00DE0E4D"/>
    <w:rsid w:val="00DE1122"/>
    <w:rsid w:val="00DE168C"/>
    <w:rsid w:val="00DE1B46"/>
    <w:rsid w:val="00DE20A7"/>
    <w:rsid w:val="00DE217C"/>
    <w:rsid w:val="00DE2304"/>
    <w:rsid w:val="00DE2717"/>
    <w:rsid w:val="00DE2977"/>
    <w:rsid w:val="00DE2DAB"/>
    <w:rsid w:val="00DE2E06"/>
    <w:rsid w:val="00DE3138"/>
    <w:rsid w:val="00DE3665"/>
    <w:rsid w:val="00DE37F8"/>
    <w:rsid w:val="00DE3CB3"/>
    <w:rsid w:val="00DE4054"/>
    <w:rsid w:val="00DE4273"/>
    <w:rsid w:val="00DE4387"/>
    <w:rsid w:val="00DE43A1"/>
    <w:rsid w:val="00DE451B"/>
    <w:rsid w:val="00DE4FCB"/>
    <w:rsid w:val="00DE5202"/>
    <w:rsid w:val="00DE5441"/>
    <w:rsid w:val="00DE56C0"/>
    <w:rsid w:val="00DE5C58"/>
    <w:rsid w:val="00DE5D07"/>
    <w:rsid w:val="00DE60AC"/>
    <w:rsid w:val="00DE6202"/>
    <w:rsid w:val="00DE6CAA"/>
    <w:rsid w:val="00DE6F2D"/>
    <w:rsid w:val="00DE72A7"/>
    <w:rsid w:val="00DE76E8"/>
    <w:rsid w:val="00DE7832"/>
    <w:rsid w:val="00DE7A2B"/>
    <w:rsid w:val="00DE7BF7"/>
    <w:rsid w:val="00DE7CFB"/>
    <w:rsid w:val="00DF042B"/>
    <w:rsid w:val="00DF0467"/>
    <w:rsid w:val="00DF05B8"/>
    <w:rsid w:val="00DF06B4"/>
    <w:rsid w:val="00DF07C8"/>
    <w:rsid w:val="00DF0AE4"/>
    <w:rsid w:val="00DF0B85"/>
    <w:rsid w:val="00DF0DDE"/>
    <w:rsid w:val="00DF0E32"/>
    <w:rsid w:val="00DF10F7"/>
    <w:rsid w:val="00DF152F"/>
    <w:rsid w:val="00DF18FC"/>
    <w:rsid w:val="00DF1D2D"/>
    <w:rsid w:val="00DF29E3"/>
    <w:rsid w:val="00DF2E2A"/>
    <w:rsid w:val="00DF2E67"/>
    <w:rsid w:val="00DF3244"/>
    <w:rsid w:val="00DF3883"/>
    <w:rsid w:val="00DF3FF9"/>
    <w:rsid w:val="00DF4C5E"/>
    <w:rsid w:val="00DF4E49"/>
    <w:rsid w:val="00DF50F1"/>
    <w:rsid w:val="00DF525D"/>
    <w:rsid w:val="00DF55ED"/>
    <w:rsid w:val="00DF5811"/>
    <w:rsid w:val="00DF5A81"/>
    <w:rsid w:val="00DF5B4D"/>
    <w:rsid w:val="00DF5D2B"/>
    <w:rsid w:val="00DF6114"/>
    <w:rsid w:val="00DF61BD"/>
    <w:rsid w:val="00DF6341"/>
    <w:rsid w:val="00DF6545"/>
    <w:rsid w:val="00DF65E6"/>
    <w:rsid w:val="00DF6758"/>
    <w:rsid w:val="00DF67A7"/>
    <w:rsid w:val="00DF748B"/>
    <w:rsid w:val="00DF76B9"/>
    <w:rsid w:val="00DF77D6"/>
    <w:rsid w:val="00E001AB"/>
    <w:rsid w:val="00E004D6"/>
    <w:rsid w:val="00E00711"/>
    <w:rsid w:val="00E00A01"/>
    <w:rsid w:val="00E00E8E"/>
    <w:rsid w:val="00E014E9"/>
    <w:rsid w:val="00E015AA"/>
    <w:rsid w:val="00E01BDD"/>
    <w:rsid w:val="00E01E57"/>
    <w:rsid w:val="00E02352"/>
    <w:rsid w:val="00E026AD"/>
    <w:rsid w:val="00E02927"/>
    <w:rsid w:val="00E02A5C"/>
    <w:rsid w:val="00E02BBC"/>
    <w:rsid w:val="00E02E2C"/>
    <w:rsid w:val="00E035CA"/>
    <w:rsid w:val="00E03A6E"/>
    <w:rsid w:val="00E03ABD"/>
    <w:rsid w:val="00E040A7"/>
    <w:rsid w:val="00E051BF"/>
    <w:rsid w:val="00E05262"/>
    <w:rsid w:val="00E053C5"/>
    <w:rsid w:val="00E05528"/>
    <w:rsid w:val="00E05630"/>
    <w:rsid w:val="00E0580E"/>
    <w:rsid w:val="00E06DBB"/>
    <w:rsid w:val="00E0735B"/>
    <w:rsid w:val="00E075C8"/>
    <w:rsid w:val="00E07827"/>
    <w:rsid w:val="00E07849"/>
    <w:rsid w:val="00E07D3D"/>
    <w:rsid w:val="00E10047"/>
    <w:rsid w:val="00E10149"/>
    <w:rsid w:val="00E102B2"/>
    <w:rsid w:val="00E10570"/>
    <w:rsid w:val="00E107B6"/>
    <w:rsid w:val="00E10964"/>
    <w:rsid w:val="00E10FB0"/>
    <w:rsid w:val="00E1102A"/>
    <w:rsid w:val="00E11340"/>
    <w:rsid w:val="00E1166A"/>
    <w:rsid w:val="00E11783"/>
    <w:rsid w:val="00E11B13"/>
    <w:rsid w:val="00E11DB3"/>
    <w:rsid w:val="00E11F83"/>
    <w:rsid w:val="00E122A1"/>
    <w:rsid w:val="00E12830"/>
    <w:rsid w:val="00E1379C"/>
    <w:rsid w:val="00E13A08"/>
    <w:rsid w:val="00E13BE9"/>
    <w:rsid w:val="00E13C5B"/>
    <w:rsid w:val="00E13F10"/>
    <w:rsid w:val="00E142E5"/>
    <w:rsid w:val="00E14F7B"/>
    <w:rsid w:val="00E16372"/>
    <w:rsid w:val="00E163A5"/>
    <w:rsid w:val="00E16770"/>
    <w:rsid w:val="00E16AD8"/>
    <w:rsid w:val="00E16F92"/>
    <w:rsid w:val="00E17247"/>
    <w:rsid w:val="00E17A4F"/>
    <w:rsid w:val="00E17B31"/>
    <w:rsid w:val="00E17BF9"/>
    <w:rsid w:val="00E17FFA"/>
    <w:rsid w:val="00E2017E"/>
    <w:rsid w:val="00E2038D"/>
    <w:rsid w:val="00E203A6"/>
    <w:rsid w:val="00E20B17"/>
    <w:rsid w:val="00E20E4D"/>
    <w:rsid w:val="00E20ED6"/>
    <w:rsid w:val="00E21219"/>
    <w:rsid w:val="00E212BB"/>
    <w:rsid w:val="00E21358"/>
    <w:rsid w:val="00E21DB9"/>
    <w:rsid w:val="00E21DF9"/>
    <w:rsid w:val="00E2249B"/>
    <w:rsid w:val="00E227C3"/>
    <w:rsid w:val="00E22A0D"/>
    <w:rsid w:val="00E23755"/>
    <w:rsid w:val="00E244F6"/>
    <w:rsid w:val="00E24D2B"/>
    <w:rsid w:val="00E24DAF"/>
    <w:rsid w:val="00E256B1"/>
    <w:rsid w:val="00E258DB"/>
    <w:rsid w:val="00E25C9E"/>
    <w:rsid w:val="00E260B4"/>
    <w:rsid w:val="00E26866"/>
    <w:rsid w:val="00E26E10"/>
    <w:rsid w:val="00E270F5"/>
    <w:rsid w:val="00E27451"/>
    <w:rsid w:val="00E27567"/>
    <w:rsid w:val="00E2771E"/>
    <w:rsid w:val="00E27D00"/>
    <w:rsid w:val="00E30416"/>
    <w:rsid w:val="00E304FD"/>
    <w:rsid w:val="00E30929"/>
    <w:rsid w:val="00E30961"/>
    <w:rsid w:val="00E311EF"/>
    <w:rsid w:val="00E3141D"/>
    <w:rsid w:val="00E3147E"/>
    <w:rsid w:val="00E31633"/>
    <w:rsid w:val="00E31D09"/>
    <w:rsid w:val="00E32180"/>
    <w:rsid w:val="00E32264"/>
    <w:rsid w:val="00E32F38"/>
    <w:rsid w:val="00E330F3"/>
    <w:rsid w:val="00E331A1"/>
    <w:rsid w:val="00E331B9"/>
    <w:rsid w:val="00E33588"/>
    <w:rsid w:val="00E33898"/>
    <w:rsid w:val="00E33ABE"/>
    <w:rsid w:val="00E33FBE"/>
    <w:rsid w:val="00E3437B"/>
    <w:rsid w:val="00E347D2"/>
    <w:rsid w:val="00E34948"/>
    <w:rsid w:val="00E34B7F"/>
    <w:rsid w:val="00E34BDB"/>
    <w:rsid w:val="00E34C3E"/>
    <w:rsid w:val="00E34D44"/>
    <w:rsid w:val="00E3543B"/>
    <w:rsid w:val="00E356D2"/>
    <w:rsid w:val="00E35B1C"/>
    <w:rsid w:val="00E35B32"/>
    <w:rsid w:val="00E35F62"/>
    <w:rsid w:val="00E36BC0"/>
    <w:rsid w:val="00E36D7D"/>
    <w:rsid w:val="00E37400"/>
    <w:rsid w:val="00E37569"/>
    <w:rsid w:val="00E37739"/>
    <w:rsid w:val="00E37C9F"/>
    <w:rsid w:val="00E37CE7"/>
    <w:rsid w:val="00E37EE4"/>
    <w:rsid w:val="00E401B2"/>
    <w:rsid w:val="00E4024D"/>
    <w:rsid w:val="00E409F1"/>
    <w:rsid w:val="00E40BDD"/>
    <w:rsid w:val="00E40D14"/>
    <w:rsid w:val="00E40D46"/>
    <w:rsid w:val="00E41395"/>
    <w:rsid w:val="00E4179C"/>
    <w:rsid w:val="00E419D0"/>
    <w:rsid w:val="00E41DF8"/>
    <w:rsid w:val="00E41E30"/>
    <w:rsid w:val="00E424B9"/>
    <w:rsid w:val="00E426AF"/>
    <w:rsid w:val="00E42B44"/>
    <w:rsid w:val="00E42C89"/>
    <w:rsid w:val="00E42F73"/>
    <w:rsid w:val="00E43012"/>
    <w:rsid w:val="00E43234"/>
    <w:rsid w:val="00E4381B"/>
    <w:rsid w:val="00E43D70"/>
    <w:rsid w:val="00E44421"/>
    <w:rsid w:val="00E444EB"/>
    <w:rsid w:val="00E445A0"/>
    <w:rsid w:val="00E44627"/>
    <w:rsid w:val="00E44865"/>
    <w:rsid w:val="00E44D0D"/>
    <w:rsid w:val="00E44D14"/>
    <w:rsid w:val="00E44D6D"/>
    <w:rsid w:val="00E44F39"/>
    <w:rsid w:val="00E450A9"/>
    <w:rsid w:val="00E4560D"/>
    <w:rsid w:val="00E4574A"/>
    <w:rsid w:val="00E45B94"/>
    <w:rsid w:val="00E45D84"/>
    <w:rsid w:val="00E4609D"/>
    <w:rsid w:val="00E46404"/>
    <w:rsid w:val="00E464B0"/>
    <w:rsid w:val="00E466F3"/>
    <w:rsid w:val="00E47B2C"/>
    <w:rsid w:val="00E508EB"/>
    <w:rsid w:val="00E50D2B"/>
    <w:rsid w:val="00E51006"/>
    <w:rsid w:val="00E5107A"/>
    <w:rsid w:val="00E51560"/>
    <w:rsid w:val="00E51821"/>
    <w:rsid w:val="00E5198D"/>
    <w:rsid w:val="00E5254A"/>
    <w:rsid w:val="00E5271B"/>
    <w:rsid w:val="00E52A9B"/>
    <w:rsid w:val="00E52EAC"/>
    <w:rsid w:val="00E52EC2"/>
    <w:rsid w:val="00E52FAB"/>
    <w:rsid w:val="00E53551"/>
    <w:rsid w:val="00E535E0"/>
    <w:rsid w:val="00E5395B"/>
    <w:rsid w:val="00E53A9A"/>
    <w:rsid w:val="00E53B0F"/>
    <w:rsid w:val="00E53F3A"/>
    <w:rsid w:val="00E53FC8"/>
    <w:rsid w:val="00E542D0"/>
    <w:rsid w:val="00E54347"/>
    <w:rsid w:val="00E5480F"/>
    <w:rsid w:val="00E54924"/>
    <w:rsid w:val="00E54B9C"/>
    <w:rsid w:val="00E54EDD"/>
    <w:rsid w:val="00E55028"/>
    <w:rsid w:val="00E551D1"/>
    <w:rsid w:val="00E55424"/>
    <w:rsid w:val="00E55847"/>
    <w:rsid w:val="00E55915"/>
    <w:rsid w:val="00E55A18"/>
    <w:rsid w:val="00E55BB5"/>
    <w:rsid w:val="00E562D5"/>
    <w:rsid w:val="00E5646B"/>
    <w:rsid w:val="00E5675E"/>
    <w:rsid w:val="00E567FF"/>
    <w:rsid w:val="00E56A0E"/>
    <w:rsid w:val="00E56E23"/>
    <w:rsid w:val="00E572D4"/>
    <w:rsid w:val="00E575B7"/>
    <w:rsid w:val="00E575DF"/>
    <w:rsid w:val="00E57604"/>
    <w:rsid w:val="00E579F7"/>
    <w:rsid w:val="00E57A47"/>
    <w:rsid w:val="00E57D7C"/>
    <w:rsid w:val="00E60C6C"/>
    <w:rsid w:val="00E60DA9"/>
    <w:rsid w:val="00E60F86"/>
    <w:rsid w:val="00E611DF"/>
    <w:rsid w:val="00E612AD"/>
    <w:rsid w:val="00E615AE"/>
    <w:rsid w:val="00E61F98"/>
    <w:rsid w:val="00E61FCB"/>
    <w:rsid w:val="00E62088"/>
    <w:rsid w:val="00E62297"/>
    <w:rsid w:val="00E624A4"/>
    <w:rsid w:val="00E62C09"/>
    <w:rsid w:val="00E62CFA"/>
    <w:rsid w:val="00E62F08"/>
    <w:rsid w:val="00E630D9"/>
    <w:rsid w:val="00E63A73"/>
    <w:rsid w:val="00E63D34"/>
    <w:rsid w:val="00E63FC9"/>
    <w:rsid w:val="00E64432"/>
    <w:rsid w:val="00E645DC"/>
    <w:rsid w:val="00E6485F"/>
    <w:rsid w:val="00E649A5"/>
    <w:rsid w:val="00E64AED"/>
    <w:rsid w:val="00E64FE7"/>
    <w:rsid w:val="00E6569A"/>
    <w:rsid w:val="00E65928"/>
    <w:rsid w:val="00E65ADE"/>
    <w:rsid w:val="00E65B2C"/>
    <w:rsid w:val="00E65E79"/>
    <w:rsid w:val="00E65EE3"/>
    <w:rsid w:val="00E665C8"/>
    <w:rsid w:val="00E66BA2"/>
    <w:rsid w:val="00E66EC9"/>
    <w:rsid w:val="00E66FB2"/>
    <w:rsid w:val="00E67416"/>
    <w:rsid w:val="00E67564"/>
    <w:rsid w:val="00E67571"/>
    <w:rsid w:val="00E67A95"/>
    <w:rsid w:val="00E7052C"/>
    <w:rsid w:val="00E706D5"/>
    <w:rsid w:val="00E70C74"/>
    <w:rsid w:val="00E70F1E"/>
    <w:rsid w:val="00E71032"/>
    <w:rsid w:val="00E711EE"/>
    <w:rsid w:val="00E712E8"/>
    <w:rsid w:val="00E71780"/>
    <w:rsid w:val="00E718B6"/>
    <w:rsid w:val="00E71AB6"/>
    <w:rsid w:val="00E723BA"/>
    <w:rsid w:val="00E72696"/>
    <w:rsid w:val="00E729C0"/>
    <w:rsid w:val="00E72DBD"/>
    <w:rsid w:val="00E730A7"/>
    <w:rsid w:val="00E73581"/>
    <w:rsid w:val="00E7368C"/>
    <w:rsid w:val="00E73760"/>
    <w:rsid w:val="00E73AE4"/>
    <w:rsid w:val="00E740D7"/>
    <w:rsid w:val="00E740F7"/>
    <w:rsid w:val="00E743A4"/>
    <w:rsid w:val="00E748A6"/>
    <w:rsid w:val="00E74A09"/>
    <w:rsid w:val="00E75AFF"/>
    <w:rsid w:val="00E761EB"/>
    <w:rsid w:val="00E7684A"/>
    <w:rsid w:val="00E76870"/>
    <w:rsid w:val="00E76EDA"/>
    <w:rsid w:val="00E76FC4"/>
    <w:rsid w:val="00E77888"/>
    <w:rsid w:val="00E77BF6"/>
    <w:rsid w:val="00E77FAD"/>
    <w:rsid w:val="00E80083"/>
    <w:rsid w:val="00E8022D"/>
    <w:rsid w:val="00E8054A"/>
    <w:rsid w:val="00E80709"/>
    <w:rsid w:val="00E80878"/>
    <w:rsid w:val="00E80CD7"/>
    <w:rsid w:val="00E80D27"/>
    <w:rsid w:val="00E80EE1"/>
    <w:rsid w:val="00E8107E"/>
    <w:rsid w:val="00E81142"/>
    <w:rsid w:val="00E8128C"/>
    <w:rsid w:val="00E8189A"/>
    <w:rsid w:val="00E81907"/>
    <w:rsid w:val="00E81CE3"/>
    <w:rsid w:val="00E81DBB"/>
    <w:rsid w:val="00E8228A"/>
    <w:rsid w:val="00E82311"/>
    <w:rsid w:val="00E82381"/>
    <w:rsid w:val="00E8257C"/>
    <w:rsid w:val="00E82B83"/>
    <w:rsid w:val="00E82CDE"/>
    <w:rsid w:val="00E832CF"/>
    <w:rsid w:val="00E833A3"/>
    <w:rsid w:val="00E833F7"/>
    <w:rsid w:val="00E836AF"/>
    <w:rsid w:val="00E83798"/>
    <w:rsid w:val="00E83BDF"/>
    <w:rsid w:val="00E83E5E"/>
    <w:rsid w:val="00E8462F"/>
    <w:rsid w:val="00E8516E"/>
    <w:rsid w:val="00E85272"/>
    <w:rsid w:val="00E8639C"/>
    <w:rsid w:val="00E867D5"/>
    <w:rsid w:val="00E869B6"/>
    <w:rsid w:val="00E86C97"/>
    <w:rsid w:val="00E86FCC"/>
    <w:rsid w:val="00E874ED"/>
    <w:rsid w:val="00E8782E"/>
    <w:rsid w:val="00E87973"/>
    <w:rsid w:val="00E879BE"/>
    <w:rsid w:val="00E87A1D"/>
    <w:rsid w:val="00E90139"/>
    <w:rsid w:val="00E904D1"/>
    <w:rsid w:val="00E9094A"/>
    <w:rsid w:val="00E90AA4"/>
    <w:rsid w:val="00E91AA6"/>
    <w:rsid w:val="00E91D35"/>
    <w:rsid w:val="00E91E60"/>
    <w:rsid w:val="00E9201A"/>
    <w:rsid w:val="00E921A2"/>
    <w:rsid w:val="00E922B1"/>
    <w:rsid w:val="00E925B0"/>
    <w:rsid w:val="00E926A5"/>
    <w:rsid w:val="00E92876"/>
    <w:rsid w:val="00E92C0C"/>
    <w:rsid w:val="00E931D8"/>
    <w:rsid w:val="00E93363"/>
    <w:rsid w:val="00E934CF"/>
    <w:rsid w:val="00E93E22"/>
    <w:rsid w:val="00E93FA1"/>
    <w:rsid w:val="00E94682"/>
    <w:rsid w:val="00E94A69"/>
    <w:rsid w:val="00E94BDA"/>
    <w:rsid w:val="00E94E9C"/>
    <w:rsid w:val="00E95441"/>
    <w:rsid w:val="00E956DB"/>
    <w:rsid w:val="00E957DB"/>
    <w:rsid w:val="00E95909"/>
    <w:rsid w:val="00E95B76"/>
    <w:rsid w:val="00E95E00"/>
    <w:rsid w:val="00E962CC"/>
    <w:rsid w:val="00E9645A"/>
    <w:rsid w:val="00E96DE0"/>
    <w:rsid w:val="00E970B0"/>
    <w:rsid w:val="00E976A0"/>
    <w:rsid w:val="00E97756"/>
    <w:rsid w:val="00E97AA5"/>
    <w:rsid w:val="00E97FC1"/>
    <w:rsid w:val="00EA03B7"/>
    <w:rsid w:val="00EA03FA"/>
    <w:rsid w:val="00EA06F6"/>
    <w:rsid w:val="00EA0936"/>
    <w:rsid w:val="00EA0946"/>
    <w:rsid w:val="00EA0D5E"/>
    <w:rsid w:val="00EA1384"/>
    <w:rsid w:val="00EA17C3"/>
    <w:rsid w:val="00EA1910"/>
    <w:rsid w:val="00EA1CDC"/>
    <w:rsid w:val="00EA2CAA"/>
    <w:rsid w:val="00EA3116"/>
    <w:rsid w:val="00EA36AD"/>
    <w:rsid w:val="00EA3836"/>
    <w:rsid w:val="00EA3864"/>
    <w:rsid w:val="00EA42D5"/>
    <w:rsid w:val="00EA445C"/>
    <w:rsid w:val="00EA4C37"/>
    <w:rsid w:val="00EA4DBA"/>
    <w:rsid w:val="00EA4E66"/>
    <w:rsid w:val="00EA5399"/>
    <w:rsid w:val="00EA5559"/>
    <w:rsid w:val="00EA5BF3"/>
    <w:rsid w:val="00EA5C29"/>
    <w:rsid w:val="00EA5CEF"/>
    <w:rsid w:val="00EA5EBE"/>
    <w:rsid w:val="00EA73D5"/>
    <w:rsid w:val="00EA79C7"/>
    <w:rsid w:val="00EA79F2"/>
    <w:rsid w:val="00EA7A1C"/>
    <w:rsid w:val="00EA7F1C"/>
    <w:rsid w:val="00EB0017"/>
    <w:rsid w:val="00EB03ED"/>
    <w:rsid w:val="00EB0626"/>
    <w:rsid w:val="00EB0924"/>
    <w:rsid w:val="00EB1406"/>
    <w:rsid w:val="00EB15B6"/>
    <w:rsid w:val="00EB1A36"/>
    <w:rsid w:val="00EB1FC9"/>
    <w:rsid w:val="00EB1FDD"/>
    <w:rsid w:val="00EB2A02"/>
    <w:rsid w:val="00EB3364"/>
    <w:rsid w:val="00EB33F6"/>
    <w:rsid w:val="00EB3AEF"/>
    <w:rsid w:val="00EB3BF1"/>
    <w:rsid w:val="00EB3CE9"/>
    <w:rsid w:val="00EB3D06"/>
    <w:rsid w:val="00EB4383"/>
    <w:rsid w:val="00EB4609"/>
    <w:rsid w:val="00EB4916"/>
    <w:rsid w:val="00EB4B53"/>
    <w:rsid w:val="00EB57F7"/>
    <w:rsid w:val="00EB5B83"/>
    <w:rsid w:val="00EB6634"/>
    <w:rsid w:val="00EB69E5"/>
    <w:rsid w:val="00EB69F9"/>
    <w:rsid w:val="00EB6F9D"/>
    <w:rsid w:val="00EB71F1"/>
    <w:rsid w:val="00EB765E"/>
    <w:rsid w:val="00EB7C30"/>
    <w:rsid w:val="00EB7D13"/>
    <w:rsid w:val="00EB7D9E"/>
    <w:rsid w:val="00EB7F2E"/>
    <w:rsid w:val="00EC00C9"/>
    <w:rsid w:val="00EC0133"/>
    <w:rsid w:val="00EC01E5"/>
    <w:rsid w:val="00EC05E5"/>
    <w:rsid w:val="00EC0C4A"/>
    <w:rsid w:val="00EC0DD9"/>
    <w:rsid w:val="00EC0F42"/>
    <w:rsid w:val="00EC1606"/>
    <w:rsid w:val="00EC1F46"/>
    <w:rsid w:val="00EC208D"/>
    <w:rsid w:val="00EC230F"/>
    <w:rsid w:val="00EC2649"/>
    <w:rsid w:val="00EC2BA8"/>
    <w:rsid w:val="00EC2C77"/>
    <w:rsid w:val="00EC2DF5"/>
    <w:rsid w:val="00EC31ED"/>
    <w:rsid w:val="00EC362A"/>
    <w:rsid w:val="00EC3ECB"/>
    <w:rsid w:val="00EC3FD3"/>
    <w:rsid w:val="00EC47EB"/>
    <w:rsid w:val="00EC4B03"/>
    <w:rsid w:val="00EC4CB3"/>
    <w:rsid w:val="00EC4D36"/>
    <w:rsid w:val="00EC4D52"/>
    <w:rsid w:val="00EC4E3D"/>
    <w:rsid w:val="00EC5363"/>
    <w:rsid w:val="00EC5836"/>
    <w:rsid w:val="00EC5B40"/>
    <w:rsid w:val="00EC5EF7"/>
    <w:rsid w:val="00EC688C"/>
    <w:rsid w:val="00EC6C15"/>
    <w:rsid w:val="00EC70AD"/>
    <w:rsid w:val="00EC710E"/>
    <w:rsid w:val="00EC7483"/>
    <w:rsid w:val="00EC76C6"/>
    <w:rsid w:val="00EC771C"/>
    <w:rsid w:val="00EC7DCA"/>
    <w:rsid w:val="00EC7EFE"/>
    <w:rsid w:val="00ED0505"/>
    <w:rsid w:val="00ED06C9"/>
    <w:rsid w:val="00ED0B2A"/>
    <w:rsid w:val="00ED0CBB"/>
    <w:rsid w:val="00ED0CE8"/>
    <w:rsid w:val="00ED0DC4"/>
    <w:rsid w:val="00ED12E3"/>
    <w:rsid w:val="00ED16BB"/>
    <w:rsid w:val="00ED1994"/>
    <w:rsid w:val="00ED1EC6"/>
    <w:rsid w:val="00ED23AF"/>
    <w:rsid w:val="00ED248D"/>
    <w:rsid w:val="00ED287D"/>
    <w:rsid w:val="00ED292D"/>
    <w:rsid w:val="00ED2EBC"/>
    <w:rsid w:val="00ED30FE"/>
    <w:rsid w:val="00ED31C4"/>
    <w:rsid w:val="00ED472F"/>
    <w:rsid w:val="00ED4890"/>
    <w:rsid w:val="00ED4B04"/>
    <w:rsid w:val="00ED4B4E"/>
    <w:rsid w:val="00ED5267"/>
    <w:rsid w:val="00ED57EA"/>
    <w:rsid w:val="00ED5BD4"/>
    <w:rsid w:val="00ED5E48"/>
    <w:rsid w:val="00ED61FC"/>
    <w:rsid w:val="00ED636D"/>
    <w:rsid w:val="00ED64BA"/>
    <w:rsid w:val="00ED6736"/>
    <w:rsid w:val="00ED6786"/>
    <w:rsid w:val="00ED6886"/>
    <w:rsid w:val="00ED7489"/>
    <w:rsid w:val="00ED7C87"/>
    <w:rsid w:val="00ED7F46"/>
    <w:rsid w:val="00EE07D3"/>
    <w:rsid w:val="00EE0EC9"/>
    <w:rsid w:val="00EE0FF9"/>
    <w:rsid w:val="00EE1206"/>
    <w:rsid w:val="00EE15DB"/>
    <w:rsid w:val="00EE17B5"/>
    <w:rsid w:val="00EE1996"/>
    <w:rsid w:val="00EE1C01"/>
    <w:rsid w:val="00EE1E35"/>
    <w:rsid w:val="00EE2038"/>
    <w:rsid w:val="00EE227E"/>
    <w:rsid w:val="00EE22AF"/>
    <w:rsid w:val="00EE22EE"/>
    <w:rsid w:val="00EE240E"/>
    <w:rsid w:val="00EE2429"/>
    <w:rsid w:val="00EE25C4"/>
    <w:rsid w:val="00EE262B"/>
    <w:rsid w:val="00EE2D46"/>
    <w:rsid w:val="00EE2E23"/>
    <w:rsid w:val="00EE30A6"/>
    <w:rsid w:val="00EE3553"/>
    <w:rsid w:val="00EE3621"/>
    <w:rsid w:val="00EE36C5"/>
    <w:rsid w:val="00EE37E7"/>
    <w:rsid w:val="00EE3BDC"/>
    <w:rsid w:val="00EE3BE3"/>
    <w:rsid w:val="00EE3DE9"/>
    <w:rsid w:val="00EE3E22"/>
    <w:rsid w:val="00EE40D9"/>
    <w:rsid w:val="00EE44AD"/>
    <w:rsid w:val="00EE4855"/>
    <w:rsid w:val="00EE48CB"/>
    <w:rsid w:val="00EE53AB"/>
    <w:rsid w:val="00EE591B"/>
    <w:rsid w:val="00EE5920"/>
    <w:rsid w:val="00EE5C60"/>
    <w:rsid w:val="00EE5C98"/>
    <w:rsid w:val="00EE5C99"/>
    <w:rsid w:val="00EE6076"/>
    <w:rsid w:val="00EE6306"/>
    <w:rsid w:val="00EE635E"/>
    <w:rsid w:val="00EE656A"/>
    <w:rsid w:val="00EE6D0E"/>
    <w:rsid w:val="00EE7102"/>
    <w:rsid w:val="00EE7374"/>
    <w:rsid w:val="00EE7434"/>
    <w:rsid w:val="00EE76B2"/>
    <w:rsid w:val="00EE790C"/>
    <w:rsid w:val="00EE7DA6"/>
    <w:rsid w:val="00EE7DDE"/>
    <w:rsid w:val="00EE7FBF"/>
    <w:rsid w:val="00EF0158"/>
    <w:rsid w:val="00EF0171"/>
    <w:rsid w:val="00EF0872"/>
    <w:rsid w:val="00EF0C2E"/>
    <w:rsid w:val="00EF10F1"/>
    <w:rsid w:val="00EF12C9"/>
    <w:rsid w:val="00EF16E8"/>
    <w:rsid w:val="00EF1B25"/>
    <w:rsid w:val="00EF1B94"/>
    <w:rsid w:val="00EF1C5B"/>
    <w:rsid w:val="00EF1DA0"/>
    <w:rsid w:val="00EF2531"/>
    <w:rsid w:val="00EF26F6"/>
    <w:rsid w:val="00EF2839"/>
    <w:rsid w:val="00EF2DE4"/>
    <w:rsid w:val="00EF34D9"/>
    <w:rsid w:val="00EF3827"/>
    <w:rsid w:val="00EF38D3"/>
    <w:rsid w:val="00EF40C7"/>
    <w:rsid w:val="00EF4747"/>
    <w:rsid w:val="00EF4BF8"/>
    <w:rsid w:val="00EF4CD7"/>
    <w:rsid w:val="00EF5009"/>
    <w:rsid w:val="00EF57CE"/>
    <w:rsid w:val="00EF59D2"/>
    <w:rsid w:val="00EF5F8E"/>
    <w:rsid w:val="00EF6AE8"/>
    <w:rsid w:val="00EF6BA6"/>
    <w:rsid w:val="00EF6C64"/>
    <w:rsid w:val="00EF76A2"/>
    <w:rsid w:val="00EF7ADA"/>
    <w:rsid w:val="00EF7E4E"/>
    <w:rsid w:val="00EF7F05"/>
    <w:rsid w:val="00F003D8"/>
    <w:rsid w:val="00F00549"/>
    <w:rsid w:val="00F0089D"/>
    <w:rsid w:val="00F009F4"/>
    <w:rsid w:val="00F010E5"/>
    <w:rsid w:val="00F01879"/>
    <w:rsid w:val="00F018E9"/>
    <w:rsid w:val="00F0196F"/>
    <w:rsid w:val="00F01ADD"/>
    <w:rsid w:val="00F01C5E"/>
    <w:rsid w:val="00F02253"/>
    <w:rsid w:val="00F025A9"/>
    <w:rsid w:val="00F0272C"/>
    <w:rsid w:val="00F02F89"/>
    <w:rsid w:val="00F03092"/>
    <w:rsid w:val="00F03880"/>
    <w:rsid w:val="00F03B69"/>
    <w:rsid w:val="00F03C2E"/>
    <w:rsid w:val="00F04024"/>
    <w:rsid w:val="00F04255"/>
    <w:rsid w:val="00F04A66"/>
    <w:rsid w:val="00F04B4B"/>
    <w:rsid w:val="00F0516C"/>
    <w:rsid w:val="00F0528D"/>
    <w:rsid w:val="00F053DF"/>
    <w:rsid w:val="00F05C9F"/>
    <w:rsid w:val="00F063FF"/>
    <w:rsid w:val="00F066C8"/>
    <w:rsid w:val="00F067A2"/>
    <w:rsid w:val="00F068E3"/>
    <w:rsid w:val="00F077E7"/>
    <w:rsid w:val="00F07B9E"/>
    <w:rsid w:val="00F07BE0"/>
    <w:rsid w:val="00F10242"/>
    <w:rsid w:val="00F104CF"/>
    <w:rsid w:val="00F10667"/>
    <w:rsid w:val="00F1116F"/>
    <w:rsid w:val="00F112B5"/>
    <w:rsid w:val="00F11489"/>
    <w:rsid w:val="00F114B1"/>
    <w:rsid w:val="00F116CF"/>
    <w:rsid w:val="00F11833"/>
    <w:rsid w:val="00F11AE9"/>
    <w:rsid w:val="00F11B81"/>
    <w:rsid w:val="00F1241C"/>
    <w:rsid w:val="00F1248D"/>
    <w:rsid w:val="00F1263A"/>
    <w:rsid w:val="00F128DB"/>
    <w:rsid w:val="00F12C56"/>
    <w:rsid w:val="00F12D0D"/>
    <w:rsid w:val="00F12F38"/>
    <w:rsid w:val="00F130B3"/>
    <w:rsid w:val="00F135FA"/>
    <w:rsid w:val="00F13977"/>
    <w:rsid w:val="00F139C5"/>
    <w:rsid w:val="00F13B8C"/>
    <w:rsid w:val="00F13EEC"/>
    <w:rsid w:val="00F140C6"/>
    <w:rsid w:val="00F14216"/>
    <w:rsid w:val="00F1488A"/>
    <w:rsid w:val="00F14CA0"/>
    <w:rsid w:val="00F14DBF"/>
    <w:rsid w:val="00F14FB4"/>
    <w:rsid w:val="00F15564"/>
    <w:rsid w:val="00F157E8"/>
    <w:rsid w:val="00F1586B"/>
    <w:rsid w:val="00F15AD2"/>
    <w:rsid w:val="00F15B6D"/>
    <w:rsid w:val="00F15B77"/>
    <w:rsid w:val="00F16009"/>
    <w:rsid w:val="00F1624F"/>
    <w:rsid w:val="00F165B9"/>
    <w:rsid w:val="00F16DCD"/>
    <w:rsid w:val="00F16E02"/>
    <w:rsid w:val="00F16F87"/>
    <w:rsid w:val="00F1713E"/>
    <w:rsid w:val="00F17145"/>
    <w:rsid w:val="00F17455"/>
    <w:rsid w:val="00F17DB2"/>
    <w:rsid w:val="00F17F12"/>
    <w:rsid w:val="00F201B8"/>
    <w:rsid w:val="00F2048E"/>
    <w:rsid w:val="00F204C1"/>
    <w:rsid w:val="00F20721"/>
    <w:rsid w:val="00F210E4"/>
    <w:rsid w:val="00F2116E"/>
    <w:rsid w:val="00F21236"/>
    <w:rsid w:val="00F2143C"/>
    <w:rsid w:val="00F21D8D"/>
    <w:rsid w:val="00F225EC"/>
    <w:rsid w:val="00F22D15"/>
    <w:rsid w:val="00F22F38"/>
    <w:rsid w:val="00F22F94"/>
    <w:rsid w:val="00F23034"/>
    <w:rsid w:val="00F2320B"/>
    <w:rsid w:val="00F236A0"/>
    <w:rsid w:val="00F239DF"/>
    <w:rsid w:val="00F242DA"/>
    <w:rsid w:val="00F246D1"/>
    <w:rsid w:val="00F24708"/>
    <w:rsid w:val="00F24837"/>
    <w:rsid w:val="00F249A3"/>
    <w:rsid w:val="00F24B9C"/>
    <w:rsid w:val="00F24F22"/>
    <w:rsid w:val="00F24F59"/>
    <w:rsid w:val="00F25623"/>
    <w:rsid w:val="00F2575F"/>
    <w:rsid w:val="00F2580D"/>
    <w:rsid w:val="00F2622E"/>
    <w:rsid w:val="00F26415"/>
    <w:rsid w:val="00F268FC"/>
    <w:rsid w:val="00F2697F"/>
    <w:rsid w:val="00F27190"/>
    <w:rsid w:val="00F27565"/>
    <w:rsid w:val="00F27665"/>
    <w:rsid w:val="00F276B2"/>
    <w:rsid w:val="00F27BB2"/>
    <w:rsid w:val="00F27C19"/>
    <w:rsid w:val="00F27CFE"/>
    <w:rsid w:val="00F27E33"/>
    <w:rsid w:val="00F30165"/>
    <w:rsid w:val="00F30256"/>
    <w:rsid w:val="00F302C0"/>
    <w:rsid w:val="00F3068B"/>
    <w:rsid w:val="00F30784"/>
    <w:rsid w:val="00F3095A"/>
    <w:rsid w:val="00F30962"/>
    <w:rsid w:val="00F30D19"/>
    <w:rsid w:val="00F310D4"/>
    <w:rsid w:val="00F313CD"/>
    <w:rsid w:val="00F31787"/>
    <w:rsid w:val="00F3192A"/>
    <w:rsid w:val="00F31D5A"/>
    <w:rsid w:val="00F32023"/>
    <w:rsid w:val="00F3263A"/>
    <w:rsid w:val="00F32CC7"/>
    <w:rsid w:val="00F33975"/>
    <w:rsid w:val="00F339B4"/>
    <w:rsid w:val="00F33AB7"/>
    <w:rsid w:val="00F33D3D"/>
    <w:rsid w:val="00F33DE9"/>
    <w:rsid w:val="00F355C4"/>
    <w:rsid w:val="00F35ABE"/>
    <w:rsid w:val="00F35CF9"/>
    <w:rsid w:val="00F35E6D"/>
    <w:rsid w:val="00F3619A"/>
    <w:rsid w:val="00F365B4"/>
    <w:rsid w:val="00F3665D"/>
    <w:rsid w:val="00F37019"/>
    <w:rsid w:val="00F3714A"/>
    <w:rsid w:val="00F37215"/>
    <w:rsid w:val="00F3751F"/>
    <w:rsid w:val="00F3777E"/>
    <w:rsid w:val="00F37A30"/>
    <w:rsid w:val="00F37C13"/>
    <w:rsid w:val="00F37C2E"/>
    <w:rsid w:val="00F400ED"/>
    <w:rsid w:val="00F403B5"/>
    <w:rsid w:val="00F4043C"/>
    <w:rsid w:val="00F40539"/>
    <w:rsid w:val="00F40AAA"/>
    <w:rsid w:val="00F40BA7"/>
    <w:rsid w:val="00F40E13"/>
    <w:rsid w:val="00F40F9D"/>
    <w:rsid w:val="00F4105B"/>
    <w:rsid w:val="00F410C3"/>
    <w:rsid w:val="00F4114C"/>
    <w:rsid w:val="00F41487"/>
    <w:rsid w:val="00F41ACD"/>
    <w:rsid w:val="00F41FBF"/>
    <w:rsid w:val="00F420D5"/>
    <w:rsid w:val="00F42341"/>
    <w:rsid w:val="00F42697"/>
    <w:rsid w:val="00F42979"/>
    <w:rsid w:val="00F42C5C"/>
    <w:rsid w:val="00F42EFA"/>
    <w:rsid w:val="00F42FF3"/>
    <w:rsid w:val="00F44388"/>
    <w:rsid w:val="00F44992"/>
    <w:rsid w:val="00F44B57"/>
    <w:rsid w:val="00F454C7"/>
    <w:rsid w:val="00F45862"/>
    <w:rsid w:val="00F45E5A"/>
    <w:rsid w:val="00F466B8"/>
    <w:rsid w:val="00F46855"/>
    <w:rsid w:val="00F46BEB"/>
    <w:rsid w:val="00F46CB6"/>
    <w:rsid w:val="00F46CDD"/>
    <w:rsid w:val="00F4756D"/>
    <w:rsid w:val="00F476A8"/>
    <w:rsid w:val="00F47795"/>
    <w:rsid w:val="00F47DE8"/>
    <w:rsid w:val="00F47FE6"/>
    <w:rsid w:val="00F50528"/>
    <w:rsid w:val="00F50928"/>
    <w:rsid w:val="00F50EC5"/>
    <w:rsid w:val="00F510E9"/>
    <w:rsid w:val="00F51175"/>
    <w:rsid w:val="00F517C9"/>
    <w:rsid w:val="00F51891"/>
    <w:rsid w:val="00F5198F"/>
    <w:rsid w:val="00F519CC"/>
    <w:rsid w:val="00F51A03"/>
    <w:rsid w:val="00F51B36"/>
    <w:rsid w:val="00F523EF"/>
    <w:rsid w:val="00F525CC"/>
    <w:rsid w:val="00F527FF"/>
    <w:rsid w:val="00F52D17"/>
    <w:rsid w:val="00F53386"/>
    <w:rsid w:val="00F53657"/>
    <w:rsid w:val="00F537A5"/>
    <w:rsid w:val="00F53F18"/>
    <w:rsid w:val="00F542C1"/>
    <w:rsid w:val="00F54344"/>
    <w:rsid w:val="00F546B9"/>
    <w:rsid w:val="00F549D5"/>
    <w:rsid w:val="00F550E3"/>
    <w:rsid w:val="00F5529E"/>
    <w:rsid w:val="00F55B03"/>
    <w:rsid w:val="00F55E73"/>
    <w:rsid w:val="00F55EDA"/>
    <w:rsid w:val="00F56267"/>
    <w:rsid w:val="00F5671D"/>
    <w:rsid w:val="00F567C5"/>
    <w:rsid w:val="00F56C80"/>
    <w:rsid w:val="00F56F4E"/>
    <w:rsid w:val="00F57403"/>
    <w:rsid w:val="00F578F0"/>
    <w:rsid w:val="00F57BF5"/>
    <w:rsid w:val="00F57CD0"/>
    <w:rsid w:val="00F57FB0"/>
    <w:rsid w:val="00F60092"/>
    <w:rsid w:val="00F6057D"/>
    <w:rsid w:val="00F606A8"/>
    <w:rsid w:val="00F60DE6"/>
    <w:rsid w:val="00F612CD"/>
    <w:rsid w:val="00F61595"/>
    <w:rsid w:val="00F61962"/>
    <w:rsid w:val="00F61ADD"/>
    <w:rsid w:val="00F61C18"/>
    <w:rsid w:val="00F62010"/>
    <w:rsid w:val="00F62422"/>
    <w:rsid w:val="00F62804"/>
    <w:rsid w:val="00F6290E"/>
    <w:rsid w:val="00F62A25"/>
    <w:rsid w:val="00F62A9B"/>
    <w:rsid w:val="00F62BCC"/>
    <w:rsid w:val="00F62DE7"/>
    <w:rsid w:val="00F6315D"/>
    <w:rsid w:val="00F63982"/>
    <w:rsid w:val="00F63D3B"/>
    <w:rsid w:val="00F63D44"/>
    <w:rsid w:val="00F6408A"/>
    <w:rsid w:val="00F642FE"/>
    <w:rsid w:val="00F64345"/>
    <w:rsid w:val="00F646C5"/>
    <w:rsid w:val="00F646F3"/>
    <w:rsid w:val="00F64D25"/>
    <w:rsid w:val="00F6500F"/>
    <w:rsid w:val="00F6502D"/>
    <w:rsid w:val="00F65095"/>
    <w:rsid w:val="00F652DC"/>
    <w:rsid w:val="00F656A1"/>
    <w:rsid w:val="00F6571B"/>
    <w:rsid w:val="00F65BD4"/>
    <w:rsid w:val="00F65C64"/>
    <w:rsid w:val="00F65CAF"/>
    <w:rsid w:val="00F65CC3"/>
    <w:rsid w:val="00F65D1F"/>
    <w:rsid w:val="00F65D85"/>
    <w:rsid w:val="00F65F4B"/>
    <w:rsid w:val="00F66268"/>
    <w:rsid w:val="00F6637D"/>
    <w:rsid w:val="00F66641"/>
    <w:rsid w:val="00F66655"/>
    <w:rsid w:val="00F67241"/>
    <w:rsid w:val="00F67364"/>
    <w:rsid w:val="00F67752"/>
    <w:rsid w:val="00F67A04"/>
    <w:rsid w:val="00F67A30"/>
    <w:rsid w:val="00F67A69"/>
    <w:rsid w:val="00F700C7"/>
    <w:rsid w:val="00F701FF"/>
    <w:rsid w:val="00F7020D"/>
    <w:rsid w:val="00F708C9"/>
    <w:rsid w:val="00F70BFF"/>
    <w:rsid w:val="00F70C9D"/>
    <w:rsid w:val="00F71411"/>
    <w:rsid w:val="00F7153F"/>
    <w:rsid w:val="00F717AB"/>
    <w:rsid w:val="00F71997"/>
    <w:rsid w:val="00F7204D"/>
    <w:rsid w:val="00F7219D"/>
    <w:rsid w:val="00F72250"/>
    <w:rsid w:val="00F7230B"/>
    <w:rsid w:val="00F723D1"/>
    <w:rsid w:val="00F72F2A"/>
    <w:rsid w:val="00F73087"/>
    <w:rsid w:val="00F731AD"/>
    <w:rsid w:val="00F73330"/>
    <w:rsid w:val="00F734FB"/>
    <w:rsid w:val="00F736A2"/>
    <w:rsid w:val="00F738DD"/>
    <w:rsid w:val="00F73E08"/>
    <w:rsid w:val="00F73EBA"/>
    <w:rsid w:val="00F73EF0"/>
    <w:rsid w:val="00F740DC"/>
    <w:rsid w:val="00F7418C"/>
    <w:rsid w:val="00F74719"/>
    <w:rsid w:val="00F74C44"/>
    <w:rsid w:val="00F74CD9"/>
    <w:rsid w:val="00F753D2"/>
    <w:rsid w:val="00F7544F"/>
    <w:rsid w:val="00F75DF4"/>
    <w:rsid w:val="00F76112"/>
    <w:rsid w:val="00F76BB8"/>
    <w:rsid w:val="00F771FE"/>
    <w:rsid w:val="00F77641"/>
    <w:rsid w:val="00F7781F"/>
    <w:rsid w:val="00F77855"/>
    <w:rsid w:val="00F77BB7"/>
    <w:rsid w:val="00F77DB2"/>
    <w:rsid w:val="00F80548"/>
    <w:rsid w:val="00F80A7B"/>
    <w:rsid w:val="00F80E5D"/>
    <w:rsid w:val="00F81004"/>
    <w:rsid w:val="00F811D4"/>
    <w:rsid w:val="00F814A5"/>
    <w:rsid w:val="00F81E78"/>
    <w:rsid w:val="00F81FA8"/>
    <w:rsid w:val="00F823B1"/>
    <w:rsid w:val="00F82541"/>
    <w:rsid w:val="00F8285E"/>
    <w:rsid w:val="00F828A2"/>
    <w:rsid w:val="00F82B10"/>
    <w:rsid w:val="00F83307"/>
    <w:rsid w:val="00F833D5"/>
    <w:rsid w:val="00F83431"/>
    <w:rsid w:val="00F836D6"/>
    <w:rsid w:val="00F83916"/>
    <w:rsid w:val="00F83A4D"/>
    <w:rsid w:val="00F83BD5"/>
    <w:rsid w:val="00F83DA8"/>
    <w:rsid w:val="00F84199"/>
    <w:rsid w:val="00F84276"/>
    <w:rsid w:val="00F8427E"/>
    <w:rsid w:val="00F842CB"/>
    <w:rsid w:val="00F847B5"/>
    <w:rsid w:val="00F84CE2"/>
    <w:rsid w:val="00F850AD"/>
    <w:rsid w:val="00F851CE"/>
    <w:rsid w:val="00F852DE"/>
    <w:rsid w:val="00F854EF"/>
    <w:rsid w:val="00F85CEF"/>
    <w:rsid w:val="00F85EA2"/>
    <w:rsid w:val="00F85FC2"/>
    <w:rsid w:val="00F86520"/>
    <w:rsid w:val="00F869F4"/>
    <w:rsid w:val="00F873F4"/>
    <w:rsid w:val="00F87728"/>
    <w:rsid w:val="00F87735"/>
    <w:rsid w:val="00F878CA"/>
    <w:rsid w:val="00F87956"/>
    <w:rsid w:val="00F90217"/>
    <w:rsid w:val="00F90357"/>
    <w:rsid w:val="00F90986"/>
    <w:rsid w:val="00F90F88"/>
    <w:rsid w:val="00F90F96"/>
    <w:rsid w:val="00F91219"/>
    <w:rsid w:val="00F9185D"/>
    <w:rsid w:val="00F91D83"/>
    <w:rsid w:val="00F91F03"/>
    <w:rsid w:val="00F92444"/>
    <w:rsid w:val="00F929E1"/>
    <w:rsid w:val="00F92AE3"/>
    <w:rsid w:val="00F92D4E"/>
    <w:rsid w:val="00F93777"/>
    <w:rsid w:val="00F9393E"/>
    <w:rsid w:val="00F93B6E"/>
    <w:rsid w:val="00F93B8D"/>
    <w:rsid w:val="00F943DB"/>
    <w:rsid w:val="00F943E3"/>
    <w:rsid w:val="00F94579"/>
    <w:rsid w:val="00F948DE"/>
    <w:rsid w:val="00F94BF7"/>
    <w:rsid w:val="00F9526E"/>
    <w:rsid w:val="00F95286"/>
    <w:rsid w:val="00F95449"/>
    <w:rsid w:val="00F957D5"/>
    <w:rsid w:val="00F95891"/>
    <w:rsid w:val="00F959B2"/>
    <w:rsid w:val="00F959EF"/>
    <w:rsid w:val="00F96161"/>
    <w:rsid w:val="00F961C5"/>
    <w:rsid w:val="00F96608"/>
    <w:rsid w:val="00F9697B"/>
    <w:rsid w:val="00F96D8B"/>
    <w:rsid w:val="00F96FD0"/>
    <w:rsid w:val="00F97184"/>
    <w:rsid w:val="00F97368"/>
    <w:rsid w:val="00F974BB"/>
    <w:rsid w:val="00F97A78"/>
    <w:rsid w:val="00F97AF1"/>
    <w:rsid w:val="00F97EC8"/>
    <w:rsid w:val="00F97FF5"/>
    <w:rsid w:val="00FA022C"/>
    <w:rsid w:val="00FA0499"/>
    <w:rsid w:val="00FA0783"/>
    <w:rsid w:val="00FA091C"/>
    <w:rsid w:val="00FA0AEA"/>
    <w:rsid w:val="00FA0B20"/>
    <w:rsid w:val="00FA0C86"/>
    <w:rsid w:val="00FA12C9"/>
    <w:rsid w:val="00FA227C"/>
    <w:rsid w:val="00FA233F"/>
    <w:rsid w:val="00FA24E7"/>
    <w:rsid w:val="00FA3048"/>
    <w:rsid w:val="00FA3597"/>
    <w:rsid w:val="00FA372E"/>
    <w:rsid w:val="00FA3828"/>
    <w:rsid w:val="00FA3C7E"/>
    <w:rsid w:val="00FA3EC4"/>
    <w:rsid w:val="00FA4226"/>
    <w:rsid w:val="00FA454F"/>
    <w:rsid w:val="00FA48C3"/>
    <w:rsid w:val="00FA5029"/>
    <w:rsid w:val="00FA53BE"/>
    <w:rsid w:val="00FA548F"/>
    <w:rsid w:val="00FA595A"/>
    <w:rsid w:val="00FA5EE6"/>
    <w:rsid w:val="00FA62DF"/>
    <w:rsid w:val="00FA62F2"/>
    <w:rsid w:val="00FA654E"/>
    <w:rsid w:val="00FA6C17"/>
    <w:rsid w:val="00FA6FF5"/>
    <w:rsid w:val="00FA70D3"/>
    <w:rsid w:val="00FA772E"/>
    <w:rsid w:val="00FA786C"/>
    <w:rsid w:val="00FA7956"/>
    <w:rsid w:val="00FA7CF9"/>
    <w:rsid w:val="00FB0127"/>
    <w:rsid w:val="00FB04B3"/>
    <w:rsid w:val="00FB04D3"/>
    <w:rsid w:val="00FB063F"/>
    <w:rsid w:val="00FB0824"/>
    <w:rsid w:val="00FB097F"/>
    <w:rsid w:val="00FB0D42"/>
    <w:rsid w:val="00FB0DDF"/>
    <w:rsid w:val="00FB138E"/>
    <w:rsid w:val="00FB1564"/>
    <w:rsid w:val="00FB1592"/>
    <w:rsid w:val="00FB1861"/>
    <w:rsid w:val="00FB1A1C"/>
    <w:rsid w:val="00FB1C7A"/>
    <w:rsid w:val="00FB2386"/>
    <w:rsid w:val="00FB2390"/>
    <w:rsid w:val="00FB26D5"/>
    <w:rsid w:val="00FB2A13"/>
    <w:rsid w:val="00FB2B50"/>
    <w:rsid w:val="00FB2D67"/>
    <w:rsid w:val="00FB2E6C"/>
    <w:rsid w:val="00FB2FCB"/>
    <w:rsid w:val="00FB3B07"/>
    <w:rsid w:val="00FB401F"/>
    <w:rsid w:val="00FB40A3"/>
    <w:rsid w:val="00FB4385"/>
    <w:rsid w:val="00FB4388"/>
    <w:rsid w:val="00FB47CB"/>
    <w:rsid w:val="00FB4C9C"/>
    <w:rsid w:val="00FB4CEB"/>
    <w:rsid w:val="00FB4F30"/>
    <w:rsid w:val="00FB52BA"/>
    <w:rsid w:val="00FB532C"/>
    <w:rsid w:val="00FB541B"/>
    <w:rsid w:val="00FB6198"/>
    <w:rsid w:val="00FB6497"/>
    <w:rsid w:val="00FB64D5"/>
    <w:rsid w:val="00FB65C0"/>
    <w:rsid w:val="00FB6A75"/>
    <w:rsid w:val="00FB7520"/>
    <w:rsid w:val="00FB79EC"/>
    <w:rsid w:val="00FB7B4D"/>
    <w:rsid w:val="00FB7C55"/>
    <w:rsid w:val="00FB7DBE"/>
    <w:rsid w:val="00FC0189"/>
    <w:rsid w:val="00FC0347"/>
    <w:rsid w:val="00FC0AD3"/>
    <w:rsid w:val="00FC1074"/>
    <w:rsid w:val="00FC1589"/>
    <w:rsid w:val="00FC17E9"/>
    <w:rsid w:val="00FC1869"/>
    <w:rsid w:val="00FC1884"/>
    <w:rsid w:val="00FC198C"/>
    <w:rsid w:val="00FC1AEB"/>
    <w:rsid w:val="00FC1DAC"/>
    <w:rsid w:val="00FC20ED"/>
    <w:rsid w:val="00FC213C"/>
    <w:rsid w:val="00FC25C8"/>
    <w:rsid w:val="00FC2DA7"/>
    <w:rsid w:val="00FC316F"/>
    <w:rsid w:val="00FC371D"/>
    <w:rsid w:val="00FC37DC"/>
    <w:rsid w:val="00FC3914"/>
    <w:rsid w:val="00FC3AD4"/>
    <w:rsid w:val="00FC3C86"/>
    <w:rsid w:val="00FC3C8D"/>
    <w:rsid w:val="00FC3CB9"/>
    <w:rsid w:val="00FC42AE"/>
    <w:rsid w:val="00FC4483"/>
    <w:rsid w:val="00FC48B2"/>
    <w:rsid w:val="00FC4B05"/>
    <w:rsid w:val="00FC4D47"/>
    <w:rsid w:val="00FC4E3B"/>
    <w:rsid w:val="00FC58EE"/>
    <w:rsid w:val="00FC5D0B"/>
    <w:rsid w:val="00FC5F0B"/>
    <w:rsid w:val="00FC642C"/>
    <w:rsid w:val="00FC6503"/>
    <w:rsid w:val="00FC68D9"/>
    <w:rsid w:val="00FC6BFC"/>
    <w:rsid w:val="00FC6C14"/>
    <w:rsid w:val="00FC6E06"/>
    <w:rsid w:val="00FC70AD"/>
    <w:rsid w:val="00FC725A"/>
    <w:rsid w:val="00FC7713"/>
    <w:rsid w:val="00FC7E95"/>
    <w:rsid w:val="00FD015B"/>
    <w:rsid w:val="00FD0240"/>
    <w:rsid w:val="00FD03B8"/>
    <w:rsid w:val="00FD0483"/>
    <w:rsid w:val="00FD05D1"/>
    <w:rsid w:val="00FD0654"/>
    <w:rsid w:val="00FD0800"/>
    <w:rsid w:val="00FD0991"/>
    <w:rsid w:val="00FD0AE2"/>
    <w:rsid w:val="00FD0B62"/>
    <w:rsid w:val="00FD100F"/>
    <w:rsid w:val="00FD13E5"/>
    <w:rsid w:val="00FD157E"/>
    <w:rsid w:val="00FD185A"/>
    <w:rsid w:val="00FD18ED"/>
    <w:rsid w:val="00FD1DB4"/>
    <w:rsid w:val="00FD1F14"/>
    <w:rsid w:val="00FD2100"/>
    <w:rsid w:val="00FD2119"/>
    <w:rsid w:val="00FD2176"/>
    <w:rsid w:val="00FD25BC"/>
    <w:rsid w:val="00FD2CC2"/>
    <w:rsid w:val="00FD2D72"/>
    <w:rsid w:val="00FD2FE9"/>
    <w:rsid w:val="00FD3038"/>
    <w:rsid w:val="00FD3231"/>
    <w:rsid w:val="00FD33E3"/>
    <w:rsid w:val="00FD3C77"/>
    <w:rsid w:val="00FD3E68"/>
    <w:rsid w:val="00FD3F09"/>
    <w:rsid w:val="00FD42DE"/>
    <w:rsid w:val="00FD436C"/>
    <w:rsid w:val="00FD43C3"/>
    <w:rsid w:val="00FD4416"/>
    <w:rsid w:val="00FD446D"/>
    <w:rsid w:val="00FD46F5"/>
    <w:rsid w:val="00FD4F2C"/>
    <w:rsid w:val="00FD5254"/>
    <w:rsid w:val="00FD52C5"/>
    <w:rsid w:val="00FD557D"/>
    <w:rsid w:val="00FD5E35"/>
    <w:rsid w:val="00FD6394"/>
    <w:rsid w:val="00FD6809"/>
    <w:rsid w:val="00FD689C"/>
    <w:rsid w:val="00FD6CA6"/>
    <w:rsid w:val="00FD6D3A"/>
    <w:rsid w:val="00FD7846"/>
    <w:rsid w:val="00FD79B8"/>
    <w:rsid w:val="00FE0023"/>
    <w:rsid w:val="00FE0365"/>
    <w:rsid w:val="00FE045F"/>
    <w:rsid w:val="00FE0B17"/>
    <w:rsid w:val="00FE0E6C"/>
    <w:rsid w:val="00FE12FB"/>
    <w:rsid w:val="00FE13F1"/>
    <w:rsid w:val="00FE161E"/>
    <w:rsid w:val="00FE1CDC"/>
    <w:rsid w:val="00FE24CE"/>
    <w:rsid w:val="00FE2AA5"/>
    <w:rsid w:val="00FE2E39"/>
    <w:rsid w:val="00FE3EB8"/>
    <w:rsid w:val="00FE3F0C"/>
    <w:rsid w:val="00FE4119"/>
    <w:rsid w:val="00FE4726"/>
    <w:rsid w:val="00FE4BDB"/>
    <w:rsid w:val="00FE510B"/>
    <w:rsid w:val="00FE51A9"/>
    <w:rsid w:val="00FE55F5"/>
    <w:rsid w:val="00FE67B4"/>
    <w:rsid w:val="00FE693C"/>
    <w:rsid w:val="00FE6B43"/>
    <w:rsid w:val="00FE70C3"/>
    <w:rsid w:val="00FE722E"/>
    <w:rsid w:val="00FE7407"/>
    <w:rsid w:val="00FE75CF"/>
    <w:rsid w:val="00FE78C6"/>
    <w:rsid w:val="00FE7CA9"/>
    <w:rsid w:val="00FE7E78"/>
    <w:rsid w:val="00FE7F97"/>
    <w:rsid w:val="00FF0874"/>
    <w:rsid w:val="00FF0A44"/>
    <w:rsid w:val="00FF1054"/>
    <w:rsid w:val="00FF10F5"/>
    <w:rsid w:val="00FF1A2D"/>
    <w:rsid w:val="00FF1A8B"/>
    <w:rsid w:val="00FF22E6"/>
    <w:rsid w:val="00FF289B"/>
    <w:rsid w:val="00FF2AD9"/>
    <w:rsid w:val="00FF2D85"/>
    <w:rsid w:val="00FF3354"/>
    <w:rsid w:val="00FF340F"/>
    <w:rsid w:val="00FF359F"/>
    <w:rsid w:val="00FF368A"/>
    <w:rsid w:val="00FF3912"/>
    <w:rsid w:val="00FF3ACC"/>
    <w:rsid w:val="00FF3DCF"/>
    <w:rsid w:val="00FF3FAB"/>
    <w:rsid w:val="00FF401B"/>
    <w:rsid w:val="00FF40E7"/>
    <w:rsid w:val="00FF411F"/>
    <w:rsid w:val="00FF44DF"/>
    <w:rsid w:val="00FF48CB"/>
    <w:rsid w:val="00FF492C"/>
    <w:rsid w:val="00FF4A21"/>
    <w:rsid w:val="00FF533E"/>
    <w:rsid w:val="00FF5A54"/>
    <w:rsid w:val="00FF5AA3"/>
    <w:rsid w:val="00FF5ABE"/>
    <w:rsid w:val="00FF5AD8"/>
    <w:rsid w:val="00FF5B27"/>
    <w:rsid w:val="00FF65D8"/>
    <w:rsid w:val="00FF665B"/>
    <w:rsid w:val="00FF6A13"/>
    <w:rsid w:val="00FF6F77"/>
    <w:rsid w:val="00FF728E"/>
    <w:rsid w:val="00FF756E"/>
    <w:rsid w:val="00FF78D2"/>
    <w:rsid w:val="00FF7C1E"/>
    <w:rsid w:val="00FF7E7B"/>
    <w:rsid w:val="00FF7FEC"/>
    <w:rsid w:val="0FA16BDE"/>
    <w:rsid w:val="15BBA441"/>
    <w:rsid w:val="163461CF"/>
    <w:rsid w:val="1A846A88"/>
    <w:rsid w:val="1EBF75D8"/>
    <w:rsid w:val="20FABAF3"/>
    <w:rsid w:val="2A0D4D6B"/>
    <w:rsid w:val="3531B372"/>
    <w:rsid w:val="4673A800"/>
    <w:rsid w:val="46E4DDBA"/>
    <w:rsid w:val="47A4F5C7"/>
    <w:rsid w:val="49945AFB"/>
    <w:rsid w:val="49E6F2E6"/>
    <w:rsid w:val="4AEB5DDF"/>
    <w:rsid w:val="4EAAD473"/>
    <w:rsid w:val="5308EA58"/>
    <w:rsid w:val="60AB753F"/>
    <w:rsid w:val="65D1FE54"/>
    <w:rsid w:val="662F3FAE"/>
    <w:rsid w:val="67F52649"/>
    <w:rsid w:val="6BE5A629"/>
    <w:rsid w:val="6C5AE36C"/>
    <w:rsid w:val="6C818F50"/>
    <w:rsid w:val="746BEF9D"/>
    <w:rsid w:val="791DE11E"/>
    <w:rsid w:val="7A1CB6FF"/>
    <w:rsid w:val="7F523A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aliases w:val="Header 1,H1,Heading 12,Titre 1 Car Car,Titre 1 Car,Outline1,p1"/>
    <w:basedOn w:val="Normal"/>
    <w:next w:val="Normal"/>
    <w:link w:val="Heading1Char"/>
    <w:uiPriority w:val="1"/>
    <w:qFormat/>
    <w:rsid w:val="001B204E"/>
    <w:pPr>
      <w:outlineLvl w:val="0"/>
    </w:pPr>
    <w:rPr>
      <w:b/>
      <w:caps/>
      <w:sz w:val="32"/>
    </w:rPr>
  </w:style>
  <w:style w:type="paragraph" w:styleId="Heading2">
    <w:name w:val="heading 2"/>
    <w:aliases w:val="H2,Heading h2,h2,Heading 2x,p2 Char,Subsection Headings"/>
    <w:basedOn w:val="Normal"/>
    <w:next w:val="Normal"/>
    <w:link w:val="Heading2Char"/>
    <w:uiPriority w:val="1"/>
    <w:qFormat/>
    <w:rsid w:val="001B204E"/>
    <w:pPr>
      <w:outlineLvl w:val="1"/>
    </w:pPr>
    <w:rPr>
      <w:b/>
      <w:i/>
      <w:sz w:val="28"/>
    </w:rPr>
  </w:style>
  <w:style w:type="paragraph" w:styleId="Heading3">
    <w:name w:val="heading 3"/>
    <w:aliases w:val="H3,Heading h3,h3,Don 3,Heading 3x,p3 Char"/>
    <w:basedOn w:val="Normal"/>
    <w:next w:val="Normal"/>
    <w:link w:val="Heading3Char"/>
    <w:rsid w:val="001F7361"/>
    <w:pPr>
      <w:outlineLvl w:val="2"/>
    </w:pPr>
    <w:rPr>
      <w:u w:val="single"/>
    </w:rPr>
  </w:style>
  <w:style w:type="paragraph" w:styleId="Heading4">
    <w:name w:val="heading 4"/>
    <w:aliases w:val="Heading 4 Char1,Heading 4 Char Char,Heading 4 Char2 Char Char,Heading 4 Char Char1 Char Char,Heading 4 Char1 Char Char Char Char Char,Heading 4 Char Char Char Char Char Char Char,Heading 4 Char1 Char1 Char Char,Char,p4"/>
    <w:basedOn w:val="Normal"/>
    <w:next w:val="Normal"/>
    <w:link w:val="Heading4Char"/>
    <w:rsid w:val="00124A51"/>
    <w:pPr>
      <w:keepNext/>
      <w:spacing w:before="240" w:after="60"/>
      <w:outlineLvl w:val="3"/>
    </w:pPr>
    <w:rPr>
      <w:b/>
      <w:bCs/>
      <w:i/>
      <w:sz w:val="26"/>
      <w:szCs w:val="28"/>
    </w:rPr>
  </w:style>
  <w:style w:type="paragraph" w:styleId="Heading5">
    <w:name w:val="heading 5"/>
    <w:aliases w:val="p5"/>
    <w:basedOn w:val="Normal"/>
    <w:next w:val="Normal"/>
    <w:link w:val="Heading5Char"/>
    <w:rsid w:val="00124A51"/>
    <w:pPr>
      <w:spacing w:before="240" w:after="60"/>
      <w:outlineLvl w:val="4"/>
    </w:pPr>
    <w:rPr>
      <w:b/>
      <w:bCs/>
      <w:iCs/>
      <w:sz w:val="26"/>
      <w:szCs w:val="26"/>
    </w:rPr>
  </w:style>
  <w:style w:type="paragraph" w:styleId="Heading6">
    <w:name w:val="heading 6"/>
    <w:aliases w:val="Heading 6 - DO NOT USE,DO NOT USE,DO NOT USE4"/>
    <w:basedOn w:val="Normal"/>
    <w:next w:val="Normal"/>
    <w:link w:val="Heading6Char"/>
    <w:rsid w:val="00124A51"/>
    <w:pPr>
      <w:spacing w:before="240" w:after="60"/>
      <w:outlineLvl w:val="5"/>
    </w:pPr>
    <w:rPr>
      <w:b/>
      <w:bCs/>
      <w:i/>
    </w:rPr>
  </w:style>
  <w:style w:type="paragraph" w:styleId="Heading7">
    <w:name w:val="heading 7"/>
    <w:aliases w:val="Heading 7 - DO NOT USE"/>
    <w:basedOn w:val="Normal"/>
    <w:next w:val="Normal"/>
    <w:link w:val="Heading7Char"/>
    <w:rsid w:val="00124A51"/>
    <w:pPr>
      <w:keepNext/>
      <w:jc w:val="center"/>
      <w:outlineLvl w:val="6"/>
    </w:pPr>
    <w:rPr>
      <w:b/>
      <w:sz w:val="20"/>
    </w:rPr>
  </w:style>
  <w:style w:type="paragraph" w:styleId="Heading8">
    <w:name w:val="heading 8"/>
    <w:aliases w:val="Heading 8 - - DO NOT USE"/>
    <w:basedOn w:val="Normal"/>
    <w:next w:val="Normal"/>
    <w:link w:val="Heading8Char"/>
    <w:uiPriority w:val="7"/>
    <w:rsid w:val="00124A51"/>
    <w:pPr>
      <w:keepNext/>
      <w:jc w:val="right"/>
      <w:outlineLvl w:val="7"/>
    </w:pPr>
    <w:rPr>
      <w:b/>
    </w:rPr>
  </w:style>
  <w:style w:type="paragraph" w:styleId="Heading9">
    <w:name w:val="heading 9"/>
    <w:aliases w:val="Heading 9 - DO NOT USE,cover page title"/>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eading h2 Char,h2 Char,Heading 2x Char,p2 Char Char,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aliases w:val="Heading 7 - DO NOT USE Char"/>
    <w:basedOn w:val="DefaultParagraphFont"/>
    <w:link w:val="Heading7"/>
    <w:rsid w:val="00124A51"/>
    <w:rPr>
      <w:rFonts w:ascii="Arial" w:hAnsi="Arial"/>
      <w:b/>
      <w:snapToGrid w:val="0"/>
      <w:lang w:eastAsia="en-US"/>
    </w:rPr>
  </w:style>
  <w:style w:type="character" w:customStyle="1" w:styleId="Heading8Char">
    <w:name w:val="Heading 8 Char"/>
    <w:aliases w:val="Heading 8 - - DO NOT USE Char"/>
    <w:basedOn w:val="DefaultParagraphFont"/>
    <w:link w:val="Heading8"/>
    <w:uiPriority w:val="7"/>
    <w:rsid w:val="00124A51"/>
    <w:rPr>
      <w:b/>
      <w:snapToGrid w:val="0"/>
      <w:sz w:val="24"/>
      <w:lang w:eastAsia="en-US"/>
    </w:rPr>
  </w:style>
  <w:style w:type="character" w:customStyle="1" w:styleId="Heading9Char">
    <w:name w:val="Heading 9 Char"/>
    <w:aliases w:val="Heading 9 - DO NOT USE Char,cover page title Char"/>
    <w:basedOn w:val="DefaultParagraphFont"/>
    <w:link w:val="Heading9"/>
    <w:rsid w:val="00124A51"/>
    <w:rPr>
      <w:rFonts w:ascii="Arial" w:hAnsi="Arial"/>
      <w:b/>
      <w:snapToGrid w:val="0"/>
      <w:color w:val="000000"/>
      <w:lang w:eastAsia="en-US"/>
    </w:rPr>
  </w:style>
  <w:style w:type="paragraph" w:customStyle="1" w:styleId="COMTableheadingrow">
    <w:name w:val="COM Table heading row"/>
    <w:basedOn w:val="Normal"/>
    <w:next w:val="COMTabletext"/>
    <w:qFormat/>
    <w:rsid w:val="00F46BEB"/>
    <w:pPr>
      <w:keepNext/>
      <w:keepLines/>
      <w:jc w:val="left"/>
    </w:pPr>
    <w:rPr>
      <w:rFonts w:ascii="Arial Narrow" w:hAnsi="Arial Narrow"/>
      <w:b/>
      <w:bCs/>
      <w:sz w:val="20"/>
      <w:szCs w:val="20"/>
    </w:rPr>
  </w:style>
  <w:style w:type="paragraph" w:customStyle="1" w:styleId="COMBodyH2Numbered">
    <w:name w:val="COM Body H2 Numbered"/>
    <w:basedOn w:val="Heading2"/>
    <w:link w:val="COMBodyH2NumberedChar"/>
    <w:qFormat/>
    <w:rsid w:val="00CF6C85"/>
    <w:pPr>
      <w:keepNext/>
      <w:spacing w:after="240"/>
    </w:pPr>
  </w:style>
  <w:style w:type="paragraph" w:customStyle="1" w:styleId="COMBodyH1Numbered">
    <w:name w:val="COM Body H1 Numbered"/>
    <w:basedOn w:val="COMESH2"/>
    <w:qFormat/>
    <w:rsid w:val="00684679"/>
    <w:pPr>
      <w:numPr>
        <w:numId w:val="0"/>
      </w:numPr>
    </w:pPr>
  </w:style>
  <w:style w:type="paragraph" w:customStyle="1" w:styleId="COMBodyH3">
    <w:name w:val="COM Body H3"/>
    <w:basedOn w:val="Normal"/>
    <w:qFormat/>
    <w:rsid w:val="00252F9D"/>
    <w:pPr>
      <w:keepNext/>
      <w:spacing w:after="180"/>
      <w:outlineLvl w:val="2"/>
    </w:pPr>
    <w:rPr>
      <w:b/>
      <w:sz w:val="28"/>
      <w:szCs w:val="28"/>
    </w:rPr>
  </w:style>
  <w:style w:type="paragraph" w:styleId="BodyText">
    <w:name w:val="Body Text"/>
    <w:aliases w:val="- H16,- H161,- H162,- H163,- H164, Char,Char Char Char Char Char Char Char Char Char Char Char Char Char Char Char Char Char Char Char Char,Char Char Char Char Char Char Char Char Char Char Char Char Char Char,Char11,Body Text Char Char,GS"/>
    <w:basedOn w:val="Normal"/>
    <w:link w:val="BodyTextChar"/>
    <w:rsid w:val="004B3DDB"/>
    <w:pPr>
      <w:jc w:val="left"/>
    </w:pPr>
  </w:style>
  <w:style w:type="character" w:customStyle="1" w:styleId="BodyTextChar">
    <w:name w:val="Body Text Char"/>
    <w:aliases w:val="- H16 Char,- H161 Char,- H162 Char,- H163 Char,- H164 Char, Char Char,Char Char Char Char Char Char Char Char Char Char Char Char Char Char Char Char Char Char Char Char Char,Char11 Char,Body Text Char Char Char,GS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s,Odstavec se seznamem1"/>
    <w:link w:val="ListParagraphChar"/>
    <w:uiPriority w:val="34"/>
    <w:qFormat/>
    <w:rsid w:val="004C3B02"/>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styleId="Header">
    <w:name w:val="header"/>
    <w:aliases w:val="Page Header,Header title,he=header,cntr/bld"/>
    <w:basedOn w:val="Normal"/>
    <w:link w:val="HeaderChar"/>
    <w:uiPriority w:val="99"/>
    <w:qFormat/>
    <w:rsid w:val="00B94414"/>
    <w:pPr>
      <w:keepNext/>
      <w:tabs>
        <w:tab w:val="center" w:pos="4513"/>
        <w:tab w:val="right" w:pos="9026"/>
      </w:tabs>
      <w:jc w:val="center"/>
    </w:pPr>
    <w:rPr>
      <w:rFonts w:asciiTheme="minorHAnsi" w:hAnsiTheme="minorHAnsi"/>
      <w:i/>
      <w:iCs/>
      <w:color w:val="808080"/>
    </w:rPr>
  </w:style>
  <w:style w:type="character" w:customStyle="1" w:styleId="HeaderChar">
    <w:name w:val="Header Char"/>
    <w:aliases w:val="Page Header Char,Header title Char,he=header Char,cntr/bld Char"/>
    <w:basedOn w:val="DefaultParagraphFont"/>
    <w:link w:val="Header"/>
    <w:uiPriority w:val="99"/>
    <w:rsid w:val="00B94414"/>
    <w:rPr>
      <w:rFonts w:asciiTheme="minorHAnsi" w:hAnsiTheme="minorHAnsi" w:cs="Arial"/>
      <w:i/>
      <w:iCs/>
      <w:color w:val="808080"/>
      <w:sz w:val="24"/>
      <w:szCs w:val="24"/>
    </w:rPr>
  </w:style>
  <w:style w:type="table" w:styleId="TableGrid">
    <w:name w:val="Table Grid"/>
    <w:aliases w:val="Summary box,Table Gridbeth,CMA Table Template,ASD Table,Lash Style Table,PBAC table,HTAtableplain,new style,MSD Table Grid,Dossier table,Section 3- footnotes,Summary Table,Tabellengitternetz 9pt,Table Grid No Line,Legemiddelverket 3,统计型"/>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8467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customStyle="1" w:styleId="Templateinstructionsbulletpoints">
    <w:name w:val="Template instructions bullet points"/>
    <w:basedOn w:val="ListParagraph"/>
    <w:rsid w:val="00B70E8E"/>
    <w:pPr>
      <w:numPr>
        <w:numId w:val="2"/>
      </w:numPr>
      <w:contextualSpacing/>
    </w:p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uiPriority w:val="99"/>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rsid w:val="00B34FE2"/>
    <w:rPr>
      <w:rFonts w:ascii="Tahoma" w:hAnsi="Tahoma" w:cs="Tahoma"/>
      <w:snapToGrid w:val="0"/>
      <w:sz w:val="16"/>
      <w:szCs w:val="16"/>
      <w:lang w:eastAsia="en-US"/>
    </w:rPr>
  </w:style>
  <w:style w:type="paragraph" w:customStyle="1" w:styleId="COMTabletext">
    <w:name w:val="COM Table text"/>
    <w:link w:val="COMTabletextChar"/>
    <w:qFormat/>
    <w:rsid w:val="00F67A30"/>
    <w:pPr>
      <w:keepNext/>
      <w:keepLines/>
    </w:pPr>
    <w:rPr>
      <w:rFonts w:ascii="Arial Narrow" w:eastAsiaTheme="majorEastAsia" w:hAnsi="Arial Narrow" w:cstheme="majorBidi"/>
      <w:bCs/>
      <w:lang w:eastAsia="en-US"/>
    </w:rPr>
  </w:style>
  <w:style w:type="paragraph" w:customStyle="1" w:styleId="COMBodybulletlist">
    <w:name w:val="COM Body bullet list"/>
    <w:basedOn w:val="Normal"/>
    <w:link w:val="COMBodybulletlistChar"/>
    <w:qFormat/>
    <w:rsid w:val="00994A19"/>
    <w:pPr>
      <w:numPr>
        <w:numId w:val="6"/>
      </w:numPr>
      <w:contextualSpacing/>
    </w:pPr>
  </w:style>
  <w:style w:type="paragraph" w:customStyle="1" w:styleId="COMESH2">
    <w:name w:val="COM ES H2"/>
    <w:next w:val="COMESnumberedpara"/>
    <w:qFormat/>
    <w:rsid w:val="004C3B02"/>
    <w:pPr>
      <w:keepNext/>
      <w:numPr>
        <w:numId w:val="8"/>
      </w:numPr>
      <w:spacing w:before="240" w:after="120"/>
      <w:outlineLvl w:val="0"/>
    </w:pPr>
    <w:rPr>
      <w:rFonts w:asciiTheme="minorHAnsi" w:hAnsiTheme="minorHAnsi" w:cs="Arial"/>
      <w:b/>
      <w:snapToGrid w:val="0"/>
      <w:sz w:val="32"/>
      <w:szCs w:val="32"/>
    </w:rPr>
  </w:style>
  <w:style w:type="paragraph" w:customStyle="1" w:styleId="COMH1-notnumbered">
    <w:name w:val="COM H1 - not numbered"/>
    <w:next w:val="COMESH2"/>
    <w:link w:val="COMH1-notnumberedChar"/>
    <w:qFormat/>
    <w:rsid w:val="0068467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H1-notnumberedChar">
    <w:name w:val="COM H1 - not numbered Char"/>
    <w:basedOn w:val="DefaultParagraphFont"/>
    <w:link w:val="COMH1-notnumbered"/>
    <w:rsid w:val="00684679"/>
    <w:rPr>
      <w:rFonts w:asciiTheme="minorHAnsi" w:eastAsiaTheme="majorEastAsia" w:hAnsiTheme="minorHAnsi" w:cstheme="majorBidi"/>
      <w:b/>
      <w:spacing w:val="5"/>
      <w:kern w:val="28"/>
      <w:sz w:val="36"/>
      <w:szCs w:val="36"/>
    </w:rPr>
  </w:style>
  <w:style w:type="paragraph" w:customStyle="1" w:styleId="COMTableFigurecaption">
    <w:name w:val="COM Table/Figure caption"/>
    <w:next w:val="Normal"/>
    <w:link w:val="COMTableFigurecaptionChar"/>
    <w:qFormat/>
    <w:rsid w:val="009C6F75"/>
    <w:pPr>
      <w:keepNext/>
      <w:jc w:val="both"/>
    </w:pPr>
    <w:rPr>
      <w:rFonts w:ascii="Arial Narrow" w:eastAsiaTheme="majorEastAsia" w:hAnsi="Arial Narrow" w:cstheme="majorBidi"/>
      <w:b/>
      <w:bCs/>
      <w:szCs w:val="24"/>
    </w:rPr>
  </w:style>
  <w:style w:type="character" w:customStyle="1" w:styleId="COMTableFigurecaptionChar">
    <w:name w:val="COM Table/Figure caption Char"/>
    <w:basedOn w:val="DefaultParagraphFont"/>
    <w:link w:val="COMTableFigurecaption"/>
    <w:rsid w:val="009C6F75"/>
    <w:rPr>
      <w:rFonts w:ascii="Arial Narrow" w:eastAsiaTheme="majorEastAsia" w:hAnsi="Arial Narrow" w:cstheme="majorBidi"/>
      <w:b/>
      <w:bCs/>
      <w:szCs w:val="24"/>
    </w:rPr>
  </w:style>
  <w:style w:type="paragraph" w:customStyle="1" w:styleId="COMESnumberedpara">
    <w:name w:val="COM ES numbered para"/>
    <w:link w:val="COMESnumberedparaChar"/>
    <w:qFormat/>
    <w:rsid w:val="004C3B02"/>
    <w:pPr>
      <w:numPr>
        <w:ilvl w:val="1"/>
        <w:numId w:val="8"/>
      </w:numPr>
      <w:spacing w:before="60" w:after="60"/>
      <w:jc w:val="both"/>
    </w:pPr>
    <w:rPr>
      <w:rFonts w:asciiTheme="minorHAnsi" w:eastAsiaTheme="minorHAnsi" w:hAnsiTheme="minorHAnsi" w:cstheme="minorBidi"/>
      <w:sz w:val="24"/>
      <w:szCs w:val="22"/>
    </w:rPr>
  </w:style>
  <w:style w:type="character" w:customStyle="1" w:styleId="COMESnumberedparaChar">
    <w:name w:val="COM ES numbered para Char"/>
    <w:basedOn w:val="ListParagraphChar"/>
    <w:link w:val="COMESnumberedpara"/>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COMTablefooter">
    <w:name w:val="COM Table footer"/>
    <w:basedOn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ESSubsectionheading">
    <w:name w:val="COM ES Subsection heading"/>
    <w:basedOn w:val="Heading2"/>
    <w:next w:val="COMESnumberedpara"/>
    <w:link w:val="COMES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COMESSubsectionheadingChar">
    <w:name w:val="COM ES Subsection heading Char"/>
    <w:basedOn w:val="Heading2Char"/>
    <w:link w:val="COMES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COMCICheadings">
    <w:name w:val="COM CIC headings"/>
    <w:basedOn w:val="Heading3"/>
    <w:next w:val="COMESnumberedpara"/>
    <w:link w:val="COMCICheadings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COMCICheadingsChar">
    <w:name w:val="COM CIC headings Char"/>
    <w:basedOn w:val="DefaultParagraphFont"/>
    <w:link w:val="COMCICheadings"/>
    <w:rsid w:val="004C3B02"/>
    <w:rPr>
      <w:rFonts w:asciiTheme="minorHAnsi" w:eastAsiaTheme="majorEastAsia" w:hAnsiTheme="minorHAnsi" w:cstheme="majorBidi"/>
      <w:b/>
      <w:color w:val="000000" w:themeColor="text1"/>
      <w:sz w:val="24"/>
      <w:szCs w:val="24"/>
    </w:rPr>
  </w:style>
  <w:style w:type="paragraph" w:styleId="ListBullet">
    <w:name w:val="List Bullet"/>
    <w:aliases w:val="List Bullet 1"/>
    <w:basedOn w:val="Normal"/>
    <w:unhideWhenUsed/>
    <w:rsid w:val="00EE1996"/>
    <w:pPr>
      <w:contextualSpacing/>
    </w:pPr>
  </w:style>
  <w:style w:type="character" w:customStyle="1" w:styleId="COMTabletextChar">
    <w:name w:val="COM Table text Char"/>
    <w:basedOn w:val="DefaultParagraphFont"/>
    <w:link w:val="COMTabletext"/>
    <w:rsid w:val="00F67A30"/>
    <w:rPr>
      <w:rFonts w:ascii="Arial Narrow" w:eastAsiaTheme="majorEastAsia" w:hAnsi="Arial Narrow" w:cstheme="majorBidi"/>
      <w:bCs/>
      <w:lang w:eastAsia="en-US"/>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character" w:customStyle="1" w:styleId="COMBodybulletlistChar">
    <w:name w:val="COM Body bullet list Char"/>
    <w:basedOn w:val="DefaultParagraphFont"/>
    <w:link w:val="COMBodybulletlist"/>
    <w:rsid w:val="00994A19"/>
    <w:rPr>
      <w:rFonts w:ascii="Calibri" w:hAnsi="Calibri" w:cs="Arial"/>
      <w:sz w:val="24"/>
      <w:szCs w:val="24"/>
    </w:rPr>
  </w:style>
  <w:style w:type="paragraph" w:customStyle="1" w:styleId="COMESbulletlist">
    <w:name w:val="COM ES bullet list"/>
    <w:basedOn w:val="ListParagraph"/>
    <w:link w:val="COMESbulletlistChar"/>
    <w:qFormat/>
    <w:rsid w:val="00DB38FF"/>
    <w:pPr>
      <w:ind w:left="1134" w:hanging="425"/>
    </w:pPr>
  </w:style>
  <w:style w:type="character" w:customStyle="1" w:styleId="COMESbulletlistChar">
    <w:name w:val="COM ES bullet list Char"/>
    <w:basedOn w:val="DefaultParagraphFont"/>
    <w:link w:val="COMESbulletlist"/>
    <w:rsid w:val="00DB38FF"/>
    <w:rPr>
      <w:rFonts w:asciiTheme="minorHAnsi" w:hAnsiTheme="minorHAnsi" w:cs="Arial"/>
      <w:snapToGrid w:val="0"/>
      <w:sz w:val="24"/>
      <w:szCs w:val="24"/>
    </w:rPr>
  </w:style>
  <w:style w:type="paragraph" w:customStyle="1" w:styleId="COMBodytext">
    <w:name w:val="COM Body text"/>
    <w:basedOn w:val="Normal"/>
    <w:qFormat/>
    <w:rsid w:val="00994A19"/>
  </w:style>
  <w:style w:type="character" w:styleId="UnresolvedMention">
    <w:name w:val="Unresolved Mention"/>
    <w:basedOn w:val="DefaultParagraphFont"/>
    <w:uiPriority w:val="99"/>
    <w:semiHidden/>
    <w:unhideWhenUsed/>
    <w:rsid w:val="00684679"/>
    <w:rPr>
      <w:color w:val="605E5C"/>
      <w:shd w:val="clear" w:color="auto" w:fill="E1DFDD"/>
    </w:rPr>
  </w:style>
  <w:style w:type="paragraph" w:customStyle="1" w:styleId="COMBodyH4">
    <w:name w:val="COM Body H4"/>
    <w:basedOn w:val="Normal"/>
    <w:next w:val="COMBodytext"/>
    <w:link w:val="COMBodyH4Char"/>
    <w:qFormat/>
    <w:rsid w:val="00466B8C"/>
    <w:pPr>
      <w:keepNext/>
      <w:spacing w:after="120"/>
      <w:outlineLvl w:val="3"/>
    </w:pPr>
    <w:rPr>
      <w:b/>
      <w:i/>
    </w:rPr>
  </w:style>
  <w:style w:type="character" w:customStyle="1" w:styleId="COMBodyH4Char">
    <w:name w:val="COM Body H4 Char"/>
    <w:basedOn w:val="DefaultParagraphFont"/>
    <w:link w:val="COMBodyH4"/>
    <w:rsid w:val="00466B8C"/>
    <w:rPr>
      <w:rFonts w:ascii="Calibri" w:hAnsi="Calibri" w:cs="Arial"/>
      <w:b/>
      <w:i/>
      <w:sz w:val="24"/>
      <w:szCs w:val="24"/>
    </w:rPr>
  </w:style>
  <w:style w:type="paragraph" w:customStyle="1" w:styleId="COMESmainissuesbullets">
    <w:name w:val="COM ES main issues bullets"/>
    <w:basedOn w:val="Normal"/>
    <w:link w:val="COMESmainissuesbulletsChar"/>
    <w:qFormat/>
    <w:rsid w:val="005914E0"/>
    <w:pPr>
      <w:numPr>
        <w:numId w:val="7"/>
      </w:numPr>
      <w:spacing w:after="120"/>
    </w:pPr>
    <w:rPr>
      <w:rFonts w:asciiTheme="minorHAnsi" w:hAnsiTheme="minorHAnsi"/>
      <w:snapToGrid w:val="0"/>
    </w:rPr>
  </w:style>
  <w:style w:type="character" w:customStyle="1" w:styleId="COMESmainissuesbulletsChar">
    <w:name w:val="COM ES main issues bullets Char"/>
    <w:basedOn w:val="DefaultParagraphFont"/>
    <w:link w:val="COMESmainissuesbullets"/>
    <w:rsid w:val="005914E0"/>
    <w:rPr>
      <w:rFonts w:asciiTheme="minorHAnsi" w:hAnsiTheme="minorHAnsi" w:cs="Arial"/>
      <w:snapToGrid w:val="0"/>
      <w:sz w:val="24"/>
      <w:szCs w:val="24"/>
    </w:rPr>
  </w:style>
  <w:style w:type="paragraph" w:customStyle="1" w:styleId="COMESH2-notnumbered">
    <w:name w:val="COM ES H2-not numbered"/>
    <w:basedOn w:val="COMESH2"/>
    <w:next w:val="COMBodytext"/>
    <w:qFormat/>
    <w:rsid w:val="00111F99"/>
    <w:pPr>
      <w:numPr>
        <w:numId w:val="0"/>
      </w:numPr>
    </w:pPr>
  </w:style>
  <w:style w:type="paragraph" w:styleId="Footer">
    <w:name w:val="footer"/>
    <w:basedOn w:val="Normal"/>
    <w:link w:val="FooterChar"/>
    <w:uiPriority w:val="99"/>
    <w:unhideWhenUsed/>
    <w:rsid w:val="007F6EDE"/>
    <w:pPr>
      <w:tabs>
        <w:tab w:val="center" w:pos="4513"/>
        <w:tab w:val="right" w:pos="9026"/>
      </w:tabs>
    </w:pPr>
  </w:style>
  <w:style w:type="character" w:customStyle="1" w:styleId="FooterChar">
    <w:name w:val="Footer Char"/>
    <w:basedOn w:val="DefaultParagraphFont"/>
    <w:link w:val="Footer"/>
    <w:uiPriority w:val="99"/>
    <w:rsid w:val="007F6EDE"/>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A92DDD"/>
    <w:rPr>
      <w:sz w:val="16"/>
      <w:szCs w:val="16"/>
    </w:rPr>
  </w:style>
  <w:style w:type="paragraph" w:styleId="CommentText">
    <w:name w:val="annotation text"/>
    <w:aliases w:val="Comment Text Char Char Char,Comment Text Char Char,Comment Text Char1 Char"/>
    <w:basedOn w:val="Normal"/>
    <w:link w:val="CommentTextChar"/>
    <w:uiPriority w:val="99"/>
    <w:unhideWhenUsed/>
    <w:rsid w:val="00A92DDD"/>
    <w:rPr>
      <w:sz w:val="20"/>
      <w:szCs w:val="20"/>
    </w:rPr>
  </w:style>
  <w:style w:type="character" w:customStyle="1" w:styleId="CommentTextChar">
    <w:name w:val="Comment Text Char"/>
    <w:aliases w:val="Comment Text Char Char Char Char,Comment Text Char Char Char1,Comment Text Char1 Char Char"/>
    <w:basedOn w:val="DefaultParagraphFont"/>
    <w:link w:val="CommentText"/>
    <w:uiPriority w:val="99"/>
    <w:rsid w:val="00A92DDD"/>
    <w:rPr>
      <w:rFonts w:ascii="Calibri" w:hAnsi="Calibri" w:cs="Arial"/>
    </w:rPr>
  </w:style>
  <w:style w:type="paragraph" w:styleId="CommentSubject">
    <w:name w:val="annotation subject"/>
    <w:basedOn w:val="CommentText"/>
    <w:next w:val="CommentText"/>
    <w:link w:val="CommentSubjectChar"/>
    <w:uiPriority w:val="99"/>
    <w:unhideWhenUsed/>
    <w:rsid w:val="00A92DDD"/>
    <w:rPr>
      <w:b/>
      <w:bCs/>
    </w:rPr>
  </w:style>
  <w:style w:type="character" w:customStyle="1" w:styleId="CommentSubjectChar">
    <w:name w:val="Comment Subject Char"/>
    <w:basedOn w:val="CommentTextChar"/>
    <w:link w:val="CommentSubject"/>
    <w:uiPriority w:val="99"/>
    <w:rsid w:val="00A92DDD"/>
    <w:rPr>
      <w:rFonts w:ascii="Calibri" w:hAnsi="Calibri" w:cs="Arial"/>
      <w:b/>
      <w:bCs/>
    </w:rPr>
  </w:style>
  <w:style w:type="paragraph" w:customStyle="1" w:styleId="COMexecsummmainissuesbullets">
    <w:name w:val="COM exec summ main issues bullets"/>
    <w:basedOn w:val="Normal"/>
    <w:link w:val="COMexecsummmainissuesbulletsChar"/>
    <w:qFormat/>
    <w:rsid w:val="00694352"/>
    <w:pPr>
      <w:spacing w:after="120"/>
      <w:ind w:left="720" w:hanging="36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694352"/>
    <w:rPr>
      <w:rFonts w:asciiTheme="minorHAnsi" w:hAnsiTheme="minorHAnsi" w:cs="Arial"/>
      <w:snapToGrid w:val="0"/>
      <w:color w:val="0066FF"/>
      <w:sz w:val="24"/>
      <w:szCs w:val="24"/>
    </w:rPr>
  </w:style>
  <w:style w:type="paragraph" w:customStyle="1" w:styleId="TableFooter">
    <w:name w:val="Table Footer"/>
    <w:basedOn w:val="Normal"/>
    <w:link w:val="TableFooterChar"/>
    <w:qFormat/>
    <w:rsid w:val="00120DE1"/>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120DE1"/>
    <w:rPr>
      <w:rFonts w:ascii="Arial Narrow" w:hAnsi="Arial Narrow" w:cs="Arial"/>
      <w:snapToGrid w:val="0"/>
      <w:sz w:val="18"/>
      <w:lang w:eastAsia="en-US"/>
    </w:rPr>
  </w:style>
  <w:style w:type="paragraph" w:customStyle="1" w:styleId="COMCICsubheading">
    <w:name w:val="COM CIC subheading"/>
    <w:basedOn w:val="Normal"/>
    <w:link w:val="COMCICsubheadingChar"/>
    <w:qFormat/>
    <w:rsid w:val="00B417D1"/>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B417D1"/>
    <w:rPr>
      <w:rFonts w:asciiTheme="minorHAnsi" w:eastAsiaTheme="majorEastAsia" w:hAnsiTheme="minorHAnsi" w:cstheme="majorBidi"/>
      <w:b/>
      <w:color w:val="000000" w:themeColor="text1"/>
      <w:sz w:val="24"/>
      <w:szCs w:val="24"/>
    </w:rPr>
  </w:style>
  <w:style w:type="paragraph" w:customStyle="1" w:styleId="COMBody">
    <w:name w:val="COM Body"/>
    <w:basedOn w:val="Normal"/>
    <w:link w:val="COMBodyChar"/>
    <w:qFormat/>
    <w:rsid w:val="003D209D"/>
  </w:style>
  <w:style w:type="character" w:customStyle="1" w:styleId="COMBodyChar">
    <w:name w:val="COM Body Char"/>
    <w:basedOn w:val="DefaultParagraphFont"/>
    <w:link w:val="COMBody"/>
    <w:rsid w:val="003D209D"/>
    <w:rPr>
      <w:rFonts w:ascii="Calibri" w:hAnsi="Calibri" w:cs="Arial"/>
      <w:sz w:val="24"/>
      <w:szCs w:val="24"/>
    </w:rPr>
  </w:style>
  <w:style w:type="paragraph" w:customStyle="1" w:styleId="COMtablefigcaption">
    <w:name w:val="COM table/fig caption"/>
    <w:next w:val="COMTableheadingrow"/>
    <w:link w:val="COMtablefigcaptionChar"/>
    <w:qFormat/>
    <w:rsid w:val="00623F89"/>
    <w:pPr>
      <w:keepNext/>
      <w:jc w:val="both"/>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623F89"/>
    <w:rPr>
      <w:rFonts w:ascii="Arial Narrow" w:eastAsiaTheme="majorEastAsia" w:hAnsi="Arial Narrow" w:cstheme="majorBidi"/>
      <w:b/>
      <w:bCs/>
      <w:szCs w:val="24"/>
    </w:rPr>
  </w:style>
  <w:style w:type="table" w:customStyle="1" w:styleId="PBACtable2">
    <w:name w:val="PBAC table2"/>
    <w:basedOn w:val="TableNormal"/>
    <w:next w:val="TableGrid"/>
    <w:uiPriority w:val="39"/>
    <w:rsid w:val="00623F89"/>
    <w:pPr>
      <w:jc w:val="both"/>
    </w:pPr>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C96B2A"/>
    <w:rPr>
      <w:sz w:val="20"/>
      <w:szCs w:val="20"/>
    </w:rPr>
  </w:style>
  <w:style w:type="character" w:customStyle="1" w:styleId="EndnoteTextChar">
    <w:name w:val="Endnote Text Char"/>
    <w:basedOn w:val="DefaultParagraphFont"/>
    <w:link w:val="EndnoteText"/>
    <w:semiHidden/>
    <w:rsid w:val="00C96B2A"/>
    <w:rPr>
      <w:rFonts w:ascii="Calibri" w:hAnsi="Calibri" w:cs="Arial"/>
    </w:rPr>
  </w:style>
  <w:style w:type="character" w:styleId="EndnoteReference">
    <w:name w:val="endnote reference"/>
    <w:basedOn w:val="DefaultParagraphFont"/>
    <w:semiHidden/>
    <w:unhideWhenUsed/>
    <w:rsid w:val="00C96B2A"/>
    <w:rPr>
      <w:vertAlign w:val="superscript"/>
    </w:rPr>
  </w:style>
  <w:style w:type="paragraph" w:customStyle="1" w:styleId="COMH5">
    <w:name w:val="COM H5"/>
    <w:basedOn w:val="Heading4"/>
    <w:link w:val="COMH5Char"/>
    <w:qFormat/>
    <w:rsid w:val="002A667C"/>
    <w:pPr>
      <w:spacing w:before="0" w:after="120"/>
    </w:pPr>
    <w:rPr>
      <w:i w:val="0"/>
      <w:sz w:val="24"/>
    </w:rPr>
  </w:style>
  <w:style w:type="character" w:customStyle="1" w:styleId="COMH5Char">
    <w:name w:val="COM H5 Char"/>
    <w:basedOn w:val="DefaultParagraphFont"/>
    <w:link w:val="COMH5"/>
    <w:rsid w:val="002A667C"/>
    <w:rPr>
      <w:rFonts w:ascii="Calibri" w:hAnsi="Calibri" w:cs="Arial"/>
      <w:b/>
      <w:bCs/>
      <w:sz w:val="24"/>
      <w:szCs w:val="28"/>
    </w:rPr>
  </w:style>
  <w:style w:type="paragraph" w:styleId="Caption">
    <w:name w:val="caption"/>
    <w:aliases w:val="Table and Figure Name,Bullet,- H17,Bayer Caption,IB Caption,Medical Caption,B Caption,Caption Char2 Char,Caption Char Char Char2,Caption Char1 Char Char Char1,Caption Char2 Char Char Char1 Char1,Caption Char Char1 Char Char Char1 Char1,Caption2"/>
    <w:basedOn w:val="Normal"/>
    <w:next w:val="Normal"/>
    <w:link w:val="CaptionChar"/>
    <w:unhideWhenUsed/>
    <w:rsid w:val="00EB1FC9"/>
    <w:pPr>
      <w:spacing w:after="200"/>
    </w:pPr>
    <w:rPr>
      <w:i/>
      <w:iCs/>
      <w:color w:val="1F497D" w:themeColor="text2"/>
      <w:sz w:val="18"/>
      <w:szCs w:val="18"/>
    </w:rPr>
  </w:style>
  <w:style w:type="character" w:customStyle="1" w:styleId="COMBodyH2NumberedChar">
    <w:name w:val="COM Body H2 Numbered Char"/>
    <w:basedOn w:val="Heading2Char"/>
    <w:link w:val="COMBodyH2Numbered"/>
    <w:rsid w:val="008F294E"/>
    <w:rPr>
      <w:rFonts w:ascii="Calibri" w:hAnsi="Calibri" w:cs="Arial"/>
      <w:b/>
      <w:i/>
      <w:snapToGrid/>
      <w:sz w:val="28"/>
      <w:szCs w:val="24"/>
      <w:lang w:eastAsia="en-US"/>
    </w:rPr>
  </w:style>
  <w:style w:type="paragraph" w:customStyle="1" w:styleId="COMH1-numbered">
    <w:name w:val="COM H1 - numbered"/>
    <w:next w:val="COMexecsummnumbered"/>
    <w:qFormat/>
    <w:rsid w:val="00F40539"/>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F40539"/>
    <w:pPr>
      <w:spacing w:before="60" w:after="60"/>
      <w:ind w:left="720" w:hanging="720"/>
      <w:jc w:val="both"/>
    </w:pPr>
    <w:rPr>
      <w:rFonts w:asciiTheme="minorHAnsi" w:eastAsiaTheme="minorHAnsi" w:hAnsiTheme="minorHAnsi" w:cstheme="minorBidi"/>
      <w:sz w:val="24"/>
      <w:szCs w:val="22"/>
    </w:rPr>
  </w:style>
  <w:style w:type="paragraph" w:customStyle="1" w:styleId="COMH3">
    <w:name w:val="COM H3"/>
    <w:basedOn w:val="Normal"/>
    <w:next w:val="Normal"/>
    <w:link w:val="COMH3Char"/>
    <w:qFormat/>
    <w:rsid w:val="00F40539"/>
    <w:pPr>
      <w:keepNext/>
      <w:spacing w:after="120"/>
      <w:outlineLvl w:val="2"/>
    </w:pPr>
    <w:rPr>
      <w:b/>
      <w:iCs/>
      <w:sz w:val="28"/>
    </w:rPr>
  </w:style>
  <w:style w:type="character" w:customStyle="1" w:styleId="COMH3Char">
    <w:name w:val="COM H3 Char"/>
    <w:basedOn w:val="DefaultParagraphFont"/>
    <w:link w:val="COMH3"/>
    <w:rsid w:val="00F40539"/>
    <w:rPr>
      <w:rFonts w:ascii="Calibri" w:hAnsi="Calibri" w:cs="Arial"/>
      <w:b/>
      <w:iCs/>
      <w:sz w:val="28"/>
      <w:szCs w:val="24"/>
    </w:rPr>
  </w:style>
  <w:style w:type="character" w:customStyle="1" w:styleId="COMexecsummnumberedChar">
    <w:name w:val="COM exec summ numbered Char"/>
    <w:basedOn w:val="DefaultParagraphFont"/>
    <w:link w:val="COMexecsummnumbered"/>
    <w:rsid w:val="006B0817"/>
    <w:rPr>
      <w:rFonts w:asciiTheme="minorHAnsi" w:eastAsiaTheme="minorHAnsi" w:hAnsiTheme="minorHAnsi" w:cstheme="minorBidi"/>
      <w:sz w:val="24"/>
      <w:szCs w:val="22"/>
    </w:rPr>
  </w:style>
  <w:style w:type="paragraph" w:styleId="FootnoteText">
    <w:name w:val="footnote text"/>
    <w:aliases w:val="Footnote Text Char1,Footnote Text Char Char,Footnote Text Char2,Footnote Text Char Char1"/>
    <w:basedOn w:val="Normal"/>
    <w:link w:val="FootnoteTextChar"/>
    <w:uiPriority w:val="99"/>
    <w:unhideWhenUsed/>
    <w:rsid w:val="00E4381B"/>
    <w:pPr>
      <w:jc w:val="left"/>
    </w:pPr>
    <w:rPr>
      <w:rFonts w:asciiTheme="minorHAnsi" w:eastAsiaTheme="minorHAnsi" w:hAnsiTheme="minorHAnsi" w:cstheme="minorBidi"/>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uiPriority w:val="99"/>
    <w:rsid w:val="00E4381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E4381B"/>
    <w:rPr>
      <w:vertAlign w:val="superscript"/>
    </w:rPr>
  </w:style>
  <w:style w:type="paragraph" w:customStyle="1" w:styleId="TableText">
    <w:name w:val="Table Text"/>
    <w:link w:val="TableTextChar"/>
    <w:qFormat/>
    <w:rsid w:val="00A76560"/>
    <w:pPr>
      <w:keepNext/>
      <w:keepLines/>
      <w:widowControl w:val="0"/>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A76560"/>
    <w:rPr>
      <w:rFonts w:ascii="Arial Narrow" w:eastAsiaTheme="majorEastAsia" w:hAnsi="Arial Narrow" w:cstheme="majorBidi"/>
      <w:bCs/>
      <w:szCs w:val="24"/>
    </w:rPr>
  </w:style>
  <w:style w:type="numbering" w:customStyle="1" w:styleId="ArticleSection12">
    <w:name w:val="Article / Section12"/>
    <w:basedOn w:val="NoList"/>
    <w:next w:val="ArticleSection"/>
    <w:semiHidden/>
    <w:rsid w:val="00EA0936"/>
    <w:pPr>
      <w:numPr>
        <w:numId w:val="9"/>
      </w:numPr>
    </w:pPr>
  </w:style>
  <w:style w:type="numbering" w:styleId="ArticleSection">
    <w:name w:val="Outline List 3"/>
    <w:basedOn w:val="NoList"/>
    <w:semiHidden/>
    <w:unhideWhenUsed/>
    <w:rsid w:val="00EA0936"/>
  </w:style>
  <w:style w:type="paragraph" w:customStyle="1" w:styleId="COMbodybulletlist0">
    <w:name w:val="COM body bullet list"/>
    <w:basedOn w:val="Normal"/>
    <w:link w:val="COMbodybulletlistChar0"/>
    <w:qFormat/>
    <w:rsid w:val="00EA0936"/>
    <w:pPr>
      <w:tabs>
        <w:tab w:val="num" w:pos="360"/>
      </w:tabs>
      <w:ind w:left="360" w:hanging="360"/>
      <w:contextualSpacing/>
    </w:pPr>
  </w:style>
  <w:style w:type="character" w:customStyle="1" w:styleId="COMbodybulletlistChar0">
    <w:name w:val="COM body bullet list Char"/>
    <w:basedOn w:val="DefaultParagraphFont"/>
    <w:link w:val="COMbodybulletlist0"/>
    <w:rsid w:val="00EA0936"/>
    <w:rPr>
      <w:rFonts w:ascii="Calibri" w:hAnsi="Calibri" w:cs="Arial"/>
      <w:sz w:val="24"/>
      <w:szCs w:val="24"/>
    </w:rPr>
  </w:style>
  <w:style w:type="paragraph" w:customStyle="1" w:styleId="In-tableHeading">
    <w:name w:val="In-table Heading"/>
    <w:autoRedefine/>
    <w:qFormat/>
    <w:rsid w:val="00EA0936"/>
    <w:pPr>
      <w:keepNext/>
      <w:keepLines/>
    </w:pPr>
    <w:rPr>
      <w:rFonts w:ascii="Arial Narrow" w:eastAsiaTheme="majorEastAsia" w:hAnsi="Arial Narrow"/>
      <w:b/>
      <w:szCs w:val="24"/>
      <w:lang w:val="en-US"/>
    </w:rPr>
  </w:style>
  <w:style w:type="paragraph" w:customStyle="1" w:styleId="BulletLast">
    <w:name w:val="Bullet Last"/>
    <w:basedOn w:val="Caption"/>
    <w:qFormat/>
    <w:rsid w:val="00B57CCD"/>
    <w:pPr>
      <w:numPr>
        <w:numId w:val="10"/>
      </w:numPr>
      <w:tabs>
        <w:tab w:val="num" w:pos="360"/>
      </w:tabs>
      <w:spacing w:after="240" w:line="259" w:lineRule="auto"/>
      <w:jc w:val="left"/>
    </w:pPr>
    <w:rPr>
      <w:rFonts w:asciiTheme="minorHAnsi" w:eastAsiaTheme="minorHAnsi" w:hAnsiTheme="minorHAnsi" w:cstheme="minorBidi"/>
      <w:i w:val="0"/>
      <w:iCs w:val="0"/>
      <w:color w:val="auto"/>
      <w:kern w:val="2"/>
      <w:sz w:val="22"/>
      <w:szCs w:val="22"/>
      <w:lang w:eastAsia="en-US"/>
      <w14:ligatures w14:val="standardContextual"/>
    </w:rPr>
  </w:style>
  <w:style w:type="paragraph" w:customStyle="1" w:styleId="2-SectionHeading">
    <w:name w:val="2-Section Heading"/>
    <w:next w:val="3-BodyText"/>
    <w:qFormat/>
    <w:rsid w:val="003C0E6A"/>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link w:val="3-BodyTextChar"/>
    <w:qFormat/>
    <w:rsid w:val="003C0E6A"/>
    <w:pPr>
      <w:spacing w:before="60" w:after="60"/>
      <w:ind w:left="2138"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3C0E6A"/>
    <w:rPr>
      <w:rFonts w:asciiTheme="minorHAnsi" w:eastAsiaTheme="minorHAnsi" w:hAnsiTheme="minorHAnsi" w:cstheme="minorBidi"/>
      <w:sz w:val="24"/>
      <w:szCs w:val="22"/>
    </w:rPr>
  </w:style>
  <w:style w:type="paragraph" w:customStyle="1" w:styleId="TableFigureFooter">
    <w:name w:val="Table/Figure Footer"/>
    <w:basedOn w:val="Normal"/>
    <w:next w:val="3-BodyText"/>
    <w:link w:val="TableFigureFooterChar"/>
    <w:qFormat/>
    <w:rsid w:val="003C0E6A"/>
    <w:pPr>
      <w:keepLines/>
      <w:spacing w:after="120" w:line="259" w:lineRule="auto"/>
      <w:contextualSpacing/>
      <w:jc w:val="left"/>
    </w:pPr>
    <w:rPr>
      <w:rFonts w:ascii="Arial Narrow" w:eastAsiaTheme="minorHAnsi" w:hAnsi="Arial Narrow" w:cs="Times New Roman"/>
      <w:snapToGrid w:val="0"/>
      <w:kern w:val="2"/>
      <w:sz w:val="18"/>
      <w:szCs w:val="22"/>
      <w:lang w:eastAsia="en-US"/>
      <w14:ligatures w14:val="standardContextual"/>
    </w:rPr>
  </w:style>
  <w:style w:type="character" w:customStyle="1" w:styleId="TableFigureFooterChar">
    <w:name w:val="Table/Figure Footer Char"/>
    <w:link w:val="TableFigureFooter"/>
    <w:rsid w:val="003C0E6A"/>
    <w:rPr>
      <w:rFonts w:ascii="Arial Narrow" w:eastAsiaTheme="minorHAnsi" w:hAnsi="Arial Narrow"/>
      <w:snapToGrid w:val="0"/>
      <w:kern w:val="2"/>
      <w:sz w:val="18"/>
      <w:szCs w:val="22"/>
      <w:lang w:eastAsia="en-US"/>
      <w14:ligatures w14:val="standardContextual"/>
    </w:rPr>
  </w:style>
  <w:style w:type="paragraph" w:customStyle="1" w:styleId="Style2">
    <w:name w:val="Style2"/>
    <w:basedOn w:val="3-BodyText"/>
    <w:link w:val="Style2Char"/>
    <w:qFormat/>
    <w:rsid w:val="003C0E6A"/>
    <w:pPr>
      <w:numPr>
        <w:ilvl w:val="1"/>
        <w:numId w:val="11"/>
      </w:numPr>
      <w:tabs>
        <w:tab w:val="num" w:pos="360"/>
      </w:tabs>
    </w:pPr>
  </w:style>
  <w:style w:type="paragraph" w:customStyle="1" w:styleId="4-SubsectionHeading">
    <w:name w:val="4-Subsection Heading"/>
    <w:basedOn w:val="Heading2"/>
    <w:next w:val="3-BodyText"/>
    <w:link w:val="4-SubsectionHeadingChar"/>
    <w:qFormat/>
    <w:rsid w:val="007336AF"/>
    <w:pPr>
      <w:keepNext/>
      <w:spacing w:before="120" w:after="120" w:line="259" w:lineRule="auto"/>
      <w:jc w:val="left"/>
    </w:pPr>
    <w:rPr>
      <w:rFonts w:asciiTheme="minorHAnsi" w:eastAsiaTheme="majorEastAsia" w:hAnsiTheme="minorHAnsi" w:cstheme="majorBidi"/>
      <w:color w:val="000000" w:themeColor="text1"/>
      <w:spacing w:val="5"/>
      <w:kern w:val="28"/>
      <w:szCs w:val="36"/>
      <w:lang w:eastAsia="en-US"/>
      <w14:ligatures w14:val="standardContextual"/>
    </w:rPr>
  </w:style>
  <w:style w:type="character" w:customStyle="1" w:styleId="4-SubsectionHeadingChar">
    <w:name w:val="4-Subsection Heading Char"/>
    <w:basedOn w:val="DefaultParagraphFont"/>
    <w:link w:val="4-SubsectionHeading"/>
    <w:rsid w:val="007336AF"/>
    <w:rPr>
      <w:rFonts w:asciiTheme="minorHAnsi" w:eastAsiaTheme="majorEastAsia" w:hAnsiTheme="minorHAnsi" w:cstheme="majorBidi"/>
      <w:b/>
      <w:i/>
      <w:color w:val="000000" w:themeColor="text1"/>
      <w:spacing w:val="5"/>
      <w:kern w:val="28"/>
      <w:sz w:val="28"/>
      <w:szCs w:val="36"/>
      <w:lang w:eastAsia="en-US"/>
      <w14:ligatures w14:val="standardContextual"/>
    </w:rPr>
  </w:style>
  <w:style w:type="paragraph" w:customStyle="1" w:styleId="5-SubsectionSubheading">
    <w:name w:val="5-Subsection Subheading"/>
    <w:basedOn w:val="Heading3"/>
    <w:next w:val="3-BodyText"/>
    <w:link w:val="5-SubsectionSubheadingChar"/>
    <w:qFormat/>
    <w:rsid w:val="006E6D14"/>
    <w:pPr>
      <w:keepNext/>
      <w:keepLines/>
      <w:spacing w:before="40" w:after="160" w:line="259" w:lineRule="auto"/>
      <w:jc w:val="left"/>
    </w:pPr>
    <w:rPr>
      <w:rFonts w:asciiTheme="minorHAnsi" w:eastAsiaTheme="majorEastAsia" w:hAnsiTheme="minorHAnsi" w:cstheme="majorBidi"/>
      <w:b/>
      <w:color w:val="000000" w:themeColor="text1"/>
      <w:kern w:val="2"/>
      <w:u w:val="none"/>
      <w:lang w:eastAsia="en-US"/>
      <w14:ligatures w14:val="standardContextual"/>
    </w:rPr>
  </w:style>
  <w:style w:type="character" w:customStyle="1" w:styleId="5-SubsectionSubheadingChar">
    <w:name w:val="5-Subsection Subheading Char"/>
    <w:basedOn w:val="DefaultParagraphFont"/>
    <w:link w:val="5-SubsectionSubheading"/>
    <w:rsid w:val="006E6D14"/>
    <w:rPr>
      <w:rFonts w:asciiTheme="minorHAnsi" w:eastAsiaTheme="majorEastAsia" w:hAnsiTheme="minorHAnsi" w:cstheme="majorBidi"/>
      <w:b/>
      <w:color w:val="000000" w:themeColor="text1"/>
      <w:kern w:val="2"/>
      <w:sz w:val="24"/>
      <w:szCs w:val="24"/>
      <w:lang w:eastAsia="en-US"/>
      <w14:ligatures w14:val="standardContextual"/>
    </w:rPr>
  </w:style>
  <w:style w:type="paragraph" w:customStyle="1" w:styleId="TableFigureHeading">
    <w:name w:val="Table/Figure Heading"/>
    <w:link w:val="TableFigureHeadingChar"/>
    <w:qFormat/>
    <w:rsid w:val="0000425C"/>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00425C"/>
    <w:rPr>
      <w:rFonts w:ascii="Arial Narrow" w:eastAsiaTheme="majorEastAsia" w:hAnsi="Arial Narrow" w:cstheme="majorBidi"/>
      <w:b/>
      <w:bCs/>
      <w:szCs w:val="24"/>
    </w:rPr>
  </w:style>
  <w:style w:type="table" w:customStyle="1" w:styleId="HTAtableplain1">
    <w:name w:val="HTAtableplain1"/>
    <w:basedOn w:val="TableNormal"/>
    <w:next w:val="TableGrid"/>
    <w:uiPriority w:val="39"/>
    <w:rsid w:val="0000425C"/>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1 Char,H1 Char,Heading 12 Char,Titre 1 Car Car Char,Titre 1 Car Char,Outline1 Char,p1 Char"/>
    <w:basedOn w:val="DefaultParagraphFont"/>
    <w:link w:val="Heading1"/>
    <w:uiPriority w:val="1"/>
    <w:rsid w:val="0014336E"/>
    <w:rPr>
      <w:rFonts w:ascii="Calibri" w:hAnsi="Calibri" w:cs="Arial"/>
      <w:b/>
      <w:caps/>
      <w:sz w:val="32"/>
      <w:szCs w:val="24"/>
    </w:rPr>
  </w:style>
  <w:style w:type="character" w:customStyle="1" w:styleId="Heading3Char">
    <w:name w:val="Heading 3 Char"/>
    <w:aliases w:val="H3 Char,Heading h3 Char,h3 Char,Don 3 Char,Heading 3x Char,p3 Char Char"/>
    <w:basedOn w:val="DefaultParagraphFont"/>
    <w:link w:val="Heading3"/>
    <w:rsid w:val="0014336E"/>
    <w:rPr>
      <w:rFonts w:ascii="Calibri" w:hAnsi="Calibri" w:cs="Arial"/>
      <w:sz w:val="24"/>
      <w:szCs w:val="24"/>
      <w:u w:val="single"/>
    </w:rPr>
  </w:style>
  <w:style w:type="character" w:customStyle="1" w:styleId="Heading4Char">
    <w:name w:val="Heading 4 Char"/>
    <w:aliases w:val="Heading 4 Char1 Char,Heading 4 Char Char Char,Heading 4 Char2 Char Char Char,Heading 4 Char Char1 Char Char Char,Heading 4 Char1 Char Char Char Char Char Char,Heading 4 Char Char Char Char Char Char Char Char,Char Char,p4 Char"/>
    <w:basedOn w:val="DefaultParagraphFont"/>
    <w:link w:val="Heading4"/>
    <w:rsid w:val="0014336E"/>
    <w:rPr>
      <w:rFonts w:ascii="Calibri" w:hAnsi="Calibri" w:cs="Arial"/>
      <w:b/>
      <w:bCs/>
      <w:i/>
      <w:sz w:val="26"/>
      <w:szCs w:val="28"/>
    </w:rPr>
  </w:style>
  <w:style w:type="character" w:customStyle="1" w:styleId="Heading5Char">
    <w:name w:val="Heading 5 Char"/>
    <w:aliases w:val="p5 Char"/>
    <w:basedOn w:val="DefaultParagraphFont"/>
    <w:link w:val="Heading5"/>
    <w:rsid w:val="0014336E"/>
    <w:rPr>
      <w:rFonts w:ascii="Calibri" w:hAnsi="Calibri" w:cs="Arial"/>
      <w:b/>
      <w:bCs/>
      <w:iCs/>
      <w:sz w:val="26"/>
      <w:szCs w:val="26"/>
    </w:rPr>
  </w:style>
  <w:style w:type="character" w:customStyle="1" w:styleId="Heading6Char">
    <w:name w:val="Heading 6 Char"/>
    <w:aliases w:val="Heading 6 - DO NOT USE Char,DO NOT USE Char,DO NOT USE4 Char"/>
    <w:basedOn w:val="DefaultParagraphFont"/>
    <w:link w:val="Heading6"/>
    <w:rsid w:val="0014336E"/>
    <w:rPr>
      <w:rFonts w:ascii="Calibri" w:hAnsi="Calibri" w:cs="Arial"/>
      <w:b/>
      <w:bCs/>
      <w:i/>
      <w:sz w:val="24"/>
      <w:szCs w:val="24"/>
    </w:rPr>
  </w:style>
  <w:style w:type="paragraph" w:customStyle="1" w:styleId="TableHeader">
    <w:name w:val="Table Header"/>
    <w:basedOn w:val="Normal"/>
    <w:uiPriority w:val="3"/>
    <w:rsid w:val="0014336E"/>
    <w:pPr>
      <w:spacing w:after="160" w:line="259" w:lineRule="auto"/>
      <w:jc w:val="left"/>
    </w:pPr>
    <w:rPr>
      <w:rFonts w:ascii="Times New Roman" w:eastAsiaTheme="minorHAnsi" w:hAnsi="Times New Roman" w:cs="Times New Roman"/>
      <w:b/>
      <w:kern w:val="2"/>
      <w:sz w:val="20"/>
      <w:lang w:eastAsia="en-US"/>
      <w14:ligatures w14:val="standardContextual"/>
    </w:rPr>
  </w:style>
  <w:style w:type="character" w:customStyle="1" w:styleId="CaptionChar">
    <w:name w:val="Caption Char"/>
    <w:aliases w:val="Table and Figure Name Char,Bullet Char,- H17 Char,Bayer Caption Char,IB Caption Char,Medical Caption Char,B Caption Char,Caption Char2 Char Char,Caption Char Char Char2 Char,Caption Char1 Char Char Char1 Char,Caption2 Char"/>
    <w:link w:val="Caption"/>
    <w:rsid w:val="0014336E"/>
    <w:rPr>
      <w:rFonts w:ascii="Calibri" w:hAnsi="Calibri" w:cs="Arial"/>
      <w:i/>
      <w:iCs/>
      <w:color w:val="1F497D" w:themeColor="text2"/>
      <w:sz w:val="18"/>
      <w:szCs w:val="18"/>
    </w:rPr>
  </w:style>
  <w:style w:type="paragraph" w:styleId="Title">
    <w:name w:val="Title"/>
    <w:basedOn w:val="Normal"/>
    <w:next w:val="Normal"/>
    <w:link w:val="TitleChar"/>
    <w:rsid w:val="0014336E"/>
    <w:pPr>
      <w:spacing w:before="240" w:after="60" w:line="259" w:lineRule="auto"/>
      <w:jc w:val="center"/>
      <w:outlineLvl w:val="0"/>
    </w:pPr>
    <w:rPr>
      <w:rFonts w:ascii="Cambria" w:eastAsiaTheme="minorHAnsi" w:hAnsi="Cambria" w:cs="Times New Roman"/>
      <w:b/>
      <w:bCs/>
      <w:kern w:val="28"/>
      <w:sz w:val="32"/>
      <w:szCs w:val="32"/>
      <w:lang w:eastAsia="en-US"/>
      <w14:ligatures w14:val="standardContextual"/>
    </w:rPr>
  </w:style>
  <w:style w:type="character" w:customStyle="1" w:styleId="TitleChar">
    <w:name w:val="Title Char"/>
    <w:basedOn w:val="DefaultParagraphFont"/>
    <w:link w:val="Title"/>
    <w:rsid w:val="0014336E"/>
    <w:rPr>
      <w:rFonts w:ascii="Cambria" w:eastAsiaTheme="minorHAnsi" w:hAnsi="Cambria"/>
      <w:b/>
      <w:bCs/>
      <w:kern w:val="28"/>
      <w:sz w:val="32"/>
      <w:szCs w:val="32"/>
      <w:lang w:eastAsia="en-US"/>
      <w14:ligatures w14:val="standardContextual"/>
    </w:rPr>
  </w:style>
  <w:style w:type="paragraph" w:customStyle="1" w:styleId="RegularText">
    <w:name w:val="Regular Text"/>
    <w:basedOn w:val="BodyText"/>
    <w:link w:val="RegularTextChar"/>
    <w:rsid w:val="0014336E"/>
    <w:pPr>
      <w:spacing w:after="160" w:line="259" w:lineRule="auto"/>
    </w:pPr>
    <w:rPr>
      <w:rFonts w:ascii="Arial" w:eastAsiaTheme="minorHAnsi" w:hAnsi="Arial"/>
      <w:b/>
      <w:kern w:val="2"/>
      <w:lang w:eastAsia="en-US"/>
      <w14:ligatures w14:val="standardContextual"/>
    </w:rPr>
  </w:style>
  <w:style w:type="character" w:customStyle="1" w:styleId="RegularTextChar">
    <w:name w:val="Regular Text Char"/>
    <w:basedOn w:val="BodyTextChar"/>
    <w:link w:val="RegularText"/>
    <w:rsid w:val="0014336E"/>
    <w:rPr>
      <w:rFonts w:ascii="Arial" w:eastAsiaTheme="minorHAnsi" w:hAnsi="Arial" w:cs="Arial"/>
      <w:b/>
      <w:snapToGrid/>
      <w:kern w:val="2"/>
      <w:sz w:val="24"/>
      <w:szCs w:val="24"/>
      <w:lang w:eastAsia="en-US"/>
      <w14:ligatures w14:val="standardContextual"/>
    </w:rPr>
  </w:style>
  <w:style w:type="paragraph" w:styleId="NoSpacing">
    <w:name w:val="No Spacing"/>
    <w:uiPriority w:val="1"/>
    <w:qFormat/>
    <w:rsid w:val="0014336E"/>
    <w:pPr>
      <w:widowControl w:val="0"/>
      <w:jc w:val="both"/>
    </w:pPr>
    <w:rPr>
      <w:rFonts w:ascii="Arial" w:hAnsi="Arial" w:cs="Arial"/>
      <w:snapToGrid w:val="0"/>
      <w:sz w:val="22"/>
      <w:lang w:eastAsia="en-US"/>
    </w:rPr>
  </w:style>
  <w:style w:type="paragraph" w:customStyle="1" w:styleId="Tabletext0">
    <w:name w:val="Table text"/>
    <w:basedOn w:val="Normal"/>
    <w:link w:val="TabletextChar0"/>
    <w:rsid w:val="0014336E"/>
    <w:pPr>
      <w:spacing w:after="160" w:line="259" w:lineRule="auto"/>
      <w:jc w:val="left"/>
    </w:pPr>
    <w:rPr>
      <w:rFonts w:ascii="Arial Narrow" w:eastAsiaTheme="minorHAnsi" w:hAnsi="Arial Narrow" w:cs="Times New Roman"/>
      <w:snapToGrid w:val="0"/>
      <w:kern w:val="2"/>
      <w:sz w:val="20"/>
      <w:lang w:eastAsia="en-US"/>
      <w14:ligatures w14:val="standardContextual"/>
    </w:rPr>
  </w:style>
  <w:style w:type="character" w:customStyle="1" w:styleId="TabletextChar0">
    <w:name w:val="Table text Char"/>
    <w:link w:val="Tabletext0"/>
    <w:rsid w:val="0014336E"/>
    <w:rPr>
      <w:rFonts w:ascii="Arial Narrow" w:eastAsiaTheme="minorHAnsi" w:hAnsi="Arial Narrow"/>
      <w:snapToGrid w:val="0"/>
      <w:kern w:val="2"/>
      <w:szCs w:val="24"/>
      <w:lang w:eastAsia="en-US"/>
      <w14:ligatures w14:val="standardContextual"/>
    </w:rPr>
  </w:style>
  <w:style w:type="paragraph" w:customStyle="1" w:styleId="TableHeading">
    <w:name w:val="TableHeading"/>
    <w:basedOn w:val="Normal"/>
    <w:rsid w:val="0014336E"/>
    <w:pPr>
      <w:keepNext/>
      <w:spacing w:before="40" w:after="40" w:line="259" w:lineRule="auto"/>
      <w:jc w:val="left"/>
    </w:pPr>
    <w:rPr>
      <w:rFonts w:ascii="Arial Narrow" w:eastAsiaTheme="minorHAnsi" w:hAnsi="Arial Narrow" w:cs="Arial Narrow"/>
      <w:b/>
      <w:bCs/>
      <w:snapToGrid w:val="0"/>
      <w:kern w:val="2"/>
      <w:sz w:val="20"/>
      <w:lang w:eastAsia="en-US"/>
      <w14:ligatures w14:val="standardContextual"/>
    </w:rPr>
  </w:style>
  <w:style w:type="paragraph" w:customStyle="1" w:styleId="Corpsdetextemarge">
    <w:name w:val="Corps de texte marge"/>
    <w:basedOn w:val="BodyText"/>
    <w:uiPriority w:val="99"/>
    <w:rsid w:val="0014336E"/>
    <w:pPr>
      <w:spacing w:after="160" w:line="259" w:lineRule="auto"/>
      <w:jc w:val="both"/>
    </w:pPr>
    <w:rPr>
      <w:rFonts w:ascii="Times" w:eastAsiaTheme="minorHAnsi" w:hAnsi="Times" w:cs="Times New Roman"/>
      <w:snapToGrid w:val="0"/>
      <w:kern w:val="2"/>
      <w:lang w:val="en-US" w:eastAsia="en-US"/>
      <w14:ligatures w14:val="standardContextual"/>
    </w:rPr>
  </w:style>
  <w:style w:type="paragraph" w:customStyle="1" w:styleId="Bulletpoints">
    <w:name w:val="Bullet points"/>
    <w:basedOn w:val="ListParagraph"/>
    <w:rsid w:val="0014336E"/>
    <w:pPr>
      <w:contextualSpacing/>
    </w:pPr>
  </w:style>
  <w:style w:type="paragraph" w:customStyle="1" w:styleId="TableName">
    <w:name w:val="TableName"/>
    <w:basedOn w:val="Normal"/>
    <w:rsid w:val="0014336E"/>
    <w:pPr>
      <w:keepNext/>
      <w:spacing w:before="120" w:after="120" w:line="259" w:lineRule="auto"/>
      <w:ind w:left="1800" w:hanging="1080"/>
      <w:jc w:val="left"/>
    </w:pPr>
    <w:rPr>
      <w:rFonts w:ascii="Arial Narrow" w:eastAsiaTheme="minorHAnsi" w:hAnsi="Arial Narrow" w:cs="Arial Narrow"/>
      <w:b/>
      <w:bCs/>
      <w:snapToGrid w:val="0"/>
      <w:kern w:val="2"/>
      <w:lang w:eastAsia="en-US"/>
      <w14:ligatures w14:val="standardContextual"/>
    </w:rPr>
  </w:style>
  <w:style w:type="paragraph" w:customStyle="1" w:styleId="TableNotes18">
    <w:name w:val="TableNotes+18"/>
    <w:basedOn w:val="Normal"/>
    <w:rsid w:val="0014336E"/>
    <w:pPr>
      <w:keepLines/>
      <w:spacing w:after="360" w:line="259" w:lineRule="auto"/>
      <w:ind w:left="720"/>
      <w:jc w:val="left"/>
    </w:pPr>
    <w:rPr>
      <w:rFonts w:ascii="Arial Narrow" w:eastAsiaTheme="minorHAnsi" w:hAnsi="Arial Narrow" w:cs="Arial Narrow"/>
      <w:snapToGrid w:val="0"/>
      <w:kern w:val="2"/>
      <w:sz w:val="18"/>
      <w:szCs w:val="18"/>
      <w:lang w:eastAsia="en-US"/>
      <w14:ligatures w14:val="standardContextual"/>
    </w:rPr>
  </w:style>
  <w:style w:type="paragraph" w:customStyle="1" w:styleId="TableNotes0">
    <w:name w:val="TableNotes+0"/>
    <w:basedOn w:val="TableNotes18"/>
    <w:rsid w:val="0014336E"/>
    <w:pPr>
      <w:keepNext/>
      <w:spacing w:after="0"/>
    </w:pPr>
  </w:style>
  <w:style w:type="paragraph" w:customStyle="1" w:styleId="Char1CharCharChar">
    <w:name w:val="Char1 Char Char Char"/>
    <w:basedOn w:val="Normal"/>
    <w:rsid w:val="0014336E"/>
    <w:pPr>
      <w:spacing w:after="160" w:line="240" w:lineRule="exact"/>
      <w:jc w:val="left"/>
    </w:pPr>
    <w:rPr>
      <w:rFonts w:ascii="Verdana" w:eastAsia="MS Mincho" w:hAnsi="Verdana" w:cs="Verdana"/>
      <w:snapToGrid w:val="0"/>
      <w:kern w:val="2"/>
      <w:sz w:val="20"/>
      <w:lang w:val="en-US" w:eastAsia="en-US"/>
      <w14:ligatures w14:val="standardContextual"/>
    </w:rPr>
  </w:style>
  <w:style w:type="character" w:customStyle="1" w:styleId="SubtitleChar">
    <w:name w:val="Subtitle Char"/>
    <w:link w:val="Subtitle"/>
    <w:rsid w:val="0014336E"/>
    <w:rPr>
      <w:lang w:eastAsia="en-US"/>
    </w:rPr>
  </w:style>
  <w:style w:type="paragraph" w:styleId="Subtitle">
    <w:name w:val="Subtitle"/>
    <w:basedOn w:val="Normal"/>
    <w:link w:val="SubtitleChar"/>
    <w:rsid w:val="0014336E"/>
    <w:pPr>
      <w:spacing w:after="160" w:line="259" w:lineRule="auto"/>
      <w:jc w:val="left"/>
    </w:pPr>
    <w:rPr>
      <w:rFonts w:ascii="Times New Roman" w:hAnsi="Times New Roman" w:cs="Times New Roman"/>
      <w:sz w:val="20"/>
      <w:szCs w:val="20"/>
      <w:lang w:eastAsia="en-US"/>
    </w:rPr>
  </w:style>
  <w:style w:type="character" w:customStyle="1" w:styleId="SubtitleChar1">
    <w:name w:val="Subtitle Char1"/>
    <w:basedOn w:val="DefaultParagraphFont"/>
    <w:rsid w:val="0014336E"/>
    <w:rPr>
      <w:rFonts w:asciiTheme="minorHAnsi" w:eastAsiaTheme="minorEastAsia" w:hAnsiTheme="minorHAnsi" w:cstheme="minorBidi"/>
      <w:color w:val="5A5A5A" w:themeColor="text1" w:themeTint="A5"/>
      <w:spacing w:val="15"/>
      <w:sz w:val="22"/>
      <w:szCs w:val="22"/>
    </w:rPr>
  </w:style>
  <w:style w:type="paragraph" w:customStyle="1" w:styleId="PBACHeading1">
    <w:name w:val="PBAC Heading 1"/>
    <w:qFormat/>
    <w:rsid w:val="0014336E"/>
    <w:pPr>
      <w:outlineLvl w:val="0"/>
    </w:pPr>
    <w:rPr>
      <w:rFonts w:ascii="Calibri" w:hAnsi="Calibri" w:cs="Arial"/>
      <w:b/>
      <w:snapToGrid w:val="0"/>
      <w:sz w:val="32"/>
      <w:szCs w:val="22"/>
      <w:lang w:eastAsia="en-US"/>
    </w:rPr>
  </w:style>
  <w:style w:type="paragraph" w:customStyle="1" w:styleId="Commentitalics">
    <w:name w:val="Comment (italics)"/>
    <w:basedOn w:val="Normal"/>
    <w:next w:val="Normal"/>
    <w:rsid w:val="0014336E"/>
    <w:pPr>
      <w:spacing w:after="160" w:line="259" w:lineRule="auto"/>
      <w:jc w:val="left"/>
    </w:pPr>
    <w:rPr>
      <w:rFonts w:ascii="Times New Roman" w:eastAsiaTheme="minorHAnsi" w:hAnsi="Times New Roman" w:cs="Times New Roman"/>
      <w:i/>
      <w:kern w:val="2"/>
      <w:lang w:eastAsia="en-US"/>
      <w14:ligatures w14:val="standardContextual"/>
    </w:rPr>
  </w:style>
  <w:style w:type="paragraph" w:customStyle="1" w:styleId="V50Tablename">
    <w:name w:val="V5.0 Table name"/>
    <w:basedOn w:val="Normal"/>
    <w:link w:val="V50TablenameChar"/>
    <w:rsid w:val="0014336E"/>
    <w:pPr>
      <w:keepNext/>
      <w:spacing w:after="160" w:line="259" w:lineRule="auto"/>
      <w:jc w:val="left"/>
    </w:pPr>
    <w:rPr>
      <w:rFonts w:asciiTheme="minorHAnsi" w:eastAsiaTheme="minorHAnsi" w:hAnsiTheme="minorHAnsi" w:cstheme="minorBidi"/>
      <w:b/>
      <w:snapToGrid w:val="0"/>
      <w:kern w:val="2"/>
      <w:sz w:val="20"/>
      <w:lang w:val="en-US" w:eastAsia="en-US"/>
      <w14:ligatures w14:val="standardContextual"/>
    </w:rPr>
  </w:style>
  <w:style w:type="character" w:customStyle="1" w:styleId="V50TablenameChar">
    <w:name w:val="V5.0 Table name Char"/>
    <w:basedOn w:val="DefaultParagraphFont"/>
    <w:link w:val="V50Tablename"/>
    <w:rsid w:val="0014336E"/>
    <w:rPr>
      <w:rFonts w:asciiTheme="minorHAnsi" w:eastAsiaTheme="minorHAnsi" w:hAnsiTheme="minorHAnsi" w:cstheme="minorBidi"/>
      <w:b/>
      <w:snapToGrid w:val="0"/>
      <w:kern w:val="2"/>
      <w:szCs w:val="24"/>
      <w:lang w:val="en-US" w:eastAsia="en-US"/>
      <w14:ligatures w14:val="standardContextual"/>
    </w:rPr>
  </w:style>
  <w:style w:type="paragraph" w:customStyle="1" w:styleId="GeneralHeading">
    <w:name w:val="General Heading"/>
    <w:qFormat/>
    <w:rsid w:val="0014336E"/>
    <w:pPr>
      <w:keepNext/>
      <w:spacing w:before="120" w:after="120"/>
      <w:ind w:left="720" w:hanging="720"/>
      <w:outlineLvl w:val="0"/>
    </w:pPr>
    <w:rPr>
      <w:rFonts w:ascii="Calibri" w:hAnsi="Calibri" w:cs="Arial"/>
      <w:b/>
      <w:snapToGrid w:val="0"/>
      <w:sz w:val="28"/>
      <w:szCs w:val="22"/>
    </w:rPr>
  </w:style>
  <w:style w:type="paragraph" w:customStyle="1" w:styleId="1-MainHeading">
    <w:name w:val="1-Main Heading"/>
    <w:next w:val="2-SectionHeading"/>
    <w:link w:val="1-MainHeadingChar"/>
    <w:qFormat/>
    <w:rsid w:val="0014336E"/>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14336E"/>
    <w:rPr>
      <w:rFonts w:asciiTheme="minorHAnsi" w:eastAsiaTheme="majorEastAsia" w:hAnsiTheme="minorHAnsi" w:cstheme="majorBidi"/>
      <w:b/>
      <w:spacing w:val="5"/>
      <w:kern w:val="28"/>
      <w:sz w:val="36"/>
      <w:szCs w:val="36"/>
    </w:rPr>
  </w:style>
  <w:style w:type="paragraph" w:customStyle="1" w:styleId="FooterTableFigure">
    <w:name w:val="Footer Table/Figure"/>
    <w:basedOn w:val="Normal"/>
    <w:link w:val="FooterTableFigureChar"/>
    <w:rsid w:val="0014336E"/>
    <w:pPr>
      <w:spacing w:after="120" w:line="259" w:lineRule="auto"/>
      <w:contextualSpacing/>
      <w:jc w:val="left"/>
    </w:pPr>
    <w:rPr>
      <w:rFonts w:ascii="Arial Narrow" w:eastAsiaTheme="minorHAnsi" w:hAnsi="Arial Narrow" w:cs="Times New Roman"/>
      <w:snapToGrid w:val="0"/>
      <w:kern w:val="2"/>
      <w:sz w:val="18"/>
      <w:szCs w:val="22"/>
      <w:lang w:eastAsia="en-US"/>
      <w14:ligatures w14:val="standardContextual"/>
    </w:rPr>
  </w:style>
  <w:style w:type="character" w:customStyle="1" w:styleId="FooterTableFigureChar">
    <w:name w:val="Footer Table/Figure Char"/>
    <w:link w:val="FooterTableFigure"/>
    <w:rsid w:val="0014336E"/>
    <w:rPr>
      <w:rFonts w:ascii="Arial Narrow" w:eastAsiaTheme="minorHAnsi" w:hAnsi="Arial Narrow"/>
      <w:snapToGrid w:val="0"/>
      <w:kern w:val="2"/>
      <w:sz w:val="18"/>
      <w:szCs w:val="22"/>
      <w:lang w:eastAsia="en-US"/>
      <w14:ligatures w14:val="standardContextual"/>
    </w:rPr>
  </w:style>
  <w:style w:type="paragraph" w:customStyle="1" w:styleId="ExecSumBodyText">
    <w:name w:val="Exec Sum Body Text"/>
    <w:basedOn w:val="Normal"/>
    <w:link w:val="ExecSumBodyTextChar"/>
    <w:uiPriority w:val="99"/>
    <w:rsid w:val="0014336E"/>
    <w:pPr>
      <w:spacing w:after="120" w:line="259" w:lineRule="auto"/>
      <w:ind w:left="720" w:hanging="720"/>
      <w:jc w:val="left"/>
    </w:pPr>
    <w:rPr>
      <w:rFonts w:asciiTheme="minorHAnsi" w:eastAsiaTheme="minorHAnsi" w:hAnsiTheme="minorHAnsi" w:cs="Times New Roman"/>
      <w:snapToGrid w:val="0"/>
      <w:kern w:val="2"/>
      <w:lang w:eastAsia="en-US"/>
      <w14:ligatures w14:val="standardContextual"/>
    </w:rPr>
  </w:style>
  <w:style w:type="character" w:customStyle="1" w:styleId="ExecSumBodyTextChar">
    <w:name w:val="Exec Sum Body Text Char"/>
    <w:basedOn w:val="DefaultParagraphFont"/>
    <w:link w:val="ExecSumBodyText"/>
    <w:uiPriority w:val="99"/>
    <w:rsid w:val="0014336E"/>
    <w:rPr>
      <w:rFonts w:asciiTheme="minorHAnsi" w:eastAsiaTheme="minorHAnsi" w:hAnsiTheme="minorHAnsi"/>
      <w:snapToGrid w:val="0"/>
      <w:kern w:val="2"/>
      <w:sz w:val="24"/>
      <w:szCs w:val="24"/>
      <w:lang w:eastAsia="en-US"/>
      <w14:ligatures w14:val="standardContextual"/>
    </w:rPr>
  </w:style>
  <w:style w:type="paragraph" w:customStyle="1" w:styleId="Default">
    <w:name w:val="Default"/>
    <w:rsid w:val="0014336E"/>
    <w:pPr>
      <w:autoSpaceDE w:val="0"/>
      <w:autoSpaceDN w:val="0"/>
      <w:adjustRightInd w:val="0"/>
    </w:pPr>
    <w:rPr>
      <w:rFonts w:ascii="Calibri" w:hAnsi="Calibri" w:cs="Calibri"/>
      <w:color w:val="000000"/>
      <w:sz w:val="24"/>
      <w:szCs w:val="24"/>
    </w:rPr>
  </w:style>
  <w:style w:type="table" w:customStyle="1" w:styleId="AZTable">
    <w:name w:val="AZ Table"/>
    <w:basedOn w:val="TableNormal"/>
    <w:uiPriority w:val="9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TableGridnm2">
    <w:name w:val="Table Grid nm2"/>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m1">
    <w:name w:val="Table Grid nm1"/>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List"/>
    <w:basedOn w:val="Normal"/>
    <w:rsid w:val="0014336E"/>
    <w:pPr>
      <w:tabs>
        <w:tab w:val="left" w:pos="360"/>
      </w:tabs>
      <w:spacing w:after="240" w:line="259" w:lineRule="auto"/>
      <w:ind w:left="360" w:hanging="360"/>
      <w:jc w:val="left"/>
    </w:pPr>
    <w:rPr>
      <w:rFonts w:ascii="Times New Roman" w:eastAsiaTheme="minorHAnsi" w:hAnsi="Times New Roman" w:cs="Times New Roman"/>
      <w:color w:val="000000"/>
      <w:kern w:val="2"/>
      <w:sz w:val="22"/>
      <w:szCs w:val="20"/>
      <w:lang w:eastAsia="en-US"/>
      <w14:ligatures w14:val="standardContextual"/>
    </w:rPr>
  </w:style>
  <w:style w:type="table" w:customStyle="1" w:styleId="HTAtableplain21">
    <w:name w:val="HTAtableplain21"/>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7">
    <w:name w:val="HTAtableplain7"/>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m3">
    <w:name w:val="Table Grid nm3"/>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m4">
    <w:name w:val="Table Grid nm4"/>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m5">
    <w:name w:val="Table Grid nm5"/>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nm6">
    <w:name w:val="Table Grid nm6"/>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6">
    <w:name w:val="HTAtableplain6"/>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eforeDash">
    <w:name w:val="Bullet Before Dash"/>
    <w:basedOn w:val="Normal"/>
    <w:rsid w:val="0014336E"/>
    <w:pPr>
      <w:numPr>
        <w:numId w:val="12"/>
      </w:numPr>
      <w:spacing w:after="60" w:line="259" w:lineRule="auto"/>
      <w:ind w:left="0" w:firstLine="0"/>
      <w:jc w:val="left"/>
    </w:pPr>
    <w:rPr>
      <w:rFonts w:asciiTheme="minorHAnsi" w:eastAsiaTheme="minorHAnsi" w:hAnsiTheme="minorHAnsi" w:cstheme="minorBidi"/>
      <w:kern w:val="2"/>
      <w:sz w:val="22"/>
      <w:szCs w:val="22"/>
      <w:lang w:eastAsia="en-US"/>
      <w14:ligatures w14:val="standardContextual"/>
    </w:rPr>
  </w:style>
  <w:style w:type="paragraph" w:customStyle="1" w:styleId="TableHeading0">
    <w:name w:val="Table Heading"/>
    <w:basedOn w:val="TableText"/>
    <w:link w:val="TableHeadingChar"/>
    <w:qFormat/>
    <w:rsid w:val="0014336E"/>
    <w:pPr>
      <w:widowControl/>
      <w:spacing w:before="20" w:after="20" w:line="276" w:lineRule="auto"/>
      <w:jc w:val="both"/>
    </w:pPr>
    <w:rPr>
      <w:rFonts w:cs="Arial"/>
      <w:b/>
      <w:bCs w:val="0"/>
      <w:sz w:val="18"/>
      <w:szCs w:val="20"/>
      <w:lang w:bidi="en-US"/>
    </w:rPr>
  </w:style>
  <w:style w:type="paragraph" w:customStyle="1" w:styleId="Footnotes">
    <w:name w:val="Footnotes"/>
    <w:basedOn w:val="Normal"/>
    <w:link w:val="FootnotesChar"/>
    <w:qFormat/>
    <w:rsid w:val="0014336E"/>
    <w:pPr>
      <w:keepLines/>
      <w:spacing w:before="60" w:after="360" w:line="276" w:lineRule="auto"/>
      <w:contextualSpacing/>
      <w:jc w:val="left"/>
    </w:pPr>
    <w:rPr>
      <w:rFonts w:ascii="Arial" w:eastAsia="SimSun" w:hAnsi="Arial" w:cstheme="minorHAnsi"/>
      <w:kern w:val="2"/>
      <w:sz w:val="16"/>
      <w:szCs w:val="22"/>
      <w:lang w:val="en-GB" w:eastAsia="en-GB"/>
      <w14:ligatures w14:val="standardContextual"/>
    </w:rPr>
  </w:style>
  <w:style w:type="character" w:customStyle="1" w:styleId="FootnotesChar">
    <w:name w:val="Footnotes Char"/>
    <w:link w:val="Footnotes"/>
    <w:rsid w:val="0014336E"/>
    <w:rPr>
      <w:rFonts w:ascii="Arial" w:eastAsia="SimSun" w:hAnsi="Arial" w:cstheme="minorHAnsi"/>
      <w:kern w:val="2"/>
      <w:sz w:val="16"/>
      <w:szCs w:val="22"/>
      <w:lang w:val="en-GB" w:eastAsia="en-GB"/>
      <w14:ligatures w14:val="standardContextual"/>
    </w:rPr>
  </w:style>
  <w:style w:type="character" w:customStyle="1" w:styleId="TableHeadingChar">
    <w:name w:val="Table Heading Char"/>
    <w:basedOn w:val="DefaultParagraphFont"/>
    <w:link w:val="TableHeading0"/>
    <w:locked/>
    <w:rsid w:val="0014336E"/>
    <w:rPr>
      <w:rFonts w:ascii="Arial Narrow" w:eastAsiaTheme="majorEastAsia" w:hAnsi="Arial Narrow" w:cs="Arial"/>
      <w:b/>
      <w:sz w:val="18"/>
      <w:lang w:bidi="en-US"/>
    </w:rPr>
  </w:style>
  <w:style w:type="table" w:customStyle="1" w:styleId="ASDTable2">
    <w:name w:val="ASD Table2"/>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2">
    <w:name w:val="HTAtableplain2"/>
    <w:basedOn w:val="TableNormal"/>
    <w:next w:val="TableGrid"/>
    <w:uiPriority w:val="39"/>
    <w:rsid w:val="00143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1">
    <w:name w:val="AZ Table1"/>
    <w:basedOn w:val="TableNormal"/>
    <w:uiPriority w:val="9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styleId="Emphasis">
    <w:name w:val="Emphasis"/>
    <w:basedOn w:val="DefaultParagraphFont"/>
    <w:uiPriority w:val="20"/>
    <w:rsid w:val="0014336E"/>
    <w:rPr>
      <w:i/>
      <w:iCs/>
    </w:rPr>
  </w:style>
  <w:style w:type="character" w:customStyle="1" w:styleId="cf01">
    <w:name w:val="cf01"/>
    <w:basedOn w:val="DefaultParagraphFont"/>
    <w:rsid w:val="0014336E"/>
    <w:rPr>
      <w:rFonts w:ascii="Segoe UI" w:hAnsi="Segoe UI" w:cs="Segoe UI" w:hint="default"/>
      <w:sz w:val="18"/>
      <w:szCs w:val="18"/>
    </w:rPr>
  </w:style>
  <w:style w:type="table" w:customStyle="1" w:styleId="HTAtableplain3">
    <w:name w:val="HTAtableplain3"/>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4">
    <w:name w:val="HTAtableplain4"/>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5">
    <w:name w:val="HTAtableplain5"/>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1">
    <w:name w:val="ASD Table1"/>
    <w:basedOn w:val="TableNormal"/>
    <w:next w:val="TableGrid"/>
    <w:uiPriority w:val="59"/>
    <w:rsid w:val="00143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0">
    <w:name w:val="Table Bullet"/>
    <w:basedOn w:val="TableText"/>
    <w:rsid w:val="0014336E"/>
    <w:pPr>
      <w:keepNext w:val="0"/>
      <w:keepLines w:val="0"/>
      <w:widowControl/>
      <w:tabs>
        <w:tab w:val="num" w:pos="360"/>
      </w:tabs>
      <w:spacing w:before="40" w:after="40"/>
      <w:ind w:left="357" w:hanging="357"/>
    </w:pPr>
    <w:rPr>
      <w:rFonts w:asciiTheme="minorHAnsi" w:eastAsiaTheme="minorHAnsi" w:hAnsiTheme="minorHAnsi" w:cstheme="minorHAnsi"/>
      <w:bCs w:val="0"/>
      <w:sz w:val="18"/>
      <w:szCs w:val="18"/>
      <w:lang w:eastAsia="en-US"/>
    </w:rPr>
  </w:style>
  <w:style w:type="character" w:customStyle="1" w:styleId="UnresolvedMention1">
    <w:name w:val="Unresolved Mention1"/>
    <w:basedOn w:val="DefaultParagraphFont"/>
    <w:uiPriority w:val="99"/>
    <w:semiHidden/>
    <w:unhideWhenUsed/>
    <w:rsid w:val="0014336E"/>
    <w:rPr>
      <w:color w:val="605E5C"/>
      <w:shd w:val="clear" w:color="auto" w:fill="E1DFDD"/>
    </w:rPr>
  </w:style>
  <w:style w:type="character" w:customStyle="1" w:styleId="lrzxr">
    <w:name w:val="lrzxr"/>
    <w:basedOn w:val="DefaultParagraphFont"/>
    <w:rsid w:val="0014336E"/>
  </w:style>
  <w:style w:type="paragraph" w:customStyle="1" w:styleId="TableFigNote">
    <w:name w:val="TableFigNote"/>
    <w:basedOn w:val="Normal"/>
    <w:rsid w:val="0014336E"/>
    <w:pPr>
      <w:spacing w:after="160" w:line="259" w:lineRule="auto"/>
      <w:jc w:val="left"/>
    </w:pPr>
    <w:rPr>
      <w:rFonts w:asciiTheme="minorHAnsi" w:eastAsiaTheme="minorHAnsi" w:hAnsiTheme="minorHAnsi" w:cstheme="minorBidi"/>
      <w:kern w:val="2"/>
      <w:sz w:val="16"/>
      <w:szCs w:val="22"/>
      <w:lang w:eastAsia="en-US"/>
      <w14:ligatures w14:val="standardContextual"/>
    </w:rPr>
  </w:style>
  <w:style w:type="paragraph" w:customStyle="1" w:styleId="TableFigNoteLast">
    <w:name w:val="TableFigNote Last"/>
    <w:basedOn w:val="TableFigNote"/>
    <w:next w:val="Normal"/>
    <w:rsid w:val="0014336E"/>
    <w:pPr>
      <w:spacing w:after="120"/>
    </w:pPr>
    <w:rPr>
      <w:rFonts w:ascii="Arial Narrow" w:hAnsi="Arial Narrow"/>
      <w:sz w:val="18"/>
    </w:rPr>
  </w:style>
  <w:style w:type="paragraph" w:customStyle="1" w:styleId="BodyText1">
    <w:name w:val="Body Text1"/>
    <w:basedOn w:val="Normal"/>
    <w:link w:val="BodytextChar0"/>
    <w:rsid w:val="0014336E"/>
    <w:pPr>
      <w:spacing w:before="120" w:after="120" w:line="360" w:lineRule="auto"/>
      <w:jc w:val="left"/>
    </w:pPr>
    <w:rPr>
      <w:rFonts w:asciiTheme="minorHAnsi" w:eastAsiaTheme="minorHAnsi" w:hAnsiTheme="minorHAnsi" w:cstheme="minorBidi"/>
      <w:kern w:val="2"/>
      <w:sz w:val="22"/>
      <w:szCs w:val="22"/>
      <w:lang w:eastAsia="en-US"/>
      <w14:ligatures w14:val="standardContextual"/>
    </w:rPr>
  </w:style>
  <w:style w:type="character" w:customStyle="1" w:styleId="BodytextChar0">
    <w:name w:val="Body text Char"/>
    <w:basedOn w:val="DefaultParagraphFont"/>
    <w:link w:val="BodyText1"/>
    <w:rsid w:val="0014336E"/>
    <w:rPr>
      <w:rFonts w:asciiTheme="minorHAnsi" w:eastAsiaTheme="minorHAnsi" w:hAnsiTheme="minorHAnsi" w:cstheme="minorBidi"/>
      <w:kern w:val="2"/>
      <w:sz w:val="22"/>
      <w:szCs w:val="22"/>
      <w:lang w:eastAsia="en-US"/>
      <w14:ligatures w14:val="standardContextual"/>
    </w:rPr>
  </w:style>
  <w:style w:type="paragraph" w:customStyle="1" w:styleId="TableNumbered">
    <w:name w:val="Table Numbered"/>
    <w:basedOn w:val="TableBullet0"/>
    <w:rsid w:val="0014336E"/>
    <w:pPr>
      <w:numPr>
        <w:numId w:val="13"/>
      </w:numPr>
      <w:tabs>
        <w:tab w:val="num" w:pos="360"/>
      </w:tabs>
      <w:ind w:left="0" w:firstLine="0"/>
    </w:pPr>
  </w:style>
  <w:style w:type="character" w:customStyle="1" w:styleId="normaltextrun">
    <w:name w:val="normaltextrun"/>
    <w:basedOn w:val="DefaultParagraphFont"/>
    <w:rsid w:val="0014336E"/>
  </w:style>
  <w:style w:type="paragraph" w:customStyle="1" w:styleId="paragraph">
    <w:name w:val="paragraph"/>
    <w:basedOn w:val="Normal"/>
    <w:rsid w:val="0014336E"/>
    <w:pPr>
      <w:spacing w:before="100" w:beforeAutospacing="1" w:after="100" w:afterAutospacing="1" w:line="259" w:lineRule="auto"/>
      <w:jc w:val="left"/>
    </w:pPr>
    <w:rPr>
      <w:rFonts w:ascii="Times" w:eastAsiaTheme="minorHAnsi" w:hAnsi="Times" w:cstheme="minorBidi"/>
      <w:kern w:val="2"/>
      <w:sz w:val="20"/>
      <w:szCs w:val="20"/>
      <w:lang w:eastAsia="en-US"/>
      <w14:ligatures w14:val="standardContextual"/>
    </w:rPr>
  </w:style>
  <w:style w:type="character" w:customStyle="1" w:styleId="eop">
    <w:name w:val="eop"/>
    <w:basedOn w:val="DefaultParagraphFont"/>
    <w:rsid w:val="0014336E"/>
  </w:style>
  <w:style w:type="character" w:customStyle="1" w:styleId="spellingerror">
    <w:name w:val="spellingerror"/>
    <w:basedOn w:val="DefaultParagraphFont"/>
    <w:rsid w:val="0014336E"/>
  </w:style>
  <w:style w:type="paragraph" w:customStyle="1" w:styleId="TableHeadingCA">
    <w:name w:val="Table Heading CA"/>
    <w:basedOn w:val="TableHeading0"/>
    <w:rsid w:val="0014336E"/>
    <w:pPr>
      <w:keepNext w:val="0"/>
      <w:keepLines w:val="0"/>
      <w:spacing w:before="0" w:after="60" w:line="240" w:lineRule="auto"/>
      <w:jc w:val="center"/>
    </w:pPr>
    <w:rPr>
      <w:rFonts w:eastAsiaTheme="minorHAnsi" w:cstheme="minorBidi"/>
      <w:sz w:val="20"/>
      <w:szCs w:val="22"/>
      <w:lang w:eastAsia="en-US" w:bidi="ar-SA"/>
    </w:rPr>
  </w:style>
  <w:style w:type="character" w:styleId="Strong">
    <w:name w:val="Strong"/>
    <w:basedOn w:val="DefaultParagraphFont"/>
    <w:uiPriority w:val="22"/>
    <w:rsid w:val="0014336E"/>
    <w:rPr>
      <w:b/>
      <w:bCs/>
    </w:rPr>
  </w:style>
  <w:style w:type="paragraph" w:styleId="Quote">
    <w:name w:val="Quote"/>
    <w:basedOn w:val="Normal"/>
    <w:next w:val="Normal"/>
    <w:link w:val="QuoteChar"/>
    <w:uiPriority w:val="29"/>
    <w:rsid w:val="0014336E"/>
    <w:pPr>
      <w:spacing w:after="240" w:line="259" w:lineRule="auto"/>
      <w:ind w:left="720"/>
      <w:jc w:val="left"/>
    </w:pPr>
    <w:rPr>
      <w:rFonts w:asciiTheme="minorHAnsi" w:eastAsiaTheme="minorEastAsia" w:hAnsiTheme="minorHAnsi" w:cstheme="minorBidi"/>
      <w:iCs/>
      <w:kern w:val="2"/>
      <w:sz w:val="22"/>
      <w:szCs w:val="22"/>
      <w:lang w:eastAsia="en-US" w:bidi="hi-IN"/>
      <w14:ligatures w14:val="standardContextual"/>
    </w:rPr>
  </w:style>
  <w:style w:type="character" w:customStyle="1" w:styleId="QuoteChar">
    <w:name w:val="Quote Char"/>
    <w:basedOn w:val="DefaultParagraphFont"/>
    <w:link w:val="Quote"/>
    <w:uiPriority w:val="29"/>
    <w:rsid w:val="0014336E"/>
    <w:rPr>
      <w:rFonts w:asciiTheme="minorHAnsi" w:eastAsiaTheme="minorEastAsia" w:hAnsiTheme="minorHAnsi" w:cstheme="minorBidi"/>
      <w:iCs/>
      <w:kern w:val="2"/>
      <w:sz w:val="22"/>
      <w:szCs w:val="22"/>
      <w:lang w:eastAsia="en-US" w:bidi="hi-IN"/>
      <w14:ligatures w14:val="standardContextual"/>
    </w:rPr>
  </w:style>
  <w:style w:type="table" w:customStyle="1" w:styleId="TableGridLight1">
    <w:name w:val="Table Grid Light1"/>
    <w:basedOn w:val="TableNormal"/>
    <w:uiPriority w:val="40"/>
    <w:rsid w:val="0014336E"/>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FigureName">
    <w:name w:val="FigureName"/>
    <w:basedOn w:val="Normal"/>
    <w:rsid w:val="0014336E"/>
    <w:pPr>
      <w:keepNext/>
      <w:spacing w:after="240" w:line="259" w:lineRule="auto"/>
      <w:ind w:left="1531" w:hanging="1531"/>
      <w:jc w:val="left"/>
    </w:pPr>
    <w:rPr>
      <w:rFonts w:ascii="Franklin Gothic Medium" w:eastAsiaTheme="minorHAnsi" w:hAnsi="Franklin Gothic Medium" w:cstheme="minorBidi"/>
      <w:kern w:val="2"/>
      <w:sz w:val="22"/>
      <w:szCs w:val="22"/>
      <w:lang w:eastAsia="en-US"/>
      <w14:ligatures w14:val="standardContextual"/>
    </w:rPr>
  </w:style>
  <w:style w:type="paragraph" w:customStyle="1" w:styleId="TableDash">
    <w:name w:val="TableDash"/>
    <w:basedOn w:val="Normal"/>
    <w:rsid w:val="0014336E"/>
    <w:pPr>
      <w:keepNext/>
      <w:numPr>
        <w:numId w:val="15"/>
      </w:numPr>
      <w:tabs>
        <w:tab w:val="clear" w:pos="216"/>
        <w:tab w:val="num" w:pos="432"/>
      </w:tabs>
      <w:spacing w:before="60" w:after="60" w:line="259" w:lineRule="auto"/>
      <w:ind w:left="0" w:firstLine="0"/>
      <w:jc w:val="left"/>
    </w:pPr>
    <w:rPr>
      <w:rFonts w:ascii="Times New Roman" w:eastAsiaTheme="minorHAnsi" w:hAnsi="Times New Roman" w:cs="Times New Roman"/>
      <w:color w:val="000000"/>
      <w:kern w:val="2"/>
      <w:sz w:val="21"/>
      <w:szCs w:val="21"/>
      <w:lang w:eastAsia="en-US"/>
      <w14:ligatures w14:val="standardContextual"/>
    </w:rPr>
  </w:style>
  <w:style w:type="paragraph" w:styleId="TableofFigures">
    <w:name w:val="table of figures"/>
    <w:basedOn w:val="Normal"/>
    <w:next w:val="Normal"/>
    <w:uiPriority w:val="99"/>
    <w:rsid w:val="0014336E"/>
    <w:pPr>
      <w:tabs>
        <w:tab w:val="left" w:pos="1080"/>
        <w:tab w:val="right" w:leader="dot" w:pos="9000"/>
      </w:tabs>
      <w:spacing w:after="120" w:line="259" w:lineRule="auto"/>
      <w:ind w:left="1000" w:right="720" w:hangingChars="1000" w:hanging="1000"/>
      <w:jc w:val="left"/>
    </w:pPr>
    <w:rPr>
      <w:rFonts w:ascii="Times New Roman" w:eastAsiaTheme="minorHAnsi" w:hAnsi="Times New Roman" w:cs="Times New Roman"/>
      <w:color w:val="000000"/>
      <w:kern w:val="2"/>
      <w:sz w:val="22"/>
      <w:szCs w:val="20"/>
      <w:lang w:eastAsia="en-US"/>
      <w14:ligatures w14:val="standardContextual"/>
    </w:rPr>
  </w:style>
  <w:style w:type="paragraph" w:customStyle="1" w:styleId="TableFigNoteHangingLast">
    <w:name w:val="TableFigNoteHanging Last"/>
    <w:basedOn w:val="TableFigNote"/>
    <w:rsid w:val="0014336E"/>
    <w:pPr>
      <w:spacing w:after="360"/>
      <w:ind w:left="142" w:hanging="142"/>
    </w:pPr>
  </w:style>
  <w:style w:type="paragraph" w:customStyle="1" w:styleId="EndNoteBibliographyTitle">
    <w:name w:val="EndNote Bibliography Title"/>
    <w:basedOn w:val="Normal"/>
    <w:link w:val="EndNoteBibliographyTitleChar"/>
    <w:rsid w:val="0014336E"/>
    <w:pPr>
      <w:spacing w:after="160" w:line="259" w:lineRule="auto"/>
      <w:jc w:val="center"/>
    </w:pPr>
    <w:rPr>
      <w:rFonts w:ascii="Arial Narrow" w:eastAsiaTheme="minorHAnsi" w:hAnsi="Arial Narrow" w:cs="Calibri"/>
      <w:noProof/>
      <w:kern w:val="2"/>
      <w:sz w:val="18"/>
      <w:szCs w:val="22"/>
      <w:lang w:val="en-US" w:eastAsia="en-US"/>
      <w14:ligatures w14:val="standardContextual"/>
    </w:rPr>
  </w:style>
  <w:style w:type="character" w:customStyle="1" w:styleId="EndNoteBibliographyTitleChar">
    <w:name w:val="EndNote Bibliography Title Char"/>
    <w:basedOn w:val="DefaultParagraphFont"/>
    <w:link w:val="EndNoteBibliographyTitle"/>
    <w:rsid w:val="0014336E"/>
    <w:rPr>
      <w:rFonts w:ascii="Arial Narrow" w:eastAsiaTheme="minorHAnsi" w:hAnsi="Arial Narrow" w:cs="Calibri"/>
      <w:noProof/>
      <w:kern w:val="2"/>
      <w:sz w:val="18"/>
      <w:szCs w:val="22"/>
      <w:lang w:val="en-US" w:eastAsia="en-US"/>
      <w14:ligatures w14:val="standardContextual"/>
    </w:rPr>
  </w:style>
  <w:style w:type="paragraph" w:customStyle="1" w:styleId="EndNoteBibliography">
    <w:name w:val="EndNote Bibliography"/>
    <w:basedOn w:val="Normal"/>
    <w:link w:val="EndNoteBibliographyChar"/>
    <w:rsid w:val="0014336E"/>
    <w:pPr>
      <w:spacing w:after="240" w:line="259" w:lineRule="auto"/>
      <w:jc w:val="left"/>
    </w:pPr>
    <w:rPr>
      <w:rFonts w:ascii="Arial Narrow" w:eastAsiaTheme="minorHAnsi" w:hAnsi="Arial Narrow" w:cs="Calibri"/>
      <w:noProof/>
      <w:kern w:val="2"/>
      <w:sz w:val="18"/>
      <w:szCs w:val="22"/>
      <w:lang w:val="en-US" w:eastAsia="en-US"/>
      <w14:ligatures w14:val="standardContextual"/>
    </w:rPr>
  </w:style>
  <w:style w:type="character" w:customStyle="1" w:styleId="EndNoteBibliographyChar">
    <w:name w:val="EndNote Bibliography Char"/>
    <w:basedOn w:val="DefaultParagraphFont"/>
    <w:link w:val="EndNoteBibliography"/>
    <w:rsid w:val="0014336E"/>
    <w:rPr>
      <w:rFonts w:ascii="Arial Narrow" w:eastAsiaTheme="minorHAnsi" w:hAnsi="Arial Narrow" w:cs="Calibri"/>
      <w:noProof/>
      <w:kern w:val="2"/>
      <w:sz w:val="18"/>
      <w:szCs w:val="22"/>
      <w:lang w:val="en-US" w:eastAsia="en-US"/>
      <w14:ligatures w14:val="standardContextual"/>
    </w:rPr>
  </w:style>
  <w:style w:type="paragraph" w:customStyle="1" w:styleId="BoxName">
    <w:name w:val="Box Name"/>
    <w:basedOn w:val="Normal"/>
    <w:rsid w:val="0014336E"/>
    <w:pPr>
      <w:pBdr>
        <w:top w:val="single" w:sz="4" w:space="4" w:color="auto"/>
        <w:left w:val="single" w:sz="4" w:space="4" w:color="auto"/>
        <w:bottom w:val="single" w:sz="4" w:space="4" w:color="auto"/>
        <w:right w:val="single" w:sz="4" w:space="4" w:color="auto"/>
      </w:pBdr>
      <w:spacing w:after="120" w:line="259" w:lineRule="auto"/>
      <w:jc w:val="left"/>
    </w:pPr>
    <w:rPr>
      <w:rFonts w:ascii="Franklin Gothic Medium" w:eastAsiaTheme="minorHAnsi" w:hAnsi="Franklin Gothic Medium" w:cstheme="minorBidi"/>
      <w:kern w:val="2"/>
      <w:sz w:val="21"/>
      <w:szCs w:val="22"/>
      <w:lang w:eastAsia="en-US"/>
      <w14:ligatures w14:val="standardContextual"/>
    </w:rPr>
  </w:style>
  <w:style w:type="paragraph" w:customStyle="1" w:styleId="TableNoteBullet">
    <w:name w:val="Table Note Bullet"/>
    <w:basedOn w:val="Normal"/>
    <w:rsid w:val="0014336E"/>
    <w:pPr>
      <w:numPr>
        <w:numId w:val="14"/>
      </w:numPr>
      <w:spacing w:after="60" w:line="259" w:lineRule="auto"/>
      <w:ind w:left="0" w:firstLine="0"/>
      <w:jc w:val="left"/>
    </w:pPr>
    <w:rPr>
      <w:rFonts w:asciiTheme="minorHAnsi" w:eastAsiaTheme="minorHAnsi" w:hAnsiTheme="minorHAnsi" w:cstheme="minorBidi"/>
      <w:kern w:val="2"/>
      <w:sz w:val="18"/>
      <w:szCs w:val="22"/>
      <w:lang w:eastAsia="en-US"/>
      <w14:ligatures w14:val="standardContextual"/>
    </w:rPr>
  </w:style>
  <w:style w:type="paragraph" w:customStyle="1" w:styleId="BoxText">
    <w:name w:val="Box Text"/>
    <w:basedOn w:val="Normal"/>
    <w:rsid w:val="0014336E"/>
    <w:pPr>
      <w:pBdr>
        <w:top w:val="single" w:sz="4" w:space="4" w:color="auto"/>
        <w:left w:val="single" w:sz="4" w:space="4" w:color="auto"/>
        <w:bottom w:val="single" w:sz="4" w:space="4" w:color="auto"/>
        <w:right w:val="single" w:sz="4" w:space="4" w:color="auto"/>
      </w:pBdr>
      <w:spacing w:after="120" w:line="259" w:lineRule="auto"/>
      <w:jc w:val="left"/>
    </w:pPr>
    <w:rPr>
      <w:rFonts w:asciiTheme="minorHAnsi" w:eastAsiaTheme="minorHAnsi" w:hAnsiTheme="minorHAnsi" w:cstheme="minorBidi"/>
      <w:kern w:val="2"/>
      <w:sz w:val="22"/>
      <w:szCs w:val="22"/>
      <w:lang w:eastAsia="en-US"/>
      <w14:ligatures w14:val="standardContextual"/>
    </w:rPr>
  </w:style>
  <w:style w:type="paragraph" w:customStyle="1" w:styleId="BoxBullet">
    <w:name w:val="Box Bullet"/>
    <w:basedOn w:val="BoxText"/>
    <w:qFormat/>
    <w:rsid w:val="0014336E"/>
    <w:pPr>
      <w:numPr>
        <w:numId w:val="18"/>
      </w:numPr>
      <w:tabs>
        <w:tab w:val="left" w:pos="357"/>
      </w:tabs>
      <w:ind w:left="0" w:firstLine="0"/>
    </w:pPr>
    <w:rPr>
      <w:sz w:val="21"/>
    </w:rPr>
  </w:style>
  <w:style w:type="paragraph" w:customStyle="1" w:styleId="TableTextCA">
    <w:name w:val="Table Text CA"/>
    <w:basedOn w:val="TableText"/>
    <w:rsid w:val="0014336E"/>
    <w:pPr>
      <w:keepNext w:val="0"/>
      <w:keepLines w:val="0"/>
      <w:widowControl/>
      <w:spacing w:before="40" w:after="40"/>
      <w:jc w:val="center"/>
    </w:pPr>
    <w:rPr>
      <w:rFonts w:asciiTheme="minorHAnsi" w:eastAsiaTheme="minorHAnsi" w:hAnsiTheme="minorHAnsi" w:cstheme="minorHAnsi"/>
      <w:bCs w:val="0"/>
      <w:sz w:val="18"/>
      <w:szCs w:val="18"/>
      <w:lang w:eastAsia="en-US"/>
    </w:rPr>
  </w:style>
  <w:style w:type="paragraph" w:customStyle="1" w:styleId="NormalBeforeBullet">
    <w:name w:val="Normal Before Bullet"/>
    <w:basedOn w:val="Normal"/>
    <w:qFormat/>
    <w:rsid w:val="0014336E"/>
    <w:pPr>
      <w:keepNext/>
      <w:spacing w:after="120" w:line="259" w:lineRule="auto"/>
      <w:jc w:val="left"/>
    </w:pPr>
    <w:rPr>
      <w:rFonts w:asciiTheme="minorHAnsi" w:eastAsiaTheme="minorHAnsi" w:hAnsiTheme="minorHAnsi" w:cstheme="minorBidi"/>
      <w:kern w:val="2"/>
      <w:sz w:val="22"/>
      <w:szCs w:val="22"/>
      <w:lang w:eastAsia="en-US"/>
      <w14:ligatures w14:val="standardContextual"/>
    </w:rPr>
  </w:style>
  <w:style w:type="paragraph" w:customStyle="1" w:styleId="Dash">
    <w:name w:val="Dash"/>
    <w:basedOn w:val="Caption"/>
    <w:rsid w:val="0014336E"/>
    <w:pPr>
      <w:spacing w:after="40" w:line="259" w:lineRule="auto"/>
      <w:ind w:left="714" w:hanging="357"/>
      <w:jc w:val="left"/>
    </w:pPr>
    <w:rPr>
      <w:rFonts w:asciiTheme="minorHAnsi" w:eastAsiaTheme="minorHAnsi" w:hAnsiTheme="minorHAnsi" w:cstheme="minorBidi"/>
      <w:i w:val="0"/>
      <w:iCs w:val="0"/>
      <w:color w:val="auto"/>
      <w:kern w:val="2"/>
      <w:sz w:val="22"/>
      <w:szCs w:val="22"/>
      <w:lang w:eastAsia="en-US"/>
      <w14:ligatures w14:val="standardContextual"/>
    </w:rPr>
  </w:style>
  <w:style w:type="paragraph" w:customStyle="1" w:styleId="DashLast">
    <w:name w:val="Dash Last"/>
    <w:basedOn w:val="Dash"/>
    <w:rsid w:val="0014336E"/>
    <w:pPr>
      <w:numPr>
        <w:numId w:val="16"/>
      </w:numPr>
      <w:ind w:left="0" w:firstLine="0"/>
    </w:pPr>
  </w:style>
  <w:style w:type="paragraph" w:customStyle="1" w:styleId="DashEndList">
    <w:name w:val="Dash End List"/>
    <w:basedOn w:val="DashLast"/>
    <w:rsid w:val="0014336E"/>
    <w:pPr>
      <w:numPr>
        <w:numId w:val="0"/>
      </w:numPr>
      <w:spacing w:after="240"/>
    </w:pPr>
  </w:style>
  <w:style w:type="paragraph" w:customStyle="1" w:styleId="BoxTickbox">
    <w:name w:val="Box Tickbox"/>
    <w:basedOn w:val="BoxName"/>
    <w:rsid w:val="0014336E"/>
    <w:pPr>
      <w:numPr>
        <w:numId w:val="17"/>
      </w:numPr>
      <w:ind w:left="0" w:firstLine="0"/>
    </w:pPr>
  </w:style>
  <w:style w:type="paragraph" w:customStyle="1" w:styleId="TableFigNoteHanging">
    <w:name w:val="TableFigNoteHanging"/>
    <w:basedOn w:val="TableFigNoteHangingLast"/>
    <w:rsid w:val="0014336E"/>
    <w:pPr>
      <w:spacing w:after="0"/>
    </w:pPr>
  </w:style>
  <w:style w:type="paragraph" w:styleId="DocumentMap">
    <w:name w:val="Document Map"/>
    <w:basedOn w:val="Normal"/>
    <w:link w:val="DocumentMapChar"/>
    <w:uiPriority w:val="99"/>
    <w:semiHidden/>
    <w:unhideWhenUsed/>
    <w:rsid w:val="0014336E"/>
    <w:pPr>
      <w:spacing w:after="160" w:line="259" w:lineRule="auto"/>
      <w:jc w:val="left"/>
    </w:pPr>
    <w:rPr>
      <w:rFonts w:ascii="Times New Roman" w:eastAsiaTheme="minorHAnsi" w:hAnsi="Times New Roman" w:cs="Times New Roman"/>
      <w:kern w:val="2"/>
      <w:sz w:val="22"/>
      <w:lang w:eastAsia="en-US"/>
      <w14:ligatures w14:val="standardContextual"/>
    </w:rPr>
  </w:style>
  <w:style w:type="character" w:customStyle="1" w:styleId="DocumentMapChar">
    <w:name w:val="Document Map Char"/>
    <w:basedOn w:val="DefaultParagraphFont"/>
    <w:link w:val="DocumentMap"/>
    <w:uiPriority w:val="99"/>
    <w:semiHidden/>
    <w:rsid w:val="0014336E"/>
    <w:rPr>
      <w:rFonts w:eastAsiaTheme="minorHAnsi"/>
      <w:kern w:val="2"/>
      <w:sz w:val="22"/>
      <w:szCs w:val="24"/>
      <w:lang w:eastAsia="en-US"/>
      <w14:ligatures w14:val="standardContextual"/>
    </w:rPr>
  </w:style>
  <w:style w:type="paragraph" w:styleId="ListNumber">
    <w:name w:val="List Number"/>
    <w:basedOn w:val="Normal"/>
    <w:uiPriority w:val="99"/>
    <w:unhideWhenUsed/>
    <w:rsid w:val="0014336E"/>
    <w:pPr>
      <w:tabs>
        <w:tab w:val="num" w:pos="360"/>
      </w:tabs>
      <w:spacing w:after="240" w:line="259" w:lineRule="auto"/>
      <w:ind w:left="360" w:hanging="360"/>
      <w:contextualSpacing/>
      <w:jc w:val="left"/>
    </w:pPr>
    <w:rPr>
      <w:rFonts w:asciiTheme="minorHAnsi" w:eastAsiaTheme="minorHAnsi" w:hAnsiTheme="minorHAnsi" w:cstheme="minorBidi"/>
      <w:kern w:val="2"/>
      <w:sz w:val="22"/>
      <w:szCs w:val="22"/>
      <w:lang w:eastAsia="en-US"/>
      <w14:ligatures w14:val="standardContextual"/>
    </w:rPr>
  </w:style>
  <w:style w:type="table" w:customStyle="1" w:styleId="TableGridLight2">
    <w:name w:val="Table Grid Light2"/>
    <w:basedOn w:val="TableNormal"/>
    <w:uiPriority w:val="40"/>
    <w:rsid w:val="0014336E"/>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1">
    <w:name w:val="TableText"/>
    <w:basedOn w:val="Normal"/>
    <w:rsid w:val="0014336E"/>
    <w:pPr>
      <w:keepNext/>
      <w:spacing w:before="60" w:after="60" w:line="259" w:lineRule="auto"/>
      <w:jc w:val="left"/>
    </w:pPr>
    <w:rPr>
      <w:rFonts w:ascii="Times New Roman" w:eastAsiaTheme="minorHAnsi" w:hAnsi="Times New Roman" w:cs="Times New Roman"/>
      <w:color w:val="000000"/>
      <w:kern w:val="2"/>
      <w:sz w:val="22"/>
      <w:szCs w:val="21"/>
      <w:lang w:eastAsia="en-US"/>
      <w14:ligatures w14:val="standardContextual"/>
    </w:rPr>
  </w:style>
  <w:style w:type="paragraph" w:customStyle="1" w:styleId="TableBullet">
    <w:name w:val="TableBullet"/>
    <w:basedOn w:val="TableText1"/>
    <w:rsid w:val="0014336E"/>
    <w:pPr>
      <w:numPr>
        <w:numId w:val="19"/>
      </w:numPr>
      <w:tabs>
        <w:tab w:val="clear" w:pos="360"/>
        <w:tab w:val="left" w:pos="216"/>
      </w:tabs>
      <w:spacing w:before="20" w:after="20"/>
      <w:ind w:left="0" w:firstLine="0"/>
    </w:pPr>
    <w:rPr>
      <w:rFonts w:ascii="Arial Narrow" w:hAnsi="Arial Narrow"/>
      <w:sz w:val="20"/>
    </w:rPr>
  </w:style>
  <w:style w:type="table" w:customStyle="1" w:styleId="LightList1">
    <w:name w:val="Light List1"/>
    <w:basedOn w:val="TableNormal"/>
    <w:uiPriority w:val="61"/>
    <w:rsid w:val="0014336E"/>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semiHidden/>
    <w:unhideWhenUsed/>
    <w:rsid w:val="00143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Courier New" w:eastAsiaTheme="minorHAnsi" w:hAnsi="Courier New" w:cs="Courier New"/>
      <w:kern w:val="2"/>
      <w:sz w:val="20"/>
      <w:szCs w:val="20"/>
      <w:lang w:eastAsia="en-US"/>
      <w14:ligatures w14:val="standardContextual"/>
    </w:rPr>
  </w:style>
  <w:style w:type="character" w:customStyle="1" w:styleId="HTMLPreformattedChar">
    <w:name w:val="HTML Preformatted Char"/>
    <w:basedOn w:val="DefaultParagraphFont"/>
    <w:link w:val="HTMLPreformatted"/>
    <w:uiPriority w:val="99"/>
    <w:semiHidden/>
    <w:rsid w:val="0014336E"/>
    <w:rPr>
      <w:rFonts w:ascii="Courier New" w:eastAsiaTheme="minorHAnsi" w:hAnsi="Courier New" w:cs="Courier New"/>
      <w:kern w:val="2"/>
      <w:lang w:eastAsia="en-US"/>
      <w14:ligatures w14:val="standardContextual"/>
    </w:rPr>
  </w:style>
  <w:style w:type="table" w:styleId="ColourfulListAccent4">
    <w:name w:val="Colorful List Accent 4"/>
    <w:basedOn w:val="TableNormal"/>
    <w:uiPriority w:val="72"/>
    <w:rsid w:val="0014336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HTMLCite">
    <w:name w:val="HTML Cite"/>
    <w:basedOn w:val="DefaultParagraphFont"/>
    <w:uiPriority w:val="99"/>
    <w:semiHidden/>
    <w:unhideWhenUsed/>
    <w:rsid w:val="0014336E"/>
    <w:rPr>
      <w:i/>
      <w:iCs/>
    </w:rPr>
  </w:style>
  <w:style w:type="table" w:customStyle="1" w:styleId="MediumShading11">
    <w:name w:val="Medium Shading 11"/>
    <w:basedOn w:val="TableNormal"/>
    <w:uiPriority w:val="63"/>
    <w:rsid w:val="0014336E"/>
    <w:rPr>
      <w:rFonts w:asciiTheme="minorHAnsi" w:eastAsia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1">
    <w:name w:val="Grid Table 1 Light1"/>
    <w:basedOn w:val="TableNormal"/>
    <w:uiPriority w:val="46"/>
    <w:rsid w:val="0014336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14336E"/>
    <w:rPr>
      <w:color w:val="808080"/>
    </w:rPr>
  </w:style>
  <w:style w:type="table" w:styleId="LightShading">
    <w:name w:val="Light Shading"/>
    <w:basedOn w:val="TableNormal"/>
    <w:uiPriority w:val="60"/>
    <w:rsid w:val="0014336E"/>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efaulttable">
    <w:name w:val="Default table"/>
    <w:basedOn w:val="TableNormal"/>
    <w:uiPriority w:val="99"/>
    <w:rsid w:val="0014336E"/>
    <w:rPr>
      <w:rFonts w:asciiTheme="minorHAnsi" w:eastAsiaTheme="minorHAnsi" w:hAnsiTheme="minorHAnsi" w:cstheme="minorBidi"/>
      <w:sz w:val="22"/>
      <w:szCs w:val="22"/>
      <w:lang w:val="en-US" w:eastAsia="en-US"/>
    </w:rPr>
    <w:tblPr/>
  </w:style>
  <w:style w:type="character" w:customStyle="1" w:styleId="UnresolvedMention2">
    <w:name w:val="Unresolved Mention2"/>
    <w:basedOn w:val="DefaultParagraphFont"/>
    <w:uiPriority w:val="99"/>
    <w:semiHidden/>
    <w:unhideWhenUsed/>
    <w:rsid w:val="0014336E"/>
    <w:rPr>
      <w:color w:val="605E5C"/>
      <w:shd w:val="clear" w:color="auto" w:fill="E1DFDD"/>
    </w:rPr>
  </w:style>
  <w:style w:type="paragraph" w:customStyle="1" w:styleId="msonormal0">
    <w:name w:val="msonormal"/>
    <w:basedOn w:val="Normal"/>
    <w:uiPriority w:val="99"/>
    <w:rsid w:val="0014336E"/>
    <w:pPr>
      <w:spacing w:before="100" w:beforeAutospacing="1" w:after="100" w:afterAutospacing="1" w:line="259" w:lineRule="auto"/>
      <w:jc w:val="left"/>
    </w:pPr>
    <w:rPr>
      <w:rFonts w:ascii="Times New Roman" w:eastAsiaTheme="minorHAnsi" w:hAnsi="Times New Roman" w:cs="Times New Roman"/>
      <w:kern w:val="2"/>
      <w:sz w:val="22"/>
      <w:lang w:eastAsia="en-US"/>
      <w14:ligatures w14:val="standardContextual"/>
    </w:rPr>
  </w:style>
  <w:style w:type="table" w:styleId="ListTable3-Accent5">
    <w:name w:val="List Table 3 Accent 5"/>
    <w:basedOn w:val="TableNormal"/>
    <w:uiPriority w:val="48"/>
    <w:rsid w:val="0014336E"/>
    <w:rPr>
      <w:rFonts w:asciiTheme="minorHAnsi" w:eastAsiaTheme="minorHAnsi" w:hAnsiTheme="minorHAnsi" w:cstheme="minorBidi"/>
      <w:sz w:val="22"/>
      <w:szCs w:val="22"/>
      <w:lang w:val="en-US"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StyleHeading5p511ptBoldNotItalic">
    <w:name w:val="Style Heading 5p5 + 11 pt Bold Not Italic"/>
    <w:basedOn w:val="Heading5"/>
    <w:rsid w:val="0014336E"/>
    <w:pPr>
      <w:keepNext/>
      <w:numPr>
        <w:ilvl w:val="4"/>
        <w:numId w:val="20"/>
      </w:numPr>
      <w:spacing w:before="0" w:after="40" w:line="259" w:lineRule="auto"/>
      <w:ind w:left="0" w:firstLine="0"/>
      <w:jc w:val="left"/>
    </w:pPr>
    <w:rPr>
      <w:rFonts w:asciiTheme="minorHAnsi" w:eastAsiaTheme="majorEastAsia" w:hAnsiTheme="minorHAnsi" w:cstheme="majorBidi"/>
      <w:iCs w:val="0"/>
      <w:kern w:val="2"/>
      <w:sz w:val="22"/>
      <w:szCs w:val="22"/>
      <w:lang w:eastAsia="en-US"/>
      <w14:ligatures w14:val="standardContextual"/>
    </w:rPr>
  </w:style>
  <w:style w:type="table" w:customStyle="1" w:styleId="ListTable3-Accent51">
    <w:name w:val="List Table 3 - Accent 51"/>
    <w:basedOn w:val="TableNormal"/>
    <w:uiPriority w:val="48"/>
    <w:rsid w:val="0014336E"/>
    <w:rPr>
      <w:rFonts w:asciiTheme="minorHAnsi" w:eastAsiaTheme="minorHAnsi" w:hAnsiTheme="minorHAnsi" w:cstheme="minorBidi"/>
      <w:sz w:val="22"/>
      <w:szCs w:val="22"/>
      <w:lang w:val="en-US"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ghtShading-Accent6">
    <w:name w:val="Light Shading Accent 6"/>
    <w:basedOn w:val="TableNormal"/>
    <w:uiPriority w:val="60"/>
    <w:rsid w:val="0014336E"/>
    <w:rPr>
      <w:rFonts w:asciiTheme="minorHAnsi" w:eastAsiaTheme="minorHAnsi"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apple-converted-space">
    <w:name w:val="apple-converted-space"/>
    <w:basedOn w:val="DefaultParagraphFont"/>
    <w:rsid w:val="0014336E"/>
  </w:style>
  <w:style w:type="paragraph" w:customStyle="1" w:styleId="Tablefooter0">
    <w:name w:val="Table footer"/>
    <w:basedOn w:val="Normal"/>
    <w:link w:val="TablefooterChar0"/>
    <w:rsid w:val="0014336E"/>
    <w:pPr>
      <w:spacing w:after="160" w:line="259" w:lineRule="auto"/>
      <w:jc w:val="left"/>
    </w:pPr>
    <w:rPr>
      <w:rFonts w:ascii="Times New Roman" w:eastAsia="SimSun" w:hAnsi="Times New Roman" w:cs="Times New Roman"/>
      <w:kern w:val="2"/>
      <w:sz w:val="16"/>
      <w:szCs w:val="20"/>
      <w:lang w:eastAsia="zh-CN"/>
      <w14:ligatures w14:val="standardContextual"/>
    </w:rPr>
  </w:style>
  <w:style w:type="character" w:customStyle="1" w:styleId="TablefooterChar0">
    <w:name w:val="Table footer Char"/>
    <w:link w:val="Tablefooter0"/>
    <w:rsid w:val="0014336E"/>
    <w:rPr>
      <w:rFonts w:eastAsia="SimSun"/>
      <w:kern w:val="2"/>
      <w:sz w:val="16"/>
      <w:lang w:eastAsia="zh-CN"/>
      <w14:ligatures w14:val="standardContextual"/>
    </w:rPr>
  </w:style>
  <w:style w:type="table" w:customStyle="1" w:styleId="TableGrid1">
    <w:name w:val="Table Grid1"/>
    <w:basedOn w:val="TableNormal"/>
    <w:next w:val="TableGrid"/>
    <w:uiPriority w:val="3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5p511ptBoldNotItalic1">
    <w:name w:val="Style Heading 5p5 + 11 pt Bold Not Italic1"/>
    <w:basedOn w:val="Heading5"/>
    <w:rsid w:val="0014336E"/>
    <w:pPr>
      <w:keepNext/>
      <w:spacing w:before="0" w:after="40" w:line="259" w:lineRule="auto"/>
      <w:ind w:left="1009" w:hanging="1009"/>
      <w:jc w:val="left"/>
    </w:pPr>
    <w:rPr>
      <w:rFonts w:asciiTheme="minorHAnsi" w:eastAsiaTheme="majorEastAsia" w:hAnsiTheme="minorHAnsi" w:cstheme="majorBidi"/>
      <w:iCs w:val="0"/>
      <w:kern w:val="2"/>
      <w:sz w:val="22"/>
      <w:szCs w:val="22"/>
      <w:lang w:eastAsia="en-US"/>
      <w14:ligatures w14:val="standardContextual"/>
    </w:rPr>
  </w:style>
  <w:style w:type="character" w:customStyle="1" w:styleId="highlight2">
    <w:name w:val="highlight2"/>
    <w:uiPriority w:val="99"/>
    <w:rsid w:val="0014336E"/>
  </w:style>
  <w:style w:type="character" w:customStyle="1" w:styleId="StyleCalibri">
    <w:name w:val="Style Calibri"/>
    <w:unhideWhenUsed/>
    <w:locked/>
    <w:rsid w:val="0014336E"/>
    <w:rPr>
      <w:rFonts w:ascii="Calibri" w:hAnsi="Calibri"/>
      <w:sz w:val="24"/>
    </w:rPr>
  </w:style>
  <w:style w:type="character" w:customStyle="1" w:styleId="offscreennoflow">
    <w:name w:val="offscreen_noflow"/>
    <w:basedOn w:val="DefaultParagraphFont"/>
    <w:rsid w:val="0014336E"/>
  </w:style>
  <w:style w:type="character" w:customStyle="1" w:styleId="label">
    <w:name w:val="label"/>
    <w:basedOn w:val="DefaultParagraphFont"/>
    <w:rsid w:val="0014336E"/>
  </w:style>
  <w:style w:type="character" w:customStyle="1" w:styleId="separator">
    <w:name w:val="separator"/>
    <w:basedOn w:val="DefaultParagraphFont"/>
    <w:rsid w:val="0014336E"/>
  </w:style>
  <w:style w:type="character" w:customStyle="1" w:styleId="value">
    <w:name w:val="value"/>
    <w:basedOn w:val="DefaultParagraphFont"/>
    <w:rsid w:val="0014336E"/>
  </w:style>
  <w:style w:type="paragraph" w:customStyle="1" w:styleId="icon--meta-keyline-before1">
    <w:name w:val="icon--meta-keyline-before1"/>
    <w:basedOn w:val="Normal"/>
    <w:rsid w:val="0014336E"/>
    <w:pPr>
      <w:spacing w:after="160" w:line="259" w:lineRule="auto"/>
      <w:jc w:val="left"/>
    </w:pPr>
    <w:rPr>
      <w:rFonts w:ascii="Times New Roman" w:eastAsiaTheme="minorHAnsi" w:hAnsi="Times New Roman" w:cs="Times New Roman"/>
      <w:kern w:val="2"/>
      <w:lang w:eastAsia="en-US"/>
      <w14:ligatures w14:val="standardContextual"/>
    </w:rPr>
  </w:style>
  <w:style w:type="character" w:customStyle="1" w:styleId="articlecitationyear">
    <w:name w:val="articlecitation_year"/>
    <w:basedOn w:val="DefaultParagraphFont"/>
    <w:rsid w:val="0014336E"/>
  </w:style>
  <w:style w:type="character" w:customStyle="1" w:styleId="articlecitationvolume">
    <w:name w:val="articlecitation_volume"/>
    <w:basedOn w:val="DefaultParagraphFont"/>
    <w:rsid w:val="0014336E"/>
  </w:style>
  <w:style w:type="character" w:customStyle="1" w:styleId="articlecitationpages">
    <w:name w:val="articlecitation_pages"/>
    <w:basedOn w:val="DefaultParagraphFont"/>
    <w:rsid w:val="0014336E"/>
  </w:style>
  <w:style w:type="character" w:customStyle="1" w:styleId="h41">
    <w:name w:val="h41"/>
    <w:basedOn w:val="DefaultParagraphFont"/>
    <w:rsid w:val="0014336E"/>
    <w:rPr>
      <w:b/>
      <w:bCs/>
      <w:sz w:val="24"/>
      <w:szCs w:val="24"/>
    </w:rPr>
  </w:style>
  <w:style w:type="character" w:customStyle="1" w:styleId="label1">
    <w:name w:val="label1"/>
    <w:basedOn w:val="DefaultParagraphFont"/>
    <w:rsid w:val="0014336E"/>
    <w:rPr>
      <w:b/>
      <w:bCs/>
    </w:rPr>
  </w:style>
  <w:style w:type="paragraph" w:customStyle="1" w:styleId="TableHeading-H56">
    <w:name w:val="Table Heading - H56"/>
    <w:basedOn w:val="Heading4"/>
    <w:link w:val="TableHeading-H56Char"/>
    <w:rsid w:val="0014336E"/>
    <w:pPr>
      <w:tabs>
        <w:tab w:val="left" w:pos="1440"/>
      </w:tabs>
      <w:spacing w:before="80" w:after="40" w:line="259" w:lineRule="auto"/>
      <w:ind w:left="1021"/>
      <w:jc w:val="left"/>
      <w:outlineLvl w:val="9"/>
    </w:pPr>
    <w:rPr>
      <w:rFonts w:ascii="Arial" w:eastAsia="Arial Unicode MS" w:hAnsi="Arial" w:cs="Times New Roman"/>
      <w:bCs w:val="0"/>
      <w:i w:val="0"/>
      <w:color w:val="1F497D" w:themeColor="text2"/>
      <w:kern w:val="2"/>
      <w:sz w:val="16"/>
      <w:szCs w:val="44"/>
      <w:lang w:val="en-GB" w:eastAsia="en-US"/>
      <w14:ligatures w14:val="standardContextual"/>
    </w:rPr>
  </w:style>
  <w:style w:type="character" w:customStyle="1" w:styleId="TableHeading-H56Char">
    <w:name w:val="Table Heading - H56 Char"/>
    <w:basedOn w:val="DefaultParagraphFont"/>
    <w:link w:val="TableHeading-H56"/>
    <w:rsid w:val="0014336E"/>
    <w:rPr>
      <w:rFonts w:ascii="Arial" w:eastAsia="Arial Unicode MS" w:hAnsi="Arial"/>
      <w:b/>
      <w:color w:val="1F497D" w:themeColor="text2"/>
      <w:kern w:val="2"/>
      <w:sz w:val="16"/>
      <w:szCs w:val="44"/>
      <w:lang w:val="en-GB" w:eastAsia="en-US"/>
      <w14:ligatures w14:val="standardContextual"/>
    </w:rPr>
  </w:style>
  <w:style w:type="paragraph" w:customStyle="1" w:styleId="Bullet2">
    <w:name w:val="Bullet 2"/>
    <w:basedOn w:val="Normal"/>
    <w:next w:val="Normal"/>
    <w:locked/>
    <w:rsid w:val="0014336E"/>
    <w:pPr>
      <w:tabs>
        <w:tab w:val="num" w:pos="800"/>
      </w:tabs>
      <w:spacing w:after="120" w:line="259" w:lineRule="auto"/>
      <w:ind w:left="800" w:hanging="400"/>
      <w:jc w:val="left"/>
    </w:pPr>
    <w:rPr>
      <w:rFonts w:ascii="Times New Roman" w:eastAsiaTheme="minorHAnsi" w:hAnsi="Times New Roman" w:cs="Times New Roman"/>
      <w:kern w:val="2"/>
      <w:sz w:val="22"/>
      <w:lang w:eastAsia="en-US"/>
      <w14:ligatures w14:val="standardContextual"/>
    </w:rPr>
  </w:style>
  <w:style w:type="paragraph" w:customStyle="1" w:styleId="TableNotesCV">
    <w:name w:val="Table Notes CV"/>
    <w:basedOn w:val="Normal"/>
    <w:rsid w:val="0014336E"/>
    <w:pPr>
      <w:tabs>
        <w:tab w:val="left" w:pos="1559"/>
      </w:tabs>
      <w:spacing w:after="120" w:line="259" w:lineRule="auto"/>
      <w:ind w:left="1559" w:hanging="1559"/>
      <w:jc w:val="left"/>
    </w:pPr>
    <w:rPr>
      <w:rFonts w:ascii="Times New Roman" w:eastAsia="SimSun" w:hAnsi="Times New Roman" w:cs="Times New Roman"/>
      <w:kern w:val="2"/>
      <w:sz w:val="16"/>
      <w:szCs w:val="20"/>
      <w:lang w:eastAsia="x-none"/>
      <w14:ligatures w14:val="standardContextual"/>
    </w:rPr>
  </w:style>
  <w:style w:type="table" w:customStyle="1" w:styleId="TableGrid15">
    <w:name w:val="Table Grid15"/>
    <w:basedOn w:val="TableNormal"/>
    <w:next w:val="TableGrid"/>
    <w:rsid w:val="0014336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Light11">
    <w:name w:val="Table Grid Light11"/>
    <w:basedOn w:val="TableNormal"/>
    <w:uiPriority w:val="40"/>
    <w:rsid w:val="0014336E"/>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table" w:customStyle="1" w:styleId="Summarybox1">
    <w:name w:val="Summary box1"/>
    <w:basedOn w:val="TableNormal"/>
    <w:next w:val="TableGrid"/>
    <w:uiPriority w:val="39"/>
    <w:rsid w:val="0014336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table" w:customStyle="1" w:styleId="TableGridLight21">
    <w:name w:val="Table Grid Light21"/>
    <w:basedOn w:val="TableNormal"/>
    <w:uiPriority w:val="40"/>
    <w:rsid w:val="0014336E"/>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List11">
    <w:name w:val="Light List11"/>
    <w:basedOn w:val="TableNormal"/>
    <w:uiPriority w:val="61"/>
    <w:rsid w:val="0014336E"/>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lorfulList-Accent41">
    <w:name w:val="Colorful List - Accent 41"/>
    <w:basedOn w:val="TableNormal"/>
    <w:next w:val="ColourfulListAccent4"/>
    <w:uiPriority w:val="72"/>
    <w:rsid w:val="0014336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MediumShading111">
    <w:name w:val="Medium Shading 111"/>
    <w:basedOn w:val="TableNormal"/>
    <w:uiPriority w:val="63"/>
    <w:rsid w:val="0014336E"/>
    <w:rPr>
      <w:rFonts w:asciiTheme="minorHAnsi" w:eastAsia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11">
    <w:name w:val="Grid Table 1 Light11"/>
    <w:basedOn w:val="TableNormal"/>
    <w:uiPriority w:val="46"/>
    <w:rsid w:val="0014336E"/>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rsid w:val="0014336E"/>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efaulttable1">
    <w:name w:val="Default table1"/>
    <w:basedOn w:val="TableNormal"/>
    <w:uiPriority w:val="99"/>
    <w:rsid w:val="0014336E"/>
    <w:rPr>
      <w:rFonts w:asciiTheme="minorHAnsi" w:eastAsiaTheme="minorHAnsi" w:hAnsiTheme="minorHAnsi" w:cstheme="minorBidi"/>
      <w:sz w:val="22"/>
      <w:szCs w:val="22"/>
      <w:lang w:val="en-US" w:eastAsia="en-US"/>
    </w:rPr>
    <w:tblPr/>
  </w:style>
  <w:style w:type="table" w:customStyle="1" w:styleId="TableGrid11">
    <w:name w:val="Table Grid11"/>
    <w:basedOn w:val="TableNormal"/>
    <w:next w:val="TableGrid"/>
    <w:uiPriority w:val="59"/>
    <w:rsid w:val="001433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14336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4021">
    <w:name w:val="Table Grid4021"/>
    <w:basedOn w:val="TableNormal"/>
    <w:next w:val="TableGrid"/>
    <w:uiPriority w:val="5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next w:val="Normal"/>
    <w:rsid w:val="0014336E"/>
    <w:pPr>
      <w:keepNext/>
      <w:keepLines/>
      <w:spacing w:before="60" w:after="240" w:line="259" w:lineRule="auto"/>
      <w:contextualSpacing/>
      <w:jc w:val="left"/>
    </w:pPr>
    <w:rPr>
      <w:rFonts w:ascii="Arial" w:eastAsiaTheme="minorHAnsi" w:hAnsi="Arial" w:cs="Times New Roman"/>
      <w:kern w:val="2"/>
      <w:sz w:val="16"/>
      <w:szCs w:val="16"/>
      <w:lang w:eastAsia="en-US"/>
      <w14:ligatures w14:val="standardContextual"/>
    </w:rPr>
  </w:style>
  <w:style w:type="paragraph" w:styleId="BlockText">
    <w:name w:val="Block Text"/>
    <w:basedOn w:val="Normal"/>
    <w:uiPriority w:val="99"/>
    <w:semiHidden/>
    <w:unhideWhenUsed/>
    <w:rsid w:val="0014336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40" w:line="259" w:lineRule="auto"/>
      <w:ind w:left="1152" w:right="1152"/>
      <w:jc w:val="left"/>
    </w:pPr>
    <w:rPr>
      <w:rFonts w:asciiTheme="minorHAnsi" w:eastAsiaTheme="minorEastAsia" w:hAnsiTheme="minorHAnsi" w:cstheme="minorBidi"/>
      <w:i/>
      <w:iCs/>
      <w:color w:val="4F81BD" w:themeColor="accent1"/>
      <w:kern w:val="2"/>
      <w:sz w:val="22"/>
      <w:szCs w:val="22"/>
      <w:lang w:eastAsia="en-US"/>
      <w14:ligatures w14:val="standardContextual"/>
    </w:rPr>
  </w:style>
  <w:style w:type="table" w:customStyle="1" w:styleId="GridTable4-Accent61">
    <w:name w:val="Grid Table 4 - Accent 61"/>
    <w:basedOn w:val="TableNormal"/>
    <w:uiPriority w:val="49"/>
    <w:rsid w:val="0014336E"/>
    <w:rPr>
      <w:rFonts w:asciiTheme="minorHAnsi" w:hAnsiTheme="minorHAnsi" w:cs="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Arial"/>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Arial"/>
        <w:b/>
        <w:bCs/>
      </w:rPr>
      <w:tblPr/>
      <w:tcPr>
        <w:tcBorders>
          <w:top w:val="double" w:sz="4" w:space="0" w:color="F79646" w:themeColor="accent6"/>
        </w:tcBorders>
      </w:tcPr>
    </w:tblStylePr>
    <w:tblStylePr w:type="firstCol">
      <w:rPr>
        <w:rFonts w:cs="Arial"/>
        <w:b/>
        <w:bCs/>
      </w:rPr>
    </w:tblStylePr>
    <w:tblStylePr w:type="lastCol">
      <w:rPr>
        <w:rFonts w:cs="Arial"/>
        <w:b/>
        <w:bCs/>
      </w:rPr>
    </w:tblStylePr>
    <w:tblStylePr w:type="band1Vert">
      <w:rPr>
        <w:rFonts w:cs="Arial"/>
      </w:rPr>
      <w:tblPr/>
      <w:tcPr>
        <w:shd w:val="clear" w:color="auto" w:fill="FDE9D9" w:themeFill="accent6" w:themeFillTint="33"/>
      </w:tcPr>
    </w:tblStylePr>
    <w:tblStylePr w:type="band1Horz">
      <w:rPr>
        <w:rFonts w:cs="Arial"/>
      </w:rPr>
      <w:tblPr/>
      <w:tcPr>
        <w:shd w:val="clear" w:color="auto" w:fill="FDE9D9" w:themeFill="accent6" w:themeFillTint="33"/>
      </w:tcPr>
    </w:tblStylePr>
  </w:style>
  <w:style w:type="paragraph" w:customStyle="1" w:styleId="Tabletext2">
    <w:name w:val="Tabletext"/>
    <w:basedOn w:val="Normal"/>
    <w:rsid w:val="0014336E"/>
    <w:pPr>
      <w:spacing w:after="160" w:line="259" w:lineRule="auto"/>
      <w:jc w:val="left"/>
    </w:pPr>
    <w:rPr>
      <w:rFonts w:asciiTheme="minorHAnsi" w:eastAsiaTheme="minorHAnsi" w:hAnsiTheme="minorHAnsi" w:cs="Times New Roman"/>
      <w:kern w:val="2"/>
      <w:sz w:val="18"/>
      <w:szCs w:val="22"/>
      <w:lang w:eastAsia="en-US"/>
      <w14:ligatures w14:val="standardContextual"/>
    </w:rPr>
  </w:style>
  <w:style w:type="paragraph" w:customStyle="1" w:styleId="TableNotes1">
    <w:name w:val="TableNotes"/>
    <w:basedOn w:val="Normal"/>
    <w:qFormat/>
    <w:rsid w:val="0014336E"/>
    <w:pPr>
      <w:spacing w:after="160" w:line="256" w:lineRule="auto"/>
      <w:contextualSpacing/>
      <w:jc w:val="left"/>
    </w:pPr>
    <w:rPr>
      <w:rFonts w:asciiTheme="minorHAnsi" w:eastAsiaTheme="minorHAnsi" w:hAnsiTheme="minorHAnsi" w:cstheme="minorBidi"/>
      <w:kern w:val="2"/>
      <w:sz w:val="16"/>
      <w:szCs w:val="16"/>
      <w:lang w:eastAsia="en-US"/>
      <w14:ligatures w14:val="standardContextual"/>
    </w:rPr>
  </w:style>
  <w:style w:type="paragraph" w:customStyle="1" w:styleId="xpdxpnd">
    <w:name w:val="xpdxpnd"/>
    <w:basedOn w:val="Normal"/>
    <w:rsid w:val="0014336E"/>
    <w:pPr>
      <w:spacing w:after="160" w:line="259" w:lineRule="auto"/>
      <w:jc w:val="left"/>
    </w:pPr>
    <w:rPr>
      <w:rFonts w:ascii="Times New Roman" w:eastAsiaTheme="minorHAnsi" w:hAnsi="Times New Roman" w:cs="Times New Roman"/>
      <w:kern w:val="2"/>
      <w:lang w:eastAsia="en-US"/>
      <w14:ligatures w14:val="standardContextual"/>
    </w:rPr>
  </w:style>
  <w:style w:type="character" w:customStyle="1" w:styleId="mqo3nc">
    <w:name w:val="mqo3nc"/>
    <w:basedOn w:val="DefaultParagraphFont"/>
    <w:rsid w:val="0014336E"/>
  </w:style>
  <w:style w:type="table" w:customStyle="1" w:styleId="TableGridLight12">
    <w:name w:val="Table Grid Light12"/>
    <w:basedOn w:val="TableNormal"/>
    <w:uiPriority w:val="40"/>
    <w:rsid w:val="0014336E"/>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tblPr/>
      <w:tcPr>
        <w:shd w:val="clear" w:color="auto" w:fill="F2F2F2"/>
      </w:tcPr>
    </w:tblStylePr>
  </w:style>
  <w:style w:type="table" w:customStyle="1" w:styleId="Summarybox2">
    <w:name w:val="Summary box2"/>
    <w:basedOn w:val="TableNormal"/>
    <w:next w:val="TableGrid"/>
    <w:uiPriority w:val="39"/>
    <w:rsid w:val="0014336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table" w:customStyle="1" w:styleId="TableGridLight22">
    <w:name w:val="Table Grid Light22"/>
    <w:basedOn w:val="TableNormal"/>
    <w:uiPriority w:val="40"/>
    <w:rsid w:val="0014336E"/>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12">
    <w:name w:val="Light List12"/>
    <w:basedOn w:val="TableNormal"/>
    <w:uiPriority w:val="61"/>
    <w:rsid w:val="0014336E"/>
    <w:rPr>
      <w:rFonts w:asciiTheme="minorHAnsi" w:eastAsiaTheme="minorHAnsi" w:hAnsiTheme="minorHAnsi" w:cstheme="minorBid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olorfulList-Accent42">
    <w:name w:val="Colorful List - Accent 42"/>
    <w:basedOn w:val="TableNormal"/>
    <w:next w:val="ColourfulListAccent4"/>
    <w:uiPriority w:val="72"/>
    <w:rsid w:val="0014336E"/>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MediumShading112">
    <w:name w:val="Medium Shading 112"/>
    <w:basedOn w:val="TableNormal"/>
    <w:uiPriority w:val="63"/>
    <w:rsid w:val="0014336E"/>
    <w:rPr>
      <w:rFonts w:asciiTheme="minorHAnsi" w:eastAsiaTheme="minorHAnsi" w:hAnsiTheme="minorHAnsi" w:cstheme="minorBid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1Light12">
    <w:name w:val="Grid Table 1 Light12"/>
    <w:basedOn w:val="TableNormal"/>
    <w:uiPriority w:val="46"/>
    <w:rsid w:val="0014336E"/>
    <w:rPr>
      <w:rFonts w:asciiTheme="minorHAnsi" w:eastAsiaTheme="minorHAnsi" w:hAnsiTheme="minorHAnsi" w:cstheme="minorBid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rsid w:val="0014336E"/>
    <w:rPr>
      <w:rFonts w:asciiTheme="minorHAnsi" w:eastAsiaTheme="minorHAnsi" w:hAnsiTheme="minorHAnsi" w:cstheme="minorBid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efaulttable2">
    <w:name w:val="Default table2"/>
    <w:basedOn w:val="TableNormal"/>
    <w:uiPriority w:val="99"/>
    <w:rsid w:val="0014336E"/>
    <w:rPr>
      <w:rFonts w:asciiTheme="minorHAnsi" w:eastAsiaTheme="minorHAnsi" w:hAnsiTheme="minorHAnsi" w:cstheme="minorBidi"/>
      <w:sz w:val="22"/>
      <w:szCs w:val="22"/>
      <w:lang w:val="en-US" w:eastAsia="en-US"/>
    </w:rPr>
    <w:tblPr/>
  </w:style>
  <w:style w:type="table" w:customStyle="1" w:styleId="TableGrid12">
    <w:name w:val="Table Grid12"/>
    <w:basedOn w:val="TableNormal"/>
    <w:next w:val="TableGrid"/>
    <w:uiPriority w:val="59"/>
    <w:rsid w:val="001433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4336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customStyle="1" w:styleId="Appendix">
    <w:name w:val="Appendix"/>
    <w:basedOn w:val="Heading3"/>
    <w:next w:val="Normal"/>
    <w:link w:val="AppendixChar"/>
    <w:rsid w:val="0014336E"/>
    <w:pPr>
      <w:keepNext/>
      <w:keepLines/>
      <w:numPr>
        <w:numId w:val="21"/>
      </w:numPr>
      <w:spacing w:after="200" w:line="259" w:lineRule="auto"/>
      <w:ind w:left="0" w:firstLine="0"/>
      <w:jc w:val="left"/>
    </w:pPr>
    <w:rPr>
      <w:rFonts w:ascii="Arial" w:eastAsiaTheme="majorEastAsia" w:hAnsi="Arial" w:cstheme="minorHAnsi"/>
      <w:b/>
      <w:color w:val="000000" w:themeColor="text1"/>
      <w:kern w:val="2"/>
      <w:sz w:val="28"/>
      <w:szCs w:val="28"/>
      <w:lang w:eastAsia="en-US"/>
      <w14:ligatures w14:val="standardContextual"/>
    </w:rPr>
  </w:style>
  <w:style w:type="paragraph" w:customStyle="1" w:styleId="Style1">
    <w:name w:val="Style1"/>
    <w:basedOn w:val="BodyText1"/>
    <w:rsid w:val="0014336E"/>
    <w:rPr>
      <w:sz w:val="28"/>
      <w:szCs w:val="28"/>
    </w:rPr>
  </w:style>
  <w:style w:type="character" w:customStyle="1" w:styleId="AppendixChar">
    <w:name w:val="Appendix Char"/>
    <w:basedOn w:val="Heading3Char"/>
    <w:link w:val="Appendix"/>
    <w:rsid w:val="0014336E"/>
    <w:rPr>
      <w:rFonts w:ascii="Arial" w:eastAsiaTheme="majorEastAsia" w:hAnsi="Arial" w:cstheme="minorHAnsi"/>
      <w:b/>
      <w:color w:val="000000" w:themeColor="text1"/>
      <w:kern w:val="2"/>
      <w:sz w:val="28"/>
      <w:szCs w:val="28"/>
      <w:u w:val="single"/>
      <w:lang w:eastAsia="en-US"/>
      <w14:ligatures w14:val="standardContextual"/>
    </w:rPr>
  </w:style>
  <w:style w:type="paragraph" w:styleId="Bibliography">
    <w:name w:val="Bibliography"/>
    <w:basedOn w:val="Normal"/>
    <w:next w:val="Normal"/>
    <w:uiPriority w:val="37"/>
    <w:unhideWhenUsed/>
    <w:rsid w:val="0014336E"/>
    <w:pPr>
      <w:spacing w:after="240" w:line="259" w:lineRule="auto"/>
      <w:jc w:val="left"/>
    </w:pPr>
    <w:rPr>
      <w:rFonts w:asciiTheme="minorHAnsi" w:eastAsiaTheme="minorHAnsi" w:hAnsiTheme="minorHAnsi" w:cstheme="minorBidi"/>
      <w:kern w:val="2"/>
      <w:sz w:val="22"/>
      <w:szCs w:val="22"/>
      <w:lang w:eastAsia="en-US"/>
      <w14:ligatures w14:val="standardContextual"/>
    </w:rPr>
  </w:style>
  <w:style w:type="table" w:customStyle="1" w:styleId="Eviera-201811">
    <w:name w:val="Eviera - 201811"/>
    <w:basedOn w:val="TableNormal"/>
    <w:uiPriority w:val="99"/>
    <w:qFormat/>
    <w:rsid w:val="0014336E"/>
    <w:pPr>
      <w:spacing w:before="40" w:after="40"/>
    </w:pPr>
    <w:rPr>
      <w:rFonts w:ascii="Calibri Light" w:eastAsia="Batang"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TableFootnotesAbbreviations">
    <w:name w:val="Table Footnotes/Abbreviations"/>
    <w:basedOn w:val="BodyText"/>
    <w:link w:val="TableFootnotesAbbreviationsChar"/>
    <w:rsid w:val="0014336E"/>
    <w:pPr>
      <w:spacing w:before="60" w:after="160" w:line="259" w:lineRule="auto"/>
    </w:pPr>
    <w:rPr>
      <w:rFonts w:ascii="Calibri Light" w:eastAsiaTheme="minorHAnsi" w:hAnsi="Calibri Light" w:cs="Times New Roman"/>
      <w:kern w:val="2"/>
      <w:sz w:val="18"/>
      <w:szCs w:val="20"/>
      <w:lang w:val="en-US" w:eastAsia="en-US"/>
      <w14:ligatures w14:val="standardContextual"/>
    </w:rPr>
  </w:style>
  <w:style w:type="character" w:customStyle="1" w:styleId="TableFootnotesAbbreviationsChar">
    <w:name w:val="Table Footnotes/Abbreviations Char"/>
    <w:basedOn w:val="DefaultParagraphFont"/>
    <w:link w:val="TableFootnotesAbbreviations"/>
    <w:rsid w:val="0014336E"/>
    <w:rPr>
      <w:rFonts w:ascii="Calibri Light" w:eastAsiaTheme="minorHAnsi" w:hAnsi="Calibri Light"/>
      <w:kern w:val="2"/>
      <w:sz w:val="18"/>
      <w:lang w:val="en-US" w:eastAsia="en-US"/>
      <w14:ligatures w14:val="standardContextual"/>
    </w:rPr>
  </w:style>
  <w:style w:type="character" w:customStyle="1" w:styleId="Heading1Char1">
    <w:name w:val="Heading 1 Char1"/>
    <w:aliases w:val="Header 1 Char1,H1 Char1,Heading 12 Char1,Titre 1 Car Car Char1,Titre 1 Car Char1,Outline1 Char1,p1 Char1"/>
    <w:basedOn w:val="DefaultParagraphFont"/>
    <w:uiPriority w:val="9"/>
    <w:rsid w:val="0014336E"/>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2 Char1,Heading h2 Char1,h2 Char1,Heading 2x Char1,p2 Char Char1"/>
    <w:basedOn w:val="DefaultParagraphFont"/>
    <w:uiPriority w:val="9"/>
    <w:semiHidden/>
    <w:rsid w:val="0014336E"/>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 Char1,Heading h3 Char1,h3 Char1,Don 3 Char1,Heading 3x Char1,p3 Char Char1"/>
    <w:basedOn w:val="DefaultParagraphFont"/>
    <w:semiHidden/>
    <w:rsid w:val="0014336E"/>
    <w:rPr>
      <w:rFonts w:asciiTheme="majorHAnsi" w:eastAsiaTheme="majorEastAsia" w:hAnsiTheme="majorHAnsi" w:cstheme="majorBidi"/>
      <w:color w:val="243F60" w:themeColor="accent1" w:themeShade="7F"/>
      <w:sz w:val="24"/>
      <w:szCs w:val="24"/>
    </w:rPr>
  </w:style>
  <w:style w:type="character" w:customStyle="1" w:styleId="Heading4Char2">
    <w:name w:val="Heading 4 Char2"/>
    <w:aliases w:val="Heading 4 Char1 Char1,Heading 4 Char Char Char1,Heading 4 Char2 Char Char Char1,Heading 4 Char Char1 Char Char Char1,Heading 4 Char1 Char Char Char Char Char Char1,Heading 4 Char Char Char Char Char Char Char Char1,Char Char1,p4 Char1"/>
    <w:basedOn w:val="DefaultParagraphFont"/>
    <w:uiPriority w:val="9"/>
    <w:semiHidden/>
    <w:rsid w:val="0014336E"/>
    <w:rPr>
      <w:rFonts w:asciiTheme="majorHAnsi" w:eastAsiaTheme="majorEastAsia" w:hAnsiTheme="majorHAnsi" w:cstheme="majorBidi"/>
      <w:i/>
      <w:iCs/>
      <w:color w:val="365F91" w:themeColor="accent1" w:themeShade="BF"/>
      <w:sz w:val="22"/>
      <w:szCs w:val="22"/>
    </w:rPr>
  </w:style>
  <w:style w:type="character" w:customStyle="1" w:styleId="Heading5Char1">
    <w:name w:val="Heading 5 Char1"/>
    <w:aliases w:val="p5 Char1"/>
    <w:basedOn w:val="DefaultParagraphFont"/>
    <w:uiPriority w:val="9"/>
    <w:semiHidden/>
    <w:rsid w:val="0014336E"/>
    <w:rPr>
      <w:rFonts w:asciiTheme="majorHAnsi" w:eastAsiaTheme="majorEastAsia" w:hAnsiTheme="majorHAnsi" w:cstheme="majorBidi"/>
      <w:color w:val="365F91" w:themeColor="accent1" w:themeShade="BF"/>
      <w:sz w:val="22"/>
      <w:szCs w:val="22"/>
    </w:rPr>
  </w:style>
  <w:style w:type="character" w:customStyle="1" w:styleId="Heading6Char1">
    <w:name w:val="Heading 6 Char1"/>
    <w:aliases w:val="Heading 6 - DO NOT USE Char1,DO NOT USE Char1,DO NOT USE4 Char1"/>
    <w:basedOn w:val="DefaultParagraphFont"/>
    <w:semiHidden/>
    <w:rsid w:val="0014336E"/>
    <w:rPr>
      <w:rFonts w:asciiTheme="majorHAnsi" w:eastAsiaTheme="majorEastAsia" w:hAnsiTheme="majorHAnsi" w:cstheme="majorBidi"/>
      <w:color w:val="243F60" w:themeColor="accent1" w:themeShade="7F"/>
      <w:sz w:val="22"/>
      <w:szCs w:val="22"/>
    </w:rPr>
  </w:style>
  <w:style w:type="character" w:customStyle="1" w:styleId="Heading7Char1">
    <w:name w:val="Heading 7 Char1"/>
    <w:aliases w:val="Heading 7 - DO NOT USE Char1"/>
    <w:basedOn w:val="DefaultParagraphFont"/>
    <w:uiPriority w:val="99"/>
    <w:semiHidden/>
    <w:rsid w:val="0014336E"/>
    <w:rPr>
      <w:rFonts w:asciiTheme="majorHAnsi" w:eastAsiaTheme="majorEastAsia" w:hAnsiTheme="majorHAnsi" w:cstheme="majorBidi"/>
      <w:i/>
      <w:iCs/>
      <w:color w:val="243F60" w:themeColor="accent1" w:themeShade="7F"/>
      <w:sz w:val="22"/>
      <w:szCs w:val="22"/>
    </w:rPr>
  </w:style>
  <w:style w:type="character" w:customStyle="1" w:styleId="Heading8Char1">
    <w:name w:val="Heading 8 Char1"/>
    <w:aliases w:val="Heading 8 - - DO NOT USE Char1"/>
    <w:basedOn w:val="DefaultParagraphFont"/>
    <w:uiPriority w:val="99"/>
    <w:semiHidden/>
    <w:rsid w:val="0014336E"/>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 DO NOT USE Char1,cover page title Char1"/>
    <w:basedOn w:val="DefaultParagraphFont"/>
    <w:uiPriority w:val="99"/>
    <w:semiHidden/>
    <w:rsid w:val="0014336E"/>
    <w:rPr>
      <w:rFonts w:asciiTheme="majorHAnsi" w:eastAsiaTheme="majorEastAsia" w:hAnsiTheme="majorHAnsi" w:cstheme="majorBidi"/>
      <w:i/>
      <w:iCs/>
      <w:color w:val="272727" w:themeColor="text1" w:themeTint="D8"/>
      <w:sz w:val="21"/>
      <w:szCs w:val="21"/>
    </w:rPr>
  </w:style>
  <w:style w:type="character" w:customStyle="1" w:styleId="CommentTextChar1">
    <w:name w:val="Comment Text Char1"/>
    <w:aliases w:val="Comment Text Char1 Char Char1,Comment Text Char Char Char Char1"/>
    <w:basedOn w:val="DefaultParagraphFont"/>
    <w:uiPriority w:val="99"/>
    <w:semiHidden/>
    <w:rsid w:val="0014336E"/>
    <w:rPr>
      <w:rFonts w:asciiTheme="minorHAnsi" w:eastAsiaTheme="minorHAnsi" w:hAnsiTheme="minorHAnsi" w:cstheme="minorBidi"/>
      <w:lang w:eastAsia="en-US"/>
    </w:rPr>
  </w:style>
  <w:style w:type="paragraph" w:customStyle="1" w:styleId="Heading3NOTOC">
    <w:name w:val="Heading 3 (NO TOC)"/>
    <w:basedOn w:val="Heading3"/>
    <w:link w:val="Heading3NOTOCChar"/>
    <w:rsid w:val="0014336E"/>
    <w:pPr>
      <w:keepNext/>
      <w:spacing w:before="180" w:after="60" w:line="259" w:lineRule="auto"/>
      <w:jc w:val="left"/>
    </w:pPr>
    <w:rPr>
      <w:rFonts w:eastAsiaTheme="minorHAnsi"/>
      <w:b/>
      <w:color w:val="000000" w:themeColor="text1"/>
      <w:kern w:val="2"/>
      <w:sz w:val="28"/>
      <w:lang w:val="en-US" w:eastAsia="en-US"/>
      <w14:ligatures w14:val="standardContextual"/>
    </w:rPr>
  </w:style>
  <w:style w:type="character" w:customStyle="1" w:styleId="Heading3NOTOCChar">
    <w:name w:val="Heading 3 (NO TOC) Char"/>
    <w:basedOn w:val="Heading3Char"/>
    <w:link w:val="Heading3NOTOC"/>
    <w:rsid w:val="0014336E"/>
    <w:rPr>
      <w:rFonts w:ascii="Calibri" w:eastAsiaTheme="minorHAnsi" w:hAnsi="Calibri" w:cs="Arial"/>
      <w:b/>
      <w:color w:val="000000" w:themeColor="text1"/>
      <w:kern w:val="2"/>
      <w:sz w:val="28"/>
      <w:szCs w:val="24"/>
      <w:u w:val="single"/>
      <w:lang w:val="en-US" w:eastAsia="en-US"/>
      <w14:ligatures w14:val="standardContextual"/>
    </w:rPr>
  </w:style>
  <w:style w:type="table" w:customStyle="1" w:styleId="Summarybox13">
    <w:name w:val="Summary box13"/>
    <w:basedOn w:val="TableNormal"/>
    <w:next w:val="TableGrid"/>
    <w:uiPriority w:val="59"/>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14336E"/>
    <w:pPr>
      <w:spacing w:after="120" w:line="259" w:lineRule="auto"/>
      <w:ind w:left="283"/>
      <w:contextualSpacing/>
      <w:jc w:val="left"/>
    </w:pPr>
    <w:rPr>
      <w:rFonts w:ascii="Times New Roman" w:eastAsiaTheme="minorHAnsi" w:hAnsi="Times New Roman" w:cs="Times New Roman"/>
      <w:kern w:val="2"/>
      <w:lang w:eastAsia="en-US"/>
      <w14:ligatures w14:val="standardContextual"/>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4336E"/>
    <w:pPr>
      <w:spacing w:after="160" w:line="240" w:lineRule="exact"/>
      <w:jc w:val="left"/>
    </w:pPr>
    <w:rPr>
      <w:rFonts w:ascii="Verdana" w:eastAsia="MS Mincho" w:hAnsi="Verdana" w:cs="Verdana"/>
      <w:kern w:val="2"/>
      <w:sz w:val="20"/>
      <w:szCs w:val="20"/>
      <w:lang w:val="en-US" w:eastAsia="en-US"/>
      <w14:ligatures w14:val="standardContextual"/>
    </w:rPr>
  </w:style>
  <w:style w:type="table" w:customStyle="1" w:styleId="HTAtableplain22">
    <w:name w:val="HTAtableplain22"/>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8">
    <w:name w:val="HTAtableplain8"/>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9">
    <w:name w:val="HTAtableplain9"/>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0">
    <w:name w:val="HTAtableplain10"/>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1">
    <w:name w:val="HTAtableplain11"/>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2">
    <w:name w:val="HTAtableplain12"/>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3">
    <w:name w:val="HTAtableplain13"/>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link w:val="SourcesChar"/>
    <w:qFormat/>
    <w:rsid w:val="0014336E"/>
    <w:pPr>
      <w:spacing w:after="360" w:line="259" w:lineRule="auto"/>
      <w:jc w:val="left"/>
    </w:pPr>
    <w:rPr>
      <w:rFonts w:ascii="Arial" w:eastAsiaTheme="minorHAnsi" w:hAnsi="Arial" w:cstheme="minorBidi"/>
      <w:kern w:val="2"/>
      <w:sz w:val="16"/>
      <w:szCs w:val="22"/>
      <w:lang w:eastAsia="en-US"/>
      <w14:ligatures w14:val="standardContextual"/>
    </w:rPr>
  </w:style>
  <w:style w:type="character" w:customStyle="1" w:styleId="SourcesChar">
    <w:name w:val="Sources Char"/>
    <w:basedOn w:val="DefaultParagraphFont"/>
    <w:link w:val="Sources"/>
    <w:locked/>
    <w:rsid w:val="0014336E"/>
    <w:rPr>
      <w:rFonts w:ascii="Arial" w:eastAsiaTheme="minorHAnsi" w:hAnsi="Arial" w:cstheme="minorBidi"/>
      <w:kern w:val="2"/>
      <w:sz w:val="16"/>
      <w:szCs w:val="22"/>
      <w:lang w:eastAsia="en-US"/>
      <w14:ligatures w14:val="standardContextual"/>
    </w:rPr>
  </w:style>
  <w:style w:type="table" w:customStyle="1" w:styleId="HTAtableplain14">
    <w:name w:val="HTAtableplain14"/>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5">
    <w:name w:val="HTAtableplain15"/>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6">
    <w:name w:val="HTAtableplain16"/>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itle">
    <w:name w:val="ReportTitle"/>
    <w:basedOn w:val="Normal"/>
    <w:locked/>
    <w:rsid w:val="0014336E"/>
    <w:pPr>
      <w:spacing w:before="240" w:after="60" w:line="360" w:lineRule="auto"/>
      <w:jc w:val="right"/>
    </w:pPr>
    <w:rPr>
      <w:rFonts w:ascii="Arial" w:eastAsiaTheme="minorHAnsi" w:hAnsi="Arial" w:cs="Times New Roman"/>
      <w:b/>
      <w:bCs/>
      <w:kern w:val="28"/>
      <w:sz w:val="48"/>
      <w:szCs w:val="48"/>
      <w:lang w:eastAsia="en-US"/>
      <w14:ligatures w14:val="standardContextual"/>
    </w:rPr>
  </w:style>
  <w:style w:type="paragraph" w:customStyle="1" w:styleId="ReportDate">
    <w:name w:val="ReportDate"/>
    <w:basedOn w:val="Normal"/>
    <w:locked/>
    <w:rsid w:val="0014336E"/>
    <w:pPr>
      <w:spacing w:after="160" w:line="360" w:lineRule="auto"/>
      <w:jc w:val="right"/>
    </w:pPr>
    <w:rPr>
      <w:rFonts w:ascii="Arial" w:eastAsiaTheme="minorHAnsi" w:hAnsi="Arial" w:cs="Times New Roman"/>
      <w:kern w:val="2"/>
      <w:sz w:val="40"/>
      <w:szCs w:val="40"/>
      <w:lang w:eastAsia="en-US"/>
      <w14:ligatures w14:val="standardContextual"/>
    </w:rPr>
  </w:style>
  <w:style w:type="paragraph" w:customStyle="1" w:styleId="Preface">
    <w:name w:val="Preface"/>
    <w:basedOn w:val="Heading1"/>
    <w:rsid w:val="0014336E"/>
    <w:pPr>
      <w:keepNext/>
      <w:keepLines/>
      <w:tabs>
        <w:tab w:val="left" w:pos="1134"/>
      </w:tabs>
      <w:spacing w:before="240" w:after="240" w:line="360" w:lineRule="auto"/>
      <w:jc w:val="left"/>
    </w:pPr>
    <w:rPr>
      <w:rFonts w:ascii="Arial" w:eastAsiaTheme="majorEastAsia" w:hAnsi="Arial" w:cstheme="majorBidi"/>
      <w:caps w:val="0"/>
      <w:smallCaps/>
      <w:color w:val="000000" w:themeColor="text1"/>
      <w:kern w:val="2"/>
      <w:sz w:val="36"/>
      <w:szCs w:val="32"/>
      <w:lang w:eastAsia="en-US"/>
      <w14:ligatures w14:val="standardContextual"/>
    </w:rPr>
  </w:style>
  <w:style w:type="table" w:styleId="TableGridLight">
    <w:name w:val="Grid Table Light"/>
    <w:basedOn w:val="TableNormal"/>
    <w:uiPriority w:val="40"/>
    <w:rsid w:val="0014336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mmaryBoxHeading">
    <w:name w:val="Summary Box Heading"/>
    <w:basedOn w:val="TableText"/>
    <w:rsid w:val="0014336E"/>
    <w:pPr>
      <w:keepNext w:val="0"/>
      <w:keepLines w:val="0"/>
      <w:widowControl/>
      <w:spacing w:before="20" w:after="20" w:line="276" w:lineRule="auto"/>
      <w:jc w:val="both"/>
    </w:pPr>
    <w:rPr>
      <w:rFonts w:cs="Arial"/>
      <w:b/>
      <w:bCs w:val="0"/>
      <w:sz w:val="22"/>
      <w:szCs w:val="22"/>
      <w:lang w:bidi="en-US"/>
    </w:rPr>
  </w:style>
  <w:style w:type="numbering" w:customStyle="1" w:styleId="HeadingListStyle">
    <w:name w:val="Heading List Style"/>
    <w:uiPriority w:val="99"/>
    <w:rsid w:val="0014336E"/>
    <w:pPr>
      <w:numPr>
        <w:numId w:val="22"/>
      </w:numPr>
    </w:pPr>
  </w:style>
  <w:style w:type="paragraph" w:customStyle="1" w:styleId="Heading1Alt">
    <w:name w:val="Heading 1 Alt"/>
    <w:basedOn w:val="Heading1"/>
    <w:rsid w:val="0014336E"/>
    <w:pPr>
      <w:keepNext/>
      <w:keepLines/>
      <w:tabs>
        <w:tab w:val="left" w:pos="1134"/>
      </w:tabs>
      <w:spacing w:before="240" w:after="240" w:line="360" w:lineRule="auto"/>
      <w:ind w:left="576" w:hanging="576"/>
      <w:jc w:val="left"/>
    </w:pPr>
    <w:rPr>
      <w:rFonts w:ascii="Arial" w:eastAsiaTheme="majorEastAsia" w:hAnsi="Arial" w:cstheme="majorBidi"/>
      <w:caps w:val="0"/>
      <w:smallCaps/>
      <w:color w:val="000000" w:themeColor="text1"/>
      <w:kern w:val="2"/>
      <w:sz w:val="36"/>
      <w:szCs w:val="32"/>
      <w:lang w:eastAsia="en-US"/>
      <w14:ligatures w14:val="standardContextual"/>
    </w:rPr>
  </w:style>
  <w:style w:type="paragraph" w:customStyle="1" w:styleId="Heading2Alt">
    <w:name w:val="Heading 2 Alt"/>
    <w:basedOn w:val="Heading2"/>
    <w:rsid w:val="0014336E"/>
    <w:pPr>
      <w:keepNext/>
      <w:keepLines/>
      <w:numPr>
        <w:ilvl w:val="1"/>
      </w:numPr>
      <w:spacing w:after="160" w:line="360" w:lineRule="auto"/>
      <w:ind w:left="1002" w:hanging="1002"/>
      <w:jc w:val="left"/>
    </w:pPr>
    <w:rPr>
      <w:rFonts w:ascii="Arial" w:eastAsiaTheme="majorEastAsia" w:hAnsi="Arial" w:cstheme="majorBidi"/>
      <w:i w:val="0"/>
      <w:color w:val="000000" w:themeColor="text1"/>
      <w:kern w:val="2"/>
      <w:sz w:val="32"/>
      <w:szCs w:val="26"/>
      <w:lang w:eastAsia="en-US"/>
      <w14:ligatures w14:val="standardContextual"/>
    </w:rPr>
  </w:style>
  <w:style w:type="paragraph" w:customStyle="1" w:styleId="Heading3Alt">
    <w:name w:val="Heading 3 Alt"/>
    <w:basedOn w:val="Heading3"/>
    <w:rsid w:val="0014336E"/>
    <w:pPr>
      <w:keepNext/>
      <w:keepLines/>
      <w:spacing w:before="40" w:after="160" w:line="360" w:lineRule="auto"/>
      <w:ind w:left="1152" w:hanging="1152"/>
      <w:jc w:val="left"/>
    </w:pPr>
    <w:rPr>
      <w:rFonts w:ascii="Arial" w:eastAsiaTheme="majorEastAsia" w:hAnsi="Arial" w:cstheme="majorBidi"/>
      <w:b/>
      <w:color w:val="000000" w:themeColor="text1"/>
      <w:kern w:val="2"/>
      <w:sz w:val="28"/>
      <w:u w:val="none"/>
      <w:lang w:eastAsia="en-US"/>
      <w14:ligatures w14:val="standardContextual"/>
    </w:rPr>
  </w:style>
  <w:style w:type="character" w:customStyle="1" w:styleId="form-strength">
    <w:name w:val="form-strength"/>
    <w:basedOn w:val="DefaultParagraphFont"/>
    <w:rsid w:val="0014336E"/>
  </w:style>
  <w:style w:type="character" w:customStyle="1" w:styleId="item-code2">
    <w:name w:val="item-code2"/>
    <w:basedOn w:val="DefaultParagraphFont"/>
    <w:rsid w:val="0014336E"/>
    <w:rPr>
      <w:vanish w:val="0"/>
      <w:webHidden w:val="0"/>
      <w:specVanish w:val="0"/>
    </w:rPr>
  </w:style>
  <w:style w:type="paragraph" w:customStyle="1" w:styleId="Notes">
    <w:name w:val="Notes"/>
    <w:basedOn w:val="Normal"/>
    <w:rsid w:val="0014336E"/>
    <w:pPr>
      <w:spacing w:after="200" w:line="259" w:lineRule="auto"/>
      <w:jc w:val="left"/>
    </w:pPr>
    <w:rPr>
      <w:rFonts w:asciiTheme="minorHAnsi" w:eastAsiaTheme="minorEastAsia" w:hAnsiTheme="minorHAnsi" w:cs="Baskerville"/>
      <w:kern w:val="2"/>
      <w:sz w:val="20"/>
      <w:szCs w:val="20"/>
      <w:lang w:eastAsia="en-US"/>
      <w14:ligatures w14:val="standardContextual"/>
    </w:rPr>
  </w:style>
  <w:style w:type="table" w:customStyle="1" w:styleId="HTAtableplain17">
    <w:name w:val="HTAtableplain17"/>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8">
    <w:name w:val="HTAtableplain18"/>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19">
    <w:name w:val="HTAtableplain19"/>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20">
    <w:name w:val="HTAtableplain20"/>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23">
    <w:name w:val="HTAtableplain23"/>
    <w:basedOn w:val="TableNormal"/>
    <w:next w:val="TableGrid"/>
    <w:uiPriority w:val="39"/>
    <w:rsid w:val="0014336E"/>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ListStyle1">
    <w:name w:val="Heading List Style1"/>
    <w:uiPriority w:val="99"/>
    <w:rsid w:val="0014336E"/>
    <w:pPr>
      <w:numPr>
        <w:numId w:val="23"/>
      </w:numPr>
    </w:pPr>
  </w:style>
  <w:style w:type="numbering" w:customStyle="1" w:styleId="HeadingListStyle2">
    <w:name w:val="Heading List Style2"/>
    <w:uiPriority w:val="99"/>
    <w:rsid w:val="0014336E"/>
  </w:style>
  <w:style w:type="numbering" w:customStyle="1" w:styleId="HeadingListStyle11">
    <w:name w:val="Heading List Style11"/>
    <w:uiPriority w:val="99"/>
    <w:rsid w:val="0014336E"/>
  </w:style>
  <w:style w:type="table" w:customStyle="1" w:styleId="Submissionstandard">
    <w:name w:val="Submission standard"/>
    <w:uiPriority w:val="99"/>
    <w:qFormat/>
    <w:rsid w:val="0014336E"/>
    <w:rPr>
      <w:rFonts w:ascii="Arial Narrow" w:hAnsi="Arial Narrow"/>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Roboto" w:hAnsi="Roboto" w:cs="Times New Roman"/>
        <w:b/>
        <w:sz w:val="20"/>
      </w:rPr>
      <w:tblPr/>
      <w:tcPr>
        <w:shd w:val="clear" w:color="auto" w:fill="BFBFBF"/>
      </w:tcPr>
    </w:tblStylePr>
  </w:style>
  <w:style w:type="table" w:customStyle="1" w:styleId="TableHTAsimple">
    <w:name w:val="Table HTA simple"/>
    <w:basedOn w:val="TableNormal"/>
    <w:uiPriority w:val="99"/>
    <w:rsid w:val="0014336E"/>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textleft">
    <w:name w:val="Table text left"/>
    <w:basedOn w:val="Normal"/>
    <w:link w:val="TabletextleftChar"/>
    <w:rsid w:val="0014336E"/>
    <w:pPr>
      <w:spacing w:before="20" w:after="20" w:line="259" w:lineRule="auto"/>
      <w:jc w:val="left"/>
    </w:pPr>
    <w:rPr>
      <w:rFonts w:asciiTheme="minorHAnsi" w:eastAsiaTheme="minorHAnsi" w:hAnsiTheme="minorHAnsi" w:cs="Times New Roman"/>
      <w:kern w:val="2"/>
      <w:sz w:val="18"/>
      <w:szCs w:val="20"/>
      <w:lang w:eastAsia="en-US"/>
      <w14:ligatures w14:val="standardContextual"/>
    </w:rPr>
  </w:style>
  <w:style w:type="character" w:customStyle="1" w:styleId="TabletextleftChar">
    <w:name w:val="Table text left Char"/>
    <w:basedOn w:val="DefaultParagraphFont"/>
    <w:link w:val="Tabletextleft"/>
    <w:rsid w:val="0014336E"/>
    <w:rPr>
      <w:rFonts w:asciiTheme="minorHAnsi" w:eastAsiaTheme="minorHAnsi" w:hAnsiTheme="minorHAnsi"/>
      <w:kern w:val="2"/>
      <w:sz w:val="18"/>
      <w:lang w:eastAsia="en-US"/>
      <w14:ligatures w14:val="standardContextual"/>
    </w:rPr>
  </w:style>
  <w:style w:type="table" w:customStyle="1" w:styleId="CMATableTemplate1">
    <w:name w:val="CMA Table Template1"/>
    <w:basedOn w:val="TableNormal"/>
    <w:next w:val="TableGrid"/>
    <w:rsid w:val="001433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MAtable">
    <w:name w:val="THEMA_table"/>
    <w:basedOn w:val="TableNormal"/>
    <w:uiPriority w:val="99"/>
    <w:rsid w:val="0014336E"/>
    <w:pPr>
      <w:contextualSpacing/>
    </w:pPr>
    <w:rPr>
      <w:rFonts w:ascii="Arial Narrow" w:eastAsiaTheme="minorHAnsi" w:hAnsi="Arial Narrow" w:cstheme="minorBidi"/>
      <w:szCs w:val="22"/>
      <w:lang w:eastAsia="en-US" w:bidi="he-I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contextualSpacing/>
      </w:pPr>
      <w:rPr>
        <w:rFonts w:ascii="@MS PGothic" w:hAnsi="@MS PGothic" w:hint="default"/>
        <w:b/>
        <w:sz w:val="20"/>
        <w:szCs w:val="20"/>
      </w:rPr>
      <w:tblPr/>
      <w:tcPr>
        <w:shd w:val="clear" w:color="auto" w:fill="D9D9D9" w:themeFill="background1" w:themeFillShade="D9"/>
      </w:tcPr>
    </w:tblStylePr>
    <w:tblStylePr w:type="lastRow">
      <w:pPr>
        <w:wordWrap/>
        <w:spacing w:beforeLines="0" w:before="100" w:beforeAutospacing="1" w:afterLines="0" w:after="100" w:afterAutospacing="1"/>
        <w:contextualSpacing/>
      </w:pPr>
      <w:rPr>
        <w:rFonts w:ascii="@MS PGothic" w:hAnsi="@MS PGothic" w:hint="default"/>
      </w:rPr>
    </w:tblStylePr>
  </w:style>
  <w:style w:type="paragraph" w:customStyle="1" w:styleId="PBACTabletext">
    <w:name w:val="PBAC Table text"/>
    <w:link w:val="PBACTabletextChar"/>
    <w:rsid w:val="0014336E"/>
    <w:pPr>
      <w:keepNext/>
      <w:keepLines/>
      <w:suppressLineNumbers/>
      <w:spacing w:after="2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14336E"/>
    <w:rPr>
      <w:rFonts w:ascii="Arial Narrow" w:hAnsi="Arial Narrow" w:cs="Arial"/>
      <w:szCs w:val="24"/>
      <w:lang w:eastAsia="en-GB"/>
    </w:rPr>
  </w:style>
  <w:style w:type="table" w:customStyle="1" w:styleId="HEORTableStyle">
    <w:name w:val="HEOR Table Style"/>
    <w:basedOn w:val="TableNormal"/>
    <w:uiPriority w:val="99"/>
    <w:rsid w:val="0014336E"/>
    <w:rPr>
      <w:rFonts w:ascii="Tahoma" w:eastAsiaTheme="minorHAnsi" w:hAnsi="Tahoma" w:cstheme="minorBidi"/>
      <w:sz w:val="18"/>
      <w:szCs w:val="22"/>
      <w:lang w:val="en-GB" w:eastAsia="en-US"/>
    </w:rPr>
    <w:tblPr>
      <w:tblStyleRowBandSize w:val="1"/>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Pr>
    <w:tcPr>
      <w:shd w:val="clear" w:color="auto" w:fill="FFFFFF" w:themeFill="background1"/>
    </w:tcPr>
    <w:tblStylePr w:type="firstRow">
      <w:rPr>
        <w:rFonts w:ascii="Roboto" w:hAnsi="Roboto"/>
        <w:b/>
        <w:color w:val="404040" w:themeColor="text1" w:themeTint="BF"/>
        <w:sz w:val="20"/>
      </w:rPr>
      <w:tblPr/>
      <w:tcPr>
        <w:shd w:val="clear" w:color="auto" w:fill="F2F2F2" w:themeFill="background1" w:themeFillShade="F2"/>
      </w:tcPr>
    </w:tblStylePr>
  </w:style>
  <w:style w:type="character" w:styleId="Mention">
    <w:name w:val="Mention"/>
    <w:basedOn w:val="DefaultParagraphFont"/>
    <w:uiPriority w:val="99"/>
    <w:unhideWhenUsed/>
    <w:rsid w:val="0014336E"/>
    <w:rPr>
      <w:color w:val="2B579A"/>
      <w:shd w:val="clear" w:color="auto" w:fill="E1DFDD"/>
    </w:rPr>
  </w:style>
  <w:style w:type="character" w:customStyle="1" w:styleId="Style2Char">
    <w:name w:val="Style2 Char"/>
    <w:basedOn w:val="3-BodyTextChar"/>
    <w:link w:val="Style2"/>
    <w:rsid w:val="0014336E"/>
    <w:rPr>
      <w:rFonts w:asciiTheme="minorHAnsi" w:eastAsiaTheme="minorHAnsi" w:hAnsiTheme="minorHAnsi" w:cstheme="minorBidi"/>
      <w:sz w:val="24"/>
      <w:szCs w:val="22"/>
    </w:rPr>
  </w:style>
  <w:style w:type="character" w:customStyle="1" w:styleId="text-widget">
    <w:name w:val="text-widget"/>
    <w:basedOn w:val="DefaultParagraphFont"/>
    <w:rsid w:val="0014336E"/>
  </w:style>
  <w:style w:type="paragraph" w:customStyle="1" w:styleId="3-SubsectionHeading">
    <w:name w:val="3-Subsection Heading"/>
    <w:basedOn w:val="Heading2"/>
    <w:next w:val="Normal"/>
    <w:link w:val="3-SubsectionHeadingChar"/>
    <w:qFormat/>
    <w:rsid w:val="000A25A7"/>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0A25A7"/>
    <w:rPr>
      <w:rFonts w:asciiTheme="minorHAnsi" w:eastAsiaTheme="majorEastAsia" w:hAnsiTheme="minorHAnsi" w:cstheme="majorBidi"/>
      <w:b/>
      <w:i/>
      <w:snapToGrid/>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0594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7969643">
      <w:bodyDiv w:val="1"/>
      <w:marLeft w:val="0"/>
      <w:marRight w:val="0"/>
      <w:marTop w:val="0"/>
      <w:marBottom w:val="0"/>
      <w:divBdr>
        <w:top w:val="none" w:sz="0" w:space="0" w:color="auto"/>
        <w:left w:val="none" w:sz="0" w:space="0" w:color="auto"/>
        <w:bottom w:val="none" w:sz="0" w:space="0" w:color="auto"/>
        <w:right w:val="none" w:sz="0" w:space="0" w:color="auto"/>
      </w:divBdr>
    </w:div>
    <w:div w:id="511993521">
      <w:bodyDiv w:val="1"/>
      <w:marLeft w:val="0"/>
      <w:marRight w:val="0"/>
      <w:marTop w:val="0"/>
      <w:marBottom w:val="0"/>
      <w:divBdr>
        <w:top w:val="none" w:sz="0" w:space="0" w:color="auto"/>
        <w:left w:val="none" w:sz="0" w:space="0" w:color="auto"/>
        <w:bottom w:val="none" w:sz="0" w:space="0" w:color="auto"/>
        <w:right w:val="none" w:sz="0" w:space="0" w:color="auto"/>
      </w:divBdr>
      <w:divsChild>
        <w:div w:id="28990203">
          <w:marLeft w:val="0"/>
          <w:marRight w:val="0"/>
          <w:marTop w:val="0"/>
          <w:marBottom w:val="0"/>
          <w:divBdr>
            <w:top w:val="none" w:sz="0" w:space="0" w:color="auto"/>
            <w:left w:val="none" w:sz="0" w:space="0" w:color="auto"/>
            <w:bottom w:val="none" w:sz="0" w:space="0" w:color="auto"/>
            <w:right w:val="none" w:sz="0" w:space="0" w:color="auto"/>
          </w:divBdr>
          <w:divsChild>
            <w:div w:id="742070480">
              <w:marLeft w:val="0"/>
              <w:marRight w:val="0"/>
              <w:marTop w:val="0"/>
              <w:marBottom w:val="0"/>
              <w:divBdr>
                <w:top w:val="none" w:sz="0" w:space="0" w:color="auto"/>
                <w:left w:val="none" w:sz="0" w:space="0" w:color="auto"/>
                <w:bottom w:val="none" w:sz="0" w:space="0" w:color="auto"/>
                <w:right w:val="none" w:sz="0" w:space="0" w:color="auto"/>
              </w:divBdr>
              <w:divsChild>
                <w:div w:id="8775504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976224459">
          <w:marLeft w:val="0"/>
          <w:marRight w:val="0"/>
          <w:marTop w:val="0"/>
          <w:marBottom w:val="0"/>
          <w:divBdr>
            <w:top w:val="none" w:sz="0" w:space="0" w:color="auto"/>
            <w:left w:val="none" w:sz="0" w:space="0" w:color="auto"/>
            <w:bottom w:val="none" w:sz="0" w:space="0" w:color="auto"/>
            <w:right w:val="none" w:sz="0" w:space="0" w:color="auto"/>
          </w:divBdr>
          <w:divsChild>
            <w:div w:id="1902322505">
              <w:marLeft w:val="0"/>
              <w:marRight w:val="0"/>
              <w:marTop w:val="0"/>
              <w:marBottom w:val="0"/>
              <w:divBdr>
                <w:top w:val="none" w:sz="0" w:space="0" w:color="auto"/>
                <w:left w:val="none" w:sz="0" w:space="0" w:color="auto"/>
                <w:bottom w:val="none" w:sz="0" w:space="0" w:color="auto"/>
                <w:right w:val="none" w:sz="0" w:space="0" w:color="auto"/>
              </w:divBdr>
              <w:divsChild>
                <w:div w:id="188659591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24459">
      <w:bodyDiv w:val="1"/>
      <w:marLeft w:val="0"/>
      <w:marRight w:val="0"/>
      <w:marTop w:val="0"/>
      <w:marBottom w:val="0"/>
      <w:divBdr>
        <w:top w:val="none" w:sz="0" w:space="0" w:color="auto"/>
        <w:left w:val="none" w:sz="0" w:space="0" w:color="auto"/>
        <w:bottom w:val="none" w:sz="0" w:space="0" w:color="auto"/>
        <w:right w:val="none" w:sz="0" w:space="0" w:color="auto"/>
      </w:divBdr>
    </w:div>
    <w:div w:id="61316866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6478979">
      <w:bodyDiv w:val="1"/>
      <w:marLeft w:val="0"/>
      <w:marRight w:val="0"/>
      <w:marTop w:val="0"/>
      <w:marBottom w:val="0"/>
      <w:divBdr>
        <w:top w:val="none" w:sz="0" w:space="0" w:color="auto"/>
        <w:left w:val="none" w:sz="0" w:space="0" w:color="auto"/>
        <w:bottom w:val="none" w:sz="0" w:space="0" w:color="auto"/>
        <w:right w:val="none" w:sz="0" w:space="0" w:color="auto"/>
      </w:divBdr>
      <w:divsChild>
        <w:div w:id="1131554610">
          <w:marLeft w:val="120"/>
          <w:marRight w:val="0"/>
          <w:marTop w:val="0"/>
          <w:marBottom w:val="0"/>
          <w:divBdr>
            <w:top w:val="none" w:sz="0" w:space="0" w:color="auto"/>
            <w:left w:val="none" w:sz="0" w:space="0" w:color="auto"/>
            <w:bottom w:val="none" w:sz="0" w:space="0" w:color="auto"/>
            <w:right w:val="none" w:sz="0" w:space="0" w:color="auto"/>
          </w:divBdr>
        </w:div>
      </w:divsChild>
    </w:div>
    <w:div w:id="1157570165">
      <w:bodyDiv w:val="1"/>
      <w:marLeft w:val="0"/>
      <w:marRight w:val="0"/>
      <w:marTop w:val="0"/>
      <w:marBottom w:val="0"/>
      <w:divBdr>
        <w:top w:val="none" w:sz="0" w:space="0" w:color="auto"/>
        <w:left w:val="none" w:sz="0" w:space="0" w:color="auto"/>
        <w:bottom w:val="none" w:sz="0" w:space="0" w:color="auto"/>
        <w:right w:val="none" w:sz="0" w:space="0" w:color="auto"/>
      </w:divBdr>
      <w:divsChild>
        <w:div w:id="1753971959">
          <w:marLeft w:val="12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72213044">
      <w:bodyDiv w:val="1"/>
      <w:marLeft w:val="0"/>
      <w:marRight w:val="0"/>
      <w:marTop w:val="0"/>
      <w:marBottom w:val="0"/>
      <w:divBdr>
        <w:top w:val="none" w:sz="0" w:space="0" w:color="auto"/>
        <w:left w:val="none" w:sz="0" w:space="0" w:color="auto"/>
        <w:bottom w:val="none" w:sz="0" w:space="0" w:color="auto"/>
        <w:right w:val="none" w:sz="0" w:space="0" w:color="auto"/>
      </w:divBdr>
      <w:divsChild>
        <w:div w:id="71515952">
          <w:marLeft w:val="0"/>
          <w:marRight w:val="0"/>
          <w:marTop w:val="0"/>
          <w:marBottom w:val="0"/>
          <w:divBdr>
            <w:top w:val="none" w:sz="0" w:space="0" w:color="auto"/>
            <w:left w:val="none" w:sz="0" w:space="0" w:color="auto"/>
            <w:bottom w:val="none" w:sz="0" w:space="0" w:color="auto"/>
            <w:right w:val="none" w:sz="0" w:space="0" w:color="auto"/>
          </w:divBdr>
          <w:divsChild>
            <w:div w:id="219440675">
              <w:marLeft w:val="0"/>
              <w:marRight w:val="0"/>
              <w:marTop w:val="0"/>
              <w:marBottom w:val="0"/>
              <w:divBdr>
                <w:top w:val="none" w:sz="0" w:space="0" w:color="auto"/>
                <w:left w:val="none" w:sz="0" w:space="0" w:color="auto"/>
                <w:bottom w:val="none" w:sz="0" w:space="0" w:color="auto"/>
                <w:right w:val="none" w:sz="0" w:space="0" w:color="auto"/>
              </w:divBdr>
              <w:divsChild>
                <w:div w:id="142530355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59535480">
          <w:marLeft w:val="0"/>
          <w:marRight w:val="0"/>
          <w:marTop w:val="0"/>
          <w:marBottom w:val="0"/>
          <w:divBdr>
            <w:top w:val="none" w:sz="0" w:space="0" w:color="auto"/>
            <w:left w:val="none" w:sz="0" w:space="0" w:color="auto"/>
            <w:bottom w:val="none" w:sz="0" w:space="0" w:color="auto"/>
            <w:right w:val="none" w:sz="0" w:space="0" w:color="auto"/>
          </w:divBdr>
          <w:divsChild>
            <w:div w:id="1577323895">
              <w:marLeft w:val="0"/>
              <w:marRight w:val="0"/>
              <w:marTop w:val="0"/>
              <w:marBottom w:val="0"/>
              <w:divBdr>
                <w:top w:val="none" w:sz="0" w:space="0" w:color="auto"/>
                <w:left w:val="none" w:sz="0" w:space="0" w:color="auto"/>
                <w:bottom w:val="none" w:sz="0" w:space="0" w:color="auto"/>
                <w:right w:val="none" w:sz="0" w:space="0" w:color="auto"/>
              </w:divBdr>
              <w:divsChild>
                <w:div w:id="176556586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341905424">
          <w:marLeft w:val="0"/>
          <w:marRight w:val="0"/>
          <w:marTop w:val="0"/>
          <w:marBottom w:val="0"/>
          <w:divBdr>
            <w:top w:val="none" w:sz="0" w:space="0" w:color="auto"/>
            <w:left w:val="none" w:sz="0" w:space="0" w:color="auto"/>
            <w:bottom w:val="none" w:sz="0" w:space="0" w:color="auto"/>
            <w:right w:val="none" w:sz="0" w:space="0" w:color="auto"/>
          </w:divBdr>
          <w:divsChild>
            <w:div w:id="753941742">
              <w:marLeft w:val="0"/>
              <w:marRight w:val="0"/>
              <w:marTop w:val="0"/>
              <w:marBottom w:val="0"/>
              <w:divBdr>
                <w:top w:val="none" w:sz="0" w:space="0" w:color="auto"/>
                <w:left w:val="none" w:sz="0" w:space="0" w:color="auto"/>
                <w:bottom w:val="none" w:sz="0" w:space="0" w:color="auto"/>
                <w:right w:val="none" w:sz="0" w:space="0" w:color="auto"/>
              </w:divBdr>
              <w:divsChild>
                <w:div w:id="77871581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390036113">
          <w:marLeft w:val="0"/>
          <w:marRight w:val="0"/>
          <w:marTop w:val="0"/>
          <w:marBottom w:val="0"/>
          <w:divBdr>
            <w:top w:val="none" w:sz="0" w:space="0" w:color="auto"/>
            <w:left w:val="none" w:sz="0" w:space="0" w:color="auto"/>
            <w:bottom w:val="none" w:sz="0" w:space="0" w:color="auto"/>
            <w:right w:val="none" w:sz="0" w:space="0" w:color="auto"/>
          </w:divBdr>
          <w:divsChild>
            <w:div w:id="836506736">
              <w:marLeft w:val="0"/>
              <w:marRight w:val="0"/>
              <w:marTop w:val="0"/>
              <w:marBottom w:val="0"/>
              <w:divBdr>
                <w:top w:val="none" w:sz="0" w:space="0" w:color="auto"/>
                <w:left w:val="none" w:sz="0" w:space="0" w:color="auto"/>
                <w:bottom w:val="none" w:sz="0" w:space="0" w:color="auto"/>
                <w:right w:val="none" w:sz="0" w:space="0" w:color="auto"/>
              </w:divBdr>
              <w:divsChild>
                <w:div w:id="197704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671421541">
          <w:marLeft w:val="0"/>
          <w:marRight w:val="0"/>
          <w:marTop w:val="0"/>
          <w:marBottom w:val="0"/>
          <w:divBdr>
            <w:top w:val="none" w:sz="0" w:space="0" w:color="auto"/>
            <w:left w:val="none" w:sz="0" w:space="0" w:color="auto"/>
            <w:bottom w:val="none" w:sz="0" w:space="0" w:color="auto"/>
            <w:right w:val="none" w:sz="0" w:space="0" w:color="auto"/>
          </w:divBdr>
          <w:divsChild>
            <w:div w:id="831607841">
              <w:marLeft w:val="0"/>
              <w:marRight w:val="0"/>
              <w:marTop w:val="0"/>
              <w:marBottom w:val="0"/>
              <w:divBdr>
                <w:top w:val="none" w:sz="0" w:space="0" w:color="auto"/>
                <w:left w:val="none" w:sz="0" w:space="0" w:color="auto"/>
                <w:bottom w:val="none" w:sz="0" w:space="0" w:color="auto"/>
                <w:right w:val="none" w:sz="0" w:space="0" w:color="auto"/>
              </w:divBdr>
              <w:divsChild>
                <w:div w:id="157858767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59643646">
          <w:marLeft w:val="0"/>
          <w:marRight w:val="0"/>
          <w:marTop w:val="0"/>
          <w:marBottom w:val="0"/>
          <w:divBdr>
            <w:top w:val="none" w:sz="0" w:space="0" w:color="auto"/>
            <w:left w:val="none" w:sz="0" w:space="0" w:color="auto"/>
            <w:bottom w:val="none" w:sz="0" w:space="0" w:color="auto"/>
            <w:right w:val="none" w:sz="0" w:space="0" w:color="auto"/>
          </w:divBdr>
          <w:divsChild>
            <w:div w:id="2065568554">
              <w:marLeft w:val="0"/>
              <w:marRight w:val="0"/>
              <w:marTop w:val="0"/>
              <w:marBottom w:val="0"/>
              <w:divBdr>
                <w:top w:val="none" w:sz="0" w:space="0" w:color="auto"/>
                <w:left w:val="none" w:sz="0" w:space="0" w:color="auto"/>
                <w:bottom w:val="none" w:sz="0" w:space="0" w:color="auto"/>
                <w:right w:val="none" w:sz="0" w:space="0" w:color="auto"/>
              </w:divBdr>
              <w:divsChild>
                <w:div w:id="181942008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3957751">
          <w:marLeft w:val="0"/>
          <w:marRight w:val="0"/>
          <w:marTop w:val="0"/>
          <w:marBottom w:val="0"/>
          <w:divBdr>
            <w:top w:val="none" w:sz="0" w:space="0" w:color="auto"/>
            <w:left w:val="none" w:sz="0" w:space="0" w:color="auto"/>
            <w:bottom w:val="none" w:sz="0" w:space="0" w:color="auto"/>
            <w:right w:val="none" w:sz="0" w:space="0" w:color="auto"/>
          </w:divBdr>
          <w:divsChild>
            <w:div w:id="302927608">
              <w:marLeft w:val="0"/>
              <w:marRight w:val="0"/>
              <w:marTop w:val="0"/>
              <w:marBottom w:val="0"/>
              <w:divBdr>
                <w:top w:val="none" w:sz="0" w:space="0" w:color="auto"/>
                <w:left w:val="none" w:sz="0" w:space="0" w:color="auto"/>
                <w:bottom w:val="none" w:sz="0" w:space="0" w:color="auto"/>
                <w:right w:val="none" w:sz="0" w:space="0" w:color="auto"/>
              </w:divBdr>
              <w:divsChild>
                <w:div w:id="88495095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55072277">
          <w:marLeft w:val="0"/>
          <w:marRight w:val="0"/>
          <w:marTop w:val="0"/>
          <w:marBottom w:val="0"/>
          <w:divBdr>
            <w:top w:val="none" w:sz="0" w:space="0" w:color="auto"/>
            <w:left w:val="none" w:sz="0" w:space="0" w:color="auto"/>
            <w:bottom w:val="none" w:sz="0" w:space="0" w:color="auto"/>
            <w:right w:val="none" w:sz="0" w:space="0" w:color="auto"/>
          </w:divBdr>
          <w:divsChild>
            <w:div w:id="1925608334">
              <w:marLeft w:val="0"/>
              <w:marRight w:val="0"/>
              <w:marTop w:val="0"/>
              <w:marBottom w:val="0"/>
              <w:divBdr>
                <w:top w:val="none" w:sz="0" w:space="0" w:color="auto"/>
                <w:left w:val="none" w:sz="0" w:space="0" w:color="auto"/>
                <w:bottom w:val="none" w:sz="0" w:space="0" w:color="auto"/>
                <w:right w:val="none" w:sz="0" w:space="0" w:color="auto"/>
              </w:divBdr>
              <w:divsChild>
                <w:div w:id="136001021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62632764">
          <w:marLeft w:val="0"/>
          <w:marRight w:val="0"/>
          <w:marTop w:val="0"/>
          <w:marBottom w:val="0"/>
          <w:divBdr>
            <w:top w:val="none" w:sz="0" w:space="0" w:color="auto"/>
            <w:left w:val="none" w:sz="0" w:space="0" w:color="auto"/>
            <w:bottom w:val="none" w:sz="0" w:space="0" w:color="auto"/>
            <w:right w:val="none" w:sz="0" w:space="0" w:color="auto"/>
          </w:divBdr>
          <w:divsChild>
            <w:div w:id="370154886">
              <w:marLeft w:val="0"/>
              <w:marRight w:val="0"/>
              <w:marTop w:val="0"/>
              <w:marBottom w:val="0"/>
              <w:divBdr>
                <w:top w:val="none" w:sz="0" w:space="0" w:color="auto"/>
                <w:left w:val="none" w:sz="0" w:space="0" w:color="auto"/>
                <w:bottom w:val="none" w:sz="0" w:space="0" w:color="auto"/>
                <w:right w:val="none" w:sz="0" w:space="0" w:color="auto"/>
              </w:divBdr>
              <w:divsChild>
                <w:div w:id="15517684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01143678">
          <w:marLeft w:val="0"/>
          <w:marRight w:val="0"/>
          <w:marTop w:val="0"/>
          <w:marBottom w:val="0"/>
          <w:divBdr>
            <w:top w:val="none" w:sz="0" w:space="0" w:color="auto"/>
            <w:left w:val="none" w:sz="0" w:space="0" w:color="auto"/>
            <w:bottom w:val="none" w:sz="0" w:space="0" w:color="auto"/>
            <w:right w:val="none" w:sz="0" w:space="0" w:color="auto"/>
          </w:divBdr>
          <w:divsChild>
            <w:div w:id="323822326">
              <w:marLeft w:val="0"/>
              <w:marRight w:val="0"/>
              <w:marTop w:val="0"/>
              <w:marBottom w:val="0"/>
              <w:divBdr>
                <w:top w:val="none" w:sz="0" w:space="0" w:color="auto"/>
                <w:left w:val="none" w:sz="0" w:space="0" w:color="auto"/>
                <w:bottom w:val="none" w:sz="0" w:space="0" w:color="auto"/>
                <w:right w:val="none" w:sz="0" w:space="0" w:color="auto"/>
              </w:divBdr>
              <w:divsChild>
                <w:div w:id="84536062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25611732">
          <w:marLeft w:val="0"/>
          <w:marRight w:val="0"/>
          <w:marTop w:val="0"/>
          <w:marBottom w:val="0"/>
          <w:divBdr>
            <w:top w:val="none" w:sz="0" w:space="0" w:color="auto"/>
            <w:left w:val="none" w:sz="0" w:space="0" w:color="auto"/>
            <w:bottom w:val="none" w:sz="0" w:space="0" w:color="auto"/>
            <w:right w:val="none" w:sz="0" w:space="0" w:color="auto"/>
          </w:divBdr>
          <w:divsChild>
            <w:div w:id="1696688931">
              <w:marLeft w:val="0"/>
              <w:marRight w:val="0"/>
              <w:marTop w:val="0"/>
              <w:marBottom w:val="0"/>
              <w:divBdr>
                <w:top w:val="none" w:sz="0" w:space="0" w:color="auto"/>
                <w:left w:val="none" w:sz="0" w:space="0" w:color="auto"/>
                <w:bottom w:val="none" w:sz="0" w:space="0" w:color="auto"/>
                <w:right w:val="none" w:sz="0" w:space="0" w:color="auto"/>
              </w:divBdr>
              <w:divsChild>
                <w:div w:id="79437468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30635266">
          <w:marLeft w:val="0"/>
          <w:marRight w:val="0"/>
          <w:marTop w:val="0"/>
          <w:marBottom w:val="0"/>
          <w:divBdr>
            <w:top w:val="none" w:sz="0" w:space="0" w:color="auto"/>
            <w:left w:val="none" w:sz="0" w:space="0" w:color="auto"/>
            <w:bottom w:val="none" w:sz="0" w:space="0" w:color="auto"/>
            <w:right w:val="none" w:sz="0" w:space="0" w:color="auto"/>
          </w:divBdr>
          <w:divsChild>
            <w:div w:id="1797940937">
              <w:marLeft w:val="0"/>
              <w:marRight w:val="0"/>
              <w:marTop w:val="0"/>
              <w:marBottom w:val="0"/>
              <w:divBdr>
                <w:top w:val="none" w:sz="0" w:space="0" w:color="auto"/>
                <w:left w:val="none" w:sz="0" w:space="0" w:color="auto"/>
                <w:bottom w:val="none" w:sz="0" w:space="0" w:color="auto"/>
                <w:right w:val="none" w:sz="0" w:space="0" w:color="auto"/>
              </w:divBdr>
              <w:divsChild>
                <w:div w:id="59081805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85366431">
          <w:marLeft w:val="0"/>
          <w:marRight w:val="0"/>
          <w:marTop w:val="0"/>
          <w:marBottom w:val="0"/>
          <w:divBdr>
            <w:top w:val="none" w:sz="0" w:space="0" w:color="auto"/>
            <w:left w:val="none" w:sz="0" w:space="0" w:color="auto"/>
            <w:bottom w:val="none" w:sz="0" w:space="0" w:color="auto"/>
            <w:right w:val="none" w:sz="0" w:space="0" w:color="auto"/>
          </w:divBdr>
          <w:divsChild>
            <w:div w:id="923534802">
              <w:marLeft w:val="0"/>
              <w:marRight w:val="0"/>
              <w:marTop w:val="0"/>
              <w:marBottom w:val="0"/>
              <w:divBdr>
                <w:top w:val="none" w:sz="0" w:space="0" w:color="auto"/>
                <w:left w:val="none" w:sz="0" w:space="0" w:color="auto"/>
                <w:bottom w:val="none" w:sz="0" w:space="0" w:color="auto"/>
                <w:right w:val="none" w:sz="0" w:space="0" w:color="auto"/>
              </w:divBdr>
              <w:divsChild>
                <w:div w:id="139056894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91331978">
          <w:marLeft w:val="0"/>
          <w:marRight w:val="0"/>
          <w:marTop w:val="0"/>
          <w:marBottom w:val="0"/>
          <w:divBdr>
            <w:top w:val="none" w:sz="0" w:space="0" w:color="auto"/>
            <w:left w:val="none" w:sz="0" w:space="0" w:color="auto"/>
            <w:bottom w:val="none" w:sz="0" w:space="0" w:color="auto"/>
            <w:right w:val="none" w:sz="0" w:space="0" w:color="auto"/>
          </w:divBdr>
          <w:divsChild>
            <w:div w:id="547305805">
              <w:marLeft w:val="0"/>
              <w:marRight w:val="0"/>
              <w:marTop w:val="0"/>
              <w:marBottom w:val="0"/>
              <w:divBdr>
                <w:top w:val="none" w:sz="0" w:space="0" w:color="auto"/>
                <w:left w:val="none" w:sz="0" w:space="0" w:color="auto"/>
                <w:bottom w:val="none" w:sz="0" w:space="0" w:color="auto"/>
                <w:right w:val="none" w:sz="0" w:space="0" w:color="auto"/>
              </w:divBdr>
              <w:divsChild>
                <w:div w:id="5729081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394960420">
          <w:marLeft w:val="0"/>
          <w:marRight w:val="0"/>
          <w:marTop w:val="0"/>
          <w:marBottom w:val="0"/>
          <w:divBdr>
            <w:top w:val="none" w:sz="0" w:space="0" w:color="auto"/>
            <w:left w:val="none" w:sz="0" w:space="0" w:color="auto"/>
            <w:bottom w:val="none" w:sz="0" w:space="0" w:color="auto"/>
            <w:right w:val="none" w:sz="0" w:space="0" w:color="auto"/>
          </w:divBdr>
          <w:divsChild>
            <w:div w:id="437409950">
              <w:marLeft w:val="0"/>
              <w:marRight w:val="0"/>
              <w:marTop w:val="0"/>
              <w:marBottom w:val="0"/>
              <w:divBdr>
                <w:top w:val="none" w:sz="0" w:space="0" w:color="auto"/>
                <w:left w:val="none" w:sz="0" w:space="0" w:color="auto"/>
                <w:bottom w:val="none" w:sz="0" w:space="0" w:color="auto"/>
                <w:right w:val="none" w:sz="0" w:space="0" w:color="auto"/>
              </w:divBdr>
              <w:divsChild>
                <w:div w:id="1972092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34087524">
          <w:marLeft w:val="0"/>
          <w:marRight w:val="0"/>
          <w:marTop w:val="0"/>
          <w:marBottom w:val="0"/>
          <w:divBdr>
            <w:top w:val="none" w:sz="0" w:space="0" w:color="auto"/>
            <w:left w:val="none" w:sz="0" w:space="0" w:color="auto"/>
            <w:bottom w:val="none" w:sz="0" w:space="0" w:color="auto"/>
            <w:right w:val="none" w:sz="0" w:space="0" w:color="auto"/>
          </w:divBdr>
          <w:divsChild>
            <w:div w:id="1190529310">
              <w:marLeft w:val="0"/>
              <w:marRight w:val="0"/>
              <w:marTop w:val="0"/>
              <w:marBottom w:val="0"/>
              <w:divBdr>
                <w:top w:val="none" w:sz="0" w:space="0" w:color="auto"/>
                <w:left w:val="none" w:sz="0" w:space="0" w:color="auto"/>
                <w:bottom w:val="none" w:sz="0" w:space="0" w:color="auto"/>
                <w:right w:val="none" w:sz="0" w:space="0" w:color="auto"/>
              </w:divBdr>
              <w:divsChild>
                <w:div w:id="204802258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43915812">
          <w:marLeft w:val="0"/>
          <w:marRight w:val="0"/>
          <w:marTop w:val="0"/>
          <w:marBottom w:val="0"/>
          <w:divBdr>
            <w:top w:val="none" w:sz="0" w:space="0" w:color="auto"/>
            <w:left w:val="none" w:sz="0" w:space="0" w:color="auto"/>
            <w:bottom w:val="none" w:sz="0" w:space="0" w:color="auto"/>
            <w:right w:val="none" w:sz="0" w:space="0" w:color="auto"/>
          </w:divBdr>
          <w:divsChild>
            <w:div w:id="2106147757">
              <w:marLeft w:val="0"/>
              <w:marRight w:val="0"/>
              <w:marTop w:val="0"/>
              <w:marBottom w:val="0"/>
              <w:divBdr>
                <w:top w:val="none" w:sz="0" w:space="0" w:color="auto"/>
                <w:left w:val="none" w:sz="0" w:space="0" w:color="auto"/>
                <w:bottom w:val="none" w:sz="0" w:space="0" w:color="auto"/>
                <w:right w:val="none" w:sz="0" w:space="0" w:color="auto"/>
              </w:divBdr>
              <w:divsChild>
                <w:div w:id="17157735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07312903">
          <w:marLeft w:val="0"/>
          <w:marRight w:val="0"/>
          <w:marTop w:val="0"/>
          <w:marBottom w:val="0"/>
          <w:divBdr>
            <w:top w:val="none" w:sz="0" w:space="0" w:color="auto"/>
            <w:left w:val="none" w:sz="0" w:space="0" w:color="auto"/>
            <w:bottom w:val="none" w:sz="0" w:space="0" w:color="auto"/>
            <w:right w:val="none" w:sz="0" w:space="0" w:color="auto"/>
          </w:divBdr>
          <w:divsChild>
            <w:div w:id="1037391944">
              <w:marLeft w:val="0"/>
              <w:marRight w:val="0"/>
              <w:marTop w:val="0"/>
              <w:marBottom w:val="0"/>
              <w:divBdr>
                <w:top w:val="none" w:sz="0" w:space="0" w:color="auto"/>
                <w:left w:val="none" w:sz="0" w:space="0" w:color="auto"/>
                <w:bottom w:val="none" w:sz="0" w:space="0" w:color="auto"/>
                <w:right w:val="none" w:sz="0" w:space="0" w:color="auto"/>
              </w:divBdr>
              <w:divsChild>
                <w:div w:id="80362540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54605466">
          <w:marLeft w:val="0"/>
          <w:marRight w:val="0"/>
          <w:marTop w:val="0"/>
          <w:marBottom w:val="0"/>
          <w:divBdr>
            <w:top w:val="none" w:sz="0" w:space="0" w:color="auto"/>
            <w:left w:val="none" w:sz="0" w:space="0" w:color="auto"/>
            <w:bottom w:val="none" w:sz="0" w:space="0" w:color="auto"/>
            <w:right w:val="none" w:sz="0" w:space="0" w:color="auto"/>
          </w:divBdr>
          <w:divsChild>
            <w:div w:id="1515456942">
              <w:marLeft w:val="0"/>
              <w:marRight w:val="0"/>
              <w:marTop w:val="0"/>
              <w:marBottom w:val="0"/>
              <w:divBdr>
                <w:top w:val="none" w:sz="0" w:space="0" w:color="auto"/>
                <w:left w:val="none" w:sz="0" w:space="0" w:color="auto"/>
                <w:bottom w:val="none" w:sz="0" w:space="0" w:color="auto"/>
                <w:right w:val="none" w:sz="0" w:space="0" w:color="auto"/>
              </w:divBdr>
              <w:divsChild>
                <w:div w:id="213281958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10262627">
          <w:marLeft w:val="0"/>
          <w:marRight w:val="0"/>
          <w:marTop w:val="0"/>
          <w:marBottom w:val="0"/>
          <w:divBdr>
            <w:top w:val="none" w:sz="0" w:space="0" w:color="auto"/>
            <w:left w:val="none" w:sz="0" w:space="0" w:color="auto"/>
            <w:bottom w:val="none" w:sz="0" w:space="0" w:color="auto"/>
            <w:right w:val="none" w:sz="0" w:space="0" w:color="auto"/>
          </w:divBdr>
          <w:divsChild>
            <w:div w:id="1635479012">
              <w:marLeft w:val="0"/>
              <w:marRight w:val="0"/>
              <w:marTop w:val="0"/>
              <w:marBottom w:val="0"/>
              <w:divBdr>
                <w:top w:val="none" w:sz="0" w:space="0" w:color="auto"/>
                <w:left w:val="none" w:sz="0" w:space="0" w:color="auto"/>
                <w:bottom w:val="none" w:sz="0" w:space="0" w:color="auto"/>
                <w:right w:val="none" w:sz="0" w:space="0" w:color="auto"/>
              </w:divBdr>
              <w:divsChild>
                <w:div w:id="25082214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46812452">
          <w:marLeft w:val="0"/>
          <w:marRight w:val="0"/>
          <w:marTop w:val="0"/>
          <w:marBottom w:val="0"/>
          <w:divBdr>
            <w:top w:val="none" w:sz="0" w:space="0" w:color="auto"/>
            <w:left w:val="none" w:sz="0" w:space="0" w:color="auto"/>
            <w:bottom w:val="none" w:sz="0" w:space="0" w:color="auto"/>
            <w:right w:val="none" w:sz="0" w:space="0" w:color="auto"/>
          </w:divBdr>
          <w:divsChild>
            <w:div w:id="209924139">
              <w:marLeft w:val="0"/>
              <w:marRight w:val="0"/>
              <w:marTop w:val="0"/>
              <w:marBottom w:val="0"/>
              <w:divBdr>
                <w:top w:val="none" w:sz="0" w:space="0" w:color="auto"/>
                <w:left w:val="none" w:sz="0" w:space="0" w:color="auto"/>
                <w:bottom w:val="none" w:sz="0" w:space="0" w:color="auto"/>
                <w:right w:val="none" w:sz="0" w:space="0" w:color="auto"/>
              </w:divBdr>
              <w:divsChild>
                <w:div w:id="167237041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098019759">
          <w:marLeft w:val="0"/>
          <w:marRight w:val="0"/>
          <w:marTop w:val="0"/>
          <w:marBottom w:val="0"/>
          <w:divBdr>
            <w:top w:val="none" w:sz="0" w:space="0" w:color="auto"/>
            <w:left w:val="none" w:sz="0" w:space="0" w:color="auto"/>
            <w:bottom w:val="none" w:sz="0" w:space="0" w:color="auto"/>
            <w:right w:val="none" w:sz="0" w:space="0" w:color="auto"/>
          </w:divBdr>
          <w:divsChild>
            <w:div w:id="1340351157">
              <w:marLeft w:val="0"/>
              <w:marRight w:val="0"/>
              <w:marTop w:val="0"/>
              <w:marBottom w:val="0"/>
              <w:divBdr>
                <w:top w:val="none" w:sz="0" w:space="0" w:color="auto"/>
                <w:left w:val="none" w:sz="0" w:space="0" w:color="auto"/>
                <w:bottom w:val="none" w:sz="0" w:space="0" w:color="auto"/>
                <w:right w:val="none" w:sz="0" w:space="0" w:color="auto"/>
              </w:divBdr>
              <w:divsChild>
                <w:div w:id="113976381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133">
      <w:bodyDiv w:val="1"/>
      <w:marLeft w:val="0"/>
      <w:marRight w:val="0"/>
      <w:marTop w:val="0"/>
      <w:marBottom w:val="0"/>
      <w:divBdr>
        <w:top w:val="none" w:sz="0" w:space="0" w:color="auto"/>
        <w:left w:val="none" w:sz="0" w:space="0" w:color="auto"/>
        <w:bottom w:val="none" w:sz="0" w:space="0" w:color="auto"/>
        <w:right w:val="none" w:sz="0" w:space="0" w:color="auto"/>
      </w:divBdr>
    </w:div>
    <w:div w:id="1611550855">
      <w:bodyDiv w:val="1"/>
      <w:marLeft w:val="0"/>
      <w:marRight w:val="0"/>
      <w:marTop w:val="0"/>
      <w:marBottom w:val="0"/>
      <w:divBdr>
        <w:top w:val="none" w:sz="0" w:space="0" w:color="auto"/>
        <w:left w:val="none" w:sz="0" w:space="0" w:color="auto"/>
        <w:bottom w:val="none" w:sz="0" w:space="0" w:color="auto"/>
        <w:right w:val="none" w:sz="0" w:space="0" w:color="auto"/>
      </w:divBdr>
      <w:divsChild>
        <w:div w:id="11612866">
          <w:marLeft w:val="0"/>
          <w:marRight w:val="0"/>
          <w:marTop w:val="0"/>
          <w:marBottom w:val="0"/>
          <w:divBdr>
            <w:top w:val="none" w:sz="0" w:space="0" w:color="auto"/>
            <w:left w:val="none" w:sz="0" w:space="0" w:color="auto"/>
            <w:bottom w:val="none" w:sz="0" w:space="0" w:color="auto"/>
            <w:right w:val="none" w:sz="0" w:space="0" w:color="auto"/>
          </w:divBdr>
          <w:divsChild>
            <w:div w:id="1149328754">
              <w:marLeft w:val="0"/>
              <w:marRight w:val="0"/>
              <w:marTop w:val="0"/>
              <w:marBottom w:val="0"/>
              <w:divBdr>
                <w:top w:val="none" w:sz="0" w:space="0" w:color="auto"/>
                <w:left w:val="none" w:sz="0" w:space="0" w:color="auto"/>
                <w:bottom w:val="none" w:sz="0" w:space="0" w:color="auto"/>
                <w:right w:val="none" w:sz="0" w:space="0" w:color="auto"/>
              </w:divBdr>
              <w:divsChild>
                <w:div w:id="209527672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16294009">
          <w:marLeft w:val="0"/>
          <w:marRight w:val="0"/>
          <w:marTop w:val="0"/>
          <w:marBottom w:val="0"/>
          <w:divBdr>
            <w:top w:val="none" w:sz="0" w:space="0" w:color="auto"/>
            <w:left w:val="none" w:sz="0" w:space="0" w:color="auto"/>
            <w:bottom w:val="none" w:sz="0" w:space="0" w:color="auto"/>
            <w:right w:val="none" w:sz="0" w:space="0" w:color="auto"/>
          </w:divBdr>
          <w:divsChild>
            <w:div w:id="1650359371">
              <w:marLeft w:val="0"/>
              <w:marRight w:val="0"/>
              <w:marTop w:val="0"/>
              <w:marBottom w:val="0"/>
              <w:divBdr>
                <w:top w:val="none" w:sz="0" w:space="0" w:color="auto"/>
                <w:left w:val="none" w:sz="0" w:space="0" w:color="auto"/>
                <w:bottom w:val="none" w:sz="0" w:space="0" w:color="auto"/>
                <w:right w:val="none" w:sz="0" w:space="0" w:color="auto"/>
              </w:divBdr>
              <w:divsChild>
                <w:div w:id="80566417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036687761">
          <w:marLeft w:val="0"/>
          <w:marRight w:val="0"/>
          <w:marTop w:val="0"/>
          <w:marBottom w:val="0"/>
          <w:divBdr>
            <w:top w:val="none" w:sz="0" w:space="0" w:color="auto"/>
            <w:left w:val="none" w:sz="0" w:space="0" w:color="auto"/>
            <w:bottom w:val="none" w:sz="0" w:space="0" w:color="auto"/>
            <w:right w:val="none" w:sz="0" w:space="0" w:color="auto"/>
          </w:divBdr>
          <w:divsChild>
            <w:div w:id="1259406583">
              <w:marLeft w:val="0"/>
              <w:marRight w:val="0"/>
              <w:marTop w:val="0"/>
              <w:marBottom w:val="0"/>
              <w:divBdr>
                <w:top w:val="none" w:sz="0" w:space="0" w:color="auto"/>
                <w:left w:val="none" w:sz="0" w:space="0" w:color="auto"/>
                <w:bottom w:val="none" w:sz="0" w:space="0" w:color="auto"/>
                <w:right w:val="none" w:sz="0" w:space="0" w:color="auto"/>
              </w:divBdr>
              <w:divsChild>
                <w:div w:id="145656111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555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dcalc.org/calc/relative_risk.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inasthma.org/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31D3BCB5-AA84-44EE-A45B-B2FB8018E01C}">
  <ds:schemaRefs>
    <ds:schemaRef ds:uri="http://purl.org/dc/elements/1.1/"/>
    <ds:schemaRef ds:uri="72f95629-adac-4ec1-8738-e1cec852b92b"/>
    <ds:schemaRef ds:uri="http://www.w3.org/XML/1998/namespace"/>
    <ds:schemaRef ds:uri="http://purl.org/dc/dcmitype/"/>
    <ds:schemaRef ds:uri="http://purl.org/dc/terms/"/>
    <ds:schemaRef ds:uri="http://schemas.microsoft.com/office/2006/documentManagement/types"/>
    <ds:schemaRef ds:uri="7f856f8d-13b3-495a-9a4b-41f8182eda4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13DF3A2-2CCC-45F9-8184-1F9DE431AE2A}">
  <ds:schemaRefs>
    <ds:schemaRef ds:uri="http://schemas.microsoft.com/sharepoint/v3/contenttype/forms"/>
  </ds:schemaRefs>
</ds:datastoreItem>
</file>

<file path=customXml/itemProps4.xml><?xml version="1.0" encoding="utf-8"?>
<ds:datastoreItem xmlns:ds="http://schemas.openxmlformats.org/officeDocument/2006/customXml" ds:itemID="{24343FBE-42AC-4BD8-B81D-1AEBA6ADF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32812</Words>
  <Characters>186501</Characters>
  <Application>Microsoft Office Word</Application>
  <DocSecurity>0</DocSecurity>
  <Lines>5328</Lines>
  <Paragraphs>3322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215991</CharactersWithSpaces>
  <SharedDoc>false</SharedDoc>
  <HLinks>
    <vt:vector size="12" baseType="variant">
      <vt:variant>
        <vt:i4>1179692</vt:i4>
      </vt:variant>
      <vt:variant>
        <vt:i4>102</vt:i4>
      </vt:variant>
      <vt:variant>
        <vt:i4>0</vt:i4>
      </vt:variant>
      <vt:variant>
        <vt:i4>5</vt:i4>
      </vt:variant>
      <vt:variant>
        <vt:lpwstr>https://www.medcalc.org/calc/relative_risk.php</vt:lpwstr>
      </vt:variant>
      <vt:variant>
        <vt:lpwstr/>
      </vt:variant>
      <vt:variant>
        <vt:i4>5439564</vt:i4>
      </vt:variant>
      <vt:variant>
        <vt:i4>0</vt:i4>
      </vt:variant>
      <vt:variant>
        <vt:i4>0</vt:i4>
      </vt:variant>
      <vt:variant>
        <vt:i4>5</vt:i4>
      </vt:variant>
      <vt:variant>
        <vt:lpwstr>http://www.ginasthma.org/reports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2026-02-26T01:03:00Z</dcterms:created>
  <dcterms:modified xsi:type="dcterms:W3CDTF">2026-02-26T01:13:00Z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5e8cc103,1c85ea5b,3d3d6a83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1b0826,4ff0170c,67df9bc0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2025-11-28T01:20:20Z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417eb89e-d7c3-48a8-bcfe-9c0cdf8d3da0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