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B0D5" w14:textId="2D9E2069" w:rsidR="00934CC0" w:rsidRDefault="00860315" w:rsidP="00934CC0">
      <w:pPr>
        <w:pStyle w:val="COMH1-notnumbered"/>
      </w:pPr>
      <w:bookmarkStart w:id="0" w:name="_Toc208928356"/>
      <w:r>
        <w:t>7</w:t>
      </w:r>
      <w:r w:rsidR="00433044" w:rsidRPr="0098262F">
        <w:t>.</w:t>
      </w:r>
      <w:r>
        <w:t>04</w:t>
      </w:r>
      <w:r w:rsidR="00163F66" w:rsidRPr="0098262F">
        <w:tab/>
      </w:r>
      <w:r w:rsidR="00934CC0">
        <w:t>SEMAGLUTIDE</w:t>
      </w:r>
      <w:r w:rsidR="00163F66" w:rsidRPr="0098262F">
        <w:t>,</w:t>
      </w:r>
      <w:r w:rsidR="00163F66" w:rsidRPr="0098262F">
        <w:br/>
      </w:r>
      <w:r w:rsidR="00934CC0" w:rsidRPr="00934CC0">
        <w:t>Solution for injection 0.25 mg in 0.5 mL single dose pre-filled pen</w:t>
      </w:r>
      <w:r w:rsidR="00934CC0">
        <w:t>,</w:t>
      </w:r>
      <w:r w:rsidR="00934CC0" w:rsidRPr="00934CC0">
        <w:t xml:space="preserve"> </w:t>
      </w:r>
      <w:r w:rsidR="00934CC0">
        <w:br/>
      </w:r>
      <w:r w:rsidR="00934CC0" w:rsidRPr="00934CC0">
        <w:t>Solution for injection 0.5 mg in 0.5 mL single dose pre-filled pen</w:t>
      </w:r>
      <w:r w:rsidR="00934CC0">
        <w:t>,</w:t>
      </w:r>
      <w:r w:rsidR="00934CC0" w:rsidRPr="00934CC0">
        <w:t xml:space="preserve"> </w:t>
      </w:r>
      <w:r w:rsidR="00934CC0">
        <w:br/>
      </w:r>
      <w:r w:rsidR="00934CC0" w:rsidRPr="00934CC0">
        <w:t>Solution for injection 1 mg in 0.5 mL single dose pre-filled pen</w:t>
      </w:r>
      <w:r w:rsidR="00934CC0">
        <w:t>,</w:t>
      </w:r>
      <w:r w:rsidR="00934CC0" w:rsidRPr="00934CC0">
        <w:t xml:space="preserve"> </w:t>
      </w:r>
      <w:r w:rsidR="00934CC0">
        <w:br/>
      </w:r>
      <w:r w:rsidR="00934CC0" w:rsidRPr="00934CC0">
        <w:t>Solution for injection 1.7 mg in 0.75 mL single dose pre-filled pen</w:t>
      </w:r>
      <w:r w:rsidR="00934CC0">
        <w:t>,</w:t>
      </w:r>
      <w:r w:rsidR="00934CC0" w:rsidRPr="00934CC0">
        <w:t xml:space="preserve"> </w:t>
      </w:r>
      <w:r w:rsidR="00934CC0">
        <w:br/>
      </w:r>
      <w:r w:rsidR="00934CC0" w:rsidRPr="00934CC0">
        <w:t>Solution for injection 2.4mg in 0.75mL single dose pre-filled pen</w:t>
      </w:r>
      <w:r w:rsidR="00163F66" w:rsidRPr="0098262F">
        <w:t>,</w:t>
      </w:r>
      <w:r w:rsidR="00163F66" w:rsidRPr="0098262F">
        <w:br/>
      </w:r>
      <w:r w:rsidR="00934CC0">
        <w:t>Wegovy</w:t>
      </w:r>
      <w:r w:rsidR="00B60939" w:rsidRPr="0098262F">
        <w:rPr>
          <w:vertAlign w:val="superscript"/>
        </w:rPr>
        <w:t>®</w:t>
      </w:r>
      <w:r w:rsidR="004A6040" w:rsidRPr="0098262F">
        <w:t>,</w:t>
      </w:r>
      <w:r w:rsidR="004A6040" w:rsidRPr="0098262F">
        <w:br/>
      </w:r>
      <w:r w:rsidR="00934CC0" w:rsidRPr="00934CC0">
        <w:t>NOVO NORDISK PHARMACEUTICALS PTY. LIMITED</w:t>
      </w:r>
      <w:bookmarkEnd w:id="0"/>
    </w:p>
    <w:p w14:paraId="11C00795" w14:textId="3DFB6D23" w:rsidR="00B50DB8" w:rsidRPr="007E186A" w:rsidRDefault="00B50DB8" w:rsidP="002B2723">
      <w:pPr>
        <w:pStyle w:val="COMESH2"/>
      </w:pPr>
      <w:bookmarkStart w:id="1" w:name="_Toc208928358"/>
      <w:r w:rsidRPr="007E186A">
        <w:t xml:space="preserve">Purpose of </w:t>
      </w:r>
      <w:r w:rsidR="00CD7193" w:rsidRPr="007E186A">
        <w:t>s</w:t>
      </w:r>
      <w:r w:rsidR="00BB3A45" w:rsidRPr="007E186A">
        <w:t>ubmission</w:t>
      </w:r>
      <w:bookmarkEnd w:id="1"/>
    </w:p>
    <w:p w14:paraId="33477AFB" w14:textId="2186E8A1" w:rsidR="00DA5129" w:rsidRDefault="0EFCAB15" w:rsidP="004E18E9">
      <w:pPr>
        <w:pStyle w:val="COMESnumberedpara"/>
      </w:pPr>
      <w:r>
        <w:t xml:space="preserve">The standard re-entry </w:t>
      </w:r>
      <w:r w:rsidR="4F91782B">
        <w:t>re</w:t>
      </w:r>
      <w:r>
        <w:t>submission requested a General Schedule Authority Required (telephone/online) listing for treatment initiation and grandfathering</w:t>
      </w:r>
      <w:r w:rsidR="62EBECB9">
        <w:t>,</w:t>
      </w:r>
      <w:r>
        <w:t xml:space="preserve"> as well as a Streamlined Authority listing for treatment continuation of semaglutide in patients with established cardiovascular disease (eCVD) with obesity.</w:t>
      </w:r>
      <w:r w:rsidR="4F91782B">
        <w:t xml:space="preserve"> </w:t>
      </w:r>
      <w:bookmarkStart w:id="2" w:name="_Ref213918054"/>
      <w:r w:rsidR="6B71BF2B">
        <w:t>The</w:t>
      </w:r>
      <w:r w:rsidR="703928E3" w:rsidRPr="0A99B0B1">
        <w:rPr>
          <w:color w:val="000000" w:themeColor="text1"/>
        </w:rPr>
        <w:t xml:space="preserve"> resubmission noted that</w:t>
      </w:r>
      <w:r w:rsidR="6FBD0B7D" w:rsidRPr="0A99B0B1">
        <w:rPr>
          <w:color w:val="000000" w:themeColor="text1"/>
        </w:rPr>
        <w:t>,</w:t>
      </w:r>
      <w:r w:rsidR="703928E3" w:rsidRPr="0A99B0B1">
        <w:rPr>
          <w:color w:val="000000" w:themeColor="text1"/>
        </w:rPr>
        <w:t xml:space="preserve"> given the comprehensively revised patient population, place in therapy, clinical claim and economic evaluation, it is best viewed as a </w:t>
      </w:r>
      <w:r w:rsidR="703928E3" w:rsidRPr="0A99B0B1">
        <w:rPr>
          <w:i/>
          <w:iCs/>
          <w:color w:val="000000" w:themeColor="text1"/>
        </w:rPr>
        <w:t>de novo</w:t>
      </w:r>
      <w:r w:rsidR="703928E3" w:rsidRPr="0A99B0B1">
        <w:rPr>
          <w:color w:val="000000" w:themeColor="text1"/>
        </w:rPr>
        <w:t xml:space="preserve"> application for the recently approved TGA indication for secondary prevention of cardiovascular events, rather than a continuation of previous listing requests for use in patients with overweight and obesity.</w:t>
      </w:r>
      <w:bookmarkEnd w:id="2"/>
    </w:p>
    <w:p w14:paraId="03AF141B" w14:textId="05F8C26D" w:rsidR="0020516D" w:rsidRDefault="0020516D" w:rsidP="004E18E9">
      <w:pPr>
        <w:pStyle w:val="COMESnumberedpara"/>
      </w:pPr>
      <w:r w:rsidRPr="0020516D">
        <w:t xml:space="preserve">The resubmission identified three alternative target patient populations with established cardiovascular disease based on different </w:t>
      </w:r>
      <w:r w:rsidR="003C3B51">
        <w:t>Body Mass Index (</w:t>
      </w:r>
      <w:r w:rsidRPr="0020516D">
        <w:t>BMI</w:t>
      </w:r>
      <w:r w:rsidR="003C3B51">
        <w:t>)</w:t>
      </w:r>
      <w:r w:rsidRPr="0020516D">
        <w:t xml:space="preserve"> thresholds: </w:t>
      </w:r>
      <w:r w:rsidR="00D01372">
        <w:t>≥</w:t>
      </w:r>
      <w:r w:rsidRPr="0020516D">
        <w:t>27 kg/m</w:t>
      </w:r>
      <w:r w:rsidRPr="0020516D">
        <w:rPr>
          <w:vertAlign w:val="superscript"/>
        </w:rPr>
        <w:t>2</w:t>
      </w:r>
      <w:r w:rsidRPr="0020516D">
        <w:t xml:space="preserve">, </w:t>
      </w:r>
      <w:r w:rsidR="00D01372">
        <w:t>≥</w:t>
      </w:r>
      <w:r w:rsidRPr="0020516D">
        <w:t>35 kg/m</w:t>
      </w:r>
      <w:r w:rsidRPr="0020516D">
        <w:rPr>
          <w:vertAlign w:val="superscript"/>
        </w:rPr>
        <w:t>2</w:t>
      </w:r>
      <w:r w:rsidRPr="0020516D">
        <w:t xml:space="preserve"> and </w:t>
      </w:r>
      <w:r w:rsidR="00D01372">
        <w:t>≥</w:t>
      </w:r>
      <w:r w:rsidRPr="0020516D">
        <w:t>40 kg/m</w:t>
      </w:r>
      <w:r w:rsidRPr="0020516D">
        <w:rPr>
          <w:vertAlign w:val="superscript"/>
        </w:rPr>
        <w:t>2</w:t>
      </w:r>
      <w:r w:rsidRPr="0020516D">
        <w:t xml:space="preserve">. The resubmission stated that the patient population with a BMI </w:t>
      </w:r>
      <w:r w:rsidR="00D01372">
        <w:t>≥</w:t>
      </w:r>
      <w:r w:rsidRPr="0020516D">
        <w:t>40 kg/m</w:t>
      </w:r>
      <w:r w:rsidRPr="0020516D">
        <w:rPr>
          <w:vertAlign w:val="superscript"/>
        </w:rPr>
        <w:t>2</w:t>
      </w:r>
      <w:r w:rsidRPr="0020516D">
        <w:t xml:space="preserve"> should be considered the main population as these patients represent a priority population with the highest clinical need. The resubmission claimed that these patient populations remain at significant risk of further cardiovascular events despite standard of care therapies and there is a clinical need for semaglutide as a weight loss treatment with proven reductions in cardiovascular events.</w:t>
      </w:r>
    </w:p>
    <w:p w14:paraId="15077E28" w14:textId="458F9E97" w:rsidR="0020516D" w:rsidRDefault="0020516D" w:rsidP="0020516D">
      <w:pPr>
        <w:pStyle w:val="COMESnumberedpara"/>
      </w:pPr>
      <w:r w:rsidRPr="0020516D">
        <w:t xml:space="preserve">Listing was requested </w:t>
      </w:r>
      <w:proofErr w:type="gramStart"/>
      <w:r w:rsidRPr="0020516D">
        <w:t>on the basis of</w:t>
      </w:r>
      <w:proofErr w:type="gramEnd"/>
      <w:r w:rsidRPr="0020516D">
        <w:t xml:space="preserve"> a cost</w:t>
      </w:r>
      <w:r w:rsidR="00042F21">
        <w:t xml:space="preserve"> </w:t>
      </w:r>
      <w:r w:rsidRPr="0020516D">
        <w:t>effectiveness analysis versus placebo.</w:t>
      </w:r>
    </w:p>
    <w:p w14:paraId="3AFB2F0C" w14:textId="34B6F0D3" w:rsidR="0020516D" w:rsidRPr="0098262F" w:rsidRDefault="00055136" w:rsidP="00055136">
      <w:pPr>
        <w:pStyle w:val="Caption"/>
      </w:pPr>
      <w:r>
        <w:lastRenderedPageBreak/>
        <w:t xml:space="preserve">Table </w:t>
      </w:r>
      <w:r w:rsidR="005448C5">
        <w:fldChar w:fldCharType="begin"/>
      </w:r>
      <w:r w:rsidR="005448C5">
        <w:instrText xml:space="preserve"> SEQ Table \* ARABIC </w:instrText>
      </w:r>
      <w:r w:rsidR="005448C5">
        <w:fldChar w:fldCharType="separate"/>
      </w:r>
      <w:r w:rsidR="004F1BBD">
        <w:rPr>
          <w:noProof/>
        </w:rPr>
        <w:t>1</w:t>
      </w:r>
      <w:r w:rsidR="005448C5">
        <w:rPr>
          <w:noProof/>
        </w:rPr>
        <w:fldChar w:fldCharType="end"/>
      </w:r>
      <w:r w:rsidR="0020516D" w:rsidRPr="0098262F">
        <w:t xml:space="preserve">: Key components of the clinical issue addressed </w:t>
      </w:r>
      <w:r w:rsidR="0020516D">
        <w:t>in</w:t>
      </w:r>
      <w:r w:rsidR="0020516D" w:rsidRPr="0098262F">
        <w:t xml:space="preserve"> the </w:t>
      </w:r>
      <w:r w:rsidR="0020516D">
        <w:t>re</w:t>
      </w:r>
      <w:r w:rsidR="0020516D" w:rsidRPr="0098262F">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Caption w:val="Key components of the clinical issue addressed in the resubmission"/>
      </w:tblPr>
      <w:tblGrid>
        <w:gridCol w:w="1656"/>
        <w:gridCol w:w="7361"/>
      </w:tblGrid>
      <w:tr w:rsidR="0020516D" w:rsidRPr="0098262F" w14:paraId="73595E20" w14:textId="77777777" w:rsidTr="00423F84">
        <w:tc>
          <w:tcPr>
            <w:tcW w:w="1668" w:type="dxa"/>
            <w:vAlign w:val="center"/>
          </w:tcPr>
          <w:p w14:paraId="5148AAA9" w14:textId="77777777" w:rsidR="0020516D" w:rsidRPr="0098262F" w:rsidRDefault="0020516D">
            <w:pPr>
              <w:pStyle w:val="COMTableheadingrow"/>
            </w:pPr>
            <w:r w:rsidRPr="0098262F">
              <w:t>Component</w:t>
            </w:r>
          </w:p>
        </w:tc>
        <w:tc>
          <w:tcPr>
            <w:tcW w:w="7488" w:type="dxa"/>
            <w:vAlign w:val="center"/>
          </w:tcPr>
          <w:p w14:paraId="6BC80449" w14:textId="77777777" w:rsidR="0020516D" w:rsidRPr="0098262F" w:rsidRDefault="0020516D">
            <w:pPr>
              <w:pStyle w:val="COMTableheadingrow"/>
            </w:pPr>
            <w:r w:rsidRPr="0098262F">
              <w:t>Description</w:t>
            </w:r>
          </w:p>
        </w:tc>
      </w:tr>
      <w:tr w:rsidR="0020516D" w:rsidRPr="0098262F" w14:paraId="51663AFF" w14:textId="77777777" w:rsidTr="00423F84">
        <w:tc>
          <w:tcPr>
            <w:tcW w:w="1668" w:type="dxa"/>
            <w:vAlign w:val="center"/>
          </w:tcPr>
          <w:p w14:paraId="467CEA56" w14:textId="77777777" w:rsidR="0020516D" w:rsidRPr="0098262F" w:rsidRDefault="0020516D">
            <w:pPr>
              <w:pStyle w:val="COMTabletext"/>
            </w:pPr>
            <w:r w:rsidRPr="0098262F">
              <w:t>Population</w:t>
            </w:r>
          </w:p>
        </w:tc>
        <w:tc>
          <w:tcPr>
            <w:tcW w:w="7488" w:type="dxa"/>
            <w:vAlign w:val="center"/>
          </w:tcPr>
          <w:p w14:paraId="4136B0B2" w14:textId="77777777" w:rsidR="0020516D" w:rsidRDefault="0020516D" w:rsidP="000F4EE5">
            <w:pPr>
              <w:pStyle w:val="COMTabletext"/>
              <w:spacing w:after="60"/>
            </w:pPr>
            <w:r>
              <w:t>Adults with established cardiovascular disease (defined as a documented history of prior myocardial infarction, stroke, or symptomatic peripheral arterial disease) and:</w:t>
            </w:r>
          </w:p>
          <w:p w14:paraId="6A257321" w14:textId="5E3BDCDF" w:rsidR="0020516D" w:rsidRDefault="0020516D" w:rsidP="00D129C3">
            <w:pPr>
              <w:pStyle w:val="COMTabletext"/>
              <w:numPr>
                <w:ilvl w:val="0"/>
                <w:numId w:val="15"/>
              </w:numPr>
              <w:ind w:left="284" w:hanging="284"/>
            </w:pPr>
            <w:r>
              <w:t xml:space="preserve">Option 1 (priority population): with BMI </w:t>
            </w:r>
            <w:r w:rsidR="00D01372">
              <w:t>≥</w:t>
            </w:r>
            <w:r>
              <w:t>40 kg/m</w:t>
            </w:r>
            <w:r w:rsidRPr="000F4EE5">
              <w:rPr>
                <w:vertAlign w:val="superscript"/>
              </w:rPr>
              <w:t>2</w:t>
            </w:r>
            <w:r w:rsidR="00FE5E53">
              <w:rPr>
                <w:vertAlign w:val="superscript"/>
              </w:rPr>
              <w:t xml:space="preserve"> </w:t>
            </w:r>
            <w:r w:rsidR="008241CF" w:rsidRPr="004F4B90">
              <w:t>or ≥37.5 kg/m</w:t>
            </w:r>
            <w:r w:rsidR="008241CF" w:rsidRPr="004F4B90">
              <w:rPr>
                <w:vertAlign w:val="superscript"/>
              </w:rPr>
              <w:t>2</w:t>
            </w:r>
            <w:r w:rsidR="008241CF" w:rsidRPr="004F4B90">
              <w:t xml:space="preserve"> for </w:t>
            </w:r>
            <w:r w:rsidR="008241CF" w:rsidRPr="00B33EDE">
              <w:t>Aboriginal and Torres Strait Islander</w:t>
            </w:r>
            <w:r w:rsidR="008241CF" w:rsidRPr="004F4B90">
              <w:t xml:space="preserve">/Asian </w:t>
            </w:r>
            <w:r w:rsidR="008241CF" w:rsidRPr="00B33EDE">
              <w:t>persons</w:t>
            </w:r>
          </w:p>
          <w:p w14:paraId="39BEAA5B" w14:textId="5FD47ECB" w:rsidR="0020516D" w:rsidRDefault="0020516D" w:rsidP="00D129C3">
            <w:pPr>
              <w:pStyle w:val="COMTabletext"/>
              <w:numPr>
                <w:ilvl w:val="0"/>
                <w:numId w:val="15"/>
              </w:numPr>
              <w:ind w:left="284" w:hanging="284"/>
            </w:pPr>
            <w:r>
              <w:t xml:space="preserve">Option 2: with BMI </w:t>
            </w:r>
            <w:r w:rsidR="00D01372">
              <w:t>≥</w:t>
            </w:r>
            <w:r>
              <w:t>35 kg/m</w:t>
            </w:r>
            <w:r w:rsidRPr="000F4EE5">
              <w:rPr>
                <w:vertAlign w:val="superscript"/>
              </w:rPr>
              <w:t>2</w:t>
            </w:r>
            <w:r w:rsidR="008241CF">
              <w:t xml:space="preserve"> </w:t>
            </w:r>
            <w:r w:rsidR="008241CF" w:rsidRPr="004F4B90">
              <w:t>or ≥3</w:t>
            </w:r>
            <w:r w:rsidR="008241CF">
              <w:t>2</w:t>
            </w:r>
            <w:r w:rsidR="008241CF" w:rsidRPr="004F4B90">
              <w:t>.5 kg/m</w:t>
            </w:r>
            <w:r w:rsidR="008241CF" w:rsidRPr="004F4B90">
              <w:rPr>
                <w:vertAlign w:val="superscript"/>
              </w:rPr>
              <w:t>2</w:t>
            </w:r>
            <w:r w:rsidR="008241CF" w:rsidRPr="004F4B90">
              <w:t xml:space="preserve"> for </w:t>
            </w:r>
            <w:r w:rsidR="008241CF" w:rsidRPr="00B33EDE">
              <w:t>Aboriginal and Torres Strait Islander</w:t>
            </w:r>
            <w:r w:rsidR="008241CF" w:rsidRPr="004F4B90">
              <w:t xml:space="preserve">/Asian </w:t>
            </w:r>
            <w:r w:rsidR="008241CF" w:rsidRPr="00B33EDE">
              <w:t>persons</w:t>
            </w:r>
          </w:p>
          <w:p w14:paraId="629A3814" w14:textId="6064DEBB" w:rsidR="0020516D" w:rsidRPr="0098262F" w:rsidRDefault="0020516D" w:rsidP="00D129C3">
            <w:pPr>
              <w:pStyle w:val="COMTabletext"/>
              <w:numPr>
                <w:ilvl w:val="0"/>
                <w:numId w:val="15"/>
              </w:numPr>
              <w:ind w:left="284" w:hanging="284"/>
            </w:pPr>
            <w:r>
              <w:t xml:space="preserve">Option 3: with BMI </w:t>
            </w:r>
            <w:r w:rsidR="00D01372">
              <w:t>≥</w:t>
            </w:r>
            <w:r>
              <w:t>27 kg/m</w:t>
            </w:r>
            <w:r w:rsidRPr="000F4EE5">
              <w:rPr>
                <w:vertAlign w:val="superscript"/>
              </w:rPr>
              <w:t>2</w:t>
            </w:r>
            <w:r w:rsidR="008241CF">
              <w:t xml:space="preserve"> </w:t>
            </w:r>
            <w:r w:rsidR="008241CF" w:rsidRPr="004F4B90">
              <w:t>or ≥</w:t>
            </w:r>
            <w:r w:rsidR="008241CF">
              <w:t>2</w:t>
            </w:r>
            <w:r w:rsidR="008241CF" w:rsidRPr="004F4B90">
              <w:t>5 kg/m</w:t>
            </w:r>
            <w:r w:rsidR="008241CF" w:rsidRPr="004F4B90">
              <w:rPr>
                <w:vertAlign w:val="superscript"/>
              </w:rPr>
              <w:t>2</w:t>
            </w:r>
            <w:r w:rsidR="008241CF" w:rsidRPr="004F4B90">
              <w:t xml:space="preserve"> for </w:t>
            </w:r>
            <w:r w:rsidR="008241CF" w:rsidRPr="00B33EDE">
              <w:t>Aboriginal and Torres Strait Islander</w:t>
            </w:r>
            <w:r w:rsidR="008241CF" w:rsidRPr="004F4B90">
              <w:t xml:space="preserve">/Asian </w:t>
            </w:r>
            <w:r w:rsidR="008241CF" w:rsidRPr="00B33EDE">
              <w:t>persons</w:t>
            </w:r>
          </w:p>
        </w:tc>
      </w:tr>
      <w:tr w:rsidR="0020516D" w:rsidRPr="0098262F" w14:paraId="56534F72" w14:textId="77777777" w:rsidTr="00423F84">
        <w:tc>
          <w:tcPr>
            <w:tcW w:w="1668" w:type="dxa"/>
            <w:vAlign w:val="center"/>
          </w:tcPr>
          <w:p w14:paraId="59F21968" w14:textId="77777777" w:rsidR="0020516D" w:rsidRPr="0098262F" w:rsidRDefault="0020516D">
            <w:pPr>
              <w:pStyle w:val="COMTabletext"/>
            </w:pPr>
            <w:r w:rsidRPr="0098262F">
              <w:t>Intervention</w:t>
            </w:r>
          </w:p>
        </w:tc>
        <w:tc>
          <w:tcPr>
            <w:tcW w:w="7488" w:type="dxa"/>
            <w:vAlign w:val="center"/>
          </w:tcPr>
          <w:p w14:paraId="37C5A3A4" w14:textId="77777777" w:rsidR="0020516D" w:rsidRDefault="0020516D">
            <w:pPr>
              <w:pStyle w:val="COMTabletext"/>
              <w:spacing w:after="120"/>
            </w:pPr>
            <w:r w:rsidRPr="00594E4E">
              <w:t>Semaglutide subcutaneous injection once weekly. The recommended starting dose is 0.25 mg, with stepped dose escalation to 0.5 mg after 4 weeks, 1 mg after another 4 weeks, 1.7 mg after another 4 weeks, and then to 2.4 mg as the maintenance dose.</w:t>
            </w:r>
            <w:r>
              <w:t xml:space="preserve"> </w:t>
            </w:r>
            <w:r w:rsidRPr="00594E4E">
              <w:t xml:space="preserve">Patients who are unable to titrate to the recommended maintenance dose of 2.4 mg can decrease to a </w:t>
            </w:r>
            <w:r>
              <w:t xml:space="preserve">maintenance </w:t>
            </w:r>
            <w:r w:rsidRPr="00594E4E">
              <w:t xml:space="preserve">dose of 1.7 mg.  </w:t>
            </w:r>
          </w:p>
          <w:p w14:paraId="3423A3E5" w14:textId="638ECE25" w:rsidR="0020516D" w:rsidRPr="0098262F" w:rsidRDefault="0020516D">
            <w:pPr>
              <w:pStyle w:val="COMTabletext"/>
            </w:pPr>
            <w:r w:rsidRPr="003A2B3D">
              <w:t xml:space="preserve">This treatment regimen is intended to be used strictly in addition to individually tailored, clinically appropriate standard of care for initial management and secondary prevention of </w:t>
            </w:r>
            <w:r>
              <w:t>cardiovascular disease</w:t>
            </w:r>
            <w:r w:rsidRPr="003A2B3D">
              <w:t xml:space="preserve"> in an overweight or obese patient population, including any and all recommended and publicly funded, or otherwise reasonably accessible and affordable pharmacological, surgical, clinical, and/or lifestyle based interventions used within this to ensure maximal and sustained benefits of treatment.</w:t>
            </w:r>
          </w:p>
        </w:tc>
      </w:tr>
      <w:tr w:rsidR="0020516D" w:rsidRPr="0098262F" w14:paraId="250EB379" w14:textId="77777777" w:rsidTr="00423F84">
        <w:tc>
          <w:tcPr>
            <w:tcW w:w="1668" w:type="dxa"/>
            <w:vAlign w:val="center"/>
          </w:tcPr>
          <w:p w14:paraId="551BBEA6" w14:textId="77777777" w:rsidR="0020516D" w:rsidRPr="0098262F" w:rsidRDefault="0020516D">
            <w:pPr>
              <w:pStyle w:val="COMTabletext"/>
            </w:pPr>
            <w:r w:rsidRPr="0098262F">
              <w:t>Comparator</w:t>
            </w:r>
          </w:p>
        </w:tc>
        <w:tc>
          <w:tcPr>
            <w:tcW w:w="7488" w:type="dxa"/>
            <w:vAlign w:val="center"/>
          </w:tcPr>
          <w:p w14:paraId="246DD846" w14:textId="77777777" w:rsidR="0020516D" w:rsidRPr="0098262F" w:rsidRDefault="0020516D">
            <w:pPr>
              <w:pStyle w:val="COMTabletext"/>
            </w:pPr>
            <w:r>
              <w:t>Placebo in combination with standard of care therapies</w:t>
            </w:r>
          </w:p>
        </w:tc>
      </w:tr>
      <w:tr w:rsidR="0020516D" w:rsidRPr="0098262F" w14:paraId="6BABF4B8" w14:textId="77777777" w:rsidTr="00423F84">
        <w:tc>
          <w:tcPr>
            <w:tcW w:w="1668" w:type="dxa"/>
            <w:vAlign w:val="center"/>
          </w:tcPr>
          <w:p w14:paraId="4007EBB8" w14:textId="77777777" w:rsidR="0020516D" w:rsidRPr="0098262F" w:rsidRDefault="0020516D">
            <w:pPr>
              <w:pStyle w:val="COMTabletext"/>
            </w:pPr>
            <w:r w:rsidRPr="0098262F">
              <w:t>Outcomes</w:t>
            </w:r>
          </w:p>
        </w:tc>
        <w:tc>
          <w:tcPr>
            <w:tcW w:w="7488" w:type="dxa"/>
            <w:vAlign w:val="center"/>
          </w:tcPr>
          <w:p w14:paraId="0AEAC59E" w14:textId="77777777" w:rsidR="0020516D" w:rsidRPr="0098262F" w:rsidRDefault="0020516D">
            <w:pPr>
              <w:pStyle w:val="COMTabletext"/>
            </w:pPr>
            <w:r w:rsidRPr="006117F6">
              <w:t xml:space="preserve">Reduction in weight, improvement in cardiometabolic risk factors, reduced incidence of downstream complications (cardiovascular </w:t>
            </w:r>
            <w:r>
              <w:t>events</w:t>
            </w:r>
            <w:r w:rsidRPr="006117F6">
              <w:t>,</w:t>
            </w:r>
            <w:r>
              <w:t xml:space="preserve"> diabetes, chronic kidney disease</w:t>
            </w:r>
            <w:r w:rsidRPr="006117F6">
              <w:t>), increased survival</w:t>
            </w:r>
            <w:r>
              <w:t xml:space="preserve"> and</w:t>
            </w:r>
            <w:r w:rsidRPr="006117F6">
              <w:t xml:space="preserve"> improved quality of life.</w:t>
            </w:r>
          </w:p>
        </w:tc>
      </w:tr>
      <w:tr w:rsidR="0020516D" w:rsidRPr="0098262F" w14:paraId="1E73DCAF" w14:textId="77777777" w:rsidTr="00423F84">
        <w:tc>
          <w:tcPr>
            <w:tcW w:w="1668" w:type="dxa"/>
            <w:vAlign w:val="center"/>
          </w:tcPr>
          <w:p w14:paraId="3ED82B22" w14:textId="77777777" w:rsidR="0020516D" w:rsidRPr="0098262F" w:rsidRDefault="0020516D">
            <w:pPr>
              <w:pStyle w:val="COMTabletext"/>
            </w:pPr>
            <w:r w:rsidRPr="0098262F">
              <w:t>Clinical claim</w:t>
            </w:r>
          </w:p>
        </w:tc>
        <w:tc>
          <w:tcPr>
            <w:tcW w:w="7488" w:type="dxa"/>
            <w:vAlign w:val="center"/>
          </w:tcPr>
          <w:p w14:paraId="05FB8D99" w14:textId="77777777" w:rsidR="0020516D" w:rsidRPr="0098262F" w:rsidRDefault="0020516D">
            <w:pPr>
              <w:pStyle w:val="COMTabletext"/>
            </w:pPr>
            <w:r w:rsidRPr="00693C86">
              <w:t>Semaglutide is superior in terms of efficacy and inferior in terms of safety compared to placebo</w:t>
            </w:r>
          </w:p>
        </w:tc>
      </w:tr>
    </w:tbl>
    <w:p w14:paraId="5DE5DE98" w14:textId="77777777" w:rsidR="0020516D" w:rsidRDefault="0020516D" w:rsidP="0020516D">
      <w:pPr>
        <w:pStyle w:val="COMTablefooter"/>
      </w:pPr>
      <w:r w:rsidRPr="0098262F">
        <w:t xml:space="preserve">Source: </w:t>
      </w:r>
      <w:r>
        <w:t>Table 1-3, p23 of the resubmission</w:t>
      </w:r>
    </w:p>
    <w:p w14:paraId="56994FD3" w14:textId="77777777" w:rsidR="0020516D" w:rsidRDefault="0020516D" w:rsidP="0020516D">
      <w:pPr>
        <w:pStyle w:val="COMTablefooter"/>
      </w:pPr>
      <w:r>
        <w:t>Abbreviations: BMI, body mass index</w:t>
      </w:r>
    </w:p>
    <w:p w14:paraId="344E4D60" w14:textId="03E96A8D" w:rsidR="0020516D" w:rsidRDefault="0020516D" w:rsidP="0020516D">
      <w:pPr>
        <w:pStyle w:val="COMTablefooter"/>
      </w:pPr>
      <w:r>
        <w:t>Note: The resubmission proposed adjustments to the qualifying BMI thresholds (-2.5 kg/m</w:t>
      </w:r>
      <w:r w:rsidRPr="00D92634">
        <w:rPr>
          <w:vertAlign w:val="superscript"/>
        </w:rPr>
        <w:t>2</w:t>
      </w:r>
      <w:r>
        <w:t xml:space="preserve">) for Aboriginal and Torres Strait Islanders as well as patients of Asian descent. </w:t>
      </w:r>
    </w:p>
    <w:p w14:paraId="6B4AB6C2" w14:textId="7F01D731" w:rsidR="005C25FF" w:rsidRPr="0098262F" w:rsidRDefault="005C25FF" w:rsidP="001C6B82">
      <w:pPr>
        <w:pStyle w:val="COMESH2"/>
      </w:pPr>
      <w:bookmarkStart w:id="3" w:name="_Toc208928359"/>
      <w:r w:rsidRPr="0098262F">
        <w:t>Background</w:t>
      </w:r>
      <w:bookmarkEnd w:id="3"/>
    </w:p>
    <w:p w14:paraId="2C521D6D" w14:textId="78CF03EE" w:rsidR="005C25FF" w:rsidRPr="0098262F" w:rsidRDefault="005C25FF" w:rsidP="004A6040">
      <w:pPr>
        <w:pStyle w:val="COMESSubsectionheading"/>
      </w:pPr>
      <w:bookmarkStart w:id="4" w:name="_Toc22897638"/>
      <w:bookmarkStart w:id="5" w:name="_Toc208928360"/>
      <w:r w:rsidRPr="0098262F">
        <w:t>Registration status</w:t>
      </w:r>
      <w:bookmarkEnd w:id="4"/>
      <w:bookmarkEnd w:id="5"/>
    </w:p>
    <w:p w14:paraId="432EED44" w14:textId="77777777" w:rsidR="00D26F10" w:rsidRDefault="00D26F10" w:rsidP="00D26F10">
      <w:pPr>
        <w:pStyle w:val="COMESnumberedpara"/>
      </w:pPr>
      <w:r>
        <w:t>Semaglutide (Wegovy®, 0.25, 0.5, 1.0, 1.7 and 2.4 mg single or multi dose pen) is TGA registered for the following indications:</w:t>
      </w:r>
    </w:p>
    <w:p w14:paraId="7A5110A8" w14:textId="43770412" w:rsidR="00D26F10" w:rsidRDefault="00D26F10" w:rsidP="00D129C3">
      <w:pPr>
        <w:pStyle w:val="COMESnumberedpara"/>
        <w:numPr>
          <w:ilvl w:val="0"/>
          <w:numId w:val="9"/>
        </w:numPr>
      </w:pPr>
      <w:r>
        <w:t xml:space="preserve">As an adjunct to standard of care therapy to reduce the risk of major adverse cardiovascular events (cardiovascular death, non-fatal myocardial infarction or non-fatal stroke) in adults with established cardiovascular disease, with a BMI </w:t>
      </w:r>
      <w:r w:rsidR="00D01372">
        <w:t>≥</w:t>
      </w:r>
      <w:r>
        <w:t>27kg/m</w:t>
      </w:r>
      <w:r w:rsidRPr="00D26F10">
        <w:rPr>
          <w:vertAlign w:val="superscript"/>
        </w:rPr>
        <w:t>2</w:t>
      </w:r>
      <w:r>
        <w:t xml:space="preserve">, and without established </w:t>
      </w:r>
      <w:r w:rsidR="00D31C32">
        <w:t>T</w:t>
      </w:r>
      <w:r w:rsidR="00207FA0">
        <w:t>ype</w:t>
      </w:r>
      <w:r>
        <w:t xml:space="preserve"> 1 or </w:t>
      </w:r>
      <w:r w:rsidR="00D31C32">
        <w:t>T</w:t>
      </w:r>
      <w:r w:rsidR="00207FA0">
        <w:t>ype</w:t>
      </w:r>
      <w:r>
        <w:t xml:space="preserve"> 2 diabetes.</w:t>
      </w:r>
    </w:p>
    <w:p w14:paraId="12F8FDC3" w14:textId="02E9098A" w:rsidR="00D26F10" w:rsidRDefault="00D26F10" w:rsidP="00D129C3">
      <w:pPr>
        <w:pStyle w:val="COMESnumberedpara"/>
        <w:numPr>
          <w:ilvl w:val="0"/>
          <w:numId w:val="9"/>
        </w:numPr>
      </w:pPr>
      <w:r>
        <w:t>As an adjunct to a reduced-energy diet and increased physical activity for chronic weight management (including weight loss and weight maintenance) in adults with an initial B</w:t>
      </w:r>
      <w:r w:rsidR="00626A27">
        <w:t>MI</w:t>
      </w:r>
      <w:r>
        <w:t xml:space="preserve"> of </w:t>
      </w:r>
      <w:r w:rsidR="00D01372">
        <w:t>≥</w:t>
      </w:r>
      <w:r>
        <w:t>30 kg/m</w:t>
      </w:r>
      <w:r w:rsidRPr="00D26F10">
        <w:rPr>
          <w:vertAlign w:val="superscript"/>
        </w:rPr>
        <w:t>2</w:t>
      </w:r>
      <w:r>
        <w:t xml:space="preserve"> (obesity), or </w:t>
      </w:r>
      <w:r w:rsidR="00D01372">
        <w:t>≥</w:t>
      </w:r>
      <w:r>
        <w:t>27 kg/m</w:t>
      </w:r>
      <w:r w:rsidRPr="00D26F10">
        <w:rPr>
          <w:vertAlign w:val="superscript"/>
        </w:rPr>
        <w:t>2</w:t>
      </w:r>
      <w:r>
        <w:t xml:space="preserve"> to </w:t>
      </w:r>
      <w:r w:rsidR="00D01372">
        <w:t>&lt;</w:t>
      </w:r>
      <w:r>
        <w:t>30 kg/m</w:t>
      </w:r>
      <w:r w:rsidRPr="00D26F10">
        <w:rPr>
          <w:vertAlign w:val="superscript"/>
        </w:rPr>
        <w:t>2</w:t>
      </w:r>
      <w:r>
        <w:t xml:space="preserve"> (overweight) in the presence of at least one weight-related comorbidity.</w:t>
      </w:r>
    </w:p>
    <w:p w14:paraId="752BD7B6" w14:textId="77777777" w:rsidR="00D26F10" w:rsidRDefault="00D26F10" w:rsidP="00D129C3">
      <w:pPr>
        <w:pStyle w:val="COMESnumberedpara"/>
        <w:numPr>
          <w:ilvl w:val="0"/>
          <w:numId w:val="9"/>
        </w:numPr>
      </w:pPr>
      <w:r>
        <w:t>As an adjunct to a reduced-calorie diet and increased physical activity for weight management in adolescents ages 12 years and above with initial obesity (based on CDC growth charts) and body weight above 60 kg. Treatment should be re-evaluated and discontinued if adolescent patients have not reduced their BMI by at least 5% after 12 weeks on the 2.4 mg or maximum tolerated dose.</w:t>
      </w:r>
    </w:p>
    <w:p w14:paraId="0B320F67" w14:textId="2EC912B1" w:rsidR="007F37A0" w:rsidRPr="00D31B2F" w:rsidRDefault="007F37A0" w:rsidP="007F37A0">
      <w:pPr>
        <w:pStyle w:val="COMESnumberedpara"/>
        <w:rPr>
          <w:iCs/>
        </w:rPr>
      </w:pPr>
      <w:r w:rsidRPr="00D31B2F">
        <w:rPr>
          <w:iCs/>
        </w:rPr>
        <w:lastRenderedPageBreak/>
        <w:t xml:space="preserve">The TGA approved </w:t>
      </w:r>
      <w:r w:rsidR="00C03F25">
        <w:rPr>
          <w:iCs/>
        </w:rPr>
        <w:t>p</w:t>
      </w:r>
      <w:r w:rsidRPr="00D31B2F">
        <w:rPr>
          <w:iCs/>
        </w:rPr>
        <w:t xml:space="preserve">roduct </w:t>
      </w:r>
      <w:r w:rsidR="00C03F25">
        <w:rPr>
          <w:iCs/>
        </w:rPr>
        <w:t>i</w:t>
      </w:r>
      <w:r w:rsidRPr="00D31B2F">
        <w:rPr>
          <w:iCs/>
        </w:rPr>
        <w:t>nformation for semaglutide (Wegovy®) includes a Black Triangle symbol to signify it is subject to additional monitoring in Australia as part of the TGA Black Triangle Scheme.</w:t>
      </w:r>
      <w:r w:rsidR="00817D07" w:rsidRPr="00D31B2F">
        <w:rPr>
          <w:iCs/>
        </w:rPr>
        <w:t xml:space="preserve"> The Black Triangle is a visual reminder to encourage health practitioners and patients to </w:t>
      </w:r>
      <w:hyperlink r:id="rId11" w:history="1">
        <w:r w:rsidR="00817D07" w:rsidRPr="00D31B2F">
          <w:rPr>
            <w:iCs/>
          </w:rPr>
          <w:t>report a problem or side effect</w:t>
        </w:r>
      </w:hyperlink>
      <w:r w:rsidR="00817D07" w:rsidRPr="00D31B2F">
        <w:rPr>
          <w:iCs/>
        </w:rPr>
        <w:t>. </w:t>
      </w:r>
      <w:r w:rsidRPr="00D31B2F">
        <w:rPr>
          <w:iCs/>
        </w:rPr>
        <w:t xml:space="preserve"> </w:t>
      </w:r>
    </w:p>
    <w:p w14:paraId="7CB126D6" w14:textId="3965A32F" w:rsidR="00D26F10" w:rsidRDefault="00D26F10" w:rsidP="00F95286">
      <w:pPr>
        <w:pStyle w:val="COMESnumberedpara"/>
      </w:pPr>
      <w:r w:rsidRPr="00D26F10">
        <w:t>Semaglutide (Ozempic®, 0.25, 0.5, 1.0 mg multi dose pen) is also TGA registered for the ‘treatment of adults with insufficiently controlled type 2 diabetes mellitus as an adjunct to diet and exercise: as monotherapy when metformin is not tolerated or contraindicated; or in addition to other medicinal products for the treatment of type 2 diabetes’.</w:t>
      </w:r>
    </w:p>
    <w:p w14:paraId="3E2A6EAB" w14:textId="469C8C0C" w:rsidR="005C25FF" w:rsidRPr="0098262F" w:rsidRDefault="005C25FF" w:rsidP="004E18E9">
      <w:pPr>
        <w:pStyle w:val="COMESSubsectionheading"/>
      </w:pPr>
      <w:bookmarkStart w:id="6" w:name="_Toc22897639"/>
      <w:bookmarkStart w:id="7" w:name="_Toc208928361"/>
      <w:r w:rsidRPr="0098262F">
        <w:t>Previous PBAC consideration</w:t>
      </w:r>
      <w:bookmarkEnd w:id="6"/>
      <w:bookmarkEnd w:id="7"/>
    </w:p>
    <w:p w14:paraId="7E449FAF" w14:textId="77777777" w:rsidR="00E97F0F" w:rsidRPr="00E97F0F" w:rsidRDefault="00E97F0F" w:rsidP="00E97F0F">
      <w:pPr>
        <w:pStyle w:val="COMESnumberedpara"/>
        <w:rPr>
          <w:color w:val="000000" w:themeColor="text1"/>
        </w:rPr>
      </w:pPr>
      <w:bookmarkStart w:id="8" w:name="_Ref213917385"/>
      <w:r w:rsidRPr="00E97F0F">
        <w:rPr>
          <w:color w:val="000000" w:themeColor="text1"/>
        </w:rPr>
        <w:t>The sponsor presented a Category 2 submission to the March 2022 PBAC meeting requesting a Section 85 (General Schedule) PBS listing for semaglutide for the treatment of severe obesity</w:t>
      </w:r>
      <w:r>
        <w:rPr>
          <w:color w:val="000000" w:themeColor="text1"/>
        </w:rPr>
        <w:t xml:space="preserve"> (BMI </w:t>
      </w:r>
      <w:r w:rsidR="00D01372">
        <w:rPr>
          <w:color w:val="000000" w:themeColor="text1"/>
        </w:rPr>
        <w:t>≥</w:t>
      </w:r>
      <w:r>
        <w:rPr>
          <w:color w:val="000000" w:themeColor="text1"/>
        </w:rPr>
        <w:t>35</w:t>
      </w:r>
      <w:r w:rsidR="00121F66">
        <w:rPr>
          <w:color w:val="000000" w:themeColor="text1"/>
        </w:rPr>
        <w:t xml:space="preserve"> kg/m</w:t>
      </w:r>
      <w:r w:rsidR="00121F66" w:rsidRPr="00121F66">
        <w:rPr>
          <w:color w:val="000000" w:themeColor="text1"/>
          <w:vertAlign w:val="superscript"/>
        </w:rPr>
        <w:t>2</w:t>
      </w:r>
      <w:r>
        <w:rPr>
          <w:color w:val="000000" w:themeColor="text1"/>
        </w:rPr>
        <w:t xml:space="preserve"> with a least one weight-related comorbidity)</w:t>
      </w:r>
      <w:r w:rsidRPr="00E97F0F">
        <w:rPr>
          <w:color w:val="000000" w:themeColor="text1"/>
        </w:rPr>
        <w:t>.</w:t>
      </w:r>
      <w:bookmarkEnd w:id="8"/>
      <w:r w:rsidRPr="00E97F0F">
        <w:rPr>
          <w:color w:val="000000" w:themeColor="text1"/>
        </w:rPr>
        <w:t xml:space="preserve"> </w:t>
      </w:r>
    </w:p>
    <w:p w14:paraId="367AEEC4" w14:textId="446C00B2" w:rsidR="00E97F0F" w:rsidRPr="00E97F0F" w:rsidRDefault="00E97F0F" w:rsidP="00E97F0F">
      <w:pPr>
        <w:pStyle w:val="COMESnumberedpara"/>
        <w:rPr>
          <w:color w:val="000000" w:themeColor="text1"/>
        </w:rPr>
      </w:pPr>
      <w:r w:rsidRPr="00E97F0F">
        <w:rPr>
          <w:color w:val="000000" w:themeColor="text1"/>
        </w:rPr>
        <w:t>The PBAC did not recommend semaglutide for the requested listing on the basis that the proposed target population was poorly justified, the modelled benefits were highly uncertain, and the listing would not be cost</w:t>
      </w:r>
      <w:r w:rsidR="00042F21">
        <w:rPr>
          <w:color w:val="000000" w:themeColor="text1"/>
        </w:rPr>
        <w:t xml:space="preserve"> </w:t>
      </w:r>
      <w:r w:rsidRPr="00E97F0F">
        <w:rPr>
          <w:color w:val="000000" w:themeColor="text1"/>
        </w:rPr>
        <w:t xml:space="preserve">effective at the requested price. Furthermore, the PBAC considered that pharmacotherapy was only one aspect of the public health response to obesity in Australia, but the proposed semaglutide PBS listing would require an extremely high investment with very uncertain implications for the PBS and broader health budget (para 7.1, semaglutide </w:t>
      </w:r>
      <w:r w:rsidR="00F24675">
        <w:rPr>
          <w:color w:val="000000" w:themeColor="text1"/>
        </w:rPr>
        <w:t>Public Summary Document [</w:t>
      </w:r>
      <w:r w:rsidRPr="00E97F0F">
        <w:rPr>
          <w:color w:val="000000" w:themeColor="text1"/>
        </w:rPr>
        <w:t>PSD</w:t>
      </w:r>
      <w:r w:rsidR="00F24675">
        <w:rPr>
          <w:color w:val="000000" w:themeColor="text1"/>
        </w:rPr>
        <w:t>]</w:t>
      </w:r>
      <w:r w:rsidRPr="00E97F0F">
        <w:rPr>
          <w:color w:val="000000" w:themeColor="text1"/>
        </w:rPr>
        <w:t xml:space="preserve">, March 2022 PBAC meeting).  </w:t>
      </w:r>
    </w:p>
    <w:p w14:paraId="56FF3736" w14:textId="7EC721E2" w:rsidR="00E97F0F" w:rsidRPr="00E97F0F" w:rsidRDefault="00E97F0F" w:rsidP="00E97F0F">
      <w:pPr>
        <w:pStyle w:val="COMESnumberedpara"/>
        <w:rPr>
          <w:color w:val="000000" w:themeColor="text1"/>
        </w:rPr>
      </w:pPr>
      <w:r w:rsidRPr="00E97F0F">
        <w:rPr>
          <w:color w:val="000000" w:themeColor="text1"/>
        </w:rPr>
        <w:t>In November 2023, the sponsor presented a standard re-entry submission requesting a General Schedule Authority Required (telephone/online)</w:t>
      </w:r>
      <w:r w:rsidR="00F24675">
        <w:rPr>
          <w:color w:val="000000" w:themeColor="text1"/>
        </w:rPr>
        <w:t xml:space="preserve"> listing</w:t>
      </w:r>
      <w:r w:rsidRPr="00E97F0F">
        <w:rPr>
          <w:color w:val="000000" w:themeColor="text1"/>
        </w:rPr>
        <w:t xml:space="preserve"> for semaglutide for the treatment of severe obesity (with BMI </w:t>
      </w:r>
      <w:r w:rsidR="00D01372">
        <w:rPr>
          <w:color w:val="000000" w:themeColor="text1"/>
        </w:rPr>
        <w:t>≥</w:t>
      </w:r>
      <w:r w:rsidRPr="00E97F0F">
        <w:rPr>
          <w:color w:val="000000" w:themeColor="text1"/>
        </w:rPr>
        <w:t>40 kg/m</w:t>
      </w:r>
      <w:r w:rsidRPr="00E97F0F">
        <w:rPr>
          <w:color w:val="000000" w:themeColor="text1"/>
          <w:vertAlign w:val="superscript"/>
        </w:rPr>
        <w:t>2</w:t>
      </w:r>
      <w:r w:rsidRPr="00E97F0F">
        <w:rPr>
          <w:color w:val="000000" w:themeColor="text1"/>
        </w:rPr>
        <w:t xml:space="preserve"> and multiple weight-related comorbidities) after prior participation in an appropriate lifestyle-based weight management intervention. </w:t>
      </w:r>
    </w:p>
    <w:p w14:paraId="52D5DB25" w14:textId="39936EE7" w:rsidR="00E97F0F" w:rsidRPr="00E97F0F" w:rsidRDefault="00E97F0F" w:rsidP="00E97F0F">
      <w:pPr>
        <w:pStyle w:val="COMESnumberedpara"/>
        <w:rPr>
          <w:color w:val="000000" w:themeColor="text1"/>
        </w:rPr>
      </w:pPr>
      <w:r w:rsidRPr="00E97F0F">
        <w:rPr>
          <w:color w:val="000000" w:themeColor="text1"/>
        </w:rPr>
        <w:t xml:space="preserve">The PBAC did not recommend the listing of semaglutide for the treatment of severe obesity. The PBAC considered that the resubmission did not adequately support access to semaglutide as defined in the proposed PBS population. The PBAC considered that information from the SELECT </w:t>
      </w:r>
      <w:r w:rsidR="00F7576A">
        <w:rPr>
          <w:color w:val="000000" w:themeColor="text1"/>
        </w:rPr>
        <w:t xml:space="preserve">cardiovascular outcomes </w:t>
      </w:r>
      <w:r w:rsidRPr="00E97F0F">
        <w:rPr>
          <w:color w:val="000000" w:themeColor="text1"/>
        </w:rPr>
        <w:t xml:space="preserve">trial would be informative in defining eligible patients who would obtain downstream health benefits of weight loss. The PBAC also considered it would be unreasonable for patients currently eligible for semaglutide 1 mg once weekly (Ozempic®) for Type 2 diabetes, who had severe obesity, to not be able to access the higher dose of semaglutide 2.4 mg once weekly (Wegovy®) and advised that this patient group be included for future consideration (para 7.1 semaglutide PSD, November 2023 PBAC meeting). </w:t>
      </w:r>
    </w:p>
    <w:p w14:paraId="0072BC45" w14:textId="7641F643" w:rsidR="00E97F0F" w:rsidRPr="00E97F0F" w:rsidRDefault="00E97F0F" w:rsidP="00E97F0F">
      <w:pPr>
        <w:pStyle w:val="COMESnumberedpara"/>
        <w:rPr>
          <w:color w:val="000000" w:themeColor="text1"/>
        </w:rPr>
      </w:pPr>
      <w:bookmarkStart w:id="9" w:name="_Ref213917395"/>
      <w:r w:rsidRPr="00E97F0F">
        <w:rPr>
          <w:color w:val="000000" w:themeColor="text1"/>
        </w:rPr>
        <w:t xml:space="preserve">The PBAC considered semaglutide was not cost effective at the price proposed. The PBAC considered a </w:t>
      </w:r>
      <w:r w:rsidR="00301C7A">
        <w:rPr>
          <w:color w:val="000000" w:themeColor="text1"/>
        </w:rPr>
        <w:t>r</w:t>
      </w:r>
      <w:r w:rsidRPr="00E97F0F">
        <w:rPr>
          <w:color w:val="000000" w:themeColor="text1"/>
        </w:rPr>
        <w:t xml:space="preserve">isk </w:t>
      </w:r>
      <w:r w:rsidR="00301C7A">
        <w:rPr>
          <w:color w:val="000000" w:themeColor="text1"/>
        </w:rPr>
        <w:t>s</w:t>
      </w:r>
      <w:r w:rsidRPr="00E97F0F">
        <w:rPr>
          <w:color w:val="000000" w:themeColor="text1"/>
        </w:rPr>
        <w:t xml:space="preserve">haring </w:t>
      </w:r>
      <w:r w:rsidR="00301C7A">
        <w:rPr>
          <w:color w:val="000000" w:themeColor="text1"/>
        </w:rPr>
        <w:t>a</w:t>
      </w:r>
      <w:r w:rsidRPr="00E97F0F">
        <w:rPr>
          <w:color w:val="000000" w:themeColor="text1"/>
        </w:rPr>
        <w:t xml:space="preserve">rrangement (RSA) would be required given the </w:t>
      </w:r>
      <w:r w:rsidRPr="00E97F0F">
        <w:rPr>
          <w:color w:val="000000" w:themeColor="text1"/>
        </w:rPr>
        <w:lastRenderedPageBreak/>
        <w:t>extremely high estimated expenditure and the criteria for defining the patient population (para 7.1 semaglutide PSD, November 2023 PBAC meeting).</w:t>
      </w:r>
      <w:bookmarkEnd w:id="9"/>
      <w:r w:rsidRPr="00E97F0F">
        <w:rPr>
          <w:color w:val="000000" w:themeColor="text1"/>
        </w:rPr>
        <w:t xml:space="preserve">  </w:t>
      </w:r>
    </w:p>
    <w:p w14:paraId="47F490E4" w14:textId="58937BFF" w:rsidR="00AB73BD" w:rsidRPr="00FA28D2" w:rsidRDefault="00AB73BD" w:rsidP="00FA28D2">
      <w:pPr>
        <w:ind w:firstLine="709"/>
        <w:rPr>
          <w:rFonts w:asciiTheme="minorHAnsi" w:hAnsiTheme="minorHAnsi"/>
          <w:i/>
        </w:rPr>
      </w:pPr>
      <w:bookmarkStart w:id="10" w:name="_Hlk76375324"/>
      <w:r w:rsidRPr="00C33D30">
        <w:rPr>
          <w:rFonts w:asciiTheme="minorHAnsi" w:hAnsiTheme="minorHAnsi"/>
          <w:i/>
        </w:rPr>
        <w:t>For more detail on PBAC’s view, see section 7 PBAC outcome.</w:t>
      </w:r>
      <w:bookmarkEnd w:id="10"/>
    </w:p>
    <w:p w14:paraId="76E4EF3C" w14:textId="13040F70" w:rsidR="00B60939" w:rsidRPr="0098262F" w:rsidRDefault="00B50DB8" w:rsidP="004E18E9">
      <w:pPr>
        <w:pStyle w:val="COMESH2"/>
      </w:pPr>
      <w:bookmarkStart w:id="11" w:name="_Toc107902078"/>
      <w:bookmarkStart w:id="12" w:name="_Toc208928362"/>
      <w:bookmarkEnd w:id="11"/>
      <w:r w:rsidRPr="0098262F">
        <w:t>Requested listing</w:t>
      </w:r>
      <w:bookmarkEnd w:id="12"/>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Requested listing"/>
      </w:tblPr>
      <w:tblGrid>
        <w:gridCol w:w="2409"/>
        <w:gridCol w:w="1692"/>
        <w:gridCol w:w="1693"/>
        <w:gridCol w:w="762"/>
        <w:gridCol w:w="762"/>
        <w:gridCol w:w="762"/>
        <w:gridCol w:w="991"/>
      </w:tblGrid>
      <w:tr w:rsidR="007C28D0" w:rsidRPr="006117F6" w14:paraId="23DBC41E" w14:textId="77777777" w:rsidTr="00D845B4">
        <w:trPr>
          <w:cantSplit/>
          <w:trHeight w:val="20"/>
        </w:trPr>
        <w:tc>
          <w:tcPr>
            <w:tcW w:w="2409" w:type="dxa"/>
            <w:vAlign w:val="center"/>
          </w:tcPr>
          <w:p w14:paraId="2714E5E3" w14:textId="77777777" w:rsidR="007C28D0" w:rsidRPr="006117F6" w:rsidRDefault="007C28D0" w:rsidP="00D845B4">
            <w:pPr>
              <w:keepLines/>
              <w:rPr>
                <w:rFonts w:ascii="Arial Narrow" w:hAnsi="Arial Narrow"/>
                <w:b/>
                <w:bCs/>
                <w:sz w:val="20"/>
                <w:szCs w:val="20"/>
              </w:rPr>
            </w:pPr>
            <w:r w:rsidRPr="006117F6">
              <w:rPr>
                <w:rFonts w:ascii="Arial Narrow" w:hAnsi="Arial Narrow"/>
                <w:b/>
                <w:bCs/>
                <w:sz w:val="20"/>
                <w:szCs w:val="20"/>
              </w:rPr>
              <w:t>MEDICINAL PRODUCT</w:t>
            </w:r>
          </w:p>
          <w:p w14:paraId="67C3FAB2" w14:textId="77777777" w:rsidR="007C28D0" w:rsidRPr="006117F6" w:rsidRDefault="007C28D0" w:rsidP="00D845B4">
            <w:pPr>
              <w:keepLines/>
              <w:rPr>
                <w:rFonts w:ascii="Arial Narrow" w:hAnsi="Arial Narrow"/>
                <w:b/>
                <w:sz w:val="20"/>
                <w:szCs w:val="20"/>
              </w:rPr>
            </w:pPr>
            <w:r w:rsidRPr="006117F6">
              <w:rPr>
                <w:rFonts w:ascii="Arial Narrow" w:hAnsi="Arial Narrow"/>
                <w:b/>
                <w:bCs/>
                <w:sz w:val="20"/>
                <w:szCs w:val="20"/>
              </w:rPr>
              <w:t>medicinal product pack</w:t>
            </w:r>
          </w:p>
        </w:tc>
        <w:tc>
          <w:tcPr>
            <w:tcW w:w="1692" w:type="dxa"/>
            <w:vAlign w:val="center"/>
          </w:tcPr>
          <w:p w14:paraId="64757892" w14:textId="77777777" w:rsidR="007C28D0" w:rsidRPr="006117F6" w:rsidRDefault="007C28D0" w:rsidP="00D845B4">
            <w:pPr>
              <w:pStyle w:val="COMTabletext"/>
              <w:keepNext w:val="0"/>
              <w:jc w:val="center"/>
              <w:rPr>
                <w:b/>
                <w:bCs w:val="0"/>
                <w:szCs w:val="20"/>
              </w:rPr>
            </w:pPr>
            <w:r w:rsidRPr="006117F6">
              <w:rPr>
                <w:b/>
                <w:bCs w:val="0"/>
                <w:szCs w:val="20"/>
              </w:rPr>
              <w:t>AEMP</w:t>
            </w:r>
          </w:p>
        </w:tc>
        <w:tc>
          <w:tcPr>
            <w:tcW w:w="1693" w:type="dxa"/>
            <w:vAlign w:val="center"/>
          </w:tcPr>
          <w:p w14:paraId="099F6730" w14:textId="77777777" w:rsidR="007C28D0" w:rsidRPr="006117F6" w:rsidRDefault="007C28D0" w:rsidP="00D845B4">
            <w:pPr>
              <w:pStyle w:val="COMTabletext"/>
              <w:keepNext w:val="0"/>
              <w:jc w:val="center"/>
              <w:rPr>
                <w:b/>
                <w:bCs w:val="0"/>
                <w:szCs w:val="20"/>
              </w:rPr>
            </w:pPr>
            <w:r w:rsidRPr="006117F6">
              <w:rPr>
                <w:b/>
                <w:bCs w:val="0"/>
                <w:snapToGrid w:val="0"/>
              </w:rPr>
              <w:t>DPMQ</w:t>
            </w:r>
          </w:p>
        </w:tc>
        <w:tc>
          <w:tcPr>
            <w:tcW w:w="762" w:type="dxa"/>
            <w:vAlign w:val="center"/>
          </w:tcPr>
          <w:p w14:paraId="4346505D" w14:textId="77777777" w:rsidR="007C28D0" w:rsidRPr="006117F6" w:rsidRDefault="007C28D0" w:rsidP="00D845B4">
            <w:pPr>
              <w:keepLines/>
              <w:jc w:val="center"/>
              <w:rPr>
                <w:rFonts w:ascii="Arial Narrow" w:hAnsi="Arial Narrow"/>
                <w:b/>
                <w:sz w:val="20"/>
                <w:szCs w:val="20"/>
              </w:rPr>
            </w:pPr>
            <w:r w:rsidRPr="006117F6">
              <w:rPr>
                <w:rFonts w:ascii="Arial Narrow" w:hAnsi="Arial Narrow"/>
                <w:b/>
                <w:sz w:val="20"/>
                <w:szCs w:val="20"/>
              </w:rPr>
              <w:t>Max. qty packs</w:t>
            </w:r>
          </w:p>
        </w:tc>
        <w:tc>
          <w:tcPr>
            <w:tcW w:w="762" w:type="dxa"/>
            <w:vAlign w:val="center"/>
          </w:tcPr>
          <w:p w14:paraId="7B85D4E6" w14:textId="77777777" w:rsidR="007C28D0" w:rsidRPr="006117F6" w:rsidRDefault="007C28D0" w:rsidP="00D845B4">
            <w:pPr>
              <w:keepLines/>
              <w:jc w:val="center"/>
              <w:rPr>
                <w:rFonts w:ascii="Arial Narrow" w:hAnsi="Arial Narrow"/>
                <w:b/>
                <w:sz w:val="20"/>
                <w:szCs w:val="20"/>
              </w:rPr>
            </w:pPr>
            <w:r w:rsidRPr="006117F6">
              <w:rPr>
                <w:rFonts w:ascii="Arial Narrow" w:hAnsi="Arial Narrow"/>
                <w:b/>
                <w:sz w:val="20"/>
                <w:szCs w:val="20"/>
              </w:rPr>
              <w:t>Max. qty units</w:t>
            </w:r>
          </w:p>
        </w:tc>
        <w:tc>
          <w:tcPr>
            <w:tcW w:w="762" w:type="dxa"/>
            <w:vAlign w:val="center"/>
          </w:tcPr>
          <w:p w14:paraId="584588F1" w14:textId="77777777" w:rsidR="007C28D0" w:rsidRPr="006117F6" w:rsidRDefault="007C28D0" w:rsidP="00D845B4">
            <w:pPr>
              <w:keepLines/>
              <w:jc w:val="center"/>
              <w:rPr>
                <w:rFonts w:ascii="Arial Narrow" w:hAnsi="Arial Narrow"/>
                <w:b/>
                <w:sz w:val="20"/>
                <w:szCs w:val="20"/>
              </w:rPr>
            </w:pPr>
            <w:proofErr w:type="gramStart"/>
            <w:r w:rsidRPr="006117F6">
              <w:rPr>
                <w:rFonts w:ascii="Arial Narrow" w:hAnsi="Arial Narrow"/>
                <w:b/>
                <w:sz w:val="20"/>
                <w:szCs w:val="20"/>
              </w:rPr>
              <w:t>№.of</w:t>
            </w:r>
            <w:proofErr w:type="gramEnd"/>
          </w:p>
          <w:p w14:paraId="7EA37C75" w14:textId="77777777" w:rsidR="007C28D0" w:rsidRPr="006117F6" w:rsidRDefault="007C28D0" w:rsidP="00D845B4">
            <w:pPr>
              <w:keepLines/>
              <w:jc w:val="center"/>
              <w:rPr>
                <w:rFonts w:ascii="Arial Narrow" w:hAnsi="Arial Narrow"/>
                <w:b/>
                <w:sz w:val="20"/>
                <w:szCs w:val="20"/>
              </w:rPr>
            </w:pPr>
            <w:proofErr w:type="spellStart"/>
            <w:r w:rsidRPr="006117F6">
              <w:rPr>
                <w:rFonts w:ascii="Arial Narrow" w:hAnsi="Arial Narrow"/>
                <w:b/>
                <w:sz w:val="20"/>
                <w:szCs w:val="20"/>
              </w:rPr>
              <w:t>Rpts</w:t>
            </w:r>
            <w:proofErr w:type="spellEnd"/>
          </w:p>
        </w:tc>
        <w:tc>
          <w:tcPr>
            <w:tcW w:w="991" w:type="dxa"/>
            <w:vAlign w:val="center"/>
          </w:tcPr>
          <w:p w14:paraId="60EA9ED2" w14:textId="77777777" w:rsidR="007C28D0" w:rsidRPr="006117F6" w:rsidRDefault="007C28D0" w:rsidP="00D845B4">
            <w:pPr>
              <w:keepLines/>
              <w:rPr>
                <w:rFonts w:ascii="Arial Narrow" w:hAnsi="Arial Narrow"/>
                <w:b/>
                <w:sz w:val="20"/>
                <w:szCs w:val="20"/>
              </w:rPr>
            </w:pPr>
            <w:r w:rsidRPr="006117F6">
              <w:rPr>
                <w:rFonts w:ascii="Arial Narrow" w:hAnsi="Arial Narrow"/>
                <w:b/>
                <w:sz w:val="20"/>
                <w:szCs w:val="20"/>
              </w:rPr>
              <w:t>Available brands</w:t>
            </w:r>
          </w:p>
        </w:tc>
      </w:tr>
      <w:tr w:rsidR="007C28D0" w:rsidRPr="006117F6" w14:paraId="25E9AA4B" w14:textId="77777777" w:rsidTr="00D845B4">
        <w:trPr>
          <w:cantSplit/>
          <w:trHeight w:val="20"/>
        </w:trPr>
        <w:tc>
          <w:tcPr>
            <w:tcW w:w="9071" w:type="dxa"/>
            <w:gridSpan w:val="7"/>
            <w:vAlign w:val="center"/>
          </w:tcPr>
          <w:p w14:paraId="40FF86F8" w14:textId="77777777" w:rsidR="007C28D0" w:rsidRPr="006117F6" w:rsidRDefault="007C28D0" w:rsidP="00D845B4">
            <w:pPr>
              <w:pStyle w:val="COMTabletext"/>
              <w:keepNext w:val="0"/>
              <w:rPr>
                <w:rFonts w:cs="Arial"/>
                <w:szCs w:val="20"/>
              </w:rPr>
            </w:pPr>
            <w:r w:rsidRPr="006117F6">
              <w:rPr>
                <w:smallCaps/>
              </w:rPr>
              <w:t>SEMAGLUTIDE</w:t>
            </w:r>
            <w:r w:rsidRPr="006117F6">
              <w:rPr>
                <w:rFonts w:cs="Arial"/>
                <w:color w:val="0066FF"/>
                <w:szCs w:val="20"/>
              </w:rPr>
              <w:t xml:space="preserve"> </w:t>
            </w:r>
          </w:p>
        </w:tc>
      </w:tr>
      <w:tr w:rsidR="007C28D0" w:rsidRPr="006117F6" w14:paraId="1EF183AE" w14:textId="77777777" w:rsidTr="00D845B4">
        <w:trPr>
          <w:cantSplit/>
          <w:trHeight w:val="20"/>
        </w:trPr>
        <w:tc>
          <w:tcPr>
            <w:tcW w:w="9071" w:type="dxa"/>
            <w:gridSpan w:val="7"/>
            <w:vAlign w:val="center"/>
          </w:tcPr>
          <w:p w14:paraId="1036BCB1" w14:textId="77777777" w:rsidR="007C28D0" w:rsidRPr="006117F6" w:rsidRDefault="007C28D0" w:rsidP="00D845B4">
            <w:pPr>
              <w:pStyle w:val="COMTabletext"/>
              <w:keepNext w:val="0"/>
              <w:rPr>
                <w:smallCaps/>
              </w:rPr>
            </w:pPr>
            <w:r w:rsidRPr="006117F6">
              <w:rPr>
                <w:smallCaps/>
              </w:rPr>
              <w:t>Initial treatment</w:t>
            </w:r>
          </w:p>
        </w:tc>
      </w:tr>
      <w:tr w:rsidR="007C28D0" w:rsidRPr="006117F6" w14:paraId="353C3228" w14:textId="77777777" w:rsidTr="00D845B4">
        <w:trPr>
          <w:cantSplit/>
          <w:trHeight w:val="20"/>
        </w:trPr>
        <w:tc>
          <w:tcPr>
            <w:tcW w:w="2409" w:type="dxa"/>
            <w:vAlign w:val="center"/>
          </w:tcPr>
          <w:p w14:paraId="32557896" w14:textId="77777777" w:rsidR="007C28D0" w:rsidRPr="006117F6" w:rsidRDefault="007C28D0" w:rsidP="00D845B4">
            <w:pPr>
              <w:keepLines/>
              <w:rPr>
                <w:rFonts w:ascii="Arial Narrow" w:hAnsi="Arial Narrow"/>
                <w:color w:val="0066FF"/>
                <w:sz w:val="20"/>
                <w:szCs w:val="20"/>
              </w:rPr>
            </w:pPr>
            <w:r w:rsidRPr="006117F6">
              <w:rPr>
                <w:rFonts w:ascii="Arial Narrow" w:hAnsi="Arial Narrow"/>
                <w:sz w:val="20"/>
                <w:szCs w:val="20"/>
              </w:rPr>
              <w:t>Semaglutide, pre-filled single dose pen, 0.25 mg in 0.5 mL</w:t>
            </w:r>
          </w:p>
        </w:tc>
        <w:tc>
          <w:tcPr>
            <w:tcW w:w="1692" w:type="dxa"/>
          </w:tcPr>
          <w:p w14:paraId="13FFEC2F" w14:textId="06537CCA" w:rsidR="007C28D0" w:rsidRPr="009930EA" w:rsidRDefault="007C28D0" w:rsidP="00D845B4">
            <w:pPr>
              <w:pStyle w:val="COMTabletext"/>
              <w:keepNext w:val="0"/>
              <w:jc w:val="center"/>
            </w:pPr>
            <w:r w:rsidRPr="009930EA">
              <w:t>$</w:t>
            </w:r>
            <w:r w:rsidR="005E35AF" w:rsidRPr="005E35AF">
              <w:rPr>
                <w:highlight w:val="black"/>
              </w:rPr>
              <w:t>&amp;&amp;&amp;&amp;</w:t>
            </w:r>
            <w:r w:rsidRPr="009930EA">
              <w:t xml:space="preserve"> (published)</w:t>
            </w:r>
          </w:p>
          <w:p w14:paraId="5C148ACF" w14:textId="76DDB2AC" w:rsidR="007C28D0" w:rsidRPr="009930EA" w:rsidRDefault="007C28D0" w:rsidP="00D845B4">
            <w:pPr>
              <w:pStyle w:val="COMTabletext"/>
              <w:keepNext w:val="0"/>
              <w:jc w:val="center"/>
            </w:pPr>
            <w:r w:rsidRPr="009930EA">
              <w:t>$</w:t>
            </w:r>
            <w:r w:rsidR="005E35AF" w:rsidRPr="005E35AF">
              <w:rPr>
                <w:highlight w:val="black"/>
              </w:rPr>
              <w:t>&amp;&amp;&amp;&amp;</w:t>
            </w:r>
            <w:r w:rsidRPr="009930EA">
              <w:t xml:space="preserve"> (effective)</w:t>
            </w:r>
          </w:p>
        </w:tc>
        <w:tc>
          <w:tcPr>
            <w:tcW w:w="1693" w:type="dxa"/>
          </w:tcPr>
          <w:p w14:paraId="1B1E08D5" w14:textId="05392300" w:rsidR="007C28D0" w:rsidRPr="009930EA" w:rsidRDefault="007C28D0" w:rsidP="00D845B4">
            <w:pPr>
              <w:pStyle w:val="COMTabletext"/>
              <w:keepNext w:val="0"/>
              <w:jc w:val="center"/>
            </w:pPr>
            <w:r w:rsidRPr="009930EA">
              <w:t>$</w:t>
            </w:r>
            <w:r w:rsidR="005E35AF" w:rsidRPr="005E35AF">
              <w:rPr>
                <w:highlight w:val="black"/>
              </w:rPr>
              <w:t>&amp;&amp;&amp;&amp;</w:t>
            </w:r>
            <w:r w:rsidRPr="009930EA">
              <w:t xml:space="preserve"> (published)</w:t>
            </w:r>
          </w:p>
          <w:p w14:paraId="6A45A0DA" w14:textId="36C53EB5" w:rsidR="007C28D0" w:rsidRPr="009930EA" w:rsidRDefault="007C28D0" w:rsidP="00D845B4">
            <w:pPr>
              <w:pStyle w:val="COMTabletext"/>
              <w:keepNext w:val="0"/>
              <w:jc w:val="center"/>
              <w:rPr>
                <w:szCs w:val="20"/>
              </w:rPr>
            </w:pPr>
            <w:r w:rsidRPr="009930EA">
              <w:t>$</w:t>
            </w:r>
            <w:r w:rsidR="005E35AF" w:rsidRPr="005E35AF">
              <w:rPr>
                <w:highlight w:val="black"/>
              </w:rPr>
              <w:t>&amp;&amp;&amp;&amp;</w:t>
            </w:r>
            <w:r w:rsidRPr="009930EA">
              <w:t xml:space="preserve"> (effective)</w:t>
            </w:r>
          </w:p>
        </w:tc>
        <w:tc>
          <w:tcPr>
            <w:tcW w:w="762" w:type="dxa"/>
            <w:vAlign w:val="center"/>
          </w:tcPr>
          <w:p w14:paraId="0C38C45C" w14:textId="77777777" w:rsidR="007C28D0" w:rsidRPr="006117F6" w:rsidRDefault="007C28D0" w:rsidP="00D845B4">
            <w:pPr>
              <w:keepLines/>
              <w:jc w:val="center"/>
              <w:rPr>
                <w:rFonts w:ascii="Arial Narrow" w:hAnsi="Arial Narrow"/>
                <w:sz w:val="20"/>
                <w:szCs w:val="20"/>
              </w:rPr>
            </w:pPr>
            <w:r w:rsidRPr="006117F6">
              <w:rPr>
                <w:rFonts w:ascii="Arial Narrow" w:hAnsi="Arial Narrow"/>
                <w:sz w:val="20"/>
              </w:rPr>
              <w:t>1</w:t>
            </w:r>
          </w:p>
        </w:tc>
        <w:tc>
          <w:tcPr>
            <w:tcW w:w="762" w:type="dxa"/>
            <w:vAlign w:val="center"/>
          </w:tcPr>
          <w:p w14:paraId="78D1A5E1" w14:textId="77777777" w:rsidR="007C28D0" w:rsidRPr="006117F6" w:rsidRDefault="007C28D0" w:rsidP="00D845B4">
            <w:pPr>
              <w:keepLines/>
              <w:jc w:val="center"/>
              <w:rPr>
                <w:rFonts w:ascii="Arial Narrow" w:hAnsi="Arial Narrow"/>
                <w:sz w:val="20"/>
                <w:szCs w:val="20"/>
              </w:rPr>
            </w:pPr>
            <w:r w:rsidRPr="006117F6">
              <w:rPr>
                <w:rFonts w:ascii="Arial Narrow" w:hAnsi="Arial Narrow"/>
                <w:sz w:val="20"/>
              </w:rPr>
              <w:t>4</w:t>
            </w:r>
          </w:p>
        </w:tc>
        <w:tc>
          <w:tcPr>
            <w:tcW w:w="762" w:type="dxa"/>
            <w:vAlign w:val="center"/>
          </w:tcPr>
          <w:p w14:paraId="1DD5AC3D" w14:textId="77777777" w:rsidR="007C28D0" w:rsidRPr="006117F6" w:rsidRDefault="007C28D0" w:rsidP="00D845B4">
            <w:pPr>
              <w:keepLines/>
              <w:jc w:val="center"/>
              <w:rPr>
                <w:rFonts w:ascii="Arial Narrow" w:hAnsi="Arial Narrow"/>
                <w:sz w:val="20"/>
                <w:szCs w:val="20"/>
              </w:rPr>
            </w:pPr>
            <w:r w:rsidRPr="006117F6">
              <w:rPr>
                <w:rFonts w:ascii="Arial Narrow" w:hAnsi="Arial Narrow"/>
                <w:sz w:val="20"/>
              </w:rPr>
              <w:t>0</w:t>
            </w:r>
          </w:p>
        </w:tc>
        <w:tc>
          <w:tcPr>
            <w:tcW w:w="991" w:type="dxa"/>
            <w:vMerge w:val="restart"/>
            <w:vAlign w:val="center"/>
          </w:tcPr>
          <w:p w14:paraId="293D719C" w14:textId="77777777" w:rsidR="007C28D0" w:rsidRPr="006117F6" w:rsidRDefault="007C28D0" w:rsidP="00D845B4">
            <w:pPr>
              <w:keepLines/>
              <w:rPr>
                <w:rFonts w:ascii="Arial Narrow" w:hAnsi="Arial Narrow"/>
                <w:color w:val="0066FF"/>
                <w:sz w:val="20"/>
                <w:szCs w:val="20"/>
              </w:rPr>
            </w:pPr>
            <w:r w:rsidRPr="006117F6">
              <w:rPr>
                <w:rFonts w:ascii="Arial Narrow" w:hAnsi="Arial Narrow"/>
                <w:sz w:val="20"/>
                <w:szCs w:val="20"/>
              </w:rPr>
              <w:t>Wegovy</w:t>
            </w:r>
          </w:p>
        </w:tc>
      </w:tr>
      <w:tr w:rsidR="007C28D0" w:rsidRPr="006117F6" w14:paraId="677F990E" w14:textId="77777777" w:rsidTr="00D845B4">
        <w:trPr>
          <w:cantSplit/>
          <w:trHeight w:val="20"/>
        </w:trPr>
        <w:tc>
          <w:tcPr>
            <w:tcW w:w="2409" w:type="dxa"/>
            <w:vAlign w:val="center"/>
          </w:tcPr>
          <w:p w14:paraId="615D031E" w14:textId="77777777" w:rsidR="007C28D0" w:rsidRPr="006117F6" w:rsidRDefault="007C28D0" w:rsidP="00D845B4">
            <w:pPr>
              <w:keepLines/>
              <w:rPr>
                <w:rFonts w:ascii="Arial Narrow" w:hAnsi="Arial Narrow"/>
                <w:color w:val="0066FF"/>
                <w:sz w:val="20"/>
                <w:szCs w:val="20"/>
              </w:rPr>
            </w:pPr>
            <w:r w:rsidRPr="006117F6">
              <w:rPr>
                <w:rFonts w:ascii="Arial Narrow" w:hAnsi="Arial Narrow"/>
                <w:sz w:val="20"/>
                <w:szCs w:val="20"/>
              </w:rPr>
              <w:t>Semaglutide, pre-filled single dose pen, 0.5 mg in 0.5 mL</w:t>
            </w:r>
          </w:p>
        </w:tc>
        <w:tc>
          <w:tcPr>
            <w:tcW w:w="1692" w:type="dxa"/>
          </w:tcPr>
          <w:p w14:paraId="484D86E4" w14:textId="4AACEB98" w:rsidR="007C28D0" w:rsidRPr="009930EA" w:rsidRDefault="007C28D0" w:rsidP="00D845B4">
            <w:pPr>
              <w:pStyle w:val="COMTabletext"/>
              <w:keepNext w:val="0"/>
              <w:jc w:val="center"/>
            </w:pPr>
            <w:r w:rsidRPr="009930EA">
              <w:t>$</w:t>
            </w:r>
            <w:r w:rsidR="005E35AF" w:rsidRPr="005E35AF">
              <w:rPr>
                <w:highlight w:val="black"/>
              </w:rPr>
              <w:t>&amp;&amp;&amp;&amp;</w:t>
            </w:r>
            <w:r w:rsidRPr="009930EA">
              <w:t xml:space="preserve"> (published)</w:t>
            </w:r>
          </w:p>
          <w:p w14:paraId="613CAF5E" w14:textId="63C4F31E" w:rsidR="007C28D0" w:rsidRPr="009930EA" w:rsidRDefault="007C28D0" w:rsidP="00D845B4">
            <w:pPr>
              <w:pStyle w:val="COMTabletext"/>
              <w:keepNext w:val="0"/>
              <w:jc w:val="center"/>
            </w:pPr>
            <w:r w:rsidRPr="009930EA">
              <w:t>$</w:t>
            </w:r>
            <w:r w:rsidR="005E35AF" w:rsidRPr="005E35AF">
              <w:rPr>
                <w:highlight w:val="black"/>
              </w:rPr>
              <w:t>&amp;&amp;&amp;&amp;</w:t>
            </w:r>
            <w:r w:rsidRPr="009930EA">
              <w:t xml:space="preserve"> (effective)</w:t>
            </w:r>
          </w:p>
        </w:tc>
        <w:tc>
          <w:tcPr>
            <w:tcW w:w="1693" w:type="dxa"/>
          </w:tcPr>
          <w:p w14:paraId="7020A17B" w14:textId="0DF1A2F0" w:rsidR="007C28D0" w:rsidRPr="009930EA" w:rsidRDefault="007C28D0" w:rsidP="00D845B4">
            <w:pPr>
              <w:pStyle w:val="COMTabletext"/>
              <w:keepNext w:val="0"/>
              <w:jc w:val="center"/>
            </w:pPr>
            <w:r w:rsidRPr="009930EA">
              <w:t>$</w:t>
            </w:r>
            <w:r w:rsidR="005E35AF" w:rsidRPr="005E35AF">
              <w:rPr>
                <w:highlight w:val="black"/>
              </w:rPr>
              <w:t>&amp;&amp;&amp;&amp;</w:t>
            </w:r>
            <w:r w:rsidRPr="009930EA">
              <w:t xml:space="preserve"> (published)</w:t>
            </w:r>
          </w:p>
          <w:p w14:paraId="2EDFE0F3" w14:textId="6C50A92F" w:rsidR="007C28D0" w:rsidRPr="009930EA" w:rsidRDefault="007C28D0" w:rsidP="00D845B4">
            <w:pPr>
              <w:pStyle w:val="COMTabletext"/>
              <w:keepNext w:val="0"/>
              <w:jc w:val="center"/>
              <w:rPr>
                <w:szCs w:val="20"/>
              </w:rPr>
            </w:pPr>
            <w:r w:rsidRPr="009930EA">
              <w:t>$</w:t>
            </w:r>
            <w:r w:rsidR="005E35AF" w:rsidRPr="005E35AF">
              <w:rPr>
                <w:highlight w:val="black"/>
              </w:rPr>
              <w:t>&amp;&amp;&amp;&amp;</w:t>
            </w:r>
            <w:r w:rsidRPr="009930EA">
              <w:t xml:space="preserve"> (effective)</w:t>
            </w:r>
          </w:p>
        </w:tc>
        <w:tc>
          <w:tcPr>
            <w:tcW w:w="762" w:type="dxa"/>
            <w:vAlign w:val="center"/>
          </w:tcPr>
          <w:p w14:paraId="5DC58817" w14:textId="77777777" w:rsidR="007C28D0" w:rsidRPr="006117F6" w:rsidRDefault="007C28D0" w:rsidP="00D845B4">
            <w:pPr>
              <w:keepLines/>
              <w:jc w:val="center"/>
              <w:rPr>
                <w:rFonts w:ascii="Arial Narrow" w:hAnsi="Arial Narrow"/>
                <w:sz w:val="20"/>
                <w:szCs w:val="20"/>
              </w:rPr>
            </w:pPr>
            <w:r w:rsidRPr="006117F6">
              <w:rPr>
                <w:rFonts w:ascii="Arial Narrow" w:hAnsi="Arial Narrow"/>
                <w:sz w:val="20"/>
              </w:rPr>
              <w:t>1</w:t>
            </w:r>
          </w:p>
        </w:tc>
        <w:tc>
          <w:tcPr>
            <w:tcW w:w="762" w:type="dxa"/>
            <w:vAlign w:val="center"/>
          </w:tcPr>
          <w:p w14:paraId="7E02D4EF" w14:textId="77777777" w:rsidR="007C28D0" w:rsidRPr="006117F6" w:rsidRDefault="007C28D0" w:rsidP="00D845B4">
            <w:pPr>
              <w:keepLines/>
              <w:jc w:val="center"/>
              <w:rPr>
                <w:rFonts w:ascii="Arial Narrow" w:hAnsi="Arial Narrow"/>
                <w:sz w:val="20"/>
                <w:szCs w:val="20"/>
              </w:rPr>
            </w:pPr>
            <w:r w:rsidRPr="006117F6">
              <w:rPr>
                <w:rFonts w:ascii="Arial Narrow" w:hAnsi="Arial Narrow"/>
                <w:sz w:val="20"/>
              </w:rPr>
              <w:t>4</w:t>
            </w:r>
          </w:p>
        </w:tc>
        <w:tc>
          <w:tcPr>
            <w:tcW w:w="762" w:type="dxa"/>
            <w:vAlign w:val="center"/>
          </w:tcPr>
          <w:p w14:paraId="4DAFDB52" w14:textId="77777777" w:rsidR="007C28D0" w:rsidRPr="006117F6" w:rsidRDefault="007C28D0" w:rsidP="00D845B4">
            <w:pPr>
              <w:keepLines/>
              <w:jc w:val="center"/>
              <w:rPr>
                <w:rFonts w:ascii="Arial Narrow" w:hAnsi="Arial Narrow"/>
                <w:sz w:val="20"/>
                <w:szCs w:val="20"/>
              </w:rPr>
            </w:pPr>
            <w:r w:rsidRPr="006117F6">
              <w:rPr>
                <w:rFonts w:ascii="Arial Narrow" w:hAnsi="Arial Narrow"/>
                <w:sz w:val="20"/>
              </w:rPr>
              <w:t>0</w:t>
            </w:r>
          </w:p>
        </w:tc>
        <w:tc>
          <w:tcPr>
            <w:tcW w:w="991" w:type="dxa"/>
            <w:vMerge/>
            <w:vAlign w:val="center"/>
          </w:tcPr>
          <w:p w14:paraId="6E7DB46D" w14:textId="77777777" w:rsidR="007C28D0" w:rsidRPr="006117F6" w:rsidRDefault="007C28D0" w:rsidP="00D845B4">
            <w:pPr>
              <w:keepLines/>
              <w:rPr>
                <w:rFonts w:ascii="Arial Narrow" w:hAnsi="Arial Narrow"/>
                <w:color w:val="0066FF"/>
                <w:sz w:val="20"/>
                <w:szCs w:val="20"/>
              </w:rPr>
            </w:pPr>
          </w:p>
        </w:tc>
      </w:tr>
      <w:tr w:rsidR="007C28D0" w:rsidRPr="006117F6" w14:paraId="472CC02F" w14:textId="77777777" w:rsidTr="00D845B4">
        <w:trPr>
          <w:cantSplit/>
          <w:trHeight w:val="20"/>
        </w:trPr>
        <w:tc>
          <w:tcPr>
            <w:tcW w:w="2409" w:type="dxa"/>
            <w:vAlign w:val="center"/>
          </w:tcPr>
          <w:p w14:paraId="251F97D0" w14:textId="77777777" w:rsidR="007C28D0" w:rsidRPr="006117F6" w:rsidRDefault="007C28D0" w:rsidP="00D845B4">
            <w:pPr>
              <w:keepLines/>
              <w:tabs>
                <w:tab w:val="left" w:pos="1077"/>
              </w:tabs>
              <w:rPr>
                <w:rFonts w:ascii="Arial Narrow" w:hAnsi="Arial Narrow"/>
                <w:color w:val="0066FF"/>
                <w:sz w:val="20"/>
                <w:szCs w:val="20"/>
              </w:rPr>
            </w:pPr>
            <w:r w:rsidRPr="006117F6">
              <w:rPr>
                <w:rFonts w:ascii="Arial Narrow" w:hAnsi="Arial Narrow"/>
                <w:sz w:val="20"/>
                <w:szCs w:val="20"/>
              </w:rPr>
              <w:t>Semaglutide, pre-filled single dose pen, 1.0 mg in 0.5 mL</w:t>
            </w:r>
          </w:p>
        </w:tc>
        <w:tc>
          <w:tcPr>
            <w:tcW w:w="1692" w:type="dxa"/>
          </w:tcPr>
          <w:p w14:paraId="480FC55A" w14:textId="174C85E0" w:rsidR="007C28D0" w:rsidRPr="00F95BAC" w:rsidRDefault="007C28D0" w:rsidP="00D845B4">
            <w:pPr>
              <w:pStyle w:val="COMTabletext"/>
              <w:keepNext w:val="0"/>
              <w:jc w:val="center"/>
              <w:rPr>
                <w:szCs w:val="20"/>
              </w:rPr>
            </w:pPr>
            <w:r w:rsidRPr="00F95BAC">
              <w:rPr>
                <w:szCs w:val="20"/>
              </w:rPr>
              <w:t>$</w:t>
            </w:r>
            <w:r w:rsidR="005E35AF" w:rsidRPr="005E35AF">
              <w:rPr>
                <w:szCs w:val="20"/>
                <w:highlight w:val="black"/>
              </w:rPr>
              <w:t>&amp;&amp;&amp;&amp;</w:t>
            </w:r>
            <w:r w:rsidRPr="00F95BAC">
              <w:rPr>
                <w:szCs w:val="20"/>
              </w:rPr>
              <w:t xml:space="preserve"> (published)</w:t>
            </w:r>
          </w:p>
          <w:p w14:paraId="2012EFC7" w14:textId="5D81DC0E" w:rsidR="007C28D0" w:rsidRPr="00F95BAC" w:rsidRDefault="007C28D0" w:rsidP="00D845B4">
            <w:pPr>
              <w:keepLines/>
              <w:jc w:val="center"/>
              <w:rPr>
                <w:rFonts w:ascii="Arial Narrow" w:hAnsi="Arial Narrow"/>
                <w:sz w:val="20"/>
                <w:szCs w:val="20"/>
              </w:rPr>
            </w:pPr>
            <w:r w:rsidRPr="00F95BAC">
              <w:rPr>
                <w:rFonts w:ascii="Arial Narrow" w:hAnsi="Arial Narrow"/>
                <w:sz w:val="20"/>
                <w:szCs w:val="20"/>
              </w:rPr>
              <w:t>$</w:t>
            </w:r>
            <w:r w:rsidR="005E35AF" w:rsidRPr="005E35AF">
              <w:rPr>
                <w:rFonts w:ascii="Arial Narrow" w:hAnsi="Arial Narrow"/>
                <w:sz w:val="20"/>
                <w:szCs w:val="20"/>
                <w:highlight w:val="black"/>
              </w:rPr>
              <w:t>&amp;&amp;&amp;&amp;</w:t>
            </w:r>
            <w:r w:rsidRPr="00F95BAC">
              <w:rPr>
                <w:rFonts w:ascii="Arial Narrow" w:hAnsi="Arial Narrow"/>
                <w:sz w:val="20"/>
                <w:szCs w:val="20"/>
              </w:rPr>
              <w:t xml:space="preserve"> (effective)</w:t>
            </w:r>
          </w:p>
        </w:tc>
        <w:tc>
          <w:tcPr>
            <w:tcW w:w="1693" w:type="dxa"/>
          </w:tcPr>
          <w:p w14:paraId="11857638" w14:textId="18B4DBB3" w:rsidR="007C28D0" w:rsidRPr="00F95BAC" w:rsidRDefault="007C28D0" w:rsidP="00D845B4">
            <w:pPr>
              <w:pStyle w:val="COMTabletext"/>
              <w:keepNext w:val="0"/>
              <w:jc w:val="center"/>
              <w:rPr>
                <w:szCs w:val="20"/>
              </w:rPr>
            </w:pPr>
            <w:r w:rsidRPr="00F95BAC">
              <w:rPr>
                <w:szCs w:val="20"/>
              </w:rPr>
              <w:t>$</w:t>
            </w:r>
            <w:r w:rsidR="005E35AF" w:rsidRPr="005E35AF">
              <w:rPr>
                <w:szCs w:val="20"/>
                <w:highlight w:val="black"/>
              </w:rPr>
              <w:t>&amp;&amp;&amp;&amp;</w:t>
            </w:r>
            <w:r w:rsidRPr="00F95BAC">
              <w:rPr>
                <w:szCs w:val="20"/>
              </w:rPr>
              <w:t xml:space="preserve"> (published)</w:t>
            </w:r>
          </w:p>
          <w:p w14:paraId="4814FC6A" w14:textId="290E7084" w:rsidR="007C28D0" w:rsidRPr="00F95BAC" w:rsidRDefault="007C28D0" w:rsidP="00D845B4">
            <w:pPr>
              <w:keepLines/>
              <w:jc w:val="center"/>
              <w:rPr>
                <w:rFonts w:ascii="Arial Narrow" w:hAnsi="Arial Narrow"/>
                <w:sz w:val="20"/>
                <w:szCs w:val="20"/>
              </w:rPr>
            </w:pPr>
            <w:r w:rsidRPr="00F95BAC">
              <w:rPr>
                <w:rFonts w:ascii="Arial Narrow" w:hAnsi="Arial Narrow"/>
                <w:sz w:val="20"/>
                <w:szCs w:val="20"/>
              </w:rPr>
              <w:t>$</w:t>
            </w:r>
            <w:r w:rsidR="005E35AF" w:rsidRPr="005E35AF">
              <w:rPr>
                <w:rFonts w:ascii="Arial Narrow" w:hAnsi="Arial Narrow"/>
                <w:sz w:val="20"/>
                <w:szCs w:val="20"/>
                <w:highlight w:val="black"/>
              </w:rPr>
              <w:t>&amp;&amp;&amp;&amp;</w:t>
            </w:r>
            <w:r w:rsidRPr="00F95BAC">
              <w:rPr>
                <w:rFonts w:ascii="Arial Narrow" w:hAnsi="Arial Narrow"/>
                <w:sz w:val="20"/>
                <w:szCs w:val="20"/>
              </w:rPr>
              <w:t xml:space="preserve"> (effective)</w:t>
            </w:r>
          </w:p>
        </w:tc>
        <w:tc>
          <w:tcPr>
            <w:tcW w:w="762" w:type="dxa"/>
            <w:vAlign w:val="center"/>
          </w:tcPr>
          <w:p w14:paraId="68243F94" w14:textId="77777777" w:rsidR="007C28D0" w:rsidRPr="006117F6" w:rsidRDefault="007C28D0" w:rsidP="00D845B4">
            <w:pPr>
              <w:keepLines/>
              <w:jc w:val="center"/>
              <w:rPr>
                <w:rFonts w:ascii="Arial Narrow" w:hAnsi="Arial Narrow"/>
                <w:sz w:val="20"/>
                <w:szCs w:val="20"/>
              </w:rPr>
            </w:pPr>
            <w:r w:rsidRPr="006117F6">
              <w:rPr>
                <w:rFonts w:ascii="Arial Narrow" w:hAnsi="Arial Narrow"/>
                <w:sz w:val="20"/>
              </w:rPr>
              <w:t>1</w:t>
            </w:r>
          </w:p>
        </w:tc>
        <w:tc>
          <w:tcPr>
            <w:tcW w:w="762" w:type="dxa"/>
            <w:vAlign w:val="center"/>
          </w:tcPr>
          <w:p w14:paraId="51A7FF22" w14:textId="77777777" w:rsidR="007C28D0" w:rsidRPr="006117F6" w:rsidRDefault="007C28D0" w:rsidP="00D845B4">
            <w:pPr>
              <w:keepLines/>
              <w:jc w:val="center"/>
              <w:rPr>
                <w:rFonts w:ascii="Arial Narrow" w:hAnsi="Arial Narrow"/>
                <w:sz w:val="20"/>
                <w:szCs w:val="20"/>
              </w:rPr>
            </w:pPr>
            <w:r w:rsidRPr="006117F6">
              <w:rPr>
                <w:rFonts w:ascii="Arial Narrow" w:hAnsi="Arial Narrow"/>
                <w:sz w:val="20"/>
              </w:rPr>
              <w:t>4</w:t>
            </w:r>
          </w:p>
        </w:tc>
        <w:tc>
          <w:tcPr>
            <w:tcW w:w="762" w:type="dxa"/>
            <w:vAlign w:val="center"/>
          </w:tcPr>
          <w:p w14:paraId="34F3AA8C" w14:textId="77777777" w:rsidR="007C28D0" w:rsidRPr="006117F6" w:rsidRDefault="007C28D0" w:rsidP="00D845B4">
            <w:pPr>
              <w:keepLines/>
              <w:jc w:val="center"/>
              <w:rPr>
                <w:rFonts w:ascii="Arial Narrow" w:hAnsi="Arial Narrow"/>
                <w:sz w:val="20"/>
                <w:szCs w:val="20"/>
              </w:rPr>
            </w:pPr>
            <w:r w:rsidRPr="006117F6">
              <w:rPr>
                <w:rFonts w:ascii="Arial Narrow" w:hAnsi="Arial Narrow"/>
                <w:sz w:val="20"/>
              </w:rPr>
              <w:t>0</w:t>
            </w:r>
          </w:p>
        </w:tc>
        <w:tc>
          <w:tcPr>
            <w:tcW w:w="991" w:type="dxa"/>
            <w:vMerge/>
            <w:vAlign w:val="center"/>
          </w:tcPr>
          <w:p w14:paraId="02E2859E" w14:textId="77777777" w:rsidR="007C28D0" w:rsidRPr="006117F6" w:rsidRDefault="007C28D0" w:rsidP="00D845B4">
            <w:pPr>
              <w:keepLines/>
              <w:jc w:val="center"/>
              <w:rPr>
                <w:rFonts w:ascii="Arial Narrow" w:hAnsi="Arial Narrow"/>
                <w:sz w:val="20"/>
                <w:szCs w:val="20"/>
              </w:rPr>
            </w:pPr>
          </w:p>
        </w:tc>
      </w:tr>
      <w:tr w:rsidR="007C28D0" w:rsidRPr="006117F6" w14:paraId="2E86DBD2" w14:textId="77777777" w:rsidTr="00D845B4">
        <w:trPr>
          <w:cantSplit/>
          <w:trHeight w:val="20"/>
        </w:trPr>
        <w:tc>
          <w:tcPr>
            <w:tcW w:w="2409" w:type="dxa"/>
            <w:vAlign w:val="center"/>
          </w:tcPr>
          <w:p w14:paraId="1AD5B75A" w14:textId="77777777" w:rsidR="007C28D0" w:rsidRPr="006117F6" w:rsidRDefault="007C28D0" w:rsidP="00D845B4">
            <w:pPr>
              <w:keepLines/>
              <w:tabs>
                <w:tab w:val="left" w:pos="1077"/>
              </w:tabs>
              <w:rPr>
                <w:rFonts w:ascii="Arial Narrow" w:hAnsi="Arial Narrow"/>
                <w:color w:val="0066FF"/>
                <w:sz w:val="20"/>
                <w:szCs w:val="20"/>
              </w:rPr>
            </w:pPr>
            <w:r w:rsidRPr="006117F6">
              <w:rPr>
                <w:rFonts w:ascii="Arial Narrow" w:hAnsi="Arial Narrow"/>
                <w:sz w:val="20"/>
                <w:szCs w:val="20"/>
              </w:rPr>
              <w:t>Semaglutide, pre-filled single dose pen, 1.7 mg in 0.5 mL</w:t>
            </w:r>
          </w:p>
        </w:tc>
        <w:tc>
          <w:tcPr>
            <w:tcW w:w="1692" w:type="dxa"/>
            <w:vAlign w:val="center"/>
          </w:tcPr>
          <w:p w14:paraId="13E7ADDF" w14:textId="422E3336" w:rsidR="007C28D0" w:rsidRPr="009930EA" w:rsidRDefault="007C28D0" w:rsidP="00D845B4">
            <w:pPr>
              <w:keepLines/>
              <w:jc w:val="center"/>
              <w:rPr>
                <w:rFonts w:ascii="Arial Narrow" w:hAnsi="Arial Narrow"/>
                <w:sz w:val="20"/>
                <w:szCs w:val="20"/>
              </w:rPr>
            </w:pPr>
            <w:r w:rsidRPr="009930EA">
              <w:rPr>
                <w:rFonts w:ascii="Arial Narrow" w:hAnsi="Arial Narrow"/>
                <w:sz w:val="20"/>
                <w:szCs w:val="20"/>
              </w:rPr>
              <w:t>$</w:t>
            </w:r>
            <w:r w:rsidR="005E35AF" w:rsidRPr="005E35AF">
              <w:rPr>
                <w:rFonts w:ascii="Arial Narrow" w:hAnsi="Arial Narrow"/>
                <w:sz w:val="20"/>
                <w:szCs w:val="20"/>
                <w:highlight w:val="black"/>
              </w:rPr>
              <w:t>&amp;&amp;&amp;&amp;</w:t>
            </w:r>
            <w:r w:rsidRPr="009930EA">
              <w:rPr>
                <w:rFonts w:ascii="Arial Narrow" w:hAnsi="Arial Narrow"/>
                <w:sz w:val="20"/>
                <w:szCs w:val="20"/>
              </w:rPr>
              <w:t xml:space="preserve"> (published)</w:t>
            </w:r>
          </w:p>
          <w:p w14:paraId="3A060400" w14:textId="2E1C1EC7" w:rsidR="007C28D0" w:rsidRPr="009930EA" w:rsidRDefault="007C28D0" w:rsidP="00D845B4">
            <w:pPr>
              <w:keepLines/>
              <w:jc w:val="center"/>
              <w:rPr>
                <w:rFonts w:ascii="Arial Narrow" w:hAnsi="Arial Narrow"/>
                <w:sz w:val="20"/>
                <w:szCs w:val="20"/>
              </w:rPr>
            </w:pPr>
            <w:r w:rsidRPr="009930EA">
              <w:rPr>
                <w:rFonts w:ascii="Arial Narrow" w:hAnsi="Arial Narrow"/>
                <w:sz w:val="20"/>
                <w:szCs w:val="20"/>
              </w:rPr>
              <w:t>$</w:t>
            </w:r>
            <w:r w:rsidR="005E35AF" w:rsidRPr="005E35AF">
              <w:rPr>
                <w:rFonts w:ascii="Arial Narrow" w:hAnsi="Arial Narrow"/>
                <w:sz w:val="20"/>
                <w:szCs w:val="20"/>
                <w:highlight w:val="black"/>
              </w:rPr>
              <w:t>&amp;&amp;&amp;&amp;</w:t>
            </w:r>
            <w:r w:rsidRPr="009930EA">
              <w:rPr>
                <w:rFonts w:ascii="Arial Narrow" w:hAnsi="Arial Narrow"/>
                <w:sz w:val="20"/>
                <w:szCs w:val="20"/>
              </w:rPr>
              <w:t xml:space="preserve"> (effective)</w:t>
            </w:r>
          </w:p>
        </w:tc>
        <w:tc>
          <w:tcPr>
            <w:tcW w:w="1693" w:type="dxa"/>
            <w:vAlign w:val="center"/>
          </w:tcPr>
          <w:p w14:paraId="13D4527D" w14:textId="269C07CE" w:rsidR="007C28D0" w:rsidRPr="009930EA" w:rsidRDefault="007C28D0" w:rsidP="00D845B4">
            <w:pPr>
              <w:keepLines/>
              <w:jc w:val="center"/>
              <w:rPr>
                <w:rFonts w:ascii="Arial Narrow" w:hAnsi="Arial Narrow"/>
                <w:sz w:val="20"/>
                <w:szCs w:val="20"/>
              </w:rPr>
            </w:pPr>
            <w:r w:rsidRPr="009930EA">
              <w:rPr>
                <w:rFonts w:ascii="Arial Narrow" w:hAnsi="Arial Narrow"/>
                <w:sz w:val="20"/>
                <w:szCs w:val="20"/>
              </w:rPr>
              <w:t>$</w:t>
            </w:r>
            <w:r w:rsidR="005E35AF" w:rsidRPr="005E35AF">
              <w:rPr>
                <w:rFonts w:ascii="Arial Narrow" w:hAnsi="Arial Narrow"/>
                <w:sz w:val="20"/>
                <w:szCs w:val="20"/>
                <w:highlight w:val="black"/>
              </w:rPr>
              <w:t>&amp;&amp;&amp;&amp;</w:t>
            </w:r>
            <w:r w:rsidRPr="009930EA">
              <w:rPr>
                <w:rFonts w:ascii="Arial Narrow" w:hAnsi="Arial Narrow"/>
                <w:sz w:val="20"/>
                <w:szCs w:val="20"/>
              </w:rPr>
              <w:t xml:space="preserve"> (published)</w:t>
            </w:r>
          </w:p>
          <w:p w14:paraId="536D3AC2" w14:textId="2DAE1781" w:rsidR="007C28D0" w:rsidRPr="009930EA" w:rsidRDefault="007C28D0" w:rsidP="00D845B4">
            <w:pPr>
              <w:keepLines/>
              <w:jc w:val="center"/>
              <w:rPr>
                <w:rFonts w:ascii="Arial Narrow" w:hAnsi="Arial Narrow"/>
                <w:sz w:val="20"/>
                <w:szCs w:val="20"/>
              </w:rPr>
            </w:pPr>
            <w:r w:rsidRPr="009930EA">
              <w:rPr>
                <w:rFonts w:ascii="Arial Narrow" w:hAnsi="Arial Narrow"/>
                <w:sz w:val="20"/>
                <w:szCs w:val="20"/>
              </w:rPr>
              <w:t>$</w:t>
            </w:r>
            <w:r w:rsidR="005E35AF" w:rsidRPr="005E35AF">
              <w:rPr>
                <w:rFonts w:ascii="Arial Narrow" w:hAnsi="Arial Narrow"/>
                <w:sz w:val="20"/>
                <w:szCs w:val="20"/>
                <w:highlight w:val="black"/>
              </w:rPr>
              <w:t>&amp;&amp;&amp;&amp;</w:t>
            </w:r>
            <w:r w:rsidRPr="009930EA">
              <w:rPr>
                <w:rFonts w:ascii="Arial Narrow" w:hAnsi="Arial Narrow"/>
                <w:sz w:val="20"/>
                <w:szCs w:val="20"/>
              </w:rPr>
              <w:t xml:space="preserve"> (effective)</w:t>
            </w:r>
          </w:p>
        </w:tc>
        <w:tc>
          <w:tcPr>
            <w:tcW w:w="762" w:type="dxa"/>
            <w:vAlign w:val="center"/>
          </w:tcPr>
          <w:p w14:paraId="20740AE8" w14:textId="77777777" w:rsidR="007C28D0" w:rsidRPr="006117F6" w:rsidRDefault="007C28D0" w:rsidP="00D845B4">
            <w:pPr>
              <w:keepLines/>
              <w:jc w:val="center"/>
              <w:rPr>
                <w:rFonts w:ascii="Arial Narrow" w:hAnsi="Arial Narrow"/>
                <w:sz w:val="20"/>
                <w:szCs w:val="20"/>
              </w:rPr>
            </w:pPr>
            <w:r w:rsidRPr="006117F6">
              <w:rPr>
                <w:rFonts w:ascii="Arial Narrow" w:hAnsi="Arial Narrow"/>
                <w:sz w:val="20"/>
              </w:rPr>
              <w:t>1</w:t>
            </w:r>
          </w:p>
        </w:tc>
        <w:tc>
          <w:tcPr>
            <w:tcW w:w="762" w:type="dxa"/>
            <w:vAlign w:val="center"/>
          </w:tcPr>
          <w:p w14:paraId="1ED32560" w14:textId="77777777" w:rsidR="007C28D0" w:rsidRPr="006117F6" w:rsidRDefault="007C28D0" w:rsidP="00D845B4">
            <w:pPr>
              <w:keepLines/>
              <w:jc w:val="center"/>
              <w:rPr>
                <w:rFonts w:ascii="Arial Narrow" w:hAnsi="Arial Narrow"/>
                <w:sz w:val="20"/>
                <w:szCs w:val="20"/>
              </w:rPr>
            </w:pPr>
            <w:r w:rsidRPr="006117F6">
              <w:rPr>
                <w:rFonts w:ascii="Arial Narrow" w:hAnsi="Arial Narrow"/>
                <w:sz w:val="20"/>
              </w:rPr>
              <w:t>4</w:t>
            </w:r>
          </w:p>
        </w:tc>
        <w:tc>
          <w:tcPr>
            <w:tcW w:w="762" w:type="dxa"/>
            <w:vAlign w:val="center"/>
          </w:tcPr>
          <w:p w14:paraId="254D851B" w14:textId="77777777" w:rsidR="007C28D0" w:rsidRPr="006117F6" w:rsidRDefault="007C28D0" w:rsidP="00D845B4">
            <w:pPr>
              <w:keepLines/>
              <w:jc w:val="center"/>
              <w:rPr>
                <w:rFonts w:ascii="Arial Narrow" w:hAnsi="Arial Narrow"/>
                <w:sz w:val="20"/>
                <w:szCs w:val="20"/>
              </w:rPr>
            </w:pPr>
            <w:r w:rsidRPr="006117F6">
              <w:rPr>
                <w:rFonts w:ascii="Arial Narrow" w:hAnsi="Arial Narrow"/>
                <w:sz w:val="20"/>
              </w:rPr>
              <w:t>0</w:t>
            </w:r>
          </w:p>
        </w:tc>
        <w:tc>
          <w:tcPr>
            <w:tcW w:w="991" w:type="dxa"/>
            <w:vMerge/>
            <w:vAlign w:val="center"/>
          </w:tcPr>
          <w:p w14:paraId="29F81D40" w14:textId="77777777" w:rsidR="007C28D0" w:rsidRPr="006117F6" w:rsidRDefault="007C28D0" w:rsidP="00D845B4">
            <w:pPr>
              <w:keepLines/>
              <w:jc w:val="center"/>
              <w:rPr>
                <w:rFonts w:ascii="Arial Narrow" w:hAnsi="Arial Narrow"/>
                <w:sz w:val="20"/>
                <w:szCs w:val="20"/>
              </w:rPr>
            </w:pPr>
          </w:p>
        </w:tc>
      </w:tr>
      <w:tr w:rsidR="007C28D0" w:rsidRPr="006117F6" w14:paraId="077BC81C" w14:textId="77777777" w:rsidTr="00D845B4">
        <w:trPr>
          <w:cantSplit/>
          <w:trHeight w:val="20"/>
        </w:trPr>
        <w:tc>
          <w:tcPr>
            <w:tcW w:w="9071" w:type="dxa"/>
            <w:gridSpan w:val="7"/>
            <w:vAlign w:val="center"/>
          </w:tcPr>
          <w:p w14:paraId="06ABCA47" w14:textId="77777777" w:rsidR="007C28D0" w:rsidRPr="006117F6" w:rsidRDefault="007C28D0" w:rsidP="00D845B4">
            <w:pPr>
              <w:keepLines/>
              <w:jc w:val="left"/>
              <w:rPr>
                <w:rFonts w:ascii="Arial Narrow" w:hAnsi="Arial Narrow"/>
                <w:smallCaps/>
                <w:sz w:val="20"/>
                <w:szCs w:val="20"/>
              </w:rPr>
            </w:pPr>
            <w:r>
              <w:rPr>
                <w:rFonts w:ascii="Arial Narrow" w:hAnsi="Arial Narrow"/>
                <w:smallCaps/>
                <w:sz w:val="20"/>
                <w:szCs w:val="20"/>
              </w:rPr>
              <w:t>Continuing</w:t>
            </w:r>
            <w:r w:rsidRPr="006117F6">
              <w:rPr>
                <w:rFonts w:ascii="Arial Narrow" w:hAnsi="Arial Narrow"/>
                <w:smallCaps/>
                <w:sz w:val="20"/>
                <w:szCs w:val="20"/>
              </w:rPr>
              <w:t xml:space="preserve"> treatmen</w:t>
            </w:r>
            <w:r>
              <w:rPr>
                <w:rFonts w:ascii="Arial Narrow" w:hAnsi="Arial Narrow"/>
                <w:smallCaps/>
                <w:sz w:val="20"/>
                <w:szCs w:val="20"/>
              </w:rPr>
              <w:t>t</w:t>
            </w:r>
          </w:p>
        </w:tc>
      </w:tr>
      <w:tr w:rsidR="007C28D0" w:rsidRPr="006117F6" w14:paraId="7B171EA9" w14:textId="77777777" w:rsidTr="00D845B4">
        <w:trPr>
          <w:cantSplit/>
          <w:trHeight w:val="20"/>
        </w:trPr>
        <w:tc>
          <w:tcPr>
            <w:tcW w:w="2409" w:type="dxa"/>
            <w:vAlign w:val="center"/>
          </w:tcPr>
          <w:p w14:paraId="32B88422" w14:textId="77777777" w:rsidR="007C28D0" w:rsidRPr="006117F6" w:rsidRDefault="007C28D0" w:rsidP="00D845B4">
            <w:pPr>
              <w:keepLines/>
              <w:tabs>
                <w:tab w:val="left" w:pos="1077"/>
              </w:tabs>
              <w:rPr>
                <w:rFonts w:ascii="Arial Narrow" w:hAnsi="Arial Narrow"/>
                <w:color w:val="0066FF"/>
                <w:sz w:val="20"/>
                <w:szCs w:val="20"/>
              </w:rPr>
            </w:pPr>
            <w:r w:rsidRPr="006117F6">
              <w:rPr>
                <w:rFonts w:ascii="Arial Narrow" w:hAnsi="Arial Narrow"/>
                <w:sz w:val="20"/>
                <w:szCs w:val="20"/>
              </w:rPr>
              <w:t>Semaglutide, pre-filled single dose pen, 1.7 mg in 0.5 mL</w:t>
            </w:r>
          </w:p>
        </w:tc>
        <w:tc>
          <w:tcPr>
            <w:tcW w:w="1692" w:type="dxa"/>
            <w:vAlign w:val="center"/>
          </w:tcPr>
          <w:p w14:paraId="6BB1DB66" w14:textId="4A602FAD" w:rsidR="007C28D0" w:rsidRPr="009930EA" w:rsidRDefault="007C28D0" w:rsidP="00D845B4">
            <w:pPr>
              <w:keepLines/>
              <w:jc w:val="center"/>
              <w:rPr>
                <w:rFonts w:ascii="Arial Narrow" w:hAnsi="Arial Narrow"/>
                <w:sz w:val="20"/>
                <w:szCs w:val="20"/>
              </w:rPr>
            </w:pPr>
            <w:r w:rsidRPr="009930EA">
              <w:rPr>
                <w:rFonts w:ascii="Arial Narrow" w:hAnsi="Arial Narrow"/>
                <w:sz w:val="20"/>
                <w:szCs w:val="20"/>
              </w:rPr>
              <w:t>$</w:t>
            </w:r>
            <w:r w:rsidR="005E35AF" w:rsidRPr="005E35AF">
              <w:rPr>
                <w:rFonts w:ascii="Arial Narrow" w:hAnsi="Arial Narrow"/>
                <w:sz w:val="20"/>
                <w:szCs w:val="20"/>
                <w:highlight w:val="black"/>
              </w:rPr>
              <w:t>&amp;&amp;&amp;&amp;</w:t>
            </w:r>
            <w:r w:rsidRPr="009930EA">
              <w:rPr>
                <w:rFonts w:ascii="Arial Narrow" w:hAnsi="Arial Narrow"/>
                <w:sz w:val="20"/>
                <w:szCs w:val="20"/>
              </w:rPr>
              <w:t xml:space="preserve"> (published)</w:t>
            </w:r>
          </w:p>
          <w:p w14:paraId="213ACA19" w14:textId="30ED7CBA" w:rsidR="007C28D0" w:rsidRPr="009930EA" w:rsidRDefault="007C28D0" w:rsidP="00D845B4">
            <w:pPr>
              <w:keepLines/>
              <w:jc w:val="center"/>
              <w:rPr>
                <w:rFonts w:ascii="Arial Narrow" w:hAnsi="Arial Narrow"/>
                <w:sz w:val="20"/>
                <w:szCs w:val="20"/>
              </w:rPr>
            </w:pPr>
            <w:r w:rsidRPr="009930EA">
              <w:rPr>
                <w:rFonts w:ascii="Arial Narrow" w:hAnsi="Arial Narrow"/>
                <w:sz w:val="20"/>
                <w:szCs w:val="20"/>
              </w:rPr>
              <w:t>$</w:t>
            </w:r>
            <w:r w:rsidR="005E35AF" w:rsidRPr="005E35AF">
              <w:rPr>
                <w:rFonts w:ascii="Arial Narrow" w:hAnsi="Arial Narrow"/>
                <w:sz w:val="20"/>
                <w:szCs w:val="20"/>
                <w:highlight w:val="black"/>
              </w:rPr>
              <w:t>&amp;&amp;&amp;&amp;</w:t>
            </w:r>
            <w:r w:rsidRPr="009930EA">
              <w:rPr>
                <w:rFonts w:ascii="Arial Narrow" w:hAnsi="Arial Narrow"/>
                <w:sz w:val="20"/>
                <w:szCs w:val="20"/>
              </w:rPr>
              <w:t xml:space="preserve"> (effective)</w:t>
            </w:r>
          </w:p>
        </w:tc>
        <w:tc>
          <w:tcPr>
            <w:tcW w:w="1693" w:type="dxa"/>
            <w:vAlign w:val="center"/>
          </w:tcPr>
          <w:p w14:paraId="6767E63D" w14:textId="43AE695D" w:rsidR="007C28D0" w:rsidRPr="009930EA" w:rsidRDefault="007C28D0" w:rsidP="00D845B4">
            <w:pPr>
              <w:keepLines/>
              <w:jc w:val="center"/>
              <w:rPr>
                <w:rFonts w:ascii="Arial Narrow" w:hAnsi="Arial Narrow"/>
                <w:sz w:val="20"/>
                <w:szCs w:val="20"/>
              </w:rPr>
            </w:pPr>
            <w:r w:rsidRPr="009930EA">
              <w:rPr>
                <w:rFonts w:ascii="Arial Narrow" w:hAnsi="Arial Narrow"/>
                <w:sz w:val="20"/>
                <w:szCs w:val="20"/>
              </w:rPr>
              <w:t>$</w:t>
            </w:r>
            <w:r w:rsidR="005E35AF" w:rsidRPr="005E35AF">
              <w:rPr>
                <w:rFonts w:ascii="Arial Narrow" w:hAnsi="Arial Narrow"/>
                <w:sz w:val="20"/>
                <w:szCs w:val="20"/>
                <w:highlight w:val="black"/>
              </w:rPr>
              <w:t>&amp;&amp;&amp;&amp;</w:t>
            </w:r>
            <w:r w:rsidRPr="009930EA">
              <w:rPr>
                <w:rFonts w:ascii="Arial Narrow" w:hAnsi="Arial Narrow"/>
                <w:sz w:val="20"/>
                <w:szCs w:val="20"/>
              </w:rPr>
              <w:t xml:space="preserve"> (published)</w:t>
            </w:r>
          </w:p>
          <w:p w14:paraId="17F8A51A" w14:textId="2E110BF1" w:rsidR="007C28D0" w:rsidRPr="009930EA" w:rsidRDefault="007C28D0" w:rsidP="00D845B4">
            <w:pPr>
              <w:keepLines/>
              <w:jc w:val="center"/>
              <w:rPr>
                <w:rFonts w:ascii="Arial Narrow" w:hAnsi="Arial Narrow"/>
                <w:sz w:val="20"/>
                <w:szCs w:val="20"/>
              </w:rPr>
            </w:pPr>
            <w:r w:rsidRPr="009930EA">
              <w:rPr>
                <w:rFonts w:ascii="Arial Narrow" w:hAnsi="Arial Narrow"/>
                <w:sz w:val="20"/>
                <w:szCs w:val="20"/>
              </w:rPr>
              <w:t>$</w:t>
            </w:r>
            <w:r w:rsidR="005E35AF" w:rsidRPr="005E35AF">
              <w:rPr>
                <w:rFonts w:ascii="Arial Narrow" w:hAnsi="Arial Narrow"/>
                <w:sz w:val="20"/>
                <w:szCs w:val="20"/>
                <w:highlight w:val="black"/>
              </w:rPr>
              <w:t>&amp;&amp;&amp;&amp;</w:t>
            </w:r>
            <w:r w:rsidRPr="009930EA">
              <w:rPr>
                <w:rFonts w:ascii="Arial Narrow" w:hAnsi="Arial Narrow"/>
                <w:sz w:val="20"/>
                <w:szCs w:val="20"/>
              </w:rPr>
              <w:t xml:space="preserve"> (effective)</w:t>
            </w:r>
          </w:p>
        </w:tc>
        <w:tc>
          <w:tcPr>
            <w:tcW w:w="762" w:type="dxa"/>
            <w:vAlign w:val="center"/>
          </w:tcPr>
          <w:p w14:paraId="38E2A259" w14:textId="77777777" w:rsidR="007C28D0" w:rsidRPr="006117F6" w:rsidRDefault="007C28D0" w:rsidP="00D845B4">
            <w:pPr>
              <w:keepLines/>
              <w:jc w:val="center"/>
              <w:rPr>
                <w:rFonts w:ascii="Arial Narrow" w:hAnsi="Arial Narrow"/>
                <w:sz w:val="20"/>
                <w:szCs w:val="20"/>
              </w:rPr>
            </w:pPr>
            <w:r w:rsidRPr="006117F6">
              <w:rPr>
                <w:rFonts w:ascii="Arial Narrow" w:hAnsi="Arial Narrow"/>
                <w:sz w:val="20"/>
                <w:szCs w:val="20"/>
              </w:rPr>
              <w:t>1</w:t>
            </w:r>
          </w:p>
        </w:tc>
        <w:tc>
          <w:tcPr>
            <w:tcW w:w="762" w:type="dxa"/>
            <w:vAlign w:val="center"/>
          </w:tcPr>
          <w:p w14:paraId="697B0A3E" w14:textId="77777777" w:rsidR="007C28D0" w:rsidRPr="006117F6" w:rsidRDefault="007C28D0" w:rsidP="00D845B4">
            <w:pPr>
              <w:keepLines/>
              <w:jc w:val="center"/>
              <w:rPr>
                <w:rFonts w:ascii="Arial Narrow" w:hAnsi="Arial Narrow"/>
                <w:sz w:val="20"/>
                <w:szCs w:val="20"/>
              </w:rPr>
            </w:pPr>
            <w:r w:rsidRPr="006117F6">
              <w:rPr>
                <w:rFonts w:ascii="Arial Narrow" w:hAnsi="Arial Narrow"/>
                <w:sz w:val="20"/>
                <w:szCs w:val="20"/>
              </w:rPr>
              <w:t>4</w:t>
            </w:r>
          </w:p>
        </w:tc>
        <w:tc>
          <w:tcPr>
            <w:tcW w:w="762" w:type="dxa"/>
            <w:vAlign w:val="center"/>
          </w:tcPr>
          <w:p w14:paraId="3044EB87" w14:textId="77777777" w:rsidR="007C28D0" w:rsidRPr="006117F6" w:rsidRDefault="007C28D0" w:rsidP="00D845B4">
            <w:pPr>
              <w:keepLines/>
              <w:jc w:val="center"/>
              <w:rPr>
                <w:rFonts w:ascii="Arial Narrow" w:hAnsi="Arial Narrow"/>
                <w:sz w:val="20"/>
                <w:szCs w:val="20"/>
              </w:rPr>
            </w:pPr>
            <w:r>
              <w:rPr>
                <w:rFonts w:ascii="Arial Narrow" w:hAnsi="Arial Narrow"/>
                <w:sz w:val="20"/>
                <w:szCs w:val="20"/>
              </w:rPr>
              <w:t>5</w:t>
            </w:r>
          </w:p>
        </w:tc>
        <w:tc>
          <w:tcPr>
            <w:tcW w:w="991" w:type="dxa"/>
            <w:vMerge w:val="restart"/>
            <w:vAlign w:val="center"/>
          </w:tcPr>
          <w:p w14:paraId="5F0C6F4F" w14:textId="77777777" w:rsidR="007C28D0" w:rsidRPr="006117F6" w:rsidRDefault="007C28D0" w:rsidP="00D845B4">
            <w:pPr>
              <w:keepLines/>
              <w:jc w:val="left"/>
              <w:rPr>
                <w:rFonts w:ascii="Arial Narrow" w:hAnsi="Arial Narrow"/>
                <w:sz w:val="20"/>
                <w:szCs w:val="20"/>
              </w:rPr>
            </w:pPr>
            <w:r w:rsidRPr="006117F6">
              <w:rPr>
                <w:rFonts w:ascii="Arial Narrow" w:hAnsi="Arial Narrow"/>
                <w:sz w:val="20"/>
                <w:szCs w:val="20"/>
              </w:rPr>
              <w:t>Wegovy</w:t>
            </w:r>
          </w:p>
        </w:tc>
      </w:tr>
      <w:tr w:rsidR="007C28D0" w:rsidRPr="006117F6" w14:paraId="5FFB98A9" w14:textId="77777777" w:rsidTr="00D845B4">
        <w:trPr>
          <w:cantSplit/>
          <w:trHeight w:val="20"/>
        </w:trPr>
        <w:tc>
          <w:tcPr>
            <w:tcW w:w="2409" w:type="dxa"/>
            <w:vAlign w:val="center"/>
          </w:tcPr>
          <w:p w14:paraId="410027FD" w14:textId="77777777" w:rsidR="007C28D0" w:rsidRPr="006117F6" w:rsidRDefault="007C28D0" w:rsidP="00D845B4">
            <w:pPr>
              <w:keepLines/>
              <w:tabs>
                <w:tab w:val="left" w:pos="1077"/>
              </w:tabs>
              <w:rPr>
                <w:rFonts w:ascii="Arial Narrow" w:hAnsi="Arial Narrow"/>
                <w:color w:val="0066FF"/>
                <w:sz w:val="20"/>
                <w:szCs w:val="20"/>
              </w:rPr>
            </w:pPr>
            <w:r w:rsidRPr="006117F6">
              <w:rPr>
                <w:rFonts w:ascii="Arial Narrow" w:hAnsi="Arial Narrow"/>
                <w:sz w:val="20"/>
                <w:szCs w:val="20"/>
              </w:rPr>
              <w:t>Semaglutide, pre-filled single dose pen, 2.4 mg in 0.5 mL</w:t>
            </w:r>
          </w:p>
        </w:tc>
        <w:tc>
          <w:tcPr>
            <w:tcW w:w="1692" w:type="dxa"/>
            <w:vAlign w:val="center"/>
          </w:tcPr>
          <w:p w14:paraId="3E0AF2A5" w14:textId="351BD6FE" w:rsidR="007C28D0" w:rsidRPr="009930EA" w:rsidRDefault="007C28D0" w:rsidP="00D845B4">
            <w:pPr>
              <w:keepLines/>
              <w:jc w:val="center"/>
              <w:rPr>
                <w:rFonts w:ascii="Arial Narrow" w:hAnsi="Arial Narrow"/>
                <w:sz w:val="20"/>
                <w:szCs w:val="20"/>
              </w:rPr>
            </w:pPr>
            <w:r w:rsidRPr="009930EA">
              <w:rPr>
                <w:rFonts w:ascii="Arial Narrow" w:hAnsi="Arial Narrow"/>
                <w:sz w:val="20"/>
                <w:szCs w:val="20"/>
              </w:rPr>
              <w:t>$</w:t>
            </w:r>
            <w:r w:rsidR="005E35AF" w:rsidRPr="005E35AF">
              <w:rPr>
                <w:rFonts w:ascii="Arial Narrow" w:hAnsi="Arial Narrow"/>
                <w:sz w:val="20"/>
                <w:szCs w:val="20"/>
                <w:highlight w:val="black"/>
              </w:rPr>
              <w:t>&amp;&amp;&amp;&amp;</w:t>
            </w:r>
            <w:r w:rsidRPr="009930EA">
              <w:rPr>
                <w:rFonts w:ascii="Arial Narrow" w:hAnsi="Arial Narrow"/>
                <w:sz w:val="20"/>
                <w:szCs w:val="20"/>
              </w:rPr>
              <w:t xml:space="preserve"> (published)</w:t>
            </w:r>
          </w:p>
          <w:p w14:paraId="450B86B2" w14:textId="75D48A51" w:rsidR="007C28D0" w:rsidRPr="009930EA" w:rsidRDefault="007C28D0" w:rsidP="00D845B4">
            <w:pPr>
              <w:keepLines/>
              <w:jc w:val="center"/>
              <w:rPr>
                <w:rFonts w:ascii="Arial Narrow" w:hAnsi="Arial Narrow"/>
                <w:sz w:val="20"/>
                <w:szCs w:val="20"/>
              </w:rPr>
            </w:pPr>
            <w:r w:rsidRPr="009930EA">
              <w:rPr>
                <w:rFonts w:ascii="Arial Narrow" w:hAnsi="Arial Narrow"/>
                <w:sz w:val="20"/>
                <w:szCs w:val="20"/>
              </w:rPr>
              <w:t>$</w:t>
            </w:r>
            <w:r w:rsidR="005E35AF" w:rsidRPr="005E35AF">
              <w:rPr>
                <w:rFonts w:ascii="Arial Narrow" w:hAnsi="Arial Narrow"/>
                <w:sz w:val="20"/>
                <w:szCs w:val="20"/>
                <w:highlight w:val="black"/>
              </w:rPr>
              <w:t>&amp;&amp;&amp;&amp;</w:t>
            </w:r>
            <w:r w:rsidRPr="009930EA">
              <w:rPr>
                <w:rFonts w:ascii="Arial Narrow" w:hAnsi="Arial Narrow"/>
                <w:sz w:val="20"/>
                <w:szCs w:val="20"/>
              </w:rPr>
              <w:t xml:space="preserve"> (effective)</w:t>
            </w:r>
          </w:p>
        </w:tc>
        <w:tc>
          <w:tcPr>
            <w:tcW w:w="1693" w:type="dxa"/>
            <w:vAlign w:val="center"/>
          </w:tcPr>
          <w:p w14:paraId="663B43F0" w14:textId="0EFC48B0" w:rsidR="007C28D0" w:rsidRPr="009930EA" w:rsidRDefault="007C28D0" w:rsidP="00D845B4">
            <w:pPr>
              <w:keepLines/>
              <w:jc w:val="center"/>
              <w:rPr>
                <w:rFonts w:ascii="Arial Narrow" w:hAnsi="Arial Narrow"/>
                <w:sz w:val="20"/>
                <w:szCs w:val="20"/>
              </w:rPr>
            </w:pPr>
            <w:r w:rsidRPr="009930EA">
              <w:rPr>
                <w:rFonts w:ascii="Arial Narrow" w:hAnsi="Arial Narrow"/>
                <w:sz w:val="20"/>
                <w:szCs w:val="20"/>
              </w:rPr>
              <w:t>$</w:t>
            </w:r>
            <w:r w:rsidR="005E35AF" w:rsidRPr="005E35AF">
              <w:rPr>
                <w:rFonts w:ascii="Arial Narrow" w:hAnsi="Arial Narrow"/>
                <w:sz w:val="20"/>
                <w:szCs w:val="20"/>
                <w:highlight w:val="black"/>
              </w:rPr>
              <w:t>&amp;&amp;&amp;&amp;</w:t>
            </w:r>
            <w:r w:rsidRPr="009930EA">
              <w:rPr>
                <w:rFonts w:ascii="Arial Narrow" w:hAnsi="Arial Narrow"/>
                <w:sz w:val="20"/>
                <w:szCs w:val="20"/>
              </w:rPr>
              <w:t xml:space="preserve"> (published)</w:t>
            </w:r>
          </w:p>
          <w:p w14:paraId="0AAA2FE6" w14:textId="04A788CD" w:rsidR="007C28D0" w:rsidRPr="009930EA" w:rsidRDefault="007C28D0" w:rsidP="00D845B4">
            <w:pPr>
              <w:keepLines/>
              <w:jc w:val="center"/>
              <w:rPr>
                <w:rFonts w:ascii="Arial Narrow" w:hAnsi="Arial Narrow"/>
                <w:sz w:val="20"/>
                <w:szCs w:val="20"/>
              </w:rPr>
            </w:pPr>
            <w:r w:rsidRPr="009930EA">
              <w:rPr>
                <w:rFonts w:ascii="Arial Narrow" w:hAnsi="Arial Narrow"/>
                <w:sz w:val="20"/>
                <w:szCs w:val="20"/>
              </w:rPr>
              <w:t>$</w:t>
            </w:r>
            <w:r w:rsidR="005E35AF" w:rsidRPr="005E35AF">
              <w:rPr>
                <w:rFonts w:ascii="Arial Narrow" w:hAnsi="Arial Narrow"/>
                <w:sz w:val="20"/>
                <w:szCs w:val="20"/>
                <w:highlight w:val="black"/>
              </w:rPr>
              <w:t>&amp;&amp;&amp;&amp;</w:t>
            </w:r>
            <w:r w:rsidRPr="009930EA">
              <w:rPr>
                <w:rFonts w:ascii="Arial Narrow" w:hAnsi="Arial Narrow"/>
                <w:sz w:val="20"/>
                <w:szCs w:val="20"/>
              </w:rPr>
              <w:t xml:space="preserve"> (effective)</w:t>
            </w:r>
          </w:p>
        </w:tc>
        <w:tc>
          <w:tcPr>
            <w:tcW w:w="762" w:type="dxa"/>
            <w:vAlign w:val="center"/>
          </w:tcPr>
          <w:p w14:paraId="3DFC38A3" w14:textId="77777777" w:rsidR="007C28D0" w:rsidRPr="006117F6" w:rsidRDefault="007C28D0" w:rsidP="00D845B4">
            <w:pPr>
              <w:keepLines/>
              <w:jc w:val="center"/>
              <w:rPr>
                <w:rFonts w:ascii="Arial Narrow" w:hAnsi="Arial Narrow"/>
                <w:sz w:val="20"/>
                <w:szCs w:val="20"/>
              </w:rPr>
            </w:pPr>
            <w:r w:rsidRPr="006117F6">
              <w:rPr>
                <w:rFonts w:ascii="Arial Narrow" w:hAnsi="Arial Narrow"/>
                <w:sz w:val="20"/>
                <w:szCs w:val="20"/>
              </w:rPr>
              <w:t>1</w:t>
            </w:r>
          </w:p>
        </w:tc>
        <w:tc>
          <w:tcPr>
            <w:tcW w:w="762" w:type="dxa"/>
            <w:vAlign w:val="center"/>
          </w:tcPr>
          <w:p w14:paraId="101593E5" w14:textId="77777777" w:rsidR="007C28D0" w:rsidRPr="006117F6" w:rsidRDefault="007C28D0" w:rsidP="00D845B4">
            <w:pPr>
              <w:keepLines/>
              <w:jc w:val="center"/>
              <w:rPr>
                <w:rFonts w:ascii="Arial Narrow" w:hAnsi="Arial Narrow"/>
                <w:sz w:val="20"/>
                <w:szCs w:val="20"/>
              </w:rPr>
            </w:pPr>
            <w:r w:rsidRPr="006117F6">
              <w:rPr>
                <w:rFonts w:ascii="Arial Narrow" w:hAnsi="Arial Narrow"/>
                <w:sz w:val="20"/>
                <w:szCs w:val="20"/>
              </w:rPr>
              <w:t>4</w:t>
            </w:r>
          </w:p>
        </w:tc>
        <w:tc>
          <w:tcPr>
            <w:tcW w:w="762" w:type="dxa"/>
            <w:vAlign w:val="center"/>
          </w:tcPr>
          <w:p w14:paraId="26D76107" w14:textId="77777777" w:rsidR="007C28D0" w:rsidRPr="006117F6" w:rsidRDefault="007C28D0" w:rsidP="00D845B4">
            <w:pPr>
              <w:keepLines/>
              <w:jc w:val="center"/>
              <w:rPr>
                <w:rFonts w:ascii="Arial Narrow" w:hAnsi="Arial Narrow"/>
                <w:sz w:val="20"/>
                <w:szCs w:val="20"/>
              </w:rPr>
            </w:pPr>
            <w:r>
              <w:rPr>
                <w:rFonts w:ascii="Arial Narrow" w:hAnsi="Arial Narrow"/>
                <w:sz w:val="20"/>
                <w:szCs w:val="20"/>
              </w:rPr>
              <w:t>5</w:t>
            </w:r>
          </w:p>
        </w:tc>
        <w:tc>
          <w:tcPr>
            <w:tcW w:w="991" w:type="dxa"/>
            <w:vMerge/>
            <w:vAlign w:val="center"/>
          </w:tcPr>
          <w:p w14:paraId="2FB22329" w14:textId="77777777" w:rsidR="007C28D0" w:rsidRPr="006117F6" w:rsidRDefault="007C28D0" w:rsidP="00D845B4">
            <w:pPr>
              <w:keepLines/>
              <w:jc w:val="center"/>
              <w:rPr>
                <w:rFonts w:ascii="Arial Narrow" w:hAnsi="Arial Narrow"/>
                <w:sz w:val="20"/>
                <w:szCs w:val="20"/>
              </w:rPr>
            </w:pPr>
          </w:p>
        </w:tc>
      </w:tr>
      <w:tr w:rsidR="00D845B4" w:rsidRPr="0098262F" w14:paraId="35D62C1F"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tcPr>
          <w:p w14:paraId="7AB2BBA9" w14:textId="77777777" w:rsidR="00D845B4" w:rsidRPr="0098262F" w:rsidRDefault="00D845B4" w:rsidP="00D845B4">
            <w:pPr>
              <w:pStyle w:val="COMTabletext"/>
              <w:keepNext w:val="0"/>
            </w:pPr>
            <w:r w:rsidRPr="0098262F">
              <w:rPr>
                <w:b/>
              </w:rPr>
              <w:t xml:space="preserve">Category / Program: </w:t>
            </w:r>
            <w:r w:rsidRPr="0098262F">
              <w:t>General Schedule</w:t>
            </w:r>
          </w:p>
        </w:tc>
      </w:tr>
      <w:tr w:rsidR="00D845B4" w:rsidRPr="0098262F" w14:paraId="3CDF94AD"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tcPr>
          <w:p w14:paraId="74676020" w14:textId="223709FA" w:rsidR="00D845B4" w:rsidRPr="0098262F" w:rsidRDefault="00D845B4" w:rsidP="00D845B4">
            <w:pPr>
              <w:pStyle w:val="COMTabletext"/>
              <w:keepNext w:val="0"/>
              <w:rPr>
                <w:b/>
              </w:rPr>
            </w:pPr>
            <w:r w:rsidRPr="0098262F">
              <w:rPr>
                <w:b/>
              </w:rPr>
              <w:t xml:space="preserve">Prescriber type: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98262F">
              <w:t>Medical Practitioners</w:t>
            </w:r>
          </w:p>
        </w:tc>
      </w:tr>
      <w:tr w:rsidR="00D845B4" w:rsidRPr="0098262F" w14:paraId="7F81E9DA"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tcPr>
          <w:p w14:paraId="68577DCC" w14:textId="77777777" w:rsidR="00D845B4" w:rsidRPr="0098262F" w:rsidRDefault="00D845B4" w:rsidP="00D845B4">
            <w:pPr>
              <w:pStyle w:val="COMTabletext"/>
              <w:keepNext w:val="0"/>
              <w:rPr>
                <w:rFonts w:eastAsia="Times New Roman"/>
              </w:rPr>
            </w:pPr>
            <w:r w:rsidRPr="0098262F">
              <w:rPr>
                <w:b/>
              </w:rPr>
              <w:t xml:space="preserve">Restriction type: </w:t>
            </w:r>
            <w:r>
              <w:rPr>
                <w:rFonts w:eastAsia="Times New Roman"/>
              </w:rPr>
              <w:fldChar w:fldCharType="begin">
                <w:ffData>
                  <w:name w:val="Check3"/>
                  <w:enabled/>
                  <w:calcOnExit w:val="0"/>
                  <w:checkBox>
                    <w:sizeAuto/>
                    <w:default w:val="1"/>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sidRPr="0098262F">
              <w:rPr>
                <w:rFonts w:eastAsia="Times New Roman"/>
              </w:rPr>
              <w:t xml:space="preserve">Authority Required (telephone/online PBS Authorities system) </w:t>
            </w:r>
          </w:p>
        </w:tc>
      </w:tr>
      <w:tr w:rsidR="00D845B4" w:rsidRPr="0098262F" w14:paraId="1C068E3D"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35F53BDE" w14:textId="77777777" w:rsidR="00D845B4" w:rsidRPr="0098262F" w:rsidRDefault="00D845B4" w:rsidP="00D845B4">
            <w:pPr>
              <w:pStyle w:val="COMTabletext"/>
              <w:keepNext w:val="0"/>
            </w:pPr>
            <w:r w:rsidRPr="0098262F">
              <w:rPr>
                <w:b/>
              </w:rPr>
              <w:t>Indication:</w:t>
            </w:r>
            <w:r w:rsidRPr="0098262F">
              <w:t xml:space="preserve"> </w:t>
            </w:r>
            <w:r>
              <w:t>Established cardiovascular disease</w:t>
            </w:r>
          </w:p>
        </w:tc>
      </w:tr>
      <w:tr w:rsidR="00D845B4" w:rsidRPr="0098262F" w14:paraId="7D720FEC"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428B84CA" w14:textId="77777777" w:rsidR="00D845B4" w:rsidRPr="0098262F" w:rsidRDefault="00D845B4" w:rsidP="00D845B4">
            <w:pPr>
              <w:pStyle w:val="COMTabletext"/>
              <w:keepNext w:val="0"/>
            </w:pPr>
            <w:r w:rsidRPr="0098262F">
              <w:rPr>
                <w:b/>
              </w:rPr>
              <w:t>Treatment Phase:</w:t>
            </w:r>
            <w:r w:rsidRPr="0098262F">
              <w:t xml:space="preserve"> </w:t>
            </w:r>
            <w:r>
              <w:t>Initial treatment</w:t>
            </w:r>
          </w:p>
        </w:tc>
      </w:tr>
      <w:tr w:rsidR="00D845B4" w:rsidRPr="0098262F" w14:paraId="0D038698"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1BD9C912" w14:textId="77777777" w:rsidR="00D845B4" w:rsidRPr="0098262F" w:rsidRDefault="00D845B4" w:rsidP="00D845B4">
            <w:pPr>
              <w:pStyle w:val="COMTabletext"/>
              <w:keepNext w:val="0"/>
            </w:pPr>
            <w:r w:rsidRPr="0098262F">
              <w:rPr>
                <w:b/>
              </w:rPr>
              <w:t>Clinical criteria:</w:t>
            </w:r>
          </w:p>
        </w:tc>
      </w:tr>
      <w:tr w:rsidR="00D845B4" w:rsidRPr="0098262F" w14:paraId="04B9BEC8"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5B4F1A88" w14:textId="77777777" w:rsidR="00D845B4" w:rsidRPr="0098262F" w:rsidRDefault="00D845B4" w:rsidP="00D845B4">
            <w:pPr>
              <w:pStyle w:val="COMTabletext"/>
              <w:keepNext w:val="0"/>
            </w:pPr>
            <w:r w:rsidRPr="00110B89">
              <w:t>Patient must have a confirmed diagnosis of prior myocardial infarction or stroke, or symptomatic peripheral arterial disease; AND</w:t>
            </w:r>
          </w:p>
        </w:tc>
      </w:tr>
      <w:tr w:rsidR="00D845B4" w:rsidRPr="0098262F" w14:paraId="69E2E0C0"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64D8BD4B" w14:textId="77777777" w:rsidR="00D845B4" w:rsidRPr="0098262F" w:rsidRDefault="00D845B4" w:rsidP="00D845B4">
            <w:pPr>
              <w:pStyle w:val="COMTabletext"/>
              <w:keepNext w:val="0"/>
            </w:pPr>
            <w:r w:rsidRPr="0098262F">
              <w:rPr>
                <w:b/>
              </w:rPr>
              <w:t>AND</w:t>
            </w:r>
          </w:p>
        </w:tc>
      </w:tr>
      <w:tr w:rsidR="00D845B4" w:rsidRPr="0098262F" w14:paraId="6F03F479"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3FD52547" w14:textId="77777777" w:rsidR="00D845B4" w:rsidRPr="0098262F" w:rsidRDefault="00D845B4" w:rsidP="00D845B4">
            <w:pPr>
              <w:pStyle w:val="COMTabletext"/>
              <w:keepNext w:val="0"/>
            </w:pPr>
            <w:r w:rsidRPr="0098262F">
              <w:rPr>
                <w:b/>
              </w:rPr>
              <w:t>Clinical criteria</w:t>
            </w:r>
            <w:r>
              <w:rPr>
                <w:b/>
              </w:rPr>
              <w:t xml:space="preserve"> (Option 1)</w:t>
            </w:r>
            <w:r w:rsidRPr="0098262F">
              <w:rPr>
                <w:b/>
              </w:rPr>
              <w:t>:</w:t>
            </w:r>
          </w:p>
        </w:tc>
      </w:tr>
      <w:tr w:rsidR="00D845B4" w:rsidRPr="0098262F" w14:paraId="356AC78B"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05C6C471" w14:textId="77777777" w:rsidR="00D845B4" w:rsidRPr="0098262F" w:rsidRDefault="00D845B4" w:rsidP="00D845B4">
            <w:pPr>
              <w:pStyle w:val="COMTabletext"/>
              <w:keepNext w:val="0"/>
              <w:rPr>
                <w:color w:val="0066FF"/>
              </w:rPr>
            </w:pPr>
            <w:r w:rsidRPr="006E5E19">
              <w:t>Patient must have a Body Mass Index greater than or equal to 40 kg/m</w:t>
            </w:r>
            <w:r w:rsidRPr="006E5E19">
              <w:rPr>
                <w:vertAlign w:val="superscript"/>
              </w:rPr>
              <w:t>2</w:t>
            </w:r>
            <w:r w:rsidRPr="006E5E19">
              <w:t>, or 37.5 kg/m</w:t>
            </w:r>
            <w:r w:rsidRPr="006E5E19">
              <w:rPr>
                <w:vertAlign w:val="superscript"/>
              </w:rPr>
              <w:t>2</w:t>
            </w:r>
            <w:r w:rsidRPr="006E5E19">
              <w:t xml:space="preserve"> for Aboriginal or Torres Strait Islander or Asian people</w:t>
            </w:r>
          </w:p>
        </w:tc>
      </w:tr>
      <w:tr w:rsidR="00D845B4" w:rsidRPr="0098262F" w14:paraId="31CEEDBD"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5C75E494" w14:textId="77777777" w:rsidR="00D845B4" w:rsidRPr="0098262F" w:rsidRDefault="00D845B4" w:rsidP="00D845B4">
            <w:pPr>
              <w:pStyle w:val="COMTabletext"/>
              <w:keepNext w:val="0"/>
              <w:rPr>
                <w:color w:val="0066FF"/>
              </w:rPr>
            </w:pPr>
            <w:r w:rsidRPr="0098262F">
              <w:rPr>
                <w:b/>
              </w:rPr>
              <w:t>Clinical criteria</w:t>
            </w:r>
            <w:r>
              <w:rPr>
                <w:b/>
              </w:rPr>
              <w:t xml:space="preserve"> (Option 2)</w:t>
            </w:r>
            <w:r w:rsidRPr="0098262F">
              <w:rPr>
                <w:b/>
              </w:rPr>
              <w:t>:</w:t>
            </w:r>
          </w:p>
        </w:tc>
      </w:tr>
      <w:tr w:rsidR="00D845B4" w:rsidRPr="0098262F" w14:paraId="4795821D"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6A833BAE" w14:textId="77777777" w:rsidR="00D845B4" w:rsidRPr="0098262F" w:rsidRDefault="00D845B4" w:rsidP="00D845B4">
            <w:pPr>
              <w:pStyle w:val="COMTabletext"/>
              <w:keepNext w:val="0"/>
              <w:rPr>
                <w:color w:val="0066FF"/>
              </w:rPr>
            </w:pPr>
            <w:r w:rsidRPr="006E5E19">
              <w:t>Patient must have a Body Mass Index greater than or equal to 35 kg/m</w:t>
            </w:r>
            <w:r w:rsidRPr="006E5E19">
              <w:rPr>
                <w:vertAlign w:val="superscript"/>
              </w:rPr>
              <w:t>2</w:t>
            </w:r>
            <w:r w:rsidRPr="006E5E19">
              <w:t>, or 32.5 kg/m</w:t>
            </w:r>
            <w:r w:rsidRPr="006E5E19">
              <w:rPr>
                <w:vertAlign w:val="superscript"/>
              </w:rPr>
              <w:t>2</w:t>
            </w:r>
            <w:r w:rsidRPr="006E5E19">
              <w:t xml:space="preserve"> for Aboriginal or Torres Strait Islander or Asian people</w:t>
            </w:r>
          </w:p>
        </w:tc>
      </w:tr>
      <w:tr w:rsidR="00D845B4" w:rsidRPr="0098262F" w14:paraId="117C8C8A"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4DAD6EB2" w14:textId="77777777" w:rsidR="00D845B4" w:rsidRPr="0098262F" w:rsidRDefault="00D845B4" w:rsidP="00D845B4">
            <w:pPr>
              <w:pStyle w:val="COMTabletext"/>
              <w:keepNext w:val="0"/>
              <w:rPr>
                <w:color w:val="0066FF"/>
              </w:rPr>
            </w:pPr>
            <w:r w:rsidRPr="0098262F">
              <w:rPr>
                <w:b/>
              </w:rPr>
              <w:t>Clinical criteria</w:t>
            </w:r>
            <w:r>
              <w:rPr>
                <w:b/>
              </w:rPr>
              <w:t xml:space="preserve"> (Option 3)</w:t>
            </w:r>
            <w:r w:rsidRPr="0098262F">
              <w:rPr>
                <w:b/>
              </w:rPr>
              <w:t>:</w:t>
            </w:r>
          </w:p>
        </w:tc>
      </w:tr>
      <w:tr w:rsidR="00D845B4" w:rsidRPr="0098262F" w14:paraId="10990FC4"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722856DB" w14:textId="77777777" w:rsidR="00D845B4" w:rsidRPr="0098262F" w:rsidRDefault="00D845B4" w:rsidP="00D845B4">
            <w:pPr>
              <w:pStyle w:val="COMTabletext"/>
              <w:keepNext w:val="0"/>
              <w:rPr>
                <w:color w:val="0066FF"/>
              </w:rPr>
            </w:pPr>
            <w:r w:rsidRPr="006E5E19">
              <w:t>Patient must have a Body Mass Index greater than or equal to 27 kg/m</w:t>
            </w:r>
            <w:r w:rsidRPr="006E5E19">
              <w:rPr>
                <w:vertAlign w:val="superscript"/>
              </w:rPr>
              <w:t>2</w:t>
            </w:r>
            <w:r w:rsidRPr="006E5E19">
              <w:t>, or 25 kg/m</w:t>
            </w:r>
            <w:r w:rsidRPr="006E5E19">
              <w:rPr>
                <w:vertAlign w:val="superscript"/>
              </w:rPr>
              <w:t>2</w:t>
            </w:r>
            <w:r w:rsidRPr="006E5E19">
              <w:t xml:space="preserve"> for Aboriginal or Torres Strait Islander or Asian people</w:t>
            </w:r>
          </w:p>
        </w:tc>
      </w:tr>
      <w:tr w:rsidR="00D845B4" w:rsidRPr="0098262F" w14:paraId="7024C3D9"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5AFE7D96" w14:textId="77777777" w:rsidR="00D845B4" w:rsidRPr="0098262F" w:rsidRDefault="00D845B4" w:rsidP="00D845B4">
            <w:pPr>
              <w:pStyle w:val="COMTabletext"/>
              <w:keepNext w:val="0"/>
            </w:pPr>
            <w:r w:rsidRPr="0098262F">
              <w:rPr>
                <w:b/>
              </w:rPr>
              <w:t>Treatment criteria:</w:t>
            </w:r>
          </w:p>
        </w:tc>
      </w:tr>
      <w:tr w:rsidR="00D845B4" w:rsidRPr="0098262F" w14:paraId="67CDF22C"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4D7A4C4D" w14:textId="77777777" w:rsidR="00D845B4" w:rsidRPr="0031043E" w:rsidRDefault="00D845B4" w:rsidP="00D845B4">
            <w:pPr>
              <w:pStyle w:val="COMTabletext"/>
              <w:keepNext w:val="0"/>
            </w:pPr>
            <w:r w:rsidRPr="0031043E">
              <w:t>Patient must not receive more than 16 weeks of treatment under this restriction</w:t>
            </w:r>
          </w:p>
        </w:tc>
      </w:tr>
      <w:tr w:rsidR="00D845B4" w:rsidRPr="0098262F" w14:paraId="728FAF15"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62D077C5" w14:textId="77777777" w:rsidR="00D845B4" w:rsidRPr="0031043E" w:rsidRDefault="00D845B4" w:rsidP="00D845B4">
            <w:pPr>
              <w:pStyle w:val="COMTabletext"/>
              <w:keepNext w:val="0"/>
              <w:rPr>
                <w:color w:val="0066FF"/>
              </w:rPr>
            </w:pPr>
            <w:r w:rsidRPr="0031043E">
              <w:t xml:space="preserve">The treatment must be used in conjunction with standard of care associated with the management of </w:t>
            </w:r>
            <w:r>
              <w:t>cardiovascular disease</w:t>
            </w:r>
            <w:r w:rsidRPr="0031043E">
              <w:t xml:space="preserve"> and prevention of future </w:t>
            </w:r>
            <w:r>
              <w:t>cardiovascular</w:t>
            </w:r>
            <w:r w:rsidRPr="0031043E">
              <w:t xml:space="preserve"> events</w:t>
            </w:r>
          </w:p>
        </w:tc>
      </w:tr>
      <w:tr w:rsidR="00D845B4" w:rsidRPr="0098262F" w14:paraId="6D15BA80"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0D3CB5C3" w14:textId="77777777" w:rsidR="00D845B4" w:rsidRPr="0098262F" w:rsidRDefault="00D845B4" w:rsidP="00D845B4">
            <w:pPr>
              <w:pStyle w:val="COMTabletext"/>
              <w:keepNext w:val="0"/>
            </w:pPr>
            <w:r w:rsidRPr="0098262F">
              <w:rPr>
                <w:b/>
              </w:rPr>
              <w:t>Population criteria:</w:t>
            </w:r>
          </w:p>
        </w:tc>
      </w:tr>
      <w:tr w:rsidR="00D845B4" w:rsidRPr="0098262F" w14:paraId="31A63B61"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75A0B755" w14:textId="77777777" w:rsidR="00D845B4" w:rsidRPr="00757707" w:rsidRDefault="00D845B4" w:rsidP="00D845B4">
            <w:pPr>
              <w:pStyle w:val="COMTabletext"/>
              <w:keepNext w:val="0"/>
            </w:pPr>
            <w:r w:rsidRPr="00757707">
              <w:t>Patient must be aged 18 years or older</w:t>
            </w:r>
          </w:p>
        </w:tc>
      </w:tr>
      <w:tr w:rsidR="00D845B4" w:rsidRPr="0098262F" w14:paraId="3D86296C"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5140C9AF" w14:textId="77777777" w:rsidR="00D845B4" w:rsidRPr="0098262F" w:rsidRDefault="00D845B4" w:rsidP="00D845B4">
            <w:pPr>
              <w:pStyle w:val="COMTabletext"/>
              <w:keepNext w:val="0"/>
            </w:pPr>
            <w:r w:rsidRPr="0098262F">
              <w:rPr>
                <w:b/>
              </w:rPr>
              <w:t xml:space="preserve">Administrative Advice: </w:t>
            </w:r>
          </w:p>
        </w:tc>
      </w:tr>
      <w:tr w:rsidR="00D845B4" w:rsidRPr="0098262F" w14:paraId="35A9DF48"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5EEFEED2" w14:textId="77777777" w:rsidR="00D845B4" w:rsidRPr="001150BD" w:rsidRDefault="00D845B4" w:rsidP="00D845B4">
            <w:pPr>
              <w:pStyle w:val="COMTabletext"/>
              <w:keepNext w:val="0"/>
              <w:rPr>
                <w:bCs w:val="0"/>
              </w:rPr>
            </w:pPr>
            <w:r w:rsidRPr="00B33659">
              <w:rPr>
                <w:bCs w:val="0"/>
              </w:rPr>
              <w:lastRenderedPageBreak/>
              <w:t>Applications for authorisation under this restriction may be made in real time using the Online PBS Authorities system (see www.servicesaustralia.gov.au/HPOS) or by telephone by contacting Services Australia on 1800 888 333</w:t>
            </w:r>
          </w:p>
        </w:tc>
      </w:tr>
      <w:tr w:rsidR="00D845B4" w:rsidRPr="0098262F" w14:paraId="617FDBFF"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50E7A3B3" w14:textId="77777777" w:rsidR="00D845B4" w:rsidRPr="001150BD" w:rsidRDefault="00D845B4" w:rsidP="00D845B4">
            <w:pPr>
              <w:pStyle w:val="COMTabletext"/>
              <w:keepNext w:val="0"/>
              <w:rPr>
                <w:bCs w:val="0"/>
              </w:rPr>
            </w:pPr>
            <w:r w:rsidRPr="00B33659">
              <w:rPr>
                <w:bCs w:val="0"/>
              </w:rPr>
              <w:t>No increase in the maximum quantity or number of units may be authorised</w:t>
            </w:r>
          </w:p>
        </w:tc>
      </w:tr>
      <w:tr w:rsidR="00D845B4" w:rsidRPr="0098262F" w14:paraId="6C39EDA8"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tcBorders>
              <w:bottom w:val="single" w:sz="4" w:space="0" w:color="auto"/>
            </w:tcBorders>
            <w:vAlign w:val="center"/>
          </w:tcPr>
          <w:p w14:paraId="0127BAE7" w14:textId="77777777" w:rsidR="00D845B4" w:rsidRPr="001150BD" w:rsidRDefault="00D845B4" w:rsidP="00D845B4">
            <w:pPr>
              <w:pStyle w:val="COMTabletext"/>
              <w:keepNext w:val="0"/>
              <w:rPr>
                <w:bCs w:val="0"/>
              </w:rPr>
            </w:pPr>
            <w:r w:rsidRPr="00B33659">
              <w:rPr>
                <w:bCs w:val="0"/>
              </w:rPr>
              <w:t>No increase in the maximum number of repeats may be authorised</w:t>
            </w:r>
          </w:p>
        </w:tc>
      </w:tr>
      <w:tr w:rsidR="00D845B4" w:rsidRPr="0098262F" w14:paraId="31335ED0"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tcBorders>
              <w:bottom w:val="double" w:sz="4" w:space="0" w:color="auto"/>
            </w:tcBorders>
            <w:vAlign w:val="center"/>
          </w:tcPr>
          <w:p w14:paraId="055F39A7" w14:textId="77777777" w:rsidR="00D845B4" w:rsidRPr="001150BD" w:rsidRDefault="00D845B4" w:rsidP="00D845B4">
            <w:pPr>
              <w:pStyle w:val="COMTabletext"/>
              <w:keepNext w:val="0"/>
              <w:rPr>
                <w:bCs w:val="0"/>
              </w:rPr>
            </w:pPr>
            <w:r w:rsidRPr="00B33659">
              <w:rPr>
                <w:bCs w:val="0"/>
              </w:rPr>
              <w:t>Special Pricing Arrangements apply</w:t>
            </w:r>
          </w:p>
        </w:tc>
      </w:tr>
      <w:tr w:rsidR="00D845B4" w:rsidRPr="0098262F" w14:paraId="47328877"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tcBorders>
              <w:top w:val="double" w:sz="4" w:space="0" w:color="auto"/>
            </w:tcBorders>
          </w:tcPr>
          <w:p w14:paraId="03860320" w14:textId="77777777" w:rsidR="00D845B4" w:rsidRPr="0098262F" w:rsidRDefault="00D845B4" w:rsidP="00D845B4">
            <w:pPr>
              <w:pStyle w:val="COMTabletext"/>
              <w:keepNext w:val="0"/>
            </w:pPr>
            <w:r w:rsidRPr="0098262F">
              <w:rPr>
                <w:b/>
              </w:rPr>
              <w:t xml:space="preserve">Category / Program: </w:t>
            </w:r>
            <w:r w:rsidRPr="0098262F">
              <w:t>General Schedule</w:t>
            </w:r>
          </w:p>
        </w:tc>
      </w:tr>
      <w:tr w:rsidR="00D845B4" w:rsidRPr="0098262F" w14:paraId="2EB45130"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tcPr>
          <w:p w14:paraId="78AA0CA7" w14:textId="40BD9A2E" w:rsidR="00D845B4" w:rsidRPr="0098262F" w:rsidRDefault="00D845B4" w:rsidP="00D845B4">
            <w:pPr>
              <w:pStyle w:val="COMTabletext"/>
              <w:keepNext w:val="0"/>
              <w:rPr>
                <w:b/>
              </w:rPr>
            </w:pPr>
            <w:r w:rsidRPr="0098262F">
              <w:rPr>
                <w:b/>
              </w:rPr>
              <w:t xml:space="preserve">Prescriber type: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98262F">
              <w:t>Medical Practitioners</w:t>
            </w:r>
          </w:p>
        </w:tc>
      </w:tr>
      <w:tr w:rsidR="00D845B4" w:rsidRPr="0098262F" w14:paraId="24EF12A4"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tcPr>
          <w:p w14:paraId="569B7547" w14:textId="77777777" w:rsidR="00D845B4" w:rsidRPr="0098262F" w:rsidRDefault="00D845B4" w:rsidP="00D845B4">
            <w:pPr>
              <w:pStyle w:val="COMTabletext"/>
              <w:keepNext w:val="0"/>
              <w:rPr>
                <w:rFonts w:eastAsia="Times New Roman"/>
              </w:rPr>
            </w:pPr>
            <w:r w:rsidRPr="0098262F">
              <w:rPr>
                <w:b/>
              </w:rPr>
              <w:t xml:space="preserve">Restriction type: </w:t>
            </w:r>
            <w:r>
              <w:rPr>
                <w:rFonts w:eastAsia="Times New Roman"/>
              </w:rPr>
              <w:fldChar w:fldCharType="begin">
                <w:ffData>
                  <w:name w:val="Check3"/>
                  <w:enabled/>
                  <w:calcOnExit w:val="0"/>
                  <w:checkBox>
                    <w:sizeAuto/>
                    <w:default w:val="1"/>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sidRPr="0098262F">
              <w:rPr>
                <w:rFonts w:eastAsia="Times New Roman"/>
              </w:rPr>
              <w:t xml:space="preserve">Authority Required (telephone/online PBS Authorities system) </w:t>
            </w:r>
          </w:p>
        </w:tc>
      </w:tr>
      <w:tr w:rsidR="00D845B4" w:rsidRPr="0098262F" w14:paraId="6FC684E0"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02AADBFF" w14:textId="77777777" w:rsidR="00D845B4" w:rsidRPr="0098262F" w:rsidRDefault="00D845B4" w:rsidP="00D845B4">
            <w:pPr>
              <w:pStyle w:val="COMTabletext"/>
              <w:keepNext w:val="0"/>
            </w:pPr>
            <w:r w:rsidRPr="0098262F">
              <w:rPr>
                <w:b/>
              </w:rPr>
              <w:t>Indication:</w:t>
            </w:r>
            <w:r w:rsidRPr="0098262F">
              <w:t xml:space="preserve"> </w:t>
            </w:r>
            <w:r>
              <w:t>Established cardiovascular disease</w:t>
            </w:r>
          </w:p>
        </w:tc>
      </w:tr>
      <w:tr w:rsidR="00D845B4" w:rsidRPr="0098262F" w14:paraId="2EE6157B"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2DE46AE8" w14:textId="77777777" w:rsidR="00D845B4" w:rsidRPr="0098262F" w:rsidRDefault="00D845B4" w:rsidP="00D845B4">
            <w:pPr>
              <w:pStyle w:val="COMTabletext"/>
              <w:keepNext w:val="0"/>
            </w:pPr>
            <w:r w:rsidRPr="0098262F">
              <w:rPr>
                <w:b/>
              </w:rPr>
              <w:t>Treatment Phase:</w:t>
            </w:r>
            <w:r w:rsidRPr="0098262F">
              <w:t xml:space="preserve"> </w:t>
            </w:r>
            <w:r>
              <w:t>Grandfathering arrangement</w:t>
            </w:r>
          </w:p>
        </w:tc>
      </w:tr>
      <w:tr w:rsidR="00D845B4" w:rsidRPr="0098262F" w14:paraId="754CEBBD"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4BD2E94C" w14:textId="77777777" w:rsidR="00D845B4" w:rsidRPr="0098262F" w:rsidRDefault="00D845B4" w:rsidP="00D845B4">
            <w:pPr>
              <w:pStyle w:val="COMTabletext"/>
              <w:keepNext w:val="0"/>
            </w:pPr>
            <w:r w:rsidRPr="0098262F">
              <w:rPr>
                <w:b/>
              </w:rPr>
              <w:t>Clinical criteria:</w:t>
            </w:r>
          </w:p>
        </w:tc>
      </w:tr>
      <w:tr w:rsidR="00D845B4" w:rsidRPr="0098262F" w14:paraId="535D18BB"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22FC976A" w14:textId="77777777" w:rsidR="00D845B4" w:rsidRDefault="00D845B4" w:rsidP="00D845B4">
            <w:pPr>
              <w:pStyle w:val="COMTabletext"/>
              <w:keepNext w:val="0"/>
            </w:pPr>
            <w:r>
              <w:t xml:space="preserve">Patient must have had at the time of initiating non-PBS subsidised treatment with this drug for this condition: </w:t>
            </w:r>
          </w:p>
          <w:p w14:paraId="4F498AC2" w14:textId="77777777" w:rsidR="00D845B4" w:rsidRPr="0098262F" w:rsidRDefault="00D845B4" w:rsidP="00D845B4">
            <w:pPr>
              <w:pStyle w:val="COMTabletext"/>
              <w:keepNext w:val="0"/>
            </w:pPr>
            <w:r>
              <w:t>A confirmed diagnosis of prior myocardial infarction or stroke, or symptomatic peripheral arterial disease</w:t>
            </w:r>
          </w:p>
        </w:tc>
      </w:tr>
      <w:tr w:rsidR="00D845B4" w:rsidRPr="0098262F" w14:paraId="21211647"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358A991F" w14:textId="77777777" w:rsidR="00D845B4" w:rsidRPr="0098262F" w:rsidRDefault="00D845B4" w:rsidP="00D845B4">
            <w:pPr>
              <w:pStyle w:val="COMTabletext"/>
              <w:keepNext w:val="0"/>
            </w:pPr>
            <w:r w:rsidRPr="0098262F">
              <w:rPr>
                <w:b/>
              </w:rPr>
              <w:t>AND</w:t>
            </w:r>
          </w:p>
        </w:tc>
      </w:tr>
      <w:tr w:rsidR="00D845B4" w:rsidRPr="0098262F" w14:paraId="4404861E"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0D60575F" w14:textId="77777777" w:rsidR="00D845B4" w:rsidRPr="0098262F" w:rsidRDefault="00D845B4" w:rsidP="00D845B4">
            <w:pPr>
              <w:pStyle w:val="COMTabletext"/>
              <w:keepNext w:val="0"/>
            </w:pPr>
            <w:r w:rsidRPr="0098262F">
              <w:rPr>
                <w:b/>
              </w:rPr>
              <w:t>Clinical criteria</w:t>
            </w:r>
            <w:r>
              <w:rPr>
                <w:b/>
              </w:rPr>
              <w:t xml:space="preserve"> (Option 1)</w:t>
            </w:r>
            <w:r w:rsidRPr="0098262F">
              <w:rPr>
                <w:b/>
              </w:rPr>
              <w:t>:</w:t>
            </w:r>
          </w:p>
        </w:tc>
      </w:tr>
      <w:tr w:rsidR="00D845B4" w:rsidRPr="0098262F" w14:paraId="3BE493A0"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7C9A05FC" w14:textId="77777777" w:rsidR="00D845B4" w:rsidRPr="0098262F" w:rsidRDefault="00D845B4" w:rsidP="00D845B4">
            <w:pPr>
              <w:pStyle w:val="COMTabletext"/>
              <w:keepNext w:val="0"/>
              <w:rPr>
                <w:color w:val="0066FF"/>
              </w:rPr>
            </w:pPr>
            <w:r w:rsidRPr="006E5E19">
              <w:t>Patient must have a Body Mass Index greater than or equal to 40 kg/m</w:t>
            </w:r>
            <w:r w:rsidRPr="006E5E19">
              <w:rPr>
                <w:vertAlign w:val="superscript"/>
              </w:rPr>
              <w:t>2</w:t>
            </w:r>
            <w:r w:rsidRPr="006E5E19">
              <w:t>, or 37.5 kg/m</w:t>
            </w:r>
            <w:r w:rsidRPr="006E5E19">
              <w:rPr>
                <w:vertAlign w:val="superscript"/>
              </w:rPr>
              <w:t>2</w:t>
            </w:r>
            <w:r w:rsidRPr="006E5E19">
              <w:t xml:space="preserve"> for Aboriginal or Torres Strait Islander or Asian people</w:t>
            </w:r>
          </w:p>
        </w:tc>
      </w:tr>
      <w:tr w:rsidR="00D845B4" w:rsidRPr="0098262F" w14:paraId="633EE343"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4B003D5D" w14:textId="77777777" w:rsidR="00D845B4" w:rsidRPr="0098262F" w:rsidRDefault="00D845B4" w:rsidP="00D845B4">
            <w:pPr>
              <w:pStyle w:val="COMTabletext"/>
              <w:keepNext w:val="0"/>
              <w:rPr>
                <w:color w:val="0066FF"/>
              </w:rPr>
            </w:pPr>
            <w:r w:rsidRPr="0098262F">
              <w:rPr>
                <w:b/>
              </w:rPr>
              <w:t>Clinical criteria</w:t>
            </w:r>
            <w:r>
              <w:rPr>
                <w:b/>
              </w:rPr>
              <w:t xml:space="preserve"> (Option 2)</w:t>
            </w:r>
            <w:r w:rsidRPr="0098262F">
              <w:rPr>
                <w:b/>
              </w:rPr>
              <w:t>:</w:t>
            </w:r>
          </w:p>
        </w:tc>
      </w:tr>
      <w:tr w:rsidR="00D845B4" w:rsidRPr="0098262F" w14:paraId="125E60EA"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7EA1704E" w14:textId="77777777" w:rsidR="00D845B4" w:rsidRPr="0098262F" w:rsidRDefault="00D845B4" w:rsidP="00D845B4">
            <w:pPr>
              <w:pStyle w:val="COMTabletext"/>
              <w:keepNext w:val="0"/>
              <w:rPr>
                <w:color w:val="0066FF"/>
              </w:rPr>
            </w:pPr>
            <w:r w:rsidRPr="006E5E19">
              <w:t>Patient must have a Body Mass Index greater than or equal to 35 kg/m</w:t>
            </w:r>
            <w:r w:rsidRPr="006E5E19">
              <w:rPr>
                <w:vertAlign w:val="superscript"/>
              </w:rPr>
              <w:t>2</w:t>
            </w:r>
            <w:r w:rsidRPr="006E5E19">
              <w:t>, or 32.5 kg/m</w:t>
            </w:r>
            <w:r w:rsidRPr="006E5E19">
              <w:rPr>
                <w:vertAlign w:val="superscript"/>
              </w:rPr>
              <w:t>2</w:t>
            </w:r>
            <w:r w:rsidRPr="006E5E19">
              <w:t xml:space="preserve"> for Aboriginal or Torres Strait Islander or Asian people</w:t>
            </w:r>
          </w:p>
        </w:tc>
      </w:tr>
      <w:tr w:rsidR="00D845B4" w:rsidRPr="0098262F" w14:paraId="4F8A4CAE"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49B8BF28" w14:textId="77777777" w:rsidR="00D845B4" w:rsidRPr="0098262F" w:rsidRDefault="00D845B4" w:rsidP="00D845B4">
            <w:pPr>
              <w:pStyle w:val="COMTabletext"/>
              <w:keepNext w:val="0"/>
              <w:rPr>
                <w:color w:val="0066FF"/>
              </w:rPr>
            </w:pPr>
            <w:r w:rsidRPr="0098262F">
              <w:rPr>
                <w:b/>
              </w:rPr>
              <w:t>Clinical criteria</w:t>
            </w:r>
            <w:r>
              <w:rPr>
                <w:b/>
              </w:rPr>
              <w:t xml:space="preserve"> (Option 3)</w:t>
            </w:r>
            <w:r w:rsidRPr="0098262F">
              <w:rPr>
                <w:b/>
              </w:rPr>
              <w:t>:</w:t>
            </w:r>
          </w:p>
        </w:tc>
      </w:tr>
      <w:tr w:rsidR="00D845B4" w:rsidRPr="0098262F" w14:paraId="7F9CDA34"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07AC7F50" w14:textId="77777777" w:rsidR="00D845B4" w:rsidRPr="0098262F" w:rsidRDefault="00D845B4" w:rsidP="00D845B4">
            <w:pPr>
              <w:pStyle w:val="COMTabletext"/>
              <w:keepNext w:val="0"/>
              <w:rPr>
                <w:color w:val="0066FF"/>
              </w:rPr>
            </w:pPr>
            <w:r w:rsidRPr="006E5E19">
              <w:t>Patient must have a Body Mass Index greater than or equal to 27 kg/m</w:t>
            </w:r>
            <w:r w:rsidRPr="006E5E19">
              <w:rPr>
                <w:vertAlign w:val="superscript"/>
              </w:rPr>
              <w:t>2</w:t>
            </w:r>
            <w:r w:rsidRPr="006E5E19">
              <w:t>, or 25 kg/m</w:t>
            </w:r>
            <w:r w:rsidRPr="006E5E19">
              <w:rPr>
                <w:vertAlign w:val="superscript"/>
              </w:rPr>
              <w:t>2</w:t>
            </w:r>
            <w:r w:rsidRPr="006E5E19">
              <w:t xml:space="preserve"> for Aboriginal or Torres Strait Islander or Asian people</w:t>
            </w:r>
          </w:p>
        </w:tc>
      </w:tr>
      <w:tr w:rsidR="00D845B4" w:rsidRPr="0098262F" w14:paraId="2C945692"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3F6BFB4C" w14:textId="77777777" w:rsidR="00D845B4" w:rsidRPr="0098262F" w:rsidRDefault="00D845B4" w:rsidP="00D845B4">
            <w:pPr>
              <w:pStyle w:val="COMTabletext"/>
              <w:keepNext w:val="0"/>
            </w:pPr>
            <w:r w:rsidRPr="0098262F">
              <w:rPr>
                <w:b/>
              </w:rPr>
              <w:t>Treatment criteria:</w:t>
            </w:r>
          </w:p>
        </w:tc>
      </w:tr>
      <w:tr w:rsidR="00D845B4" w:rsidRPr="0098262F" w14:paraId="4AEAD218"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51C9EF36" w14:textId="77777777" w:rsidR="00D845B4" w:rsidRPr="0031043E" w:rsidRDefault="00D845B4" w:rsidP="00D845B4">
            <w:pPr>
              <w:pStyle w:val="COMTabletext"/>
              <w:keepNext w:val="0"/>
            </w:pPr>
            <w:r w:rsidRPr="0031043E">
              <w:t>Patient must not receive more than 16 weeks of treatment under this restriction</w:t>
            </w:r>
          </w:p>
        </w:tc>
      </w:tr>
      <w:tr w:rsidR="00D845B4" w:rsidRPr="0098262F" w14:paraId="3D8D75D7"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2D8AB6A4" w14:textId="77777777" w:rsidR="00D845B4" w:rsidRPr="0031043E" w:rsidRDefault="00D845B4" w:rsidP="00D845B4">
            <w:pPr>
              <w:pStyle w:val="COMTabletext"/>
              <w:keepNext w:val="0"/>
              <w:rPr>
                <w:color w:val="0066FF"/>
              </w:rPr>
            </w:pPr>
            <w:r w:rsidRPr="0031043E">
              <w:t xml:space="preserve">The treatment must be used in conjunction with standard of care associated with the management of </w:t>
            </w:r>
            <w:r>
              <w:t>cardiovascular disease</w:t>
            </w:r>
            <w:r w:rsidRPr="0031043E">
              <w:t xml:space="preserve"> and prevention of future </w:t>
            </w:r>
            <w:r>
              <w:t>cardiovascular</w:t>
            </w:r>
            <w:r w:rsidRPr="0031043E">
              <w:t xml:space="preserve"> events</w:t>
            </w:r>
          </w:p>
        </w:tc>
      </w:tr>
      <w:tr w:rsidR="00D845B4" w:rsidRPr="0098262F" w14:paraId="3682E260"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76EE7EC9" w14:textId="77777777" w:rsidR="00D845B4" w:rsidRPr="0098262F" w:rsidRDefault="00D845B4" w:rsidP="00D845B4">
            <w:pPr>
              <w:pStyle w:val="COMTabletext"/>
              <w:keepNext w:val="0"/>
            </w:pPr>
            <w:r w:rsidRPr="0098262F">
              <w:rPr>
                <w:b/>
              </w:rPr>
              <w:t>Population criteria:</w:t>
            </w:r>
          </w:p>
        </w:tc>
      </w:tr>
      <w:tr w:rsidR="00D845B4" w:rsidRPr="0098262F" w14:paraId="09EBC3A8"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5633525E" w14:textId="77777777" w:rsidR="00D845B4" w:rsidRPr="00757707" w:rsidRDefault="00D845B4" w:rsidP="00D845B4">
            <w:pPr>
              <w:pStyle w:val="COMTabletext"/>
              <w:keepNext w:val="0"/>
            </w:pPr>
            <w:r w:rsidRPr="00757707">
              <w:t>Patient must be aged 18 years or older</w:t>
            </w:r>
          </w:p>
        </w:tc>
      </w:tr>
      <w:tr w:rsidR="00D845B4" w:rsidRPr="0098262F" w14:paraId="6E77B969"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34BDBFE6" w14:textId="77777777" w:rsidR="00D845B4" w:rsidRPr="0098262F" w:rsidRDefault="00D845B4" w:rsidP="00D845B4">
            <w:pPr>
              <w:pStyle w:val="COMTabletext"/>
              <w:keepNext w:val="0"/>
            </w:pPr>
            <w:r w:rsidRPr="0098262F">
              <w:rPr>
                <w:b/>
              </w:rPr>
              <w:t xml:space="preserve">Administrative Advice: </w:t>
            </w:r>
          </w:p>
        </w:tc>
      </w:tr>
      <w:tr w:rsidR="00D845B4" w:rsidRPr="0098262F" w14:paraId="5EC877EC"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0210EFB4" w14:textId="77777777" w:rsidR="00D845B4" w:rsidRPr="001150BD" w:rsidRDefault="00D845B4" w:rsidP="00D845B4">
            <w:pPr>
              <w:pStyle w:val="COMTabletext"/>
              <w:keepNext w:val="0"/>
              <w:rPr>
                <w:bCs w:val="0"/>
              </w:rPr>
            </w:pPr>
            <w:r w:rsidRPr="00B33659">
              <w:rPr>
                <w:bCs w:val="0"/>
              </w:rPr>
              <w:t>Applications for authorisation under this restriction may be made in real time using the Online PBS Authorities system (see www.servicesaustralia.gov.au/HPOS) or by telephone by contacting Services Australia on 1800 888 333</w:t>
            </w:r>
          </w:p>
        </w:tc>
      </w:tr>
      <w:tr w:rsidR="00D845B4" w:rsidRPr="0098262F" w14:paraId="5B2216C5"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4BAD8708" w14:textId="77777777" w:rsidR="00D845B4" w:rsidRPr="001150BD" w:rsidRDefault="00D845B4" w:rsidP="00D845B4">
            <w:pPr>
              <w:pStyle w:val="COMTabletext"/>
              <w:keepNext w:val="0"/>
              <w:rPr>
                <w:bCs w:val="0"/>
              </w:rPr>
            </w:pPr>
            <w:r w:rsidRPr="00B33659">
              <w:rPr>
                <w:bCs w:val="0"/>
              </w:rPr>
              <w:t>No increase in the maximum quantity or number of units may be authorised</w:t>
            </w:r>
          </w:p>
        </w:tc>
      </w:tr>
      <w:tr w:rsidR="00D845B4" w:rsidRPr="0098262F" w14:paraId="680ED442"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tcBorders>
              <w:bottom w:val="single" w:sz="4" w:space="0" w:color="auto"/>
            </w:tcBorders>
            <w:vAlign w:val="center"/>
          </w:tcPr>
          <w:p w14:paraId="45D06DBD" w14:textId="77777777" w:rsidR="00D845B4" w:rsidRPr="001150BD" w:rsidRDefault="00D845B4" w:rsidP="00D845B4">
            <w:pPr>
              <w:pStyle w:val="COMTabletext"/>
              <w:keepNext w:val="0"/>
              <w:rPr>
                <w:bCs w:val="0"/>
              </w:rPr>
            </w:pPr>
            <w:r w:rsidRPr="00B33659">
              <w:rPr>
                <w:bCs w:val="0"/>
              </w:rPr>
              <w:t>No increase in the maximum number of repeats may be authorised</w:t>
            </w:r>
          </w:p>
        </w:tc>
      </w:tr>
      <w:tr w:rsidR="00D845B4" w:rsidRPr="0098262F" w14:paraId="27EC9AD6"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tcBorders>
              <w:bottom w:val="double" w:sz="4" w:space="0" w:color="auto"/>
            </w:tcBorders>
            <w:vAlign w:val="center"/>
          </w:tcPr>
          <w:p w14:paraId="1BF1D7B2" w14:textId="77777777" w:rsidR="00D845B4" w:rsidRPr="001150BD" w:rsidRDefault="00D845B4" w:rsidP="00D845B4">
            <w:pPr>
              <w:pStyle w:val="COMTabletext"/>
              <w:keepNext w:val="0"/>
              <w:rPr>
                <w:bCs w:val="0"/>
              </w:rPr>
            </w:pPr>
            <w:r w:rsidRPr="00B33659">
              <w:rPr>
                <w:bCs w:val="0"/>
              </w:rPr>
              <w:t>Special Pricing Arrangements apply</w:t>
            </w:r>
          </w:p>
        </w:tc>
      </w:tr>
      <w:tr w:rsidR="00D845B4" w:rsidRPr="0098262F" w14:paraId="2834302D"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tcBorders>
              <w:top w:val="double" w:sz="4" w:space="0" w:color="auto"/>
            </w:tcBorders>
          </w:tcPr>
          <w:p w14:paraId="7FC44912" w14:textId="77777777" w:rsidR="00D845B4" w:rsidRPr="0098262F" w:rsidRDefault="00D845B4" w:rsidP="00D845B4">
            <w:pPr>
              <w:pStyle w:val="COMTabletext"/>
              <w:keepNext w:val="0"/>
            </w:pPr>
            <w:r w:rsidRPr="0098262F">
              <w:rPr>
                <w:b/>
              </w:rPr>
              <w:t xml:space="preserve">Category / Program: </w:t>
            </w:r>
            <w:r w:rsidRPr="0098262F">
              <w:t>General Schedule</w:t>
            </w:r>
          </w:p>
        </w:tc>
      </w:tr>
      <w:tr w:rsidR="00D845B4" w:rsidRPr="0098262F" w14:paraId="3EFB8FD7"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tcPr>
          <w:p w14:paraId="7528F2E7" w14:textId="1FAA7E49" w:rsidR="00D845B4" w:rsidRPr="0098262F" w:rsidRDefault="00D845B4" w:rsidP="00D845B4">
            <w:pPr>
              <w:pStyle w:val="COMTabletext"/>
              <w:keepNext w:val="0"/>
              <w:rPr>
                <w:b/>
              </w:rPr>
            </w:pPr>
            <w:r w:rsidRPr="0098262F">
              <w:rPr>
                <w:b/>
              </w:rPr>
              <w:t xml:space="preserve">Prescriber type: </w:t>
            </w:r>
            <w:r>
              <w:fldChar w:fldCharType="begin">
                <w:ffData>
                  <w:name w:val=""/>
                  <w:enabled/>
                  <w:calcOnExit w:val="0"/>
                  <w:checkBox>
                    <w:sizeAuto/>
                    <w:default w:val="1"/>
                  </w:checkBox>
                </w:ffData>
              </w:fldChar>
            </w:r>
            <w:r>
              <w:instrText xml:space="preserve"> FORMCHECKBOX </w:instrText>
            </w:r>
            <w:r>
              <w:fldChar w:fldCharType="separate"/>
            </w:r>
            <w:r>
              <w:fldChar w:fldCharType="end"/>
            </w:r>
            <w:r w:rsidRPr="0098262F">
              <w:t xml:space="preserve">Medical Practitioners </w:t>
            </w:r>
          </w:p>
        </w:tc>
      </w:tr>
      <w:tr w:rsidR="00D845B4" w:rsidRPr="0098262F" w14:paraId="054CAAB2"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tcPr>
          <w:p w14:paraId="53C9F1C3" w14:textId="77777777" w:rsidR="00D845B4" w:rsidRPr="0098262F" w:rsidRDefault="00D845B4" w:rsidP="00D845B4">
            <w:pPr>
              <w:pStyle w:val="COMTabletext"/>
              <w:keepNext w:val="0"/>
              <w:rPr>
                <w:rFonts w:eastAsia="Times New Roman"/>
              </w:rPr>
            </w:pPr>
            <w:r w:rsidRPr="0098262F">
              <w:rPr>
                <w:b/>
              </w:rPr>
              <w:t xml:space="preserve">Restriction type: </w:t>
            </w:r>
            <w:r>
              <w:rPr>
                <w:rFonts w:eastAsia="Times New Roman"/>
              </w:rPr>
              <w:fldChar w:fldCharType="begin">
                <w:ffData>
                  <w:name w:val=""/>
                  <w:enabled/>
                  <w:calcOnExit w:val="0"/>
                  <w:checkBox>
                    <w:sizeAuto/>
                    <w:default w:val="1"/>
                  </w:checkBox>
                </w:ffData>
              </w:fldChar>
            </w:r>
            <w:r>
              <w:rPr>
                <w:rFonts w:eastAsia="Times New Roman"/>
              </w:rPr>
              <w:instrText xml:space="preserve"> FORMCHECKBOX </w:instrText>
            </w:r>
            <w:r>
              <w:rPr>
                <w:rFonts w:eastAsia="Times New Roman"/>
              </w:rPr>
            </w:r>
            <w:r>
              <w:rPr>
                <w:rFonts w:eastAsia="Times New Roman"/>
              </w:rPr>
              <w:fldChar w:fldCharType="separate"/>
            </w:r>
            <w:r>
              <w:rPr>
                <w:rFonts w:eastAsia="Times New Roman"/>
              </w:rPr>
              <w:fldChar w:fldCharType="end"/>
            </w:r>
            <w:r w:rsidRPr="0098262F">
              <w:rPr>
                <w:rFonts w:eastAsia="Times New Roman"/>
              </w:rPr>
              <w:t xml:space="preserve">Authority Required (STREAMLINED) </w:t>
            </w:r>
          </w:p>
        </w:tc>
      </w:tr>
      <w:tr w:rsidR="00D845B4" w:rsidRPr="0098262F" w14:paraId="6C22306B"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693D34DF" w14:textId="77777777" w:rsidR="00D845B4" w:rsidRPr="0098262F" w:rsidRDefault="00D845B4" w:rsidP="00D845B4">
            <w:pPr>
              <w:pStyle w:val="COMTabletext"/>
              <w:keepNext w:val="0"/>
            </w:pPr>
            <w:r w:rsidRPr="0098262F">
              <w:rPr>
                <w:b/>
              </w:rPr>
              <w:t>Indication:</w:t>
            </w:r>
            <w:r w:rsidRPr="0098262F">
              <w:t xml:space="preserve"> </w:t>
            </w:r>
            <w:r>
              <w:t>Established cardiovascular disease</w:t>
            </w:r>
          </w:p>
        </w:tc>
      </w:tr>
      <w:tr w:rsidR="00D845B4" w:rsidRPr="0098262F" w14:paraId="333D5912"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76A857CD" w14:textId="77777777" w:rsidR="00D845B4" w:rsidRPr="0098262F" w:rsidRDefault="00D845B4" w:rsidP="00D845B4">
            <w:pPr>
              <w:pStyle w:val="COMTabletext"/>
              <w:keepNext w:val="0"/>
            </w:pPr>
            <w:r w:rsidRPr="0098262F">
              <w:rPr>
                <w:b/>
              </w:rPr>
              <w:t>Treatment Phase:</w:t>
            </w:r>
            <w:r w:rsidRPr="0098262F">
              <w:t xml:space="preserve"> </w:t>
            </w:r>
            <w:r>
              <w:t>Continuing treatment</w:t>
            </w:r>
          </w:p>
        </w:tc>
      </w:tr>
      <w:tr w:rsidR="00D845B4" w:rsidRPr="0098262F" w14:paraId="2AA5A0B5"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538EDC48" w14:textId="77777777" w:rsidR="00D845B4" w:rsidRPr="0098262F" w:rsidRDefault="00D845B4" w:rsidP="00D845B4">
            <w:pPr>
              <w:pStyle w:val="COMTabletext"/>
              <w:keepNext w:val="0"/>
            </w:pPr>
            <w:r w:rsidRPr="0098262F">
              <w:rPr>
                <w:b/>
              </w:rPr>
              <w:t>Clinical criteria:</w:t>
            </w:r>
          </w:p>
        </w:tc>
      </w:tr>
      <w:tr w:rsidR="00D845B4" w:rsidRPr="0098262F" w14:paraId="06B91CB6"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2F12FE78" w14:textId="77777777" w:rsidR="00D845B4" w:rsidRPr="0098262F" w:rsidRDefault="00D845B4" w:rsidP="00D845B4">
            <w:pPr>
              <w:pStyle w:val="COMTabletext"/>
              <w:keepNext w:val="0"/>
            </w:pPr>
            <w:r w:rsidRPr="00E3251C">
              <w:t>Patient must have previously received PBS-subsidised treatment with this drug for this condition</w:t>
            </w:r>
          </w:p>
        </w:tc>
      </w:tr>
      <w:tr w:rsidR="00D845B4" w:rsidRPr="0098262F" w14:paraId="3BEA122B"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068F20CD" w14:textId="77777777" w:rsidR="00D845B4" w:rsidRPr="0098262F" w:rsidRDefault="00D845B4" w:rsidP="00D845B4">
            <w:pPr>
              <w:pStyle w:val="COMTabletext"/>
              <w:keepNext w:val="0"/>
            </w:pPr>
            <w:r w:rsidRPr="0098262F">
              <w:rPr>
                <w:b/>
              </w:rPr>
              <w:t>Treatment criteria:</w:t>
            </w:r>
          </w:p>
        </w:tc>
      </w:tr>
      <w:tr w:rsidR="00D845B4" w:rsidRPr="0098262F" w14:paraId="158BAA98"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1DC7D038" w14:textId="77777777" w:rsidR="00D845B4" w:rsidRPr="0031043E" w:rsidRDefault="00D845B4" w:rsidP="00D845B4">
            <w:pPr>
              <w:pStyle w:val="COMTabletext"/>
              <w:keepNext w:val="0"/>
              <w:rPr>
                <w:color w:val="0066FF"/>
              </w:rPr>
            </w:pPr>
            <w:r w:rsidRPr="0031043E">
              <w:t xml:space="preserve">The treatment must be used in conjunction with standard of care associated with the management of </w:t>
            </w:r>
            <w:r>
              <w:t>cardiovascular disease</w:t>
            </w:r>
            <w:r w:rsidRPr="0031043E">
              <w:t xml:space="preserve"> and prevention of future </w:t>
            </w:r>
            <w:r>
              <w:t>cardiovascular</w:t>
            </w:r>
            <w:r w:rsidRPr="0031043E">
              <w:t xml:space="preserve"> events</w:t>
            </w:r>
          </w:p>
        </w:tc>
      </w:tr>
      <w:tr w:rsidR="00D845B4" w:rsidRPr="0098262F" w14:paraId="01212A35"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1B3CA8B7" w14:textId="77777777" w:rsidR="00D845B4" w:rsidRPr="0098262F" w:rsidRDefault="00D845B4" w:rsidP="00D845B4">
            <w:pPr>
              <w:pStyle w:val="COMTabletext"/>
              <w:keepNext w:val="0"/>
            </w:pPr>
            <w:r w:rsidRPr="0098262F">
              <w:rPr>
                <w:b/>
              </w:rPr>
              <w:t>Population criteria:</w:t>
            </w:r>
          </w:p>
        </w:tc>
      </w:tr>
      <w:tr w:rsidR="00D845B4" w:rsidRPr="0098262F" w14:paraId="386835F5"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705CEFCB" w14:textId="77777777" w:rsidR="00D845B4" w:rsidRPr="00757707" w:rsidRDefault="00D845B4" w:rsidP="00D845B4">
            <w:pPr>
              <w:pStyle w:val="COMTabletext"/>
              <w:keepNext w:val="0"/>
            </w:pPr>
            <w:r w:rsidRPr="00757707">
              <w:t>Patient must be aged 18 years or older</w:t>
            </w:r>
          </w:p>
        </w:tc>
      </w:tr>
      <w:tr w:rsidR="00D845B4" w:rsidRPr="0098262F" w14:paraId="1D3049BF"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hideMark/>
          </w:tcPr>
          <w:p w14:paraId="10EADD16" w14:textId="77777777" w:rsidR="00D845B4" w:rsidRPr="0098262F" w:rsidRDefault="00D845B4" w:rsidP="00D845B4">
            <w:pPr>
              <w:pStyle w:val="COMTabletext"/>
              <w:keepNext w:val="0"/>
            </w:pPr>
            <w:r w:rsidRPr="0098262F">
              <w:rPr>
                <w:b/>
              </w:rPr>
              <w:t xml:space="preserve">Administrative Advice: </w:t>
            </w:r>
          </w:p>
        </w:tc>
      </w:tr>
      <w:tr w:rsidR="00D845B4" w:rsidRPr="0098262F" w14:paraId="2273133C"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6089D311" w14:textId="77777777" w:rsidR="00D845B4" w:rsidRPr="001150BD" w:rsidRDefault="00D845B4" w:rsidP="00D845B4">
            <w:pPr>
              <w:pStyle w:val="COMTabletext"/>
              <w:keepNext w:val="0"/>
              <w:rPr>
                <w:bCs w:val="0"/>
              </w:rPr>
            </w:pPr>
            <w:r w:rsidRPr="00780ADB">
              <w:lastRenderedPageBreak/>
              <w:t xml:space="preserve">The measured weight and height of the patient </w:t>
            </w:r>
            <w:r>
              <w:t>at the time STREAMLINED Authority is requested</w:t>
            </w:r>
            <w:r w:rsidRPr="00780ADB">
              <w:t xml:space="preserve"> must be included in the medical record</w:t>
            </w:r>
          </w:p>
        </w:tc>
      </w:tr>
      <w:tr w:rsidR="00D845B4" w:rsidRPr="0098262F" w14:paraId="5D960DF0"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33B5B964" w14:textId="77777777" w:rsidR="00D845B4" w:rsidRPr="001150BD" w:rsidRDefault="00D845B4" w:rsidP="00D845B4">
            <w:pPr>
              <w:pStyle w:val="COMTabletext"/>
              <w:keepNext w:val="0"/>
              <w:rPr>
                <w:bCs w:val="0"/>
              </w:rPr>
            </w:pPr>
            <w:r w:rsidRPr="00B33659">
              <w:rPr>
                <w:bCs w:val="0"/>
              </w:rPr>
              <w:t>No increase in the maximum quantity or number of units may be authorised</w:t>
            </w:r>
          </w:p>
        </w:tc>
      </w:tr>
      <w:tr w:rsidR="00D845B4" w:rsidRPr="0098262F" w14:paraId="33245E97"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60A19D82" w14:textId="77777777" w:rsidR="00D845B4" w:rsidRPr="001150BD" w:rsidRDefault="00D845B4" w:rsidP="00D845B4">
            <w:pPr>
              <w:pStyle w:val="COMTabletext"/>
              <w:keepNext w:val="0"/>
              <w:rPr>
                <w:bCs w:val="0"/>
              </w:rPr>
            </w:pPr>
            <w:r w:rsidRPr="00B33659">
              <w:rPr>
                <w:bCs w:val="0"/>
              </w:rPr>
              <w:t>No increase in the maximum number of repeats may be authorised</w:t>
            </w:r>
          </w:p>
        </w:tc>
      </w:tr>
      <w:tr w:rsidR="00D845B4" w:rsidRPr="0098262F" w14:paraId="5E70DA74" w14:textId="77777777" w:rsidTr="00F7576A">
        <w:tblPrEx>
          <w:tblCellMar>
            <w:top w:w="15" w:type="dxa"/>
            <w:bottom w:w="15" w:type="dxa"/>
          </w:tblCellMar>
          <w:tblLook w:val="04A0" w:firstRow="1" w:lastRow="0" w:firstColumn="1" w:lastColumn="0" w:noHBand="0" w:noVBand="1"/>
        </w:tblPrEx>
        <w:trPr>
          <w:cantSplit/>
          <w:trHeight w:val="20"/>
        </w:trPr>
        <w:tc>
          <w:tcPr>
            <w:tcW w:w="9071" w:type="dxa"/>
            <w:gridSpan w:val="7"/>
            <w:vAlign w:val="center"/>
          </w:tcPr>
          <w:p w14:paraId="154DA2F2" w14:textId="77777777" w:rsidR="00D845B4" w:rsidRPr="001150BD" w:rsidRDefault="00D845B4" w:rsidP="00D845B4">
            <w:pPr>
              <w:pStyle w:val="COMTabletext"/>
              <w:keepNext w:val="0"/>
              <w:rPr>
                <w:bCs w:val="0"/>
              </w:rPr>
            </w:pPr>
            <w:r w:rsidRPr="00B33659">
              <w:rPr>
                <w:bCs w:val="0"/>
              </w:rPr>
              <w:t>Special Pricing Arrangements apply</w:t>
            </w:r>
          </w:p>
        </w:tc>
      </w:tr>
    </w:tbl>
    <w:p w14:paraId="08B2A3F2" w14:textId="749D0EA0" w:rsidR="00D845B4" w:rsidRPr="001213CE" w:rsidRDefault="00D845B4" w:rsidP="005C4C1E">
      <w:pPr>
        <w:pStyle w:val="COMESnumberedpara"/>
      </w:pPr>
      <w:r w:rsidRPr="001213CE">
        <w:t>The current resubmission proposed</w:t>
      </w:r>
      <w:r w:rsidR="00D62237" w:rsidRPr="001213CE">
        <w:t xml:space="preserve"> a special pricing arrangement with</w:t>
      </w:r>
      <w:r w:rsidRPr="001213CE">
        <w:t xml:space="preserve"> lower effective DPMQs for the lower dose strengths (</w:t>
      </w:r>
      <w:r w:rsidR="004F60FD" w:rsidRPr="001213CE">
        <w:t xml:space="preserve">0.25, 0.5, 1.0 mg; </w:t>
      </w:r>
      <w:r w:rsidRPr="001213CE">
        <w:t>$</w:t>
      </w:r>
      <w:r w:rsidR="005E35AF" w:rsidRPr="005E35AF">
        <w:rPr>
          <w:highlight w:val="black"/>
        </w:rPr>
        <w:t>&amp;&amp;&amp;&amp;</w:t>
      </w:r>
      <w:r w:rsidRPr="001213CE">
        <w:t xml:space="preserve"> versus $</w:t>
      </w:r>
      <w:r w:rsidR="005E35AF" w:rsidRPr="005E35AF">
        <w:rPr>
          <w:highlight w:val="black"/>
        </w:rPr>
        <w:t>&amp;&amp;&amp;&amp;</w:t>
      </w:r>
      <w:r w:rsidRPr="001213CE">
        <w:t>) and the 1.7 mg dose strength ($</w:t>
      </w:r>
      <w:r w:rsidR="005E35AF" w:rsidRPr="005E35AF">
        <w:rPr>
          <w:highlight w:val="black"/>
        </w:rPr>
        <w:t>&amp;&amp;&amp;&amp;</w:t>
      </w:r>
      <w:r w:rsidRPr="001213CE">
        <w:t xml:space="preserve"> versus $</w:t>
      </w:r>
      <w:r w:rsidR="005E35AF" w:rsidRPr="005E35AF">
        <w:rPr>
          <w:highlight w:val="black"/>
        </w:rPr>
        <w:t>&amp;&amp;&amp;&amp;</w:t>
      </w:r>
      <w:r w:rsidRPr="001213CE">
        <w:t>) but a higher effective DPMQ for the 2.4 mg dose strength ($</w:t>
      </w:r>
      <w:r w:rsidR="005E35AF" w:rsidRPr="005E35AF">
        <w:rPr>
          <w:highlight w:val="black"/>
        </w:rPr>
        <w:t>&amp;&amp;&amp;&amp;</w:t>
      </w:r>
      <w:r w:rsidRPr="001213CE">
        <w:t xml:space="preserve"> versus $</w:t>
      </w:r>
      <w:r w:rsidR="005E35AF" w:rsidRPr="005E35AF">
        <w:rPr>
          <w:highlight w:val="black"/>
        </w:rPr>
        <w:t>&amp;&amp;&amp;&amp;</w:t>
      </w:r>
      <w:r w:rsidRPr="001213CE">
        <w:t xml:space="preserve">) compared to the November 2023 submission.  The proposed prices for the lower dose strengths are higher than the current prices for these dose strengths under the existing listing for </w:t>
      </w:r>
      <w:r w:rsidR="00D31C32" w:rsidRPr="001213CE">
        <w:t>type 2</w:t>
      </w:r>
      <w:r w:rsidRPr="001213CE">
        <w:t xml:space="preserve"> diabetes.  </w:t>
      </w:r>
    </w:p>
    <w:p w14:paraId="37F696CA" w14:textId="4056DD56" w:rsidR="00F7614F" w:rsidRPr="001213CE" w:rsidRDefault="6236AAE1" w:rsidP="005C4C1E">
      <w:pPr>
        <w:pStyle w:val="COMESnumberedpara"/>
      </w:pPr>
      <w:r>
        <w:t>The proposed essential elements d</w:t>
      </w:r>
      <w:r w:rsidR="56114076">
        <w:t>id</w:t>
      </w:r>
      <w:r>
        <w:t xml:space="preserve"> not have sufficient repeats for the lower dose strengths (0.25, 0.5 and 1.0 mg) to be used for maintenance dosing</w:t>
      </w:r>
      <w:r w:rsidR="4D943C55">
        <w:t xml:space="preserve"> or patients requiring slower dose </w:t>
      </w:r>
      <w:r w:rsidR="42C92E3D">
        <w:t>escalation</w:t>
      </w:r>
      <w:r>
        <w:t xml:space="preserve">. While this </w:t>
      </w:r>
      <w:r w:rsidR="56114076">
        <w:t>wa</w:t>
      </w:r>
      <w:r w:rsidR="230AD59F">
        <w:t>s</w:t>
      </w:r>
      <w:r>
        <w:t xml:space="preserve"> consistent with the recommended dosing regimen in the product information</w:t>
      </w:r>
      <w:r w:rsidR="37EB45FF">
        <w:t>,</w:t>
      </w:r>
      <w:r>
        <w:t xml:space="preserve"> it </w:t>
      </w:r>
      <w:r w:rsidR="56114076">
        <w:t>wa</w:t>
      </w:r>
      <w:r w:rsidR="230AD59F">
        <w:t>s</w:t>
      </w:r>
      <w:r>
        <w:t xml:space="preserve"> inconsistent with the clinical evidence from the key trial, economic analysis and budget impact model </w:t>
      </w:r>
      <w:r w:rsidR="413F32AA">
        <w:t xml:space="preserve">all of </w:t>
      </w:r>
      <w:r>
        <w:t>which included a small proportion of patients using the lower dose strengths as maintenance therapy.</w:t>
      </w:r>
      <w:r w:rsidR="631BC6A4">
        <w:t xml:space="preserve"> </w:t>
      </w:r>
      <w:r w:rsidR="7663EEF7">
        <w:t>The P</w:t>
      </w:r>
      <w:r w:rsidR="5D7ABCBB">
        <w:t>re-</w:t>
      </w:r>
      <w:r w:rsidR="7663EEF7">
        <w:t>S</w:t>
      </w:r>
      <w:r w:rsidR="5D7ABCBB">
        <w:t>ub-</w:t>
      </w:r>
      <w:r w:rsidR="7663EEF7">
        <w:t>C</w:t>
      </w:r>
      <w:r w:rsidR="5D7ABCBB">
        <w:t xml:space="preserve">ommittee </w:t>
      </w:r>
      <w:r w:rsidR="7663EEF7">
        <w:t>R</w:t>
      </w:r>
      <w:r w:rsidR="5D7ABCBB">
        <w:t>esponse (PSCR)</w:t>
      </w:r>
      <w:r w:rsidR="7663EEF7">
        <w:t xml:space="preserve"> argued that the number of repeats was intended to provide a real-world reflection of the trial-based incentive for patients and prescribers to follow the recommended titration schedule. The ESC advised that adverse events may increase the duration of titration and considered it would be reasonable to </w:t>
      </w:r>
      <w:r w:rsidR="697F27B5">
        <w:t>allow</w:t>
      </w:r>
      <w:r w:rsidR="7663EEF7">
        <w:t xml:space="preserve"> a repeat for initial treatment for those who may need to titrate more slowly. In addition,</w:t>
      </w:r>
      <w:r w:rsidR="5F6DE89D">
        <w:t xml:space="preserve"> noting that 16.23% of patients in the </w:t>
      </w:r>
      <w:r w:rsidR="65D60FF0">
        <w:t>SELECT trial used lower dose strengths as maintenance,</w:t>
      </w:r>
      <w:r w:rsidR="7663EEF7">
        <w:t xml:space="preserve"> the ESC considered it may be reasonable to </w:t>
      </w:r>
      <w:r w:rsidR="697F27B5">
        <w:t>allow</w:t>
      </w:r>
      <w:r w:rsidR="7663EEF7">
        <w:t xml:space="preserve"> lower doses for continuing treatment.</w:t>
      </w:r>
      <w:r w:rsidR="32DAE3BE">
        <w:t xml:space="preserve"> </w:t>
      </w:r>
      <w:r w:rsidR="174D29B3">
        <w:t xml:space="preserve">The pre-PBAC </w:t>
      </w:r>
      <w:proofErr w:type="gramStart"/>
      <w:r w:rsidR="174D29B3">
        <w:t xml:space="preserve">response  </w:t>
      </w:r>
      <w:r w:rsidR="69031FB6">
        <w:t>acknowledged</w:t>
      </w:r>
      <w:proofErr w:type="gramEnd"/>
      <w:r w:rsidR="69031FB6">
        <w:t xml:space="preserve"> that the </w:t>
      </w:r>
      <w:r w:rsidR="1E0AF90C">
        <w:t xml:space="preserve">product information </w:t>
      </w:r>
      <w:r w:rsidR="3DA79F5C">
        <w:t>allows delaying</w:t>
      </w:r>
      <w:r w:rsidR="1E0AF90C">
        <w:t xml:space="preserve"> </w:t>
      </w:r>
      <w:r w:rsidR="530D38BE">
        <w:t xml:space="preserve">dose escalation </w:t>
      </w:r>
      <w:r w:rsidR="29A0CDEB">
        <w:t xml:space="preserve">in cases of </w:t>
      </w:r>
      <w:r w:rsidR="530D38BE">
        <w:t xml:space="preserve">significant gastrointestinal </w:t>
      </w:r>
      <w:r w:rsidR="5F11EE8F">
        <w:t xml:space="preserve">symptoms. </w:t>
      </w:r>
    </w:p>
    <w:p w14:paraId="6AA1BC2B" w14:textId="148D879B" w:rsidR="00DA59D4" w:rsidRPr="00D31B2F" w:rsidRDefault="71F5819C" w:rsidP="00900D39">
      <w:pPr>
        <w:pStyle w:val="COMESnumberedpara"/>
        <w:spacing w:line="259" w:lineRule="auto"/>
      </w:pPr>
      <w:r w:rsidRPr="001213CE">
        <w:t xml:space="preserve">The resubmission proposed three alternative patient populations with atherosclerotic cardiovascular disease using different BMI thresholds as a qualifying criterion: </w:t>
      </w:r>
      <w:r w:rsidR="059B3A2B" w:rsidRPr="001213CE">
        <w:t>≥</w:t>
      </w:r>
      <w:r w:rsidRPr="001213CE">
        <w:t>40 kg/m</w:t>
      </w:r>
      <w:r w:rsidRPr="00DA59D4">
        <w:rPr>
          <w:vertAlign w:val="superscript"/>
        </w:rPr>
        <w:t>2</w:t>
      </w:r>
      <w:r w:rsidRPr="001213CE">
        <w:t xml:space="preserve"> (Option 1), </w:t>
      </w:r>
      <w:r w:rsidR="059B3A2B" w:rsidRPr="001213CE">
        <w:t>≥</w:t>
      </w:r>
      <w:bookmarkStart w:id="13" w:name="_Hlk210999353"/>
      <w:r w:rsidRPr="001213CE">
        <w:t>35 kg/m</w:t>
      </w:r>
      <w:r w:rsidRPr="00DA59D4">
        <w:rPr>
          <w:vertAlign w:val="superscript"/>
        </w:rPr>
        <w:t>2</w:t>
      </w:r>
      <w:r w:rsidRPr="001213CE">
        <w:t xml:space="preserve"> </w:t>
      </w:r>
      <w:bookmarkEnd w:id="13"/>
      <w:r w:rsidRPr="001213CE">
        <w:t xml:space="preserve">(Option 2) and </w:t>
      </w:r>
      <w:r w:rsidR="059B3A2B" w:rsidRPr="001213CE">
        <w:t>≥</w:t>
      </w:r>
      <w:r w:rsidRPr="001213CE">
        <w:t>27 kg/m</w:t>
      </w:r>
      <w:r w:rsidRPr="00DA59D4">
        <w:rPr>
          <w:vertAlign w:val="superscript"/>
        </w:rPr>
        <w:t>2</w:t>
      </w:r>
      <w:r w:rsidRPr="001213CE">
        <w:t xml:space="preserve"> (Option 3)</w:t>
      </w:r>
      <w:r w:rsidR="3547B1CE">
        <w:t xml:space="preserve"> with specific adjustments </w:t>
      </w:r>
      <w:r w:rsidR="3547B1CE" w:rsidRPr="00522875">
        <w:rPr>
          <w:rFonts w:ascii="Calibri" w:hAnsi="Calibri" w:cs="Calibri"/>
          <w:color w:val="000000" w:themeColor="text1"/>
        </w:rPr>
        <w:t xml:space="preserve">for </w:t>
      </w:r>
      <w:r w:rsidR="3547B1CE">
        <w:rPr>
          <w:rFonts w:ascii="Calibri" w:hAnsi="Calibri" w:cs="Calibri"/>
          <w:color w:val="000000" w:themeColor="text1"/>
        </w:rPr>
        <w:t xml:space="preserve">people of Asian or </w:t>
      </w:r>
      <w:r w:rsidR="3547B1CE" w:rsidRPr="00522875">
        <w:rPr>
          <w:rFonts w:ascii="Calibri" w:hAnsi="Calibri" w:cs="Calibri"/>
          <w:color w:val="000000" w:themeColor="text1"/>
        </w:rPr>
        <w:t xml:space="preserve">Aboriginal or Torres Strait Islander </w:t>
      </w:r>
      <w:r w:rsidR="3547B1CE">
        <w:rPr>
          <w:rFonts w:ascii="Calibri" w:hAnsi="Calibri" w:cs="Calibri"/>
          <w:color w:val="000000" w:themeColor="text1"/>
        </w:rPr>
        <w:t>ethnicity</w:t>
      </w:r>
      <w:r w:rsidRPr="001213CE">
        <w:t>. Overall,</w:t>
      </w:r>
      <w:r w:rsidR="4BA1EDD3">
        <w:t xml:space="preserve"> the evaluation noted that</w:t>
      </w:r>
      <w:r w:rsidRPr="001213CE">
        <w:t xml:space="preserve"> Option 3 most closely aligns with the clinical trial evidence and the TGA approved restrictions for established cardiovascular disease and weight loss.</w:t>
      </w:r>
      <w:r w:rsidR="697F27B5" w:rsidRPr="00D31B2F">
        <w:rPr>
          <w:iCs/>
        </w:rPr>
        <w:t xml:space="preserve"> </w:t>
      </w:r>
      <w:r w:rsidR="739D6737" w:rsidRPr="0A99B0B1">
        <w:t xml:space="preserve">The ESC considered </w:t>
      </w:r>
      <w:r w:rsidR="4AB27E06" w:rsidRPr="0A99B0B1">
        <w:t>that i</w:t>
      </w:r>
      <w:r w:rsidR="387318F9" w:rsidRPr="0A99B0B1">
        <w:t>f</w:t>
      </w:r>
      <w:r w:rsidR="4AB27E06" w:rsidRPr="00D31B2F">
        <w:rPr>
          <w:iCs/>
        </w:rPr>
        <w:t xml:space="preserve"> </w:t>
      </w:r>
      <w:r w:rsidR="739D6737" w:rsidRPr="0A99B0B1">
        <w:t xml:space="preserve">the purpose of treatment </w:t>
      </w:r>
      <w:r w:rsidR="650873E6" w:rsidRPr="0A99B0B1">
        <w:t xml:space="preserve">was secondary prevention for all people with eCVD, then </w:t>
      </w:r>
      <w:r w:rsidR="0FC9A24B" w:rsidRPr="0A99B0B1">
        <w:t>the ITT population (</w:t>
      </w:r>
      <w:r w:rsidR="776F3467" w:rsidRPr="0A99B0B1">
        <w:t>patients</w:t>
      </w:r>
      <w:r w:rsidR="0FC9A24B" w:rsidRPr="0A99B0B1">
        <w:t xml:space="preserve"> with BMI </w:t>
      </w:r>
      <w:r w:rsidR="1BD7B447" w:rsidRPr="0A99B0B1">
        <w:t>≥27 kg/m</w:t>
      </w:r>
      <w:r w:rsidR="1BD7B447" w:rsidRPr="0A99B0B1">
        <w:rPr>
          <w:vertAlign w:val="superscript"/>
        </w:rPr>
        <w:t>2</w:t>
      </w:r>
      <w:r w:rsidR="776F3467" w:rsidRPr="0A99B0B1">
        <w:t>) was appropriate. I</w:t>
      </w:r>
      <w:r w:rsidR="65721259" w:rsidRPr="0A99B0B1">
        <w:t xml:space="preserve">f the purpose of treatment </w:t>
      </w:r>
      <w:r w:rsidR="509261E1" w:rsidRPr="0A99B0B1">
        <w:t>wa</w:t>
      </w:r>
      <w:r w:rsidR="65721259" w:rsidRPr="0A99B0B1">
        <w:t xml:space="preserve">s to target secondary prevention of </w:t>
      </w:r>
      <w:r w:rsidR="509261E1" w:rsidRPr="0A99B0B1">
        <w:t xml:space="preserve">CVD in </w:t>
      </w:r>
      <w:r w:rsidR="65721259" w:rsidRPr="0A99B0B1">
        <w:t>patients with obesity, then option 1 or 2 would be appropriate, as patients with a BMI ≥40 kg/m</w:t>
      </w:r>
      <w:r w:rsidR="65721259" w:rsidRPr="0A99B0B1">
        <w:rPr>
          <w:vertAlign w:val="superscript"/>
        </w:rPr>
        <w:t>2</w:t>
      </w:r>
      <w:r w:rsidR="65721259" w:rsidRPr="0A99B0B1">
        <w:t xml:space="preserve"> or 35 kg/m</w:t>
      </w:r>
      <w:r w:rsidR="65721259" w:rsidRPr="0A99B0B1">
        <w:rPr>
          <w:vertAlign w:val="superscript"/>
        </w:rPr>
        <w:t>2</w:t>
      </w:r>
      <w:r w:rsidR="65721259" w:rsidRPr="0A99B0B1">
        <w:t xml:space="preserve"> </w:t>
      </w:r>
      <w:r w:rsidR="77D43EC9">
        <w:t>are very likely to</w:t>
      </w:r>
      <w:r w:rsidR="65721259" w:rsidRPr="0A99B0B1">
        <w:t xml:space="preserve"> have excess adiposity. </w:t>
      </w:r>
      <w:r w:rsidR="509261E1" w:rsidRPr="0A99B0B1">
        <w:t xml:space="preserve">However, the ESC also noted the recent publication in </w:t>
      </w:r>
      <w:bookmarkStart w:id="14" w:name="_Hlk211000957"/>
      <w:r w:rsidR="509261E1" w:rsidRPr="0A99B0B1">
        <w:t xml:space="preserve">The Lancet Diabetes &amp; </w:t>
      </w:r>
      <w:r w:rsidR="509261E1" w:rsidRPr="0A99B0B1">
        <w:lastRenderedPageBreak/>
        <w:t>Endocrinology</w:t>
      </w:r>
      <w:bookmarkEnd w:id="14"/>
      <w:r w:rsidR="007606E6" w:rsidRPr="0A99B0B1">
        <w:rPr>
          <w:rStyle w:val="FootnoteReference"/>
        </w:rPr>
        <w:footnoteReference w:id="1"/>
      </w:r>
      <w:r w:rsidR="509261E1" w:rsidRPr="0A99B0B1">
        <w:t xml:space="preserve"> in which the definition and diagnostic criteria of clinical obesity was moving away from </w:t>
      </w:r>
      <w:r w:rsidR="516C8AE1" w:rsidRPr="0A99B0B1">
        <w:t xml:space="preserve">solely relying on </w:t>
      </w:r>
      <w:r w:rsidR="509261E1" w:rsidRPr="0A99B0B1">
        <w:t xml:space="preserve">BMI, and there was a consensus statement regarding diagnostic criteria for clinical obesity in adults with respect to CVD. The ESC considered criteria beyond BMI may </w:t>
      </w:r>
      <w:r w:rsidR="0FA0A615" w:rsidRPr="0A99B0B1">
        <w:t xml:space="preserve">also </w:t>
      </w:r>
      <w:r w:rsidR="509261E1" w:rsidRPr="0A99B0B1">
        <w:t>need to be considered.</w:t>
      </w:r>
    </w:p>
    <w:p w14:paraId="09FF6BB5" w14:textId="3FE6ED5F" w:rsidR="003B1980" w:rsidRPr="00AB73BD" w:rsidRDefault="003B1980" w:rsidP="005C4C1E">
      <w:pPr>
        <w:pStyle w:val="COMESnumberedpara"/>
        <w:rPr>
          <w:i/>
          <w:iCs/>
        </w:rPr>
      </w:pPr>
      <w:r w:rsidRPr="001213CE">
        <w:t>The resubmission proposed an Authority Required (telephone/online) listing for the initial and grandfathered listings and a Streamlined Authority for the continuation listing. T</w:t>
      </w:r>
      <w:r w:rsidR="001F3B69">
        <w:t>he evaluation noted t</w:t>
      </w:r>
      <w:r w:rsidRPr="001213CE">
        <w:t xml:space="preserve">his is consistent with the current PBS listing of semaglutide for </w:t>
      </w:r>
      <w:r w:rsidR="00D31C32" w:rsidRPr="001213CE">
        <w:t>type 2</w:t>
      </w:r>
      <w:r w:rsidRPr="001213CE">
        <w:t xml:space="preserve"> diabetes. However, a recent DUSC analysis of semaglutide for </w:t>
      </w:r>
      <w:r w:rsidR="00D31C32" w:rsidRPr="001213CE">
        <w:t>type 2</w:t>
      </w:r>
      <w:r w:rsidRPr="001213CE">
        <w:t xml:space="preserve"> diabetes suggested 73% of treatment initiations were outside of the target PBS population and 56% of patients appeared to be initiated using the Streamlined Authority continuation listing rather than the Authority Required (telephone/online) initial listing.</w:t>
      </w:r>
    </w:p>
    <w:p w14:paraId="71DDE60D" w14:textId="77777777" w:rsidR="00AB73BD" w:rsidRPr="00C33D30" w:rsidRDefault="00AB73BD" w:rsidP="00AB73BD">
      <w:pPr>
        <w:ind w:firstLine="709"/>
        <w:rPr>
          <w:rFonts w:asciiTheme="minorHAnsi" w:hAnsiTheme="minorHAnsi"/>
          <w:i/>
        </w:rPr>
      </w:pPr>
      <w:r w:rsidRPr="00C33D30">
        <w:rPr>
          <w:rFonts w:asciiTheme="minorHAnsi" w:hAnsiTheme="minorHAnsi"/>
          <w:i/>
        </w:rPr>
        <w:t>For more detail on PBAC’s view, see section 7 PBAC outcome.</w:t>
      </w:r>
    </w:p>
    <w:p w14:paraId="7075B85C" w14:textId="62A47B7B" w:rsidR="00B50DB8" w:rsidRPr="0098262F" w:rsidDel="00195452" w:rsidRDefault="00203181" w:rsidP="004E18E9">
      <w:pPr>
        <w:pStyle w:val="COMESH2"/>
      </w:pPr>
      <w:bookmarkStart w:id="15" w:name="_Toc208928363"/>
      <w:r w:rsidRPr="0098262F" w:rsidDel="00195452">
        <w:t xml:space="preserve">Population and </w:t>
      </w:r>
      <w:r w:rsidR="008E0D3C" w:rsidRPr="0098262F" w:rsidDel="00195452">
        <w:t>d</w:t>
      </w:r>
      <w:r w:rsidRPr="0098262F" w:rsidDel="00195452">
        <w:t>isease</w:t>
      </w:r>
      <w:bookmarkEnd w:id="15"/>
    </w:p>
    <w:p w14:paraId="7FE94CF4" w14:textId="12FCD414" w:rsidR="003F7606" w:rsidRPr="003F7606" w:rsidRDefault="003F7606" w:rsidP="004E18E9">
      <w:pPr>
        <w:pStyle w:val="COMESnumberedpara"/>
      </w:pPr>
      <w:r w:rsidRPr="003F7606">
        <w:t>Cardiovascular disease is a broad term used to describe a variety of conditions that affect the heart and blood vessels including myocardial infarction (</w:t>
      </w:r>
      <w:r w:rsidR="002E4AEF">
        <w:t>“</w:t>
      </w:r>
      <w:r w:rsidRPr="003F7606">
        <w:t>heart attack</w:t>
      </w:r>
      <w:r w:rsidR="002E4AEF">
        <w:t>”</w:t>
      </w:r>
      <w:r w:rsidRPr="003F7606">
        <w:t>), stroke, angina, transient ischaemic attack (</w:t>
      </w:r>
      <w:r w:rsidR="002E4AEF">
        <w:t>“</w:t>
      </w:r>
      <w:r w:rsidRPr="003F7606">
        <w:t>mini-stroke</w:t>
      </w:r>
      <w:r w:rsidR="002E4AEF">
        <w:t>”</w:t>
      </w:r>
      <w:r w:rsidRPr="003F7606">
        <w:t xml:space="preserve">), peripheral arterial disease, heart failure/cardiomyopathy, atrial fibrillation, rheumatic heart disease and congenital heart disease (AIHW Heart, stroke and vascular disease report 2024). There are multiple established and interrelated risk factors for cardiovascular disease including hypercholesterolaemia, hypertension, diabetes, chronic kidney disease, physical inactivity, poor diet, </w:t>
      </w:r>
      <w:r w:rsidR="002E4AEF">
        <w:t xml:space="preserve">smoking, </w:t>
      </w:r>
      <w:r w:rsidRPr="003F7606">
        <w:t xml:space="preserve">excess alcohol consumption, overweight and obesity, family history </w:t>
      </w:r>
      <w:r w:rsidR="002E4AEF">
        <w:t xml:space="preserve">(genetics) </w:t>
      </w:r>
      <w:r w:rsidRPr="003F7606">
        <w:t xml:space="preserve">and/or ethnicity (NHS 2025). In Australia it was estimated that 1.3 million adults (6.7%) were living with cardiovascular disease in 2022 with a higher incidence in males (7.6%) versus females (5.8%) and an increasing incidence with age (28% of individuals aged </w:t>
      </w:r>
      <w:r w:rsidR="00D01372">
        <w:t>≥</w:t>
      </w:r>
      <w:r w:rsidRPr="003F7606">
        <w:t>75 years) (ABS National Health Survey 2022). Cardiovascular disease is associated with both increased mortality and lower quality of life.</w:t>
      </w:r>
    </w:p>
    <w:p w14:paraId="0C342A94" w14:textId="437335B5" w:rsidR="003F7606" w:rsidRDefault="003F7606" w:rsidP="004E18E9">
      <w:pPr>
        <w:pStyle w:val="COMESnumberedpara"/>
      </w:pPr>
      <w:r w:rsidRPr="00FB0F35">
        <w:t xml:space="preserve">Obesity is a complex chronic disease characterised by excessive fat accumulation which is typically caused by a sustained imbalance between energy intake (from the diet) and energy expenditure (through physical activities and bodily functions). There are many different genetic, lifestyle and social factors that may influence the energy balance of individuals, such as metabolic efficiency, medical conditions/medications, active or sedentary habits, diet (quantity and frequency of consumption of food and </w:t>
      </w:r>
      <w:r w:rsidRPr="00FB0F35">
        <w:lastRenderedPageBreak/>
        <w:t>flavoured drinks), the availability of convenience foods, the built environment etc. Obesity is a highly prevalent disease which has been steadily increasing over time in the Australian population, with the latest estimate indicating that approximately 1 in 3 adults are obese (ABS National Health Survey 2017-2018)</w:t>
      </w:r>
      <w:r w:rsidR="00FB0F35" w:rsidRPr="00FB0F35">
        <w:t xml:space="preserve">. </w:t>
      </w:r>
    </w:p>
    <w:p w14:paraId="58E6B7FD" w14:textId="70882289" w:rsidR="006904E5" w:rsidRDefault="006904E5" w:rsidP="001B5BCA">
      <w:pPr>
        <w:pStyle w:val="COMESnumberedpara"/>
        <w:spacing w:after="0"/>
      </w:pPr>
      <w:r>
        <w:t xml:space="preserve">Obesity is typically </w:t>
      </w:r>
      <w:r w:rsidR="000D593F">
        <w:t xml:space="preserve">classified </w:t>
      </w:r>
      <w:r>
        <w:t>based on body mass index (ratio of weight to height) and/or waist circumference using the following thresholds</w:t>
      </w:r>
      <w:r w:rsidR="000D593F">
        <w:t xml:space="preserve"> </w:t>
      </w:r>
      <w:r w:rsidR="000D593F" w:rsidRPr="00D31B2F">
        <w:rPr>
          <w:iCs/>
        </w:rPr>
        <w:t>(noting different thresholds are used for some population groups)</w:t>
      </w:r>
      <w:r w:rsidRPr="00D31B2F">
        <w:rPr>
          <w:iCs/>
        </w:rPr>
        <w:t>:</w:t>
      </w:r>
    </w:p>
    <w:p w14:paraId="262D3995" w14:textId="5C2EB689" w:rsidR="006904E5" w:rsidRDefault="006904E5" w:rsidP="001B5BCA">
      <w:pPr>
        <w:pStyle w:val="COMESbulletlist"/>
        <w:spacing w:after="0"/>
      </w:pPr>
      <w:r>
        <w:t>BMI between 18.5 and 24.9 kg/m</w:t>
      </w:r>
      <w:r w:rsidRPr="006904E5">
        <w:rPr>
          <w:vertAlign w:val="superscript"/>
        </w:rPr>
        <w:t>2</w:t>
      </w:r>
      <w:r>
        <w:t xml:space="preserve"> is considered healthy</w:t>
      </w:r>
      <w:r w:rsidR="000D593F">
        <w:t xml:space="preserve"> for adults</w:t>
      </w:r>
      <w:r>
        <w:t>.</w:t>
      </w:r>
    </w:p>
    <w:p w14:paraId="3006C659" w14:textId="2DFC116F" w:rsidR="006904E5" w:rsidRDefault="006904E5" w:rsidP="001B5BCA">
      <w:pPr>
        <w:pStyle w:val="COMESbulletlist"/>
        <w:spacing w:after="0"/>
      </w:pPr>
      <w:r>
        <w:t>BMI between 25 and 29.9 kg/m</w:t>
      </w:r>
      <w:r w:rsidRPr="006904E5">
        <w:rPr>
          <w:vertAlign w:val="superscript"/>
        </w:rPr>
        <w:t>2</w:t>
      </w:r>
      <w:r>
        <w:t xml:space="preserve"> is considered overweight</w:t>
      </w:r>
      <w:r w:rsidR="000D593F">
        <w:t xml:space="preserve"> for adults</w:t>
      </w:r>
      <w:r>
        <w:t>.</w:t>
      </w:r>
    </w:p>
    <w:p w14:paraId="0EF4072C" w14:textId="6519F6B8" w:rsidR="006904E5" w:rsidRDefault="006904E5" w:rsidP="001B5BCA">
      <w:pPr>
        <w:pStyle w:val="COMESbulletlist"/>
        <w:spacing w:after="0"/>
      </w:pPr>
      <w:r>
        <w:t>BMI between 30 and 34.9 kg/m</w:t>
      </w:r>
      <w:r w:rsidRPr="006904E5">
        <w:rPr>
          <w:vertAlign w:val="superscript"/>
        </w:rPr>
        <w:t>2</w:t>
      </w:r>
      <w:r>
        <w:t xml:space="preserve"> is considered obese</w:t>
      </w:r>
      <w:r w:rsidR="000D593F">
        <w:t xml:space="preserve"> for adults</w:t>
      </w:r>
      <w:r>
        <w:t>.</w:t>
      </w:r>
    </w:p>
    <w:p w14:paraId="42C3D75C" w14:textId="0D313BDA" w:rsidR="006904E5" w:rsidRDefault="006904E5" w:rsidP="001B5BCA">
      <w:pPr>
        <w:pStyle w:val="COMESbulletlist"/>
        <w:spacing w:after="0"/>
      </w:pPr>
      <w:r>
        <w:t>BMI of 35 kg/m</w:t>
      </w:r>
      <w:r w:rsidRPr="006904E5">
        <w:rPr>
          <w:vertAlign w:val="superscript"/>
        </w:rPr>
        <w:t>2</w:t>
      </w:r>
      <w:r>
        <w:t xml:space="preserve"> and above is considered severely obese</w:t>
      </w:r>
      <w:r w:rsidR="000D593F">
        <w:t xml:space="preserve"> for adults</w:t>
      </w:r>
      <w:r>
        <w:t>.</w:t>
      </w:r>
    </w:p>
    <w:p w14:paraId="6E29BCFC" w14:textId="77777777" w:rsidR="006904E5" w:rsidRDefault="006904E5" w:rsidP="009F332E">
      <w:pPr>
        <w:pStyle w:val="COMESbulletlist"/>
        <w:spacing w:after="0"/>
        <w:jc w:val="both"/>
      </w:pPr>
      <w:r>
        <w:t>In men a waist circumference of 94 centimetres or more indicates an increased risk of weight-related comorbidities and a measurement of 102 centimetres or more indicates a greatly increased risk of weight-related comorbidities.</w:t>
      </w:r>
    </w:p>
    <w:p w14:paraId="0980F70C" w14:textId="7720D370" w:rsidR="006904E5" w:rsidRPr="00FB0F35" w:rsidRDefault="006904E5" w:rsidP="009F332E">
      <w:pPr>
        <w:pStyle w:val="COMESbulletlist"/>
        <w:jc w:val="both"/>
      </w:pPr>
      <w:r>
        <w:t xml:space="preserve">In women a waist circumference of 80 centimetres or more indicates an </w:t>
      </w:r>
      <w:proofErr w:type="gramStart"/>
      <w:r>
        <w:t xml:space="preserve">increased </w:t>
      </w:r>
      <w:r w:rsidR="00E94AC1">
        <w:t xml:space="preserve"> </w:t>
      </w:r>
      <w:r>
        <w:t>risk</w:t>
      </w:r>
      <w:proofErr w:type="gramEnd"/>
      <w:r>
        <w:t xml:space="preserve"> of weight-related comorbidities and a measurement of 88 centimetres or more indicates a greatly increased risk of weight-related comorbidities.</w:t>
      </w:r>
    </w:p>
    <w:p w14:paraId="72D6CABA" w14:textId="2E58FA9B" w:rsidR="003F7606" w:rsidRPr="00FB0F35" w:rsidRDefault="00FB0F35" w:rsidP="004E18E9">
      <w:pPr>
        <w:pStyle w:val="COMESnumberedpara"/>
      </w:pPr>
      <w:r w:rsidRPr="00FB0F35">
        <w:t xml:space="preserve">Obesity is also a major risk factor associated with the development of </w:t>
      </w:r>
      <w:proofErr w:type="gramStart"/>
      <w:r w:rsidRPr="00FB0F35">
        <w:t>a number of</w:t>
      </w:r>
      <w:proofErr w:type="gramEnd"/>
      <w:r w:rsidRPr="00FB0F35">
        <w:t xml:space="preserve"> other conditions including diabetes, cardiovascular disease, osteoarthritis, gastro-oesophageal reflux disease, obstructive sleep apnoea, non-alcoholic steatohepatitis, urinary incontinence, and some cancers. Patients with obesity </w:t>
      </w:r>
      <w:r w:rsidR="002E4AEF">
        <w:t>often</w:t>
      </w:r>
      <w:r w:rsidR="002E4AEF" w:rsidRPr="00FB0F35">
        <w:t xml:space="preserve"> </w:t>
      </w:r>
      <w:r w:rsidRPr="00FB0F35">
        <w:t>also experience a reduction in quality of life due to physical limitations on daily activities as well as other psychosocial impacts (such as stigmatisation and discrimination associated with obesity).</w:t>
      </w:r>
    </w:p>
    <w:p w14:paraId="67FEDF82" w14:textId="41B87602" w:rsidR="00FB0F35" w:rsidRPr="001213CE" w:rsidRDefault="00FB0F35" w:rsidP="00FB0F35">
      <w:pPr>
        <w:pStyle w:val="COMESnumberedpara"/>
      </w:pPr>
      <w:r w:rsidRPr="00FB0F35">
        <w:t xml:space="preserve">The resubmission targeted a subgroup of adult patients with a prior history of specific cardiovascular events (myocardial infarction, stroke and peripheral arterial disease) who were either overweight or obese. </w:t>
      </w:r>
      <w:r w:rsidRPr="001213CE">
        <w:t>This population was well-defined and broadly consistent with the key clinical trial data.</w:t>
      </w:r>
    </w:p>
    <w:p w14:paraId="12C15FA1" w14:textId="77777777" w:rsidR="00A80901" w:rsidRPr="00C33D30" w:rsidRDefault="00A80901" w:rsidP="00A80901">
      <w:pPr>
        <w:ind w:firstLine="709"/>
        <w:rPr>
          <w:rFonts w:asciiTheme="minorHAnsi" w:hAnsiTheme="minorHAnsi"/>
          <w:i/>
        </w:rPr>
      </w:pPr>
      <w:r w:rsidRPr="00C33D30">
        <w:rPr>
          <w:rFonts w:asciiTheme="minorHAnsi" w:hAnsiTheme="minorHAnsi"/>
          <w:i/>
        </w:rPr>
        <w:t>For more detail on PBAC’s view, see section 7 PBAC outcome.</w:t>
      </w:r>
    </w:p>
    <w:p w14:paraId="51E5AE96" w14:textId="136A63B1" w:rsidR="00B50DB8" w:rsidRPr="0098262F" w:rsidRDefault="00B50DB8" w:rsidP="004E18E9">
      <w:pPr>
        <w:pStyle w:val="COMESH2"/>
      </w:pPr>
      <w:bookmarkStart w:id="16" w:name="_Toc208928364"/>
      <w:r w:rsidRPr="0098262F">
        <w:t>Comparator</w:t>
      </w:r>
      <w:bookmarkEnd w:id="16"/>
    </w:p>
    <w:p w14:paraId="6A86A8F6" w14:textId="0645CC5B" w:rsidR="00EB50B6" w:rsidRPr="00EB50B6" w:rsidRDefault="00EB50B6" w:rsidP="00EB50B6">
      <w:pPr>
        <w:pStyle w:val="COMESnumberedpara"/>
        <w:rPr>
          <w:i/>
          <w:iCs/>
        </w:rPr>
      </w:pPr>
      <w:r>
        <w:t>The resubmission nominated placebo a</w:t>
      </w:r>
      <w:r w:rsidR="00302CD9">
        <w:t>s</w:t>
      </w:r>
      <w:r>
        <w:t xml:space="preserve"> the main comparator as a proxy for standard of care management in patients with established cardiovascular disease. The main argument in support of this nomination was the claim that semaglutide will be used as an add-on to standard of care therapies. </w:t>
      </w:r>
      <w:r w:rsidRPr="00D31B2F">
        <w:rPr>
          <w:iCs/>
        </w:rPr>
        <w:t>T</w:t>
      </w:r>
      <w:r w:rsidR="00CA3590" w:rsidRPr="00D31B2F">
        <w:rPr>
          <w:iCs/>
        </w:rPr>
        <w:t>he ESC agreed with the evaluation that</w:t>
      </w:r>
      <w:r w:rsidR="00CA3590">
        <w:t xml:space="preserve"> t</w:t>
      </w:r>
      <w:r w:rsidRPr="001213CE">
        <w:t>his was reasonable.</w:t>
      </w:r>
      <w:r w:rsidR="000D03BE">
        <w:rPr>
          <w:i/>
          <w:iCs/>
        </w:rPr>
        <w:t xml:space="preserve"> </w:t>
      </w:r>
    </w:p>
    <w:p w14:paraId="74352389" w14:textId="02B78C1D" w:rsidR="00EB50B6" w:rsidRDefault="5CE2BB7A" w:rsidP="00EB50B6">
      <w:pPr>
        <w:pStyle w:val="COMESnumberedpara"/>
      </w:pPr>
      <w:r>
        <w:t xml:space="preserve">The resubmission argued that tirzepatide (a dual GLP-1/GIP therapy) should not be considered a near market comparator on the basis that its key cardiovascular outcome trial is still underway (SURMOUNT-MMO, estimated study completion: October 2027) and tirzepatide does not have a specific TGA indication for patients with established cardiovascular disease. The </w:t>
      </w:r>
      <w:r w:rsidR="2D0394DE">
        <w:t xml:space="preserve">ESC agreed with the evaluation that </w:t>
      </w:r>
      <w:r>
        <w:t xml:space="preserve">exclusion of </w:t>
      </w:r>
      <w:r>
        <w:lastRenderedPageBreak/>
        <w:t>tirzepatide as a near market comparator may not be reasonable</w:t>
      </w:r>
      <w:r w:rsidR="1594B2F8">
        <w:t>,</w:t>
      </w:r>
      <w:r>
        <w:t xml:space="preserve"> given that tirzepatide is currently TGA approved as ‘an adjunct to a reduced-calorie diet and increased physical activity for chronic weight management, including weight loss and weight maintenance, in adults with an initial body mass index (BMI) of: </w:t>
      </w:r>
      <w:r w:rsidR="059B3A2B">
        <w:t>≥</w:t>
      </w:r>
      <w:r>
        <w:t>30 kg/m</w:t>
      </w:r>
      <w:r w:rsidRPr="0A99B0B1">
        <w:rPr>
          <w:vertAlign w:val="superscript"/>
        </w:rPr>
        <w:t>2</w:t>
      </w:r>
      <w:r>
        <w:t xml:space="preserve"> (obesity) or ≥27 kg/m</w:t>
      </w:r>
      <w:r w:rsidRPr="0A99B0B1">
        <w:rPr>
          <w:vertAlign w:val="superscript"/>
        </w:rPr>
        <w:t>2</w:t>
      </w:r>
      <w:r>
        <w:t xml:space="preserve"> to &lt;30 kg/m</w:t>
      </w:r>
      <w:r w:rsidRPr="0A99B0B1">
        <w:rPr>
          <w:vertAlign w:val="superscript"/>
        </w:rPr>
        <w:t>2</w:t>
      </w:r>
      <w:r>
        <w:t xml:space="preserve"> (overweight) in the presence of at least one weight-related comorbid condition (e.g., hypertension, dyslipidaemia, obstructive sleep apnoea, cardiovascular disease, prediabetes or type 2 diabetes mellitus)’ which </w:t>
      </w:r>
      <w:r w:rsidR="002E4AEF">
        <w:t xml:space="preserve">is inclusive of </w:t>
      </w:r>
      <w:r>
        <w:t>the target population in the current resubmission.</w:t>
      </w:r>
      <w:r w:rsidR="75F1FFEA">
        <w:t xml:space="preserve"> </w:t>
      </w:r>
    </w:p>
    <w:p w14:paraId="6B8E45A8" w14:textId="52366B8B" w:rsidR="00A80901" w:rsidRPr="00A80901" w:rsidRDefault="00A80901" w:rsidP="00A80901">
      <w:pPr>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98262F" w:rsidRDefault="00223D5A" w:rsidP="00223D5A">
      <w:pPr>
        <w:pStyle w:val="COMESH2"/>
        <w:numPr>
          <w:ilvl w:val="0"/>
          <w:numId w:val="1"/>
        </w:numPr>
      </w:pPr>
      <w:bookmarkStart w:id="17" w:name="_Toc208928365"/>
      <w:bookmarkStart w:id="18" w:name="_Toc22897640"/>
      <w:r w:rsidRPr="0098262F">
        <w:t>Consideration of the evidence</w:t>
      </w:r>
      <w:bookmarkEnd w:id="17"/>
    </w:p>
    <w:p w14:paraId="114AF777" w14:textId="77777777" w:rsidR="000A691E" w:rsidRPr="001A665F" w:rsidRDefault="000A691E" w:rsidP="001A665F">
      <w:pPr>
        <w:pStyle w:val="COMESSubsectionheading"/>
      </w:pPr>
      <w:bookmarkStart w:id="19" w:name="_Toc208928366"/>
      <w:r w:rsidRPr="001A665F">
        <w:t>Sponsor hearing</w:t>
      </w:r>
    </w:p>
    <w:p w14:paraId="141F80D0" w14:textId="53AC6D6E" w:rsidR="000A691E" w:rsidRPr="00471F86" w:rsidRDefault="000A691E" w:rsidP="000A691E">
      <w:pPr>
        <w:widowControl w:val="0"/>
        <w:numPr>
          <w:ilvl w:val="1"/>
          <w:numId w:val="1"/>
        </w:numPr>
        <w:spacing w:after="120"/>
        <w:rPr>
          <w:rFonts w:cs="Calibri"/>
          <w:bCs/>
          <w:snapToGrid w:val="0"/>
        </w:rPr>
      </w:pPr>
      <w:r w:rsidRPr="00471F86">
        <w:rPr>
          <w:rFonts w:cs="Calibri"/>
          <w:bCs/>
          <w:snapToGrid w:val="0"/>
        </w:rPr>
        <w:t>There was no hearing for this item.</w:t>
      </w:r>
    </w:p>
    <w:p w14:paraId="179D6E1A" w14:textId="77777777" w:rsidR="000A691E" w:rsidRPr="001A665F" w:rsidRDefault="000A691E" w:rsidP="001A665F">
      <w:pPr>
        <w:pStyle w:val="COMESSubsectionheading"/>
      </w:pPr>
      <w:r w:rsidRPr="001A665F">
        <w:t>Consumer inputs</w:t>
      </w:r>
    </w:p>
    <w:p w14:paraId="42ED29A9" w14:textId="52B9AE63" w:rsidR="003904F8" w:rsidRDefault="42151C7E" w:rsidP="0A99B0B1">
      <w:pPr>
        <w:widowControl w:val="0"/>
        <w:numPr>
          <w:ilvl w:val="1"/>
          <w:numId w:val="36"/>
        </w:numPr>
        <w:spacing w:after="120"/>
        <w:rPr>
          <w:rFonts w:asciiTheme="minorHAnsi" w:hAnsiTheme="minorHAnsi"/>
          <w:snapToGrid w:val="0"/>
        </w:rPr>
      </w:pPr>
      <w:r w:rsidRPr="0A99B0B1">
        <w:rPr>
          <w:rFonts w:asciiTheme="minorHAnsi" w:hAnsiTheme="minorHAnsi"/>
          <w:snapToGrid w:val="0"/>
        </w:rPr>
        <w:t xml:space="preserve">The PBAC noted and welcomed the input from </w:t>
      </w:r>
      <w:r w:rsidR="68529862" w:rsidRPr="0A99B0B1">
        <w:rPr>
          <w:rFonts w:asciiTheme="minorHAnsi" w:hAnsiTheme="minorHAnsi"/>
          <w:snapToGrid w:val="0"/>
        </w:rPr>
        <w:t>individuals (89)</w:t>
      </w:r>
      <w:r w:rsidR="6593045E" w:rsidRPr="0A99B0B1">
        <w:rPr>
          <w:rFonts w:asciiTheme="minorHAnsi" w:hAnsiTheme="minorHAnsi"/>
          <w:snapToGrid w:val="0"/>
        </w:rPr>
        <w:t xml:space="preserve">, </w:t>
      </w:r>
      <w:r w:rsidRPr="0A99B0B1">
        <w:rPr>
          <w:rFonts w:asciiTheme="minorHAnsi" w:hAnsiTheme="minorHAnsi"/>
          <w:snapToGrid w:val="0"/>
        </w:rPr>
        <w:t>health care professionals (18)</w:t>
      </w:r>
      <w:r w:rsidR="7CFBAD9A" w:rsidRPr="0A99B0B1">
        <w:rPr>
          <w:rFonts w:asciiTheme="minorHAnsi" w:hAnsiTheme="minorHAnsi"/>
          <w:snapToGrid w:val="0"/>
        </w:rPr>
        <w:t xml:space="preserve"> and </w:t>
      </w:r>
      <w:r w:rsidRPr="0A99B0B1">
        <w:rPr>
          <w:rFonts w:asciiTheme="minorHAnsi" w:hAnsiTheme="minorHAnsi"/>
          <w:snapToGrid w:val="0"/>
        </w:rPr>
        <w:t>health care-related organisations (10)</w:t>
      </w:r>
      <w:r w:rsidR="65FA2BA3" w:rsidRPr="0A99B0B1">
        <w:rPr>
          <w:rFonts w:asciiTheme="minorHAnsi" w:hAnsiTheme="minorHAnsi"/>
          <w:snapToGrid w:val="0"/>
        </w:rPr>
        <w:t xml:space="preserve"> and</w:t>
      </w:r>
      <w:r w:rsidRPr="0A99B0B1">
        <w:rPr>
          <w:rFonts w:asciiTheme="minorHAnsi" w:hAnsiTheme="minorHAnsi"/>
          <w:snapToGrid w:val="0"/>
        </w:rPr>
        <w:t xml:space="preserve"> consumer groups (5)</w:t>
      </w:r>
      <w:r w:rsidR="65FA2BA3" w:rsidRPr="0A99B0B1">
        <w:rPr>
          <w:rFonts w:asciiTheme="minorHAnsi" w:hAnsiTheme="minorHAnsi"/>
          <w:snapToGrid w:val="0"/>
        </w:rPr>
        <w:t xml:space="preserve"> </w:t>
      </w:r>
      <w:r w:rsidR="06195816" w:rsidRPr="0A99B0B1">
        <w:rPr>
          <w:rFonts w:asciiTheme="minorHAnsi" w:hAnsiTheme="minorHAnsi"/>
          <w:snapToGrid w:val="0"/>
        </w:rPr>
        <w:t>via the Office of Health Technology Assessment Consultation Hub</w:t>
      </w:r>
      <w:r w:rsidRPr="0A99B0B1">
        <w:rPr>
          <w:rFonts w:asciiTheme="minorHAnsi" w:hAnsiTheme="minorHAnsi"/>
          <w:snapToGrid w:val="0"/>
        </w:rPr>
        <w:t xml:space="preserve">. </w:t>
      </w:r>
      <w:r w:rsidR="1443577B" w:rsidRPr="0A99B0B1">
        <w:rPr>
          <w:rFonts w:asciiTheme="minorHAnsi" w:hAnsiTheme="minorHAnsi"/>
          <w:snapToGrid w:val="0"/>
        </w:rPr>
        <w:t xml:space="preserve">The PBAC noted that </w:t>
      </w:r>
      <w:r w:rsidR="64540ECD" w:rsidRPr="0A99B0B1">
        <w:rPr>
          <w:rFonts w:asciiTheme="minorHAnsi" w:hAnsiTheme="minorHAnsi"/>
          <w:snapToGrid w:val="0"/>
        </w:rPr>
        <w:t>of the</w:t>
      </w:r>
      <w:r w:rsidR="4B90C3CE" w:rsidRPr="0A99B0B1">
        <w:rPr>
          <w:rFonts w:asciiTheme="minorHAnsi" w:hAnsiTheme="minorHAnsi"/>
          <w:snapToGrid w:val="0"/>
        </w:rPr>
        <w:t xml:space="preserve"> 80</w:t>
      </w:r>
      <w:r w:rsidR="64540ECD" w:rsidRPr="0A99B0B1">
        <w:rPr>
          <w:rFonts w:asciiTheme="minorHAnsi" w:hAnsiTheme="minorHAnsi"/>
          <w:snapToGrid w:val="0"/>
        </w:rPr>
        <w:t xml:space="preserve"> individuals </w:t>
      </w:r>
      <w:r w:rsidR="00DC1DB5">
        <w:rPr>
          <w:rFonts w:asciiTheme="minorHAnsi" w:hAnsiTheme="minorHAnsi"/>
          <w:snapToGrid w:val="0"/>
        </w:rPr>
        <w:t xml:space="preserve">that </w:t>
      </w:r>
      <w:r w:rsidR="002C7D48">
        <w:rPr>
          <w:rFonts w:asciiTheme="minorHAnsi" w:hAnsiTheme="minorHAnsi"/>
          <w:snapToGrid w:val="0"/>
        </w:rPr>
        <w:t xml:space="preserve">provided inputs saying they </w:t>
      </w:r>
      <w:r w:rsidR="00DC1DB5">
        <w:rPr>
          <w:rFonts w:asciiTheme="minorHAnsi" w:hAnsiTheme="minorHAnsi"/>
          <w:snapToGrid w:val="0"/>
        </w:rPr>
        <w:t>had used the medicine</w:t>
      </w:r>
      <w:r w:rsidR="002E4AEF">
        <w:rPr>
          <w:rFonts w:asciiTheme="minorHAnsi" w:hAnsiTheme="minorHAnsi"/>
          <w:snapToGrid w:val="0"/>
        </w:rPr>
        <w:t>,</w:t>
      </w:r>
      <w:r w:rsidR="00DC1DB5">
        <w:rPr>
          <w:rFonts w:asciiTheme="minorHAnsi" w:hAnsiTheme="minorHAnsi"/>
          <w:snapToGrid w:val="0"/>
        </w:rPr>
        <w:t xml:space="preserve"> many </w:t>
      </w:r>
      <w:r w:rsidR="3BACFECE" w:rsidRPr="0A99B0B1">
        <w:rPr>
          <w:rFonts w:asciiTheme="minorHAnsi" w:hAnsiTheme="minorHAnsi"/>
          <w:snapToGrid w:val="0"/>
        </w:rPr>
        <w:t xml:space="preserve">focused </w:t>
      </w:r>
      <w:r w:rsidR="3CBCD719" w:rsidRPr="0A99B0B1">
        <w:rPr>
          <w:rFonts w:asciiTheme="minorHAnsi" w:hAnsiTheme="minorHAnsi"/>
          <w:snapToGrid w:val="0"/>
        </w:rPr>
        <w:t xml:space="preserve">on a </w:t>
      </w:r>
      <w:r w:rsidR="23D90291" w:rsidRPr="0A99B0B1">
        <w:rPr>
          <w:rFonts w:asciiTheme="minorHAnsi" w:hAnsiTheme="minorHAnsi"/>
          <w:snapToGrid w:val="0"/>
        </w:rPr>
        <w:t xml:space="preserve">broader </w:t>
      </w:r>
      <w:r w:rsidR="3CBCD719" w:rsidRPr="0A99B0B1">
        <w:rPr>
          <w:rFonts w:asciiTheme="minorHAnsi" w:hAnsiTheme="minorHAnsi"/>
          <w:snapToGrid w:val="0"/>
        </w:rPr>
        <w:t>PBS listing for</w:t>
      </w:r>
      <w:r w:rsidR="00461D96">
        <w:rPr>
          <w:rFonts w:asciiTheme="minorHAnsi" w:hAnsiTheme="minorHAnsi"/>
          <w:snapToGrid w:val="0"/>
        </w:rPr>
        <w:t xml:space="preserve"> </w:t>
      </w:r>
      <w:r w:rsidR="3CBCD719" w:rsidRPr="0A99B0B1">
        <w:rPr>
          <w:rFonts w:asciiTheme="minorHAnsi" w:hAnsiTheme="minorHAnsi"/>
          <w:snapToGrid w:val="0"/>
        </w:rPr>
        <w:t xml:space="preserve">weight loss, and they did not indicate they </w:t>
      </w:r>
      <w:r w:rsidR="00912611">
        <w:rPr>
          <w:rFonts w:asciiTheme="minorHAnsi" w:hAnsiTheme="minorHAnsi"/>
          <w:snapToGrid w:val="0"/>
        </w:rPr>
        <w:t xml:space="preserve">specifically </w:t>
      </w:r>
      <w:r w:rsidR="4A28C908" w:rsidRPr="0A99B0B1">
        <w:rPr>
          <w:rFonts w:asciiTheme="minorHAnsi" w:hAnsiTheme="minorHAnsi"/>
          <w:snapToGrid w:val="0"/>
        </w:rPr>
        <w:t>have eCVD with obesity</w:t>
      </w:r>
      <w:r w:rsidR="00912611">
        <w:rPr>
          <w:rFonts w:asciiTheme="minorHAnsi" w:hAnsiTheme="minorHAnsi"/>
          <w:snapToGrid w:val="0"/>
        </w:rPr>
        <w:t xml:space="preserve"> as defi</w:t>
      </w:r>
      <w:r w:rsidR="002C7D48">
        <w:rPr>
          <w:rFonts w:asciiTheme="minorHAnsi" w:hAnsiTheme="minorHAnsi"/>
          <w:snapToGrid w:val="0"/>
        </w:rPr>
        <w:t>n</w:t>
      </w:r>
      <w:r w:rsidR="00912611">
        <w:rPr>
          <w:rFonts w:asciiTheme="minorHAnsi" w:hAnsiTheme="minorHAnsi"/>
          <w:snapToGrid w:val="0"/>
        </w:rPr>
        <w:t>ed in the submission</w:t>
      </w:r>
      <w:r w:rsidR="4A28C908" w:rsidRPr="0A99B0B1">
        <w:rPr>
          <w:rFonts w:asciiTheme="minorHAnsi" w:hAnsiTheme="minorHAnsi"/>
          <w:snapToGrid w:val="0"/>
        </w:rPr>
        <w:t>.</w:t>
      </w:r>
      <w:r w:rsidR="4B90C3CE" w:rsidRPr="0A99B0B1">
        <w:rPr>
          <w:rFonts w:asciiTheme="minorHAnsi" w:hAnsiTheme="minorHAnsi"/>
          <w:snapToGrid w:val="0"/>
        </w:rPr>
        <w:t xml:space="preserve"> </w:t>
      </w:r>
      <w:r w:rsidR="00912611">
        <w:rPr>
          <w:rFonts w:asciiTheme="minorHAnsi" w:hAnsiTheme="minorHAnsi"/>
          <w:snapToGrid w:val="0"/>
        </w:rPr>
        <w:t xml:space="preserve">However, </w:t>
      </w:r>
      <w:r w:rsidR="002C7D48">
        <w:rPr>
          <w:rFonts w:asciiTheme="minorHAnsi" w:hAnsiTheme="minorHAnsi"/>
          <w:snapToGrid w:val="0"/>
        </w:rPr>
        <w:t xml:space="preserve">a number did discuss having obesity with </w:t>
      </w:r>
      <w:r w:rsidR="00F86742">
        <w:rPr>
          <w:rFonts w:asciiTheme="minorHAnsi" w:hAnsiTheme="minorHAnsi"/>
          <w:snapToGrid w:val="0"/>
        </w:rPr>
        <w:t xml:space="preserve">heart disease </w:t>
      </w:r>
      <w:r w:rsidR="00AA77DC">
        <w:rPr>
          <w:rFonts w:asciiTheme="minorHAnsi" w:hAnsiTheme="minorHAnsi"/>
          <w:snapToGrid w:val="0"/>
        </w:rPr>
        <w:t>and/or</w:t>
      </w:r>
      <w:r w:rsidR="00F86742">
        <w:rPr>
          <w:rFonts w:asciiTheme="minorHAnsi" w:hAnsiTheme="minorHAnsi"/>
          <w:snapToGrid w:val="0"/>
        </w:rPr>
        <w:t xml:space="preserve"> high blood pressure and of those many </w:t>
      </w:r>
      <w:r w:rsidR="00604F65">
        <w:rPr>
          <w:rFonts w:asciiTheme="minorHAnsi" w:hAnsiTheme="minorHAnsi"/>
          <w:snapToGrid w:val="0"/>
        </w:rPr>
        <w:t>noted</w:t>
      </w:r>
      <w:r w:rsidR="00F86742">
        <w:rPr>
          <w:rFonts w:asciiTheme="minorHAnsi" w:hAnsiTheme="minorHAnsi"/>
          <w:snapToGrid w:val="0"/>
        </w:rPr>
        <w:t xml:space="preserve"> positive effects on their heart health and blood pressure. They also </w:t>
      </w:r>
      <w:r w:rsidR="52F5C59C" w:rsidRPr="00604F65">
        <w:rPr>
          <w:rFonts w:asciiTheme="minorHAnsi" w:hAnsiTheme="minorHAnsi"/>
          <w:snapToGrid w:val="0"/>
        </w:rPr>
        <w:t>described</w:t>
      </w:r>
      <w:r w:rsidRPr="0A99B0B1">
        <w:rPr>
          <w:rFonts w:asciiTheme="minorHAnsi" w:hAnsiTheme="minorHAnsi"/>
          <w:snapToGrid w:val="0"/>
        </w:rPr>
        <w:t xml:space="preserve"> the benefits associated with </w:t>
      </w:r>
      <w:r w:rsidR="00265D64">
        <w:rPr>
          <w:rFonts w:asciiTheme="minorHAnsi" w:hAnsiTheme="minorHAnsi"/>
          <w:snapToGrid w:val="0"/>
        </w:rPr>
        <w:t xml:space="preserve">the </w:t>
      </w:r>
      <w:r w:rsidRPr="0A99B0B1">
        <w:rPr>
          <w:rFonts w:asciiTheme="minorHAnsi" w:hAnsiTheme="minorHAnsi"/>
          <w:snapToGrid w:val="0"/>
        </w:rPr>
        <w:t xml:space="preserve">weight loss </w:t>
      </w:r>
      <w:r w:rsidR="00265D64">
        <w:rPr>
          <w:rFonts w:asciiTheme="minorHAnsi" w:hAnsiTheme="minorHAnsi"/>
          <w:snapToGrid w:val="0"/>
        </w:rPr>
        <w:t xml:space="preserve">they experienced </w:t>
      </w:r>
      <w:r w:rsidRPr="0A99B0B1">
        <w:rPr>
          <w:rFonts w:asciiTheme="minorHAnsi" w:hAnsiTheme="minorHAnsi"/>
          <w:snapToGrid w:val="0"/>
        </w:rPr>
        <w:t xml:space="preserve">on </w:t>
      </w:r>
      <w:r w:rsidR="74931770" w:rsidRPr="0A99B0B1">
        <w:rPr>
          <w:rFonts w:asciiTheme="minorHAnsi" w:hAnsiTheme="minorHAnsi"/>
          <w:snapToGrid w:val="0"/>
        </w:rPr>
        <w:t>their overall health</w:t>
      </w:r>
      <w:r w:rsidR="39D712E8" w:rsidRPr="0A99B0B1">
        <w:rPr>
          <w:rFonts w:asciiTheme="minorHAnsi" w:hAnsiTheme="minorHAnsi"/>
          <w:snapToGrid w:val="0"/>
        </w:rPr>
        <w:t>, noting that it has helped them manage pain</w:t>
      </w:r>
      <w:r w:rsidR="24B1578B" w:rsidRPr="0A99B0B1">
        <w:rPr>
          <w:rFonts w:asciiTheme="minorHAnsi" w:hAnsiTheme="minorHAnsi"/>
          <w:snapToGrid w:val="0"/>
        </w:rPr>
        <w:t>,</w:t>
      </w:r>
      <w:r w:rsidR="39D712E8" w:rsidRPr="0A99B0B1">
        <w:rPr>
          <w:rFonts w:asciiTheme="minorHAnsi" w:hAnsiTheme="minorHAnsi"/>
          <w:snapToGrid w:val="0"/>
        </w:rPr>
        <w:t xml:space="preserve"> increase mobility</w:t>
      </w:r>
      <w:r w:rsidR="03AE0650" w:rsidRPr="0A99B0B1">
        <w:rPr>
          <w:rFonts w:asciiTheme="minorHAnsi" w:hAnsiTheme="minorHAnsi"/>
          <w:snapToGrid w:val="0"/>
        </w:rPr>
        <w:t xml:space="preserve"> and enhance</w:t>
      </w:r>
      <w:r w:rsidR="00045653">
        <w:rPr>
          <w:rFonts w:asciiTheme="minorHAnsi" w:hAnsiTheme="minorHAnsi"/>
          <w:snapToGrid w:val="0"/>
        </w:rPr>
        <w:t>d</w:t>
      </w:r>
      <w:r w:rsidR="03AE0650" w:rsidRPr="0A99B0B1">
        <w:rPr>
          <w:rFonts w:asciiTheme="minorHAnsi" w:hAnsiTheme="minorHAnsi"/>
          <w:snapToGrid w:val="0"/>
        </w:rPr>
        <w:t xml:space="preserve"> psychological wellbeing</w:t>
      </w:r>
      <w:r w:rsidR="00045653">
        <w:rPr>
          <w:rFonts w:asciiTheme="minorHAnsi" w:hAnsiTheme="minorHAnsi"/>
          <w:snapToGrid w:val="0"/>
        </w:rPr>
        <w:t xml:space="preserve"> as well as reducing the need for blood pressure medication for some</w:t>
      </w:r>
      <w:r w:rsidR="03AE0650" w:rsidRPr="0A99B0B1">
        <w:rPr>
          <w:rFonts w:asciiTheme="minorHAnsi" w:hAnsiTheme="minorHAnsi"/>
          <w:snapToGrid w:val="0"/>
        </w:rPr>
        <w:t xml:space="preserve">. </w:t>
      </w:r>
      <w:r w:rsidR="005B1E6A">
        <w:rPr>
          <w:rFonts w:asciiTheme="minorHAnsi" w:hAnsiTheme="minorHAnsi"/>
          <w:snapToGrid w:val="0"/>
        </w:rPr>
        <w:t>They reported improved quality of life</w:t>
      </w:r>
      <w:r w:rsidR="00E52CE7">
        <w:rPr>
          <w:rFonts w:asciiTheme="minorHAnsi" w:hAnsiTheme="minorHAnsi"/>
          <w:snapToGrid w:val="0"/>
        </w:rPr>
        <w:t xml:space="preserve"> and some of the </w:t>
      </w:r>
      <w:r w:rsidR="094D9428" w:rsidRPr="0A99B0B1">
        <w:rPr>
          <w:rFonts w:asciiTheme="minorHAnsi" w:hAnsiTheme="minorHAnsi"/>
          <w:snapToGrid w:val="0"/>
        </w:rPr>
        <w:t>input</w:t>
      </w:r>
      <w:r w:rsidR="00E52CE7">
        <w:rPr>
          <w:rFonts w:asciiTheme="minorHAnsi" w:hAnsiTheme="minorHAnsi"/>
          <w:snapToGrid w:val="0"/>
        </w:rPr>
        <w:t>s</w:t>
      </w:r>
      <w:r w:rsidR="094D9428" w:rsidRPr="0A99B0B1">
        <w:rPr>
          <w:rFonts w:asciiTheme="minorHAnsi" w:hAnsiTheme="minorHAnsi"/>
          <w:snapToGrid w:val="0"/>
        </w:rPr>
        <w:t xml:space="preserve"> </w:t>
      </w:r>
      <w:r w:rsidR="13328205" w:rsidRPr="0A99B0B1">
        <w:rPr>
          <w:rFonts w:asciiTheme="minorHAnsi" w:hAnsiTheme="minorHAnsi"/>
          <w:snapToGrid w:val="0"/>
        </w:rPr>
        <w:t xml:space="preserve">emphasised the importance of having access to GLP-1 </w:t>
      </w:r>
      <w:r w:rsidR="407774E5" w:rsidRPr="0A99B0B1">
        <w:rPr>
          <w:rFonts w:asciiTheme="minorHAnsi" w:hAnsiTheme="minorHAnsi"/>
          <w:snapToGrid w:val="0"/>
        </w:rPr>
        <w:t>medicines</w:t>
      </w:r>
      <w:r w:rsidR="13328205" w:rsidRPr="0A99B0B1">
        <w:rPr>
          <w:rFonts w:asciiTheme="minorHAnsi" w:hAnsiTheme="minorHAnsi"/>
          <w:snapToGrid w:val="0"/>
        </w:rPr>
        <w:t xml:space="preserve"> as a complementary tool in achieving and main</w:t>
      </w:r>
      <w:r w:rsidR="1F472C68" w:rsidRPr="0A99B0B1">
        <w:rPr>
          <w:rFonts w:asciiTheme="minorHAnsi" w:hAnsiTheme="minorHAnsi"/>
          <w:snapToGrid w:val="0"/>
        </w:rPr>
        <w:t xml:space="preserve">taining a healthy weight, which has supported their </w:t>
      </w:r>
      <w:r w:rsidR="3F685A3A" w:rsidRPr="0A99B0B1">
        <w:rPr>
          <w:rFonts w:asciiTheme="minorHAnsi" w:hAnsiTheme="minorHAnsi"/>
          <w:snapToGrid w:val="0"/>
        </w:rPr>
        <w:t xml:space="preserve">ability to adhere with other cardiac health improving interventions such as exercise and dietary changes. </w:t>
      </w:r>
      <w:r w:rsidRPr="0A99B0B1">
        <w:rPr>
          <w:rFonts w:asciiTheme="minorHAnsi" w:hAnsiTheme="minorHAnsi"/>
          <w:snapToGrid w:val="0"/>
        </w:rPr>
        <w:t xml:space="preserve">The </w:t>
      </w:r>
      <w:r w:rsidR="02BE7437" w:rsidRPr="0A99B0B1">
        <w:rPr>
          <w:rFonts w:asciiTheme="minorHAnsi" w:hAnsiTheme="minorHAnsi"/>
          <w:snapToGrid w:val="0"/>
        </w:rPr>
        <w:t xml:space="preserve">input from individuals </w:t>
      </w:r>
      <w:r w:rsidR="4DA1F23A" w:rsidRPr="0A99B0B1">
        <w:rPr>
          <w:rFonts w:asciiTheme="minorHAnsi" w:hAnsiTheme="minorHAnsi"/>
          <w:snapToGrid w:val="0"/>
        </w:rPr>
        <w:t>highlighted</w:t>
      </w:r>
      <w:r w:rsidRPr="0A99B0B1">
        <w:rPr>
          <w:rFonts w:asciiTheme="minorHAnsi" w:hAnsiTheme="minorHAnsi"/>
          <w:snapToGrid w:val="0"/>
        </w:rPr>
        <w:t xml:space="preserve"> the financial and health equity pressures associated with </w:t>
      </w:r>
      <w:r w:rsidR="00265D64">
        <w:rPr>
          <w:rFonts w:asciiTheme="minorHAnsi" w:hAnsiTheme="minorHAnsi"/>
          <w:snapToGrid w:val="0"/>
        </w:rPr>
        <w:t xml:space="preserve">cost and </w:t>
      </w:r>
      <w:r w:rsidR="002C0D17">
        <w:rPr>
          <w:rFonts w:asciiTheme="minorHAnsi" w:hAnsiTheme="minorHAnsi"/>
          <w:snapToGrid w:val="0"/>
        </w:rPr>
        <w:t xml:space="preserve">gaining </w:t>
      </w:r>
      <w:r w:rsidRPr="0A99B0B1">
        <w:rPr>
          <w:rFonts w:asciiTheme="minorHAnsi" w:hAnsiTheme="minorHAnsi"/>
          <w:snapToGrid w:val="0"/>
        </w:rPr>
        <w:t>access to semaglutide</w:t>
      </w:r>
      <w:r w:rsidR="448E8FCE" w:rsidRPr="0A99B0B1">
        <w:rPr>
          <w:rFonts w:asciiTheme="minorHAnsi" w:hAnsiTheme="minorHAnsi"/>
          <w:snapToGrid w:val="0"/>
        </w:rPr>
        <w:t>.</w:t>
      </w:r>
      <w:r w:rsidR="4DA1F23A" w:rsidRPr="0A99B0B1">
        <w:rPr>
          <w:rFonts w:asciiTheme="minorHAnsi" w:hAnsiTheme="minorHAnsi"/>
          <w:snapToGrid w:val="0"/>
        </w:rPr>
        <w:t xml:space="preserve"> The PBAC noted that the input received from individuals that focused on a </w:t>
      </w:r>
      <w:r w:rsidR="42097BFB" w:rsidRPr="0A99B0B1">
        <w:rPr>
          <w:rFonts w:asciiTheme="minorHAnsi" w:hAnsiTheme="minorHAnsi"/>
          <w:snapToGrid w:val="0"/>
        </w:rPr>
        <w:t xml:space="preserve">broader </w:t>
      </w:r>
      <w:r w:rsidR="4DA1F23A" w:rsidRPr="0A99B0B1">
        <w:rPr>
          <w:rFonts w:asciiTheme="minorHAnsi" w:hAnsiTheme="minorHAnsi"/>
          <w:snapToGrid w:val="0"/>
        </w:rPr>
        <w:t xml:space="preserve">PBS listing of semaglutide for weight loss would be </w:t>
      </w:r>
      <w:r w:rsidR="002E4AEF">
        <w:rPr>
          <w:rFonts w:asciiTheme="minorHAnsi" w:hAnsiTheme="minorHAnsi"/>
          <w:snapToGrid w:val="0"/>
        </w:rPr>
        <w:t>included in</w:t>
      </w:r>
      <w:r w:rsidR="4DA1F23A" w:rsidRPr="0A99B0B1">
        <w:rPr>
          <w:rFonts w:asciiTheme="minorHAnsi" w:hAnsiTheme="minorHAnsi"/>
          <w:snapToGrid w:val="0"/>
        </w:rPr>
        <w:t xml:space="preserve"> work being undertaken by the Department to support the PBAC in providing its response to a March 2025 request from the Minister for Health, Disability and Age</w:t>
      </w:r>
      <w:r w:rsidR="280FAD2C" w:rsidRPr="0A99B0B1">
        <w:rPr>
          <w:rFonts w:asciiTheme="minorHAnsi" w:hAnsiTheme="minorHAnsi"/>
          <w:snapToGrid w:val="0"/>
        </w:rPr>
        <w:t>ing</w:t>
      </w:r>
      <w:r w:rsidR="4DA1F23A" w:rsidRPr="0A99B0B1">
        <w:rPr>
          <w:rFonts w:asciiTheme="minorHAnsi" w:hAnsiTheme="minorHAnsi"/>
          <w:snapToGrid w:val="0"/>
        </w:rPr>
        <w:t xml:space="preserve"> on equitable access to </w:t>
      </w:r>
      <w:r w:rsidR="4DA1F23A" w:rsidRPr="0A99B0B1">
        <w:rPr>
          <w:rFonts w:asciiTheme="minorHAnsi" w:hAnsiTheme="minorHAnsi"/>
          <w:snapToGrid w:val="0"/>
        </w:rPr>
        <w:lastRenderedPageBreak/>
        <w:t>pharmacotherapies to treat obesity.</w:t>
      </w:r>
      <w:r w:rsidR="00676788" w:rsidRPr="0A99B0B1">
        <w:rPr>
          <w:rStyle w:val="FootnoteReference"/>
          <w:rFonts w:asciiTheme="minorHAnsi" w:hAnsiTheme="minorHAnsi"/>
          <w:snapToGrid w:val="0"/>
        </w:rPr>
        <w:footnoteReference w:id="2"/>
      </w:r>
      <w:r w:rsidR="4DA1F23A" w:rsidRPr="0A99B0B1">
        <w:rPr>
          <w:rFonts w:asciiTheme="minorHAnsi" w:hAnsiTheme="minorHAnsi"/>
          <w:snapToGrid w:val="0"/>
        </w:rPr>
        <w:t xml:space="preserve"> </w:t>
      </w:r>
      <w:r w:rsidR="448E8FCE" w:rsidRPr="0A99B0B1">
        <w:rPr>
          <w:rFonts w:asciiTheme="minorHAnsi" w:hAnsiTheme="minorHAnsi"/>
          <w:snapToGrid w:val="0"/>
        </w:rPr>
        <w:t xml:space="preserve"> </w:t>
      </w:r>
    </w:p>
    <w:p w14:paraId="31465C0F" w14:textId="771CD093" w:rsidR="00DC3B3B" w:rsidRDefault="42151C7E" w:rsidP="0A99B0B1">
      <w:pPr>
        <w:widowControl w:val="0"/>
        <w:numPr>
          <w:ilvl w:val="1"/>
          <w:numId w:val="36"/>
        </w:numPr>
        <w:spacing w:after="120"/>
        <w:rPr>
          <w:rFonts w:asciiTheme="minorHAnsi" w:hAnsiTheme="minorHAnsi"/>
          <w:snapToGrid w:val="0"/>
        </w:rPr>
      </w:pPr>
      <w:r w:rsidRPr="0A99B0B1">
        <w:rPr>
          <w:rFonts w:asciiTheme="minorHAnsi" w:hAnsiTheme="minorHAnsi"/>
          <w:snapToGrid w:val="0"/>
        </w:rPr>
        <w:t xml:space="preserve">The PBAC noted </w:t>
      </w:r>
      <w:r w:rsidR="09F9E7EB" w:rsidRPr="0A99B0B1">
        <w:rPr>
          <w:rFonts w:asciiTheme="minorHAnsi" w:hAnsiTheme="minorHAnsi"/>
          <w:snapToGrid w:val="0"/>
        </w:rPr>
        <w:t xml:space="preserve">input </w:t>
      </w:r>
      <w:r w:rsidR="4DB4879D" w:rsidRPr="0A99B0B1">
        <w:rPr>
          <w:rFonts w:asciiTheme="minorHAnsi" w:hAnsiTheme="minorHAnsi"/>
          <w:snapToGrid w:val="0"/>
        </w:rPr>
        <w:t xml:space="preserve">from </w:t>
      </w:r>
      <w:r w:rsidRPr="0A99B0B1">
        <w:rPr>
          <w:rFonts w:asciiTheme="minorHAnsi" w:hAnsiTheme="minorHAnsi"/>
          <w:snapToGrid w:val="0"/>
        </w:rPr>
        <w:t xml:space="preserve">health care professionals emphasised that many patients with eCVD have concurrent obesity, which is a known risk modifier for future adverse CVD events and treatment complications. The </w:t>
      </w:r>
      <w:r w:rsidR="76C8F1B8" w:rsidRPr="0A99B0B1">
        <w:rPr>
          <w:rFonts w:asciiTheme="minorHAnsi" w:hAnsiTheme="minorHAnsi"/>
          <w:snapToGrid w:val="0"/>
        </w:rPr>
        <w:t>input</w:t>
      </w:r>
      <w:r w:rsidRPr="0A99B0B1">
        <w:rPr>
          <w:rFonts w:asciiTheme="minorHAnsi" w:hAnsiTheme="minorHAnsi"/>
          <w:snapToGrid w:val="0"/>
        </w:rPr>
        <w:t xml:space="preserve"> emphas</w:t>
      </w:r>
      <w:r w:rsidR="725EA700" w:rsidRPr="0A99B0B1">
        <w:rPr>
          <w:rFonts w:asciiTheme="minorHAnsi" w:hAnsiTheme="minorHAnsi"/>
          <w:snapToGrid w:val="0"/>
        </w:rPr>
        <w:t>ised</w:t>
      </w:r>
      <w:r w:rsidRPr="0A99B0B1">
        <w:rPr>
          <w:rFonts w:asciiTheme="minorHAnsi" w:hAnsiTheme="minorHAnsi"/>
          <w:snapToGrid w:val="0"/>
        </w:rPr>
        <w:t xml:space="preserve"> the clinical findings of the SELECT trial on cardiovascular-related outcomes and the important implications of the trial outcomes on future clinical practice as it relates to treatment of eCVD and obesity. </w:t>
      </w:r>
      <w:r w:rsidR="44D8197F" w:rsidRPr="0A99B0B1">
        <w:rPr>
          <w:rFonts w:asciiTheme="minorHAnsi" w:hAnsiTheme="minorHAnsi"/>
          <w:snapToGrid w:val="0"/>
        </w:rPr>
        <w:t xml:space="preserve">Health care professional input </w:t>
      </w:r>
      <w:r w:rsidR="2C3C139C" w:rsidRPr="0A99B0B1">
        <w:rPr>
          <w:rFonts w:asciiTheme="minorHAnsi" w:hAnsiTheme="minorHAnsi"/>
          <w:snapToGrid w:val="0"/>
        </w:rPr>
        <w:t xml:space="preserve">described </w:t>
      </w:r>
      <w:r w:rsidR="2855124C" w:rsidRPr="0A99B0B1">
        <w:rPr>
          <w:rFonts w:asciiTheme="minorHAnsi" w:hAnsiTheme="minorHAnsi"/>
          <w:snapToGrid w:val="0"/>
        </w:rPr>
        <w:t xml:space="preserve">people often blaming themselves for their obesity which was reported to enshrine stigma and a sense of shame that </w:t>
      </w:r>
      <w:r w:rsidR="462F67F9" w:rsidRPr="0A99B0B1">
        <w:rPr>
          <w:rFonts w:asciiTheme="minorHAnsi" w:hAnsiTheme="minorHAnsi"/>
          <w:snapToGrid w:val="0"/>
        </w:rPr>
        <w:t xml:space="preserve">can cause people to disengage with the health system. </w:t>
      </w:r>
      <w:r w:rsidRPr="0A99B0B1">
        <w:rPr>
          <w:rFonts w:asciiTheme="minorHAnsi" w:hAnsiTheme="minorHAnsi"/>
          <w:snapToGrid w:val="0"/>
        </w:rPr>
        <w:t xml:space="preserve">The PBAC acknowledged health care professional feedback that BMI eligibility criteria should be carefully considered in certain subpopulations that may be more vulnerable or at risk of cardiovascular events, particularly </w:t>
      </w:r>
      <w:r w:rsidR="21858052" w:rsidRPr="00FB0F35">
        <w:t>Aboriginal or Torres Strait Islander</w:t>
      </w:r>
      <w:r w:rsidR="6825FB2E">
        <w:t xml:space="preserve"> </w:t>
      </w:r>
      <w:r w:rsidR="3B00EE1E">
        <w:t>peoples</w:t>
      </w:r>
      <w:r w:rsidRPr="0A99B0B1">
        <w:rPr>
          <w:rFonts w:asciiTheme="minorHAnsi" w:hAnsiTheme="minorHAnsi"/>
          <w:snapToGrid w:val="0"/>
        </w:rPr>
        <w:t>.</w:t>
      </w:r>
      <w:r w:rsidR="0039C7E7" w:rsidRPr="0A99B0B1">
        <w:rPr>
          <w:rFonts w:asciiTheme="minorHAnsi" w:hAnsiTheme="minorHAnsi"/>
          <w:snapToGrid w:val="0"/>
        </w:rPr>
        <w:t xml:space="preserve"> </w:t>
      </w:r>
      <w:r w:rsidR="72ABE938" w:rsidRPr="0A99B0B1">
        <w:rPr>
          <w:rFonts w:asciiTheme="minorHAnsi" w:hAnsiTheme="minorHAnsi"/>
          <w:snapToGrid w:val="0"/>
        </w:rPr>
        <w:t>H</w:t>
      </w:r>
      <w:r w:rsidR="13A30255" w:rsidRPr="0A99B0B1">
        <w:rPr>
          <w:rFonts w:asciiTheme="minorHAnsi" w:hAnsiTheme="minorHAnsi"/>
          <w:snapToGrid w:val="0"/>
        </w:rPr>
        <w:t>ealth care pro</w:t>
      </w:r>
      <w:r w:rsidR="201F3D50" w:rsidRPr="0A99B0B1">
        <w:rPr>
          <w:rFonts w:asciiTheme="minorHAnsi" w:hAnsiTheme="minorHAnsi"/>
          <w:snapToGrid w:val="0"/>
        </w:rPr>
        <w:t xml:space="preserve">fessional input </w:t>
      </w:r>
      <w:r w:rsidR="3923EF55" w:rsidRPr="0A99B0B1">
        <w:rPr>
          <w:rFonts w:asciiTheme="minorHAnsi" w:hAnsiTheme="minorHAnsi"/>
          <w:snapToGrid w:val="0"/>
        </w:rPr>
        <w:t xml:space="preserve">noted that current access to semaglutide is limited by </w:t>
      </w:r>
      <w:r w:rsidR="72ABE938" w:rsidRPr="0A99B0B1">
        <w:rPr>
          <w:rFonts w:asciiTheme="minorHAnsi" w:hAnsiTheme="minorHAnsi"/>
          <w:snapToGrid w:val="0"/>
        </w:rPr>
        <w:t>its high cost</w:t>
      </w:r>
      <w:r w:rsidR="287D56F7" w:rsidRPr="0A99B0B1">
        <w:rPr>
          <w:rFonts w:asciiTheme="minorHAnsi" w:hAnsiTheme="minorHAnsi"/>
          <w:snapToGrid w:val="0"/>
        </w:rPr>
        <w:t>,</w:t>
      </w:r>
      <w:r w:rsidR="72ABE938" w:rsidRPr="0A99B0B1">
        <w:rPr>
          <w:rFonts w:asciiTheme="minorHAnsi" w:hAnsiTheme="minorHAnsi"/>
          <w:snapToGrid w:val="0"/>
        </w:rPr>
        <w:t xml:space="preserve"> </w:t>
      </w:r>
      <w:r w:rsidR="5701E399" w:rsidRPr="0A99B0B1">
        <w:rPr>
          <w:rFonts w:asciiTheme="minorHAnsi" w:hAnsiTheme="minorHAnsi"/>
          <w:snapToGrid w:val="0"/>
        </w:rPr>
        <w:t xml:space="preserve">creating equity issues for </w:t>
      </w:r>
      <w:r w:rsidR="0D720DE0" w:rsidRPr="0A99B0B1">
        <w:rPr>
          <w:rFonts w:asciiTheme="minorHAnsi" w:hAnsiTheme="minorHAnsi"/>
          <w:snapToGrid w:val="0"/>
        </w:rPr>
        <w:t xml:space="preserve">those from </w:t>
      </w:r>
      <w:r w:rsidR="525F3B9E" w:rsidRPr="0A99B0B1">
        <w:rPr>
          <w:rFonts w:asciiTheme="minorHAnsi" w:hAnsiTheme="minorHAnsi"/>
          <w:snapToGrid w:val="0"/>
        </w:rPr>
        <w:t xml:space="preserve">lower socioeconomic backgrounds </w:t>
      </w:r>
      <w:r w:rsidR="4E6D788F" w:rsidRPr="0A99B0B1">
        <w:rPr>
          <w:rFonts w:asciiTheme="minorHAnsi" w:hAnsiTheme="minorHAnsi"/>
          <w:snapToGrid w:val="0"/>
        </w:rPr>
        <w:t>and</w:t>
      </w:r>
      <w:r w:rsidR="525F3B9E" w:rsidRPr="0A99B0B1">
        <w:rPr>
          <w:rFonts w:asciiTheme="minorHAnsi" w:hAnsiTheme="minorHAnsi"/>
          <w:snapToGrid w:val="0"/>
        </w:rPr>
        <w:t xml:space="preserve"> in rural and remote areas </w:t>
      </w:r>
      <w:r w:rsidR="6891FF08" w:rsidRPr="0A99B0B1">
        <w:rPr>
          <w:rFonts w:asciiTheme="minorHAnsi" w:hAnsiTheme="minorHAnsi"/>
          <w:snapToGrid w:val="0"/>
        </w:rPr>
        <w:t xml:space="preserve">where prices </w:t>
      </w:r>
      <w:r w:rsidR="4E6D788F" w:rsidRPr="0A99B0B1">
        <w:rPr>
          <w:rFonts w:asciiTheme="minorHAnsi" w:hAnsiTheme="minorHAnsi"/>
          <w:snapToGrid w:val="0"/>
        </w:rPr>
        <w:t>may be</w:t>
      </w:r>
      <w:r w:rsidR="6891FF08" w:rsidRPr="0A99B0B1">
        <w:rPr>
          <w:rFonts w:asciiTheme="minorHAnsi" w:hAnsiTheme="minorHAnsi"/>
          <w:snapToGrid w:val="0"/>
        </w:rPr>
        <w:t xml:space="preserve"> further elevated. </w:t>
      </w:r>
    </w:p>
    <w:p w14:paraId="6E2995D5" w14:textId="02D460E3" w:rsidR="00974862" w:rsidRDefault="00A600C6" w:rsidP="00D66EB6">
      <w:pPr>
        <w:pStyle w:val="COMESnumberedpara"/>
        <w:rPr>
          <w:snapToGrid w:val="0"/>
        </w:rPr>
      </w:pPr>
      <w:r>
        <w:rPr>
          <w:snapToGrid w:val="0"/>
        </w:rPr>
        <w:t xml:space="preserve">Consumer groups were supportive of the proposal to provide subsidised access to semaglutide, though </w:t>
      </w:r>
      <w:proofErr w:type="gramStart"/>
      <w:r>
        <w:rPr>
          <w:snapToGrid w:val="0"/>
        </w:rPr>
        <w:t>the majority of</w:t>
      </w:r>
      <w:proofErr w:type="gramEnd"/>
      <w:r>
        <w:rPr>
          <w:snapToGrid w:val="0"/>
        </w:rPr>
        <w:t xml:space="preserve"> groups focussed on the obesity and weight management benefits of the medicine. </w:t>
      </w:r>
      <w:r w:rsidR="000547A4">
        <w:rPr>
          <w:snapToGrid w:val="0"/>
        </w:rPr>
        <w:t xml:space="preserve">Health Consumer Council WA </w:t>
      </w:r>
      <w:r w:rsidR="00693F88">
        <w:rPr>
          <w:snapToGrid w:val="0"/>
        </w:rPr>
        <w:t xml:space="preserve">and Weight Issues Network </w:t>
      </w:r>
      <w:r w:rsidR="00C83412">
        <w:rPr>
          <w:snapToGrid w:val="0"/>
        </w:rPr>
        <w:t xml:space="preserve">described the stigma </w:t>
      </w:r>
      <w:r w:rsidR="001A65E2">
        <w:rPr>
          <w:snapToGrid w:val="0"/>
        </w:rPr>
        <w:t xml:space="preserve">associated with </w:t>
      </w:r>
      <w:r w:rsidR="00E87502">
        <w:rPr>
          <w:snapToGrid w:val="0"/>
        </w:rPr>
        <w:t xml:space="preserve">accessing medical support for people who live in larger bodies. </w:t>
      </w:r>
      <w:r>
        <w:rPr>
          <w:snapToGrid w:val="0"/>
        </w:rPr>
        <w:t xml:space="preserve">The PBAC noted input from the </w:t>
      </w:r>
      <w:r w:rsidR="00EF76B0">
        <w:rPr>
          <w:snapToGrid w:val="0"/>
        </w:rPr>
        <w:t>Hearts4Heart</w:t>
      </w:r>
      <w:r>
        <w:rPr>
          <w:snapToGrid w:val="0"/>
        </w:rPr>
        <w:t xml:space="preserve">, </w:t>
      </w:r>
      <w:r w:rsidR="00D06F2F">
        <w:rPr>
          <w:snapToGrid w:val="0"/>
        </w:rPr>
        <w:t>the Obesity Collective</w:t>
      </w:r>
      <w:r>
        <w:rPr>
          <w:snapToGrid w:val="0"/>
        </w:rPr>
        <w:t xml:space="preserve"> and Heart Support Australia regarding the importance of GLP-1 medicine access as a complementary intervention to limit progression of CVD in patients (particularly where access to allied healthcare interventions such as dietitians may be limited), and the use of semaglutide to support sustained uptake of other important healthcare interventions supporting cardiac health (including exercise and dietary modifications). </w:t>
      </w:r>
    </w:p>
    <w:p w14:paraId="245AA8FE" w14:textId="018418C1" w:rsidR="005F49EB" w:rsidRPr="005F49EB" w:rsidRDefault="005F49EB" w:rsidP="005F49EB">
      <w:pPr>
        <w:widowControl w:val="0"/>
        <w:numPr>
          <w:ilvl w:val="1"/>
          <w:numId w:val="36"/>
        </w:numPr>
        <w:spacing w:after="120"/>
        <w:rPr>
          <w:rFonts w:asciiTheme="minorHAnsi" w:hAnsiTheme="minorHAnsi"/>
          <w:bCs/>
          <w:snapToGrid w:val="0"/>
        </w:rPr>
      </w:pPr>
      <w:r>
        <w:rPr>
          <w:rFonts w:asciiTheme="minorHAnsi" w:hAnsiTheme="minorHAnsi"/>
          <w:bCs/>
          <w:snapToGrid w:val="0"/>
        </w:rPr>
        <w:t>The PBAC noted the input from ASMANT</w:t>
      </w:r>
      <w:r w:rsidR="003B079B">
        <w:rPr>
          <w:rFonts w:asciiTheme="minorHAnsi" w:hAnsiTheme="minorHAnsi"/>
          <w:bCs/>
          <w:snapToGrid w:val="0"/>
        </w:rPr>
        <w:t xml:space="preserve"> Aboriginal Corporation</w:t>
      </w:r>
      <w:r>
        <w:rPr>
          <w:rFonts w:asciiTheme="minorHAnsi" w:hAnsiTheme="minorHAnsi"/>
          <w:bCs/>
          <w:snapToGrid w:val="0"/>
        </w:rPr>
        <w:t xml:space="preserve"> and </w:t>
      </w:r>
      <w:r w:rsidRPr="00171248">
        <w:t>National Aboriginal Community Controlled Health Organisation (NACCHO)</w:t>
      </w:r>
      <w:r>
        <w:t xml:space="preserve"> </w:t>
      </w:r>
      <w:r>
        <w:rPr>
          <w:rFonts w:asciiTheme="minorHAnsi" w:hAnsiTheme="minorHAnsi"/>
          <w:bCs/>
          <w:snapToGrid w:val="0"/>
        </w:rPr>
        <w:t xml:space="preserve">regarding the important equity implications of supporting access </w:t>
      </w:r>
      <w:r w:rsidR="00860EAE">
        <w:rPr>
          <w:rFonts w:asciiTheme="minorHAnsi" w:hAnsiTheme="minorHAnsi"/>
          <w:bCs/>
          <w:snapToGrid w:val="0"/>
        </w:rPr>
        <w:t xml:space="preserve">to semaglutide </w:t>
      </w:r>
      <w:r>
        <w:rPr>
          <w:rFonts w:asciiTheme="minorHAnsi" w:hAnsiTheme="minorHAnsi"/>
          <w:bCs/>
          <w:snapToGrid w:val="0"/>
        </w:rPr>
        <w:t xml:space="preserve">for Aboriginal and Torres Strait Islander peoples.  </w:t>
      </w:r>
      <w:r w:rsidR="005C3A24">
        <w:rPr>
          <w:rFonts w:asciiTheme="minorHAnsi" w:hAnsiTheme="minorHAnsi"/>
          <w:bCs/>
          <w:snapToGrid w:val="0"/>
        </w:rPr>
        <w:t xml:space="preserve">The input </w:t>
      </w:r>
      <w:r w:rsidR="00195C74">
        <w:rPr>
          <w:rFonts w:asciiTheme="minorHAnsi" w:hAnsiTheme="minorHAnsi"/>
          <w:bCs/>
          <w:snapToGrid w:val="0"/>
        </w:rPr>
        <w:t>noted that cardiovascular disease is a major driver of premature mortality in Aboriginal people</w:t>
      </w:r>
      <w:r w:rsidR="0067003B">
        <w:rPr>
          <w:rFonts w:asciiTheme="minorHAnsi" w:hAnsiTheme="minorHAnsi"/>
          <w:bCs/>
          <w:snapToGrid w:val="0"/>
        </w:rPr>
        <w:t xml:space="preserve">. </w:t>
      </w:r>
      <w:r w:rsidR="006C6517">
        <w:rPr>
          <w:rFonts w:asciiTheme="minorHAnsi" w:hAnsiTheme="minorHAnsi"/>
          <w:bCs/>
          <w:snapToGrid w:val="0"/>
        </w:rPr>
        <w:t xml:space="preserve">The </w:t>
      </w:r>
      <w:r w:rsidR="00C2658E">
        <w:rPr>
          <w:rFonts w:asciiTheme="minorHAnsi" w:hAnsiTheme="minorHAnsi"/>
          <w:bCs/>
          <w:snapToGrid w:val="0"/>
        </w:rPr>
        <w:t>inp</w:t>
      </w:r>
      <w:r w:rsidR="0043616F">
        <w:rPr>
          <w:rFonts w:asciiTheme="minorHAnsi" w:hAnsiTheme="minorHAnsi"/>
          <w:bCs/>
          <w:snapToGrid w:val="0"/>
        </w:rPr>
        <w:t>ut also emphasised</w:t>
      </w:r>
      <w:r w:rsidR="00C2658E">
        <w:rPr>
          <w:rFonts w:asciiTheme="minorHAnsi" w:hAnsiTheme="minorHAnsi"/>
          <w:bCs/>
          <w:snapToGrid w:val="0"/>
        </w:rPr>
        <w:t xml:space="preserve"> </w:t>
      </w:r>
      <w:r w:rsidR="00D06B81">
        <w:rPr>
          <w:rFonts w:asciiTheme="minorHAnsi" w:hAnsiTheme="minorHAnsi"/>
          <w:bCs/>
          <w:snapToGrid w:val="0"/>
        </w:rPr>
        <w:t xml:space="preserve">that </w:t>
      </w:r>
      <w:r>
        <w:rPr>
          <w:rFonts w:asciiTheme="minorHAnsi" w:hAnsiTheme="minorHAnsi"/>
          <w:bCs/>
          <w:snapToGrid w:val="0"/>
        </w:rPr>
        <w:t xml:space="preserve">adjustments to eligibility criteria such as the BMI threshold </w:t>
      </w:r>
      <w:r w:rsidR="00D06B81">
        <w:rPr>
          <w:rFonts w:asciiTheme="minorHAnsi" w:hAnsiTheme="minorHAnsi"/>
          <w:bCs/>
          <w:snapToGrid w:val="0"/>
        </w:rPr>
        <w:t>be considered</w:t>
      </w:r>
      <w:r w:rsidR="008A4D6F">
        <w:rPr>
          <w:rFonts w:asciiTheme="minorHAnsi" w:hAnsiTheme="minorHAnsi"/>
          <w:bCs/>
          <w:snapToGrid w:val="0"/>
        </w:rPr>
        <w:t>, to include risk calculators that include indigeneity and socio-economic status,</w:t>
      </w:r>
      <w:r>
        <w:rPr>
          <w:rFonts w:asciiTheme="minorHAnsi" w:hAnsiTheme="minorHAnsi"/>
          <w:bCs/>
          <w:snapToGrid w:val="0"/>
        </w:rPr>
        <w:t xml:space="preserve"> given the disproportionate health effects of eCVD and obesity in this population and the significant existing structural barriers to accessing existing treatments that would </w:t>
      </w:r>
      <w:r>
        <w:rPr>
          <w:rFonts w:asciiTheme="minorHAnsi" w:hAnsiTheme="minorHAnsi"/>
          <w:bCs/>
          <w:snapToGrid w:val="0"/>
        </w:rPr>
        <w:lastRenderedPageBreak/>
        <w:t xml:space="preserve">improve cardiovascular and obesity outcomes. </w:t>
      </w:r>
    </w:p>
    <w:p w14:paraId="4A33EB5C" w14:textId="6FF555EC" w:rsidR="00BB1D91" w:rsidRPr="00BB1D91" w:rsidRDefault="00DC3B3B" w:rsidP="00DC3B3B">
      <w:pPr>
        <w:widowControl w:val="0"/>
        <w:numPr>
          <w:ilvl w:val="1"/>
          <w:numId w:val="36"/>
        </w:numPr>
        <w:spacing w:after="120"/>
        <w:rPr>
          <w:rFonts w:asciiTheme="minorHAnsi" w:hAnsiTheme="minorHAnsi"/>
          <w:bCs/>
          <w:snapToGrid w:val="0"/>
        </w:rPr>
      </w:pPr>
      <w:r>
        <w:rPr>
          <w:rFonts w:asciiTheme="minorHAnsi" w:hAnsiTheme="minorHAnsi"/>
          <w:bCs/>
          <w:snapToGrid w:val="0"/>
        </w:rPr>
        <w:t xml:space="preserve">The PBAC </w:t>
      </w:r>
      <w:r w:rsidR="007A3A7E">
        <w:rPr>
          <w:rFonts w:asciiTheme="minorHAnsi" w:hAnsiTheme="minorHAnsi"/>
          <w:bCs/>
          <w:snapToGrid w:val="0"/>
        </w:rPr>
        <w:t>noted</w:t>
      </w:r>
      <w:r>
        <w:rPr>
          <w:rFonts w:asciiTheme="minorHAnsi" w:hAnsiTheme="minorHAnsi"/>
          <w:bCs/>
          <w:snapToGrid w:val="0"/>
        </w:rPr>
        <w:t xml:space="preserve"> input from the RACGP regarding the limited progress on reducing obesity in the population</w:t>
      </w:r>
      <w:r w:rsidR="00031E97">
        <w:rPr>
          <w:rFonts w:asciiTheme="minorHAnsi" w:hAnsiTheme="minorHAnsi"/>
          <w:bCs/>
          <w:snapToGrid w:val="0"/>
        </w:rPr>
        <w:t xml:space="preserve"> despite </w:t>
      </w:r>
      <w:r w:rsidR="0058437C">
        <w:rPr>
          <w:rFonts w:asciiTheme="minorHAnsi" w:hAnsiTheme="minorHAnsi"/>
          <w:bCs/>
          <w:snapToGrid w:val="0"/>
        </w:rPr>
        <w:t xml:space="preserve">Government endorsement of the National Obesity Strategy </w:t>
      </w:r>
      <w:r w:rsidR="00B77577">
        <w:rPr>
          <w:rFonts w:asciiTheme="minorHAnsi" w:hAnsiTheme="minorHAnsi"/>
          <w:bCs/>
          <w:snapToGrid w:val="0"/>
        </w:rPr>
        <w:t xml:space="preserve">2022-2032. </w:t>
      </w:r>
      <w:r w:rsidR="00A15008">
        <w:rPr>
          <w:rFonts w:asciiTheme="minorHAnsi" w:hAnsiTheme="minorHAnsi"/>
          <w:bCs/>
          <w:snapToGrid w:val="0"/>
        </w:rPr>
        <w:t xml:space="preserve">The </w:t>
      </w:r>
      <w:r w:rsidR="00B77577">
        <w:rPr>
          <w:rFonts w:asciiTheme="minorHAnsi" w:hAnsiTheme="minorHAnsi"/>
          <w:bCs/>
          <w:snapToGrid w:val="0"/>
        </w:rPr>
        <w:t>RACGP</w:t>
      </w:r>
      <w:r w:rsidR="00B26264">
        <w:rPr>
          <w:rFonts w:asciiTheme="minorHAnsi" w:hAnsiTheme="minorHAnsi"/>
          <w:bCs/>
          <w:snapToGrid w:val="0"/>
        </w:rPr>
        <w:t xml:space="preserve"> </w:t>
      </w:r>
      <w:r w:rsidR="00510703">
        <w:rPr>
          <w:rFonts w:asciiTheme="minorHAnsi" w:hAnsiTheme="minorHAnsi"/>
          <w:bCs/>
          <w:snapToGrid w:val="0"/>
        </w:rPr>
        <w:t>input advised</w:t>
      </w:r>
      <w:r w:rsidR="00B26264">
        <w:rPr>
          <w:rFonts w:asciiTheme="minorHAnsi" w:hAnsiTheme="minorHAnsi"/>
          <w:bCs/>
          <w:snapToGrid w:val="0"/>
        </w:rPr>
        <w:t xml:space="preserve"> that the treatment landscape had changed since the release of the National Obesity Strategy with the</w:t>
      </w:r>
      <w:r w:rsidR="00E06998">
        <w:rPr>
          <w:rFonts w:asciiTheme="minorHAnsi" w:hAnsiTheme="minorHAnsi"/>
          <w:bCs/>
          <w:snapToGrid w:val="0"/>
        </w:rPr>
        <w:t xml:space="preserve"> </w:t>
      </w:r>
      <w:r w:rsidR="004D670E">
        <w:rPr>
          <w:rFonts w:asciiTheme="minorHAnsi" w:hAnsiTheme="minorHAnsi"/>
          <w:bCs/>
          <w:snapToGrid w:val="0"/>
        </w:rPr>
        <w:t>availability of GLP-</w:t>
      </w:r>
      <w:r w:rsidR="00510703">
        <w:rPr>
          <w:rFonts w:asciiTheme="minorHAnsi" w:hAnsiTheme="minorHAnsi"/>
          <w:bCs/>
          <w:snapToGrid w:val="0"/>
        </w:rPr>
        <w:t>1 medicines</w:t>
      </w:r>
      <w:r w:rsidR="00001A5B">
        <w:rPr>
          <w:rFonts w:asciiTheme="minorHAnsi" w:hAnsiTheme="minorHAnsi"/>
          <w:bCs/>
          <w:snapToGrid w:val="0"/>
        </w:rPr>
        <w:t xml:space="preserve">. </w:t>
      </w:r>
      <w:r w:rsidR="00B43CCD">
        <w:rPr>
          <w:rFonts w:asciiTheme="minorHAnsi" w:hAnsiTheme="minorHAnsi"/>
          <w:bCs/>
          <w:snapToGrid w:val="0"/>
        </w:rPr>
        <w:t xml:space="preserve">The PBAC noted the RACGP </w:t>
      </w:r>
      <w:r w:rsidR="00CC5F9E">
        <w:rPr>
          <w:rFonts w:asciiTheme="minorHAnsi" w:hAnsiTheme="minorHAnsi"/>
          <w:bCs/>
          <w:snapToGrid w:val="0"/>
        </w:rPr>
        <w:t xml:space="preserve">suggested prioritisation of </w:t>
      </w:r>
      <w:r w:rsidR="00E136B0">
        <w:rPr>
          <w:rFonts w:asciiTheme="minorHAnsi" w:hAnsiTheme="minorHAnsi"/>
          <w:bCs/>
          <w:snapToGrid w:val="0"/>
        </w:rPr>
        <w:t xml:space="preserve">individuals with BMI </w:t>
      </w:r>
      <w:r w:rsidR="00E136B0">
        <w:rPr>
          <w:rFonts w:asciiTheme="minorHAnsi" w:hAnsiTheme="minorHAnsi" w:cstheme="minorHAnsi"/>
          <w:bCs/>
          <w:snapToGrid w:val="0"/>
        </w:rPr>
        <w:t>≥</w:t>
      </w:r>
      <w:r w:rsidR="00E136B0">
        <w:rPr>
          <w:rFonts w:asciiTheme="minorHAnsi" w:hAnsiTheme="minorHAnsi"/>
          <w:bCs/>
          <w:snapToGrid w:val="0"/>
        </w:rPr>
        <w:t xml:space="preserve"> 40</w:t>
      </w:r>
      <w:r w:rsidR="00302470">
        <w:rPr>
          <w:rFonts w:asciiTheme="minorHAnsi" w:hAnsiTheme="minorHAnsi"/>
          <w:bCs/>
          <w:snapToGrid w:val="0"/>
        </w:rPr>
        <w:t xml:space="preserve"> </w:t>
      </w:r>
      <w:r w:rsidR="00302470" w:rsidRPr="0020516D">
        <w:t>kg/m</w:t>
      </w:r>
      <w:r w:rsidR="00302470" w:rsidRPr="0020516D">
        <w:rPr>
          <w:vertAlign w:val="superscript"/>
        </w:rPr>
        <w:t>2</w:t>
      </w:r>
      <w:r w:rsidR="00E136B0">
        <w:rPr>
          <w:rFonts w:asciiTheme="minorHAnsi" w:hAnsiTheme="minorHAnsi"/>
          <w:bCs/>
          <w:snapToGrid w:val="0"/>
        </w:rPr>
        <w:t xml:space="preserve"> </w:t>
      </w:r>
      <w:r w:rsidR="00BB1D91">
        <w:rPr>
          <w:rFonts w:asciiTheme="minorHAnsi" w:hAnsiTheme="minorHAnsi"/>
          <w:bCs/>
          <w:snapToGrid w:val="0"/>
        </w:rPr>
        <w:t>(</w:t>
      </w:r>
      <w:r w:rsidR="00E136B0">
        <w:rPr>
          <w:rFonts w:asciiTheme="minorHAnsi" w:hAnsiTheme="minorHAnsi"/>
          <w:bCs/>
          <w:snapToGrid w:val="0"/>
        </w:rPr>
        <w:t xml:space="preserve">or </w:t>
      </w:r>
      <w:r w:rsidR="00E136B0">
        <w:rPr>
          <w:rFonts w:asciiTheme="minorHAnsi" w:hAnsiTheme="minorHAnsi" w:cstheme="minorHAnsi"/>
          <w:bCs/>
          <w:snapToGrid w:val="0"/>
        </w:rPr>
        <w:t>≥</w:t>
      </w:r>
      <w:r w:rsidR="00E136B0">
        <w:rPr>
          <w:rFonts w:asciiTheme="minorHAnsi" w:hAnsiTheme="minorHAnsi"/>
          <w:bCs/>
          <w:snapToGrid w:val="0"/>
        </w:rPr>
        <w:t xml:space="preserve"> 35 </w:t>
      </w:r>
      <w:r w:rsidR="00302470" w:rsidRPr="0020516D">
        <w:t>kg/m</w:t>
      </w:r>
      <w:r w:rsidR="00302470" w:rsidRPr="0020516D">
        <w:rPr>
          <w:vertAlign w:val="superscript"/>
        </w:rPr>
        <w:t>2</w:t>
      </w:r>
      <w:r w:rsidR="00302470">
        <w:rPr>
          <w:vertAlign w:val="superscript"/>
        </w:rPr>
        <w:t xml:space="preserve"> </w:t>
      </w:r>
      <w:r w:rsidR="00302470">
        <w:t xml:space="preserve">for Aboriginal </w:t>
      </w:r>
      <w:r w:rsidR="00124F7E">
        <w:t>and Torres Strait Islander peoples with adjus</w:t>
      </w:r>
      <w:r w:rsidR="00E51E59">
        <w:t>tments for other specific populations</w:t>
      </w:r>
      <w:r w:rsidR="00BB1D91">
        <w:t>)</w:t>
      </w:r>
      <w:r w:rsidR="00E51E59">
        <w:t xml:space="preserve"> </w:t>
      </w:r>
      <w:r w:rsidR="00575F2A">
        <w:t xml:space="preserve">who had additional obesity-related health impairments. </w:t>
      </w:r>
    </w:p>
    <w:p w14:paraId="77134673" w14:textId="0714D2D1" w:rsidR="00DC3B3B" w:rsidRPr="009D5E6D" w:rsidRDefault="42151C7E" w:rsidP="0A99B0B1">
      <w:pPr>
        <w:widowControl w:val="0"/>
        <w:numPr>
          <w:ilvl w:val="1"/>
          <w:numId w:val="36"/>
        </w:numPr>
        <w:spacing w:after="120"/>
        <w:rPr>
          <w:rFonts w:asciiTheme="minorHAnsi" w:hAnsiTheme="minorHAnsi"/>
          <w:snapToGrid w:val="0"/>
        </w:rPr>
      </w:pPr>
      <w:r w:rsidRPr="0A99B0B1">
        <w:rPr>
          <w:rFonts w:asciiTheme="minorHAnsi" w:hAnsiTheme="minorHAnsi"/>
          <w:snapToGrid w:val="0"/>
        </w:rPr>
        <w:t>The PBAC noted advice from the A</w:t>
      </w:r>
      <w:r w:rsidR="188A8CE4" w:rsidRPr="0A99B0B1">
        <w:rPr>
          <w:rFonts w:asciiTheme="minorHAnsi" w:hAnsiTheme="minorHAnsi"/>
          <w:snapToGrid w:val="0"/>
        </w:rPr>
        <w:t>ustralian and New Zealand Society for Vascular Surgery</w:t>
      </w:r>
      <w:r w:rsidRPr="0A99B0B1">
        <w:rPr>
          <w:rFonts w:asciiTheme="minorHAnsi" w:hAnsiTheme="minorHAnsi"/>
          <w:snapToGrid w:val="0"/>
        </w:rPr>
        <w:t xml:space="preserve">, </w:t>
      </w:r>
      <w:r w:rsidR="5A8F7105" w:rsidRPr="0A99B0B1">
        <w:rPr>
          <w:rFonts w:asciiTheme="minorHAnsi" w:hAnsiTheme="minorHAnsi"/>
          <w:snapToGrid w:val="0"/>
        </w:rPr>
        <w:t>suggesting the use of GLP-1 receptor agonists be embedded within multidisciplinary models of care, including vascular surgical services, to maximise health benefits.</w:t>
      </w:r>
      <w:r w:rsidR="24A37AF1" w:rsidRPr="0A99B0B1">
        <w:rPr>
          <w:rFonts w:asciiTheme="minorHAnsi" w:hAnsiTheme="minorHAnsi"/>
          <w:snapToGrid w:val="0"/>
        </w:rPr>
        <w:t xml:space="preserve"> The PBAC noted advice from </w:t>
      </w:r>
      <w:r w:rsidRPr="0A99B0B1">
        <w:rPr>
          <w:rFonts w:asciiTheme="minorHAnsi" w:hAnsiTheme="minorHAnsi"/>
          <w:snapToGrid w:val="0"/>
        </w:rPr>
        <w:t>Impact Obesity</w:t>
      </w:r>
      <w:r w:rsidR="7C0EF7C2" w:rsidRPr="0A99B0B1">
        <w:rPr>
          <w:rFonts w:asciiTheme="minorHAnsi" w:hAnsiTheme="minorHAnsi"/>
          <w:snapToGrid w:val="0"/>
        </w:rPr>
        <w:t>,</w:t>
      </w:r>
      <w:r w:rsidR="24A37AF1" w:rsidRPr="0A99B0B1">
        <w:rPr>
          <w:rFonts w:asciiTheme="minorHAnsi" w:hAnsiTheme="minorHAnsi"/>
          <w:snapToGrid w:val="0"/>
        </w:rPr>
        <w:t xml:space="preserve"> which emphasise</w:t>
      </w:r>
      <w:r w:rsidR="6B71BF2B" w:rsidRPr="0A99B0B1">
        <w:rPr>
          <w:rFonts w:asciiTheme="minorHAnsi" w:hAnsiTheme="minorHAnsi"/>
          <w:snapToGrid w:val="0"/>
        </w:rPr>
        <w:t>d</w:t>
      </w:r>
      <w:r w:rsidR="24A37AF1" w:rsidRPr="0A99B0B1">
        <w:rPr>
          <w:rFonts w:asciiTheme="minorHAnsi" w:hAnsiTheme="minorHAnsi"/>
          <w:snapToGrid w:val="0"/>
        </w:rPr>
        <w:t xml:space="preserve"> </w:t>
      </w:r>
      <w:r w:rsidR="6B71BF2B" w:rsidRPr="0A99B0B1">
        <w:rPr>
          <w:rFonts w:asciiTheme="minorHAnsi" w:hAnsiTheme="minorHAnsi"/>
          <w:snapToGrid w:val="0"/>
        </w:rPr>
        <w:t>t</w:t>
      </w:r>
      <w:r w:rsidR="24A37AF1" w:rsidRPr="0A99B0B1">
        <w:rPr>
          <w:rFonts w:asciiTheme="minorHAnsi" w:hAnsiTheme="minorHAnsi"/>
          <w:snapToGrid w:val="0"/>
        </w:rPr>
        <w:t xml:space="preserve">he </w:t>
      </w:r>
      <w:r w:rsidR="6C95CB75" w:rsidRPr="0A99B0B1">
        <w:rPr>
          <w:rFonts w:asciiTheme="minorHAnsi" w:hAnsiTheme="minorHAnsi"/>
          <w:snapToGrid w:val="0"/>
        </w:rPr>
        <w:t>importance</w:t>
      </w:r>
      <w:r w:rsidR="24A37AF1" w:rsidRPr="0A99B0B1">
        <w:rPr>
          <w:rFonts w:asciiTheme="minorHAnsi" w:hAnsiTheme="minorHAnsi"/>
          <w:snapToGrid w:val="0"/>
        </w:rPr>
        <w:t xml:space="preserve"> of </w:t>
      </w:r>
      <w:r w:rsidR="6C95CB75" w:rsidRPr="0A99B0B1">
        <w:rPr>
          <w:rFonts w:asciiTheme="minorHAnsi" w:hAnsiTheme="minorHAnsi"/>
          <w:snapToGrid w:val="0"/>
        </w:rPr>
        <w:t>weight</w:t>
      </w:r>
      <w:r w:rsidR="24A37AF1" w:rsidRPr="0A99B0B1">
        <w:rPr>
          <w:rFonts w:asciiTheme="minorHAnsi" w:hAnsiTheme="minorHAnsi"/>
          <w:snapToGrid w:val="0"/>
        </w:rPr>
        <w:t xml:space="preserve"> loss for </w:t>
      </w:r>
      <w:r w:rsidR="6C95CB75" w:rsidRPr="0A99B0B1">
        <w:rPr>
          <w:rFonts w:asciiTheme="minorHAnsi" w:hAnsiTheme="minorHAnsi"/>
          <w:snapToGrid w:val="0"/>
        </w:rPr>
        <w:t>patients</w:t>
      </w:r>
      <w:r w:rsidR="24A37AF1" w:rsidRPr="0A99B0B1">
        <w:rPr>
          <w:rFonts w:asciiTheme="minorHAnsi" w:hAnsiTheme="minorHAnsi"/>
          <w:snapToGrid w:val="0"/>
        </w:rPr>
        <w:t xml:space="preserve"> with eCVD to </w:t>
      </w:r>
      <w:r w:rsidR="6C95CB75" w:rsidRPr="0A99B0B1">
        <w:rPr>
          <w:rFonts w:asciiTheme="minorHAnsi" w:hAnsiTheme="minorHAnsi"/>
          <w:snapToGrid w:val="0"/>
        </w:rPr>
        <w:t>meet recommended lifestyle and exercise requirements.</w:t>
      </w:r>
      <w:r w:rsidR="7C0EF7C2" w:rsidRPr="0A99B0B1">
        <w:rPr>
          <w:rFonts w:asciiTheme="minorHAnsi" w:hAnsiTheme="minorHAnsi"/>
          <w:snapToGrid w:val="0"/>
        </w:rPr>
        <w:t xml:space="preserve"> </w:t>
      </w:r>
      <w:r w:rsidRPr="0A99B0B1">
        <w:rPr>
          <w:rFonts w:asciiTheme="minorHAnsi" w:hAnsiTheme="minorHAnsi"/>
          <w:snapToGrid w:val="0"/>
        </w:rPr>
        <w:t xml:space="preserve"> The PBAC </w:t>
      </w:r>
      <w:r w:rsidR="38AC768B" w:rsidRPr="0A99B0B1">
        <w:rPr>
          <w:rFonts w:asciiTheme="minorHAnsi" w:hAnsiTheme="minorHAnsi"/>
          <w:snapToGrid w:val="0"/>
        </w:rPr>
        <w:t>also noted input from</w:t>
      </w:r>
      <w:r w:rsidRPr="0A99B0B1">
        <w:rPr>
          <w:rFonts w:asciiTheme="minorHAnsi" w:hAnsiTheme="minorHAnsi"/>
          <w:snapToGrid w:val="0"/>
        </w:rPr>
        <w:t xml:space="preserve"> </w:t>
      </w:r>
      <w:proofErr w:type="spellStart"/>
      <w:r w:rsidRPr="0A99B0B1">
        <w:rPr>
          <w:rFonts w:asciiTheme="minorHAnsi" w:hAnsiTheme="minorHAnsi"/>
          <w:snapToGrid w:val="0"/>
        </w:rPr>
        <w:t>iNova</w:t>
      </w:r>
      <w:proofErr w:type="spellEnd"/>
      <w:r w:rsidR="0C91F16D" w:rsidRPr="0A99B0B1">
        <w:rPr>
          <w:rFonts w:asciiTheme="minorHAnsi" w:hAnsiTheme="minorHAnsi"/>
          <w:snapToGrid w:val="0"/>
        </w:rPr>
        <w:t xml:space="preserve"> pharmaceuticals</w:t>
      </w:r>
      <w:r w:rsidRPr="0A99B0B1">
        <w:rPr>
          <w:rFonts w:asciiTheme="minorHAnsi" w:hAnsiTheme="minorHAnsi"/>
          <w:snapToGrid w:val="0"/>
        </w:rPr>
        <w:t xml:space="preserve"> regarding </w:t>
      </w:r>
      <w:r w:rsidR="33792DA8" w:rsidRPr="0A99B0B1">
        <w:rPr>
          <w:rFonts w:asciiTheme="minorHAnsi" w:hAnsiTheme="minorHAnsi"/>
          <w:snapToGrid w:val="0"/>
        </w:rPr>
        <w:t xml:space="preserve">concerns about </w:t>
      </w:r>
      <w:r w:rsidR="51D3BF38" w:rsidRPr="0A99B0B1">
        <w:rPr>
          <w:rFonts w:asciiTheme="minorHAnsi" w:hAnsiTheme="minorHAnsi"/>
          <w:snapToGrid w:val="0"/>
        </w:rPr>
        <w:t>the</w:t>
      </w:r>
      <w:r w:rsidRPr="0A99B0B1">
        <w:rPr>
          <w:rFonts w:asciiTheme="minorHAnsi" w:hAnsiTheme="minorHAnsi"/>
          <w:snapToGrid w:val="0"/>
        </w:rPr>
        <w:t xml:space="preserve"> high possibility of </w:t>
      </w:r>
      <w:proofErr w:type="gramStart"/>
      <w:r w:rsidRPr="0A99B0B1">
        <w:rPr>
          <w:rFonts w:asciiTheme="minorHAnsi" w:hAnsiTheme="minorHAnsi"/>
          <w:snapToGrid w:val="0"/>
        </w:rPr>
        <w:t>off-label</w:t>
      </w:r>
      <w:proofErr w:type="gramEnd"/>
      <w:r w:rsidRPr="0A99B0B1">
        <w:rPr>
          <w:rFonts w:asciiTheme="minorHAnsi" w:hAnsiTheme="minorHAnsi"/>
          <w:snapToGrid w:val="0"/>
        </w:rPr>
        <w:t xml:space="preserve"> prescribing</w:t>
      </w:r>
      <w:r w:rsidR="230EBD9D" w:rsidRPr="0A99B0B1">
        <w:rPr>
          <w:rFonts w:asciiTheme="minorHAnsi" w:hAnsiTheme="minorHAnsi"/>
          <w:snapToGrid w:val="0"/>
        </w:rPr>
        <w:t xml:space="preserve"> and </w:t>
      </w:r>
      <w:r w:rsidR="0C30046D" w:rsidRPr="0A99B0B1">
        <w:rPr>
          <w:rFonts w:asciiTheme="minorHAnsi" w:hAnsiTheme="minorHAnsi"/>
          <w:snapToGrid w:val="0"/>
        </w:rPr>
        <w:t xml:space="preserve">the </w:t>
      </w:r>
      <w:r w:rsidR="230EBD9D" w:rsidRPr="0A99B0B1">
        <w:rPr>
          <w:rFonts w:asciiTheme="minorHAnsi" w:hAnsiTheme="minorHAnsi"/>
          <w:snapToGrid w:val="0"/>
        </w:rPr>
        <w:t>potential cost implications for the PBS</w:t>
      </w:r>
      <w:r w:rsidR="33792DA8" w:rsidRPr="0A99B0B1">
        <w:rPr>
          <w:rFonts w:asciiTheme="minorHAnsi" w:hAnsiTheme="minorHAnsi"/>
          <w:snapToGrid w:val="0"/>
        </w:rPr>
        <w:t xml:space="preserve"> of such use</w:t>
      </w:r>
      <w:r w:rsidRPr="0A99B0B1">
        <w:rPr>
          <w:rFonts w:asciiTheme="minorHAnsi" w:hAnsiTheme="minorHAnsi"/>
          <w:snapToGrid w:val="0"/>
        </w:rPr>
        <w:t xml:space="preserve">. </w:t>
      </w:r>
    </w:p>
    <w:p w14:paraId="609C0765" w14:textId="16D0399C" w:rsidR="00B60939" w:rsidRPr="0098262F" w:rsidRDefault="00B60939" w:rsidP="002E4F02">
      <w:pPr>
        <w:pStyle w:val="COMESSubsectionheading"/>
      </w:pPr>
      <w:r w:rsidRPr="0098262F">
        <w:t>Clinical trials</w:t>
      </w:r>
      <w:bookmarkEnd w:id="18"/>
      <w:bookmarkEnd w:id="19"/>
    </w:p>
    <w:p w14:paraId="72A55E3F" w14:textId="7D6BD65C" w:rsidR="00F106E1" w:rsidRPr="00F106E1" w:rsidRDefault="00F106E1" w:rsidP="00F106E1">
      <w:pPr>
        <w:pStyle w:val="COMESnumberedpara"/>
      </w:pPr>
      <w:r w:rsidRPr="00F106E1">
        <w:t xml:space="preserve">The resubmission was based on one head-to-head randomised trial comparing cardiovascular outcomes with semaglutide to placebo in patients with established cardiovascular disease who were obese or overweight (SELECT). The resubmission also provided additional </w:t>
      </w:r>
      <w:r w:rsidRPr="00F106E1">
        <w:rPr>
          <w:i/>
          <w:iCs/>
        </w:rPr>
        <w:t>post hoc</w:t>
      </w:r>
      <w:r w:rsidRPr="00F106E1">
        <w:t xml:space="preserve"> analyses of the SELECT trial based on subgroups with BMI </w:t>
      </w:r>
      <w:r w:rsidR="00D01372">
        <w:t>≥</w:t>
      </w:r>
      <w:r w:rsidRPr="00F106E1">
        <w:t>35 kg/m</w:t>
      </w:r>
      <w:r w:rsidRPr="00F106E1">
        <w:rPr>
          <w:vertAlign w:val="superscript"/>
        </w:rPr>
        <w:t>2</w:t>
      </w:r>
      <w:r w:rsidRPr="00F106E1">
        <w:t xml:space="preserve"> and </w:t>
      </w:r>
      <w:r w:rsidR="00D01372">
        <w:t>≥</w:t>
      </w:r>
      <w:r w:rsidRPr="00F106E1">
        <w:t>40 kg/m</w:t>
      </w:r>
      <w:r w:rsidRPr="00F106E1">
        <w:rPr>
          <w:vertAlign w:val="superscript"/>
        </w:rPr>
        <w:t>2</w:t>
      </w:r>
      <w:r w:rsidRPr="00F106E1">
        <w:t>.</w:t>
      </w:r>
    </w:p>
    <w:p w14:paraId="564453F9" w14:textId="6F457132" w:rsidR="00D63B43" w:rsidRDefault="00A73134" w:rsidP="00D63B43">
      <w:pPr>
        <w:pStyle w:val="COMESnumberedpara"/>
      </w:pPr>
      <w:r w:rsidRPr="0098262F">
        <w:t xml:space="preserve">Details of the </w:t>
      </w:r>
      <w:r w:rsidR="00FE2360">
        <w:t>key trial presented in the resubmission</w:t>
      </w:r>
      <w:r w:rsidR="00F106E1">
        <w:t xml:space="preserve"> </w:t>
      </w:r>
      <w:r w:rsidRPr="0098262F">
        <w:t>are provided in</w:t>
      </w:r>
      <w:r w:rsidR="00D63B43">
        <w:t xml:space="preserve"> </w:t>
      </w:r>
      <w:r w:rsidR="00055136">
        <w:fldChar w:fldCharType="begin"/>
      </w:r>
      <w:r w:rsidR="00055136">
        <w:instrText xml:space="preserve"> REF _Ref206945168 \h </w:instrText>
      </w:r>
      <w:r w:rsidR="00055136">
        <w:fldChar w:fldCharType="separate"/>
      </w:r>
      <w:r w:rsidR="004F1BBD">
        <w:t xml:space="preserve">Table </w:t>
      </w:r>
      <w:r w:rsidR="004F1BBD">
        <w:rPr>
          <w:noProof/>
        </w:rPr>
        <w:t>2</w:t>
      </w:r>
      <w:r w:rsidR="00055136">
        <w:fldChar w:fldCharType="end"/>
      </w:r>
      <w:r w:rsidRPr="0098262F">
        <w:t>.</w:t>
      </w:r>
    </w:p>
    <w:p w14:paraId="79A14499" w14:textId="56D1846F" w:rsidR="00D63B43" w:rsidRPr="00BF69EE" w:rsidRDefault="00055136" w:rsidP="00055136">
      <w:pPr>
        <w:pStyle w:val="Caption"/>
      </w:pPr>
      <w:bookmarkStart w:id="20" w:name="_Ref206945168"/>
      <w:r>
        <w:t xml:space="preserve">Table </w:t>
      </w:r>
      <w:r w:rsidR="005448C5">
        <w:fldChar w:fldCharType="begin"/>
      </w:r>
      <w:r w:rsidR="005448C5">
        <w:instrText xml:space="preserve"> SEQ Table \* ARABIC </w:instrText>
      </w:r>
      <w:r w:rsidR="005448C5">
        <w:fldChar w:fldCharType="separate"/>
      </w:r>
      <w:r w:rsidR="004F1BBD">
        <w:rPr>
          <w:noProof/>
        </w:rPr>
        <w:t>2</w:t>
      </w:r>
      <w:r w:rsidR="005448C5">
        <w:rPr>
          <w:noProof/>
        </w:rPr>
        <w:fldChar w:fldCharType="end"/>
      </w:r>
      <w:bookmarkEnd w:id="20"/>
      <w:r w:rsidR="00D63B43" w:rsidRPr="00BF69EE">
        <w:t xml:space="preserve">: Trials and associated reports presented in the </w:t>
      </w:r>
      <w:r w:rsidR="00D63B43">
        <w:t>re</w:t>
      </w:r>
      <w:r w:rsidR="00D63B43" w:rsidRPr="00BF69EE">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associated reports presented in the resubmission"/>
      </w:tblPr>
      <w:tblGrid>
        <w:gridCol w:w="1549"/>
        <w:gridCol w:w="5345"/>
        <w:gridCol w:w="2123"/>
      </w:tblGrid>
      <w:tr w:rsidR="00D63B43" w:rsidRPr="0098262F" w14:paraId="280B32B2" w14:textId="77777777" w:rsidTr="007E7408">
        <w:trPr>
          <w:tblHeader/>
        </w:trPr>
        <w:tc>
          <w:tcPr>
            <w:tcW w:w="859" w:type="pct"/>
            <w:tcBorders>
              <w:bottom w:val="single" w:sz="4" w:space="0" w:color="auto"/>
            </w:tcBorders>
            <w:vAlign w:val="center"/>
          </w:tcPr>
          <w:p w14:paraId="3AD188C2" w14:textId="77777777" w:rsidR="00D63B43" w:rsidRPr="0098262F" w:rsidRDefault="00D63B43">
            <w:pPr>
              <w:pStyle w:val="COMTableheadingrow"/>
            </w:pPr>
            <w:r w:rsidRPr="0098262F">
              <w:t>Trial ID</w:t>
            </w:r>
          </w:p>
        </w:tc>
        <w:tc>
          <w:tcPr>
            <w:tcW w:w="2964" w:type="pct"/>
            <w:tcBorders>
              <w:bottom w:val="single" w:sz="4" w:space="0" w:color="auto"/>
            </w:tcBorders>
            <w:vAlign w:val="center"/>
          </w:tcPr>
          <w:p w14:paraId="137858F7" w14:textId="77777777" w:rsidR="00D63B43" w:rsidRPr="0098262F" w:rsidRDefault="00D63B43">
            <w:pPr>
              <w:pStyle w:val="COMTableheadingrow"/>
            </w:pPr>
            <w:r w:rsidRPr="0098262F">
              <w:t>Protocol title/ Publication title</w:t>
            </w:r>
          </w:p>
        </w:tc>
        <w:tc>
          <w:tcPr>
            <w:tcW w:w="1177" w:type="pct"/>
            <w:tcBorders>
              <w:bottom w:val="single" w:sz="4" w:space="0" w:color="auto"/>
            </w:tcBorders>
            <w:vAlign w:val="center"/>
          </w:tcPr>
          <w:p w14:paraId="0AF9B115" w14:textId="77777777" w:rsidR="00D63B43" w:rsidRPr="0098262F" w:rsidRDefault="00D63B43">
            <w:pPr>
              <w:pStyle w:val="COMTableheadingrow"/>
            </w:pPr>
            <w:r w:rsidRPr="0098262F">
              <w:t>Publication citation</w:t>
            </w:r>
          </w:p>
        </w:tc>
      </w:tr>
      <w:tr w:rsidR="00D63B43" w:rsidRPr="0098262F" w14:paraId="641FF848" w14:textId="77777777" w:rsidTr="00745BD2">
        <w:tc>
          <w:tcPr>
            <w:tcW w:w="859" w:type="pct"/>
            <w:vMerge w:val="restart"/>
            <w:vAlign w:val="center"/>
          </w:tcPr>
          <w:p w14:paraId="50A495C1" w14:textId="77777777" w:rsidR="00D63B43" w:rsidRDefault="00D63B43">
            <w:pPr>
              <w:pStyle w:val="COMTabletext"/>
            </w:pPr>
            <w:r w:rsidRPr="00AB5C5E">
              <w:t>NNC0113-0217</w:t>
            </w:r>
          </w:p>
          <w:p w14:paraId="5511E4B4" w14:textId="77777777" w:rsidR="00D63B43" w:rsidRPr="0098262F" w:rsidRDefault="00D63B43">
            <w:pPr>
              <w:pStyle w:val="COMTabletext"/>
            </w:pPr>
            <w:r>
              <w:t>(SELECT)</w:t>
            </w:r>
          </w:p>
        </w:tc>
        <w:tc>
          <w:tcPr>
            <w:tcW w:w="2964" w:type="pct"/>
            <w:tcBorders>
              <w:bottom w:val="nil"/>
            </w:tcBorders>
          </w:tcPr>
          <w:p w14:paraId="2A7FB432" w14:textId="2999F8F1" w:rsidR="00D63B43" w:rsidRPr="0098262F" w:rsidRDefault="00D63B43" w:rsidP="00745BD2">
            <w:pPr>
              <w:pStyle w:val="COMTabletext"/>
              <w:spacing w:after="40"/>
              <w:rPr>
                <w:szCs w:val="18"/>
              </w:rPr>
            </w:pPr>
            <w:r>
              <w:rPr>
                <w:szCs w:val="18"/>
              </w:rPr>
              <w:t xml:space="preserve">Novo Nordisk (2023). </w:t>
            </w:r>
            <w:r w:rsidRPr="002803F5">
              <w:rPr>
                <w:szCs w:val="18"/>
              </w:rPr>
              <w:t>Semaglutide effects on cardiovascular outcomes in</w:t>
            </w:r>
            <w:r>
              <w:rPr>
                <w:szCs w:val="18"/>
              </w:rPr>
              <w:t xml:space="preserve"> </w:t>
            </w:r>
            <w:r w:rsidRPr="002803F5">
              <w:rPr>
                <w:szCs w:val="18"/>
              </w:rPr>
              <w:t>people with overweight or obesity</w:t>
            </w:r>
            <w:r w:rsidR="007E7408">
              <w:rPr>
                <w:szCs w:val="18"/>
              </w:rPr>
              <w:t>.</w:t>
            </w:r>
          </w:p>
        </w:tc>
        <w:tc>
          <w:tcPr>
            <w:tcW w:w="1177" w:type="pct"/>
            <w:tcBorders>
              <w:bottom w:val="nil"/>
            </w:tcBorders>
          </w:tcPr>
          <w:p w14:paraId="00309DBC" w14:textId="77777777" w:rsidR="00D63B43" w:rsidRPr="0098262F" w:rsidRDefault="00D63B43" w:rsidP="00745BD2">
            <w:pPr>
              <w:pStyle w:val="COMTabletext"/>
              <w:spacing w:after="40"/>
            </w:pPr>
            <w:r>
              <w:t>Internal study report</w:t>
            </w:r>
          </w:p>
        </w:tc>
      </w:tr>
      <w:tr w:rsidR="00D63B43" w:rsidRPr="0098262F" w14:paraId="7E581CDF" w14:textId="77777777" w:rsidTr="00745BD2">
        <w:tc>
          <w:tcPr>
            <w:tcW w:w="859" w:type="pct"/>
            <w:vMerge/>
            <w:vAlign w:val="center"/>
          </w:tcPr>
          <w:p w14:paraId="3984CAD5" w14:textId="77777777" w:rsidR="00D63B43" w:rsidRPr="00AB5C5E" w:rsidRDefault="00D63B43">
            <w:pPr>
              <w:pStyle w:val="COMTabletext"/>
            </w:pPr>
          </w:p>
        </w:tc>
        <w:tc>
          <w:tcPr>
            <w:tcW w:w="2964" w:type="pct"/>
            <w:tcBorders>
              <w:top w:val="nil"/>
              <w:bottom w:val="nil"/>
            </w:tcBorders>
          </w:tcPr>
          <w:p w14:paraId="36662C17" w14:textId="552401EC" w:rsidR="00D63B43" w:rsidRPr="005D4618" w:rsidRDefault="00D63B43" w:rsidP="00745BD2">
            <w:pPr>
              <w:pStyle w:val="COMTabletext"/>
              <w:spacing w:after="40"/>
              <w:rPr>
                <w:szCs w:val="18"/>
              </w:rPr>
            </w:pPr>
            <w:r>
              <w:rPr>
                <w:szCs w:val="18"/>
              </w:rPr>
              <w:t xml:space="preserve">Lincoff et al (2023). </w:t>
            </w:r>
            <w:r w:rsidRPr="005D4618">
              <w:rPr>
                <w:szCs w:val="18"/>
              </w:rPr>
              <w:t xml:space="preserve">Semaglutide and </w:t>
            </w:r>
            <w:r w:rsidR="007E7408">
              <w:rPr>
                <w:szCs w:val="18"/>
              </w:rPr>
              <w:t>c</w:t>
            </w:r>
            <w:r w:rsidRPr="005D4618">
              <w:rPr>
                <w:szCs w:val="18"/>
              </w:rPr>
              <w:t xml:space="preserve">ardiovascular </w:t>
            </w:r>
            <w:r w:rsidR="007E7408">
              <w:rPr>
                <w:szCs w:val="18"/>
              </w:rPr>
              <w:t>o</w:t>
            </w:r>
            <w:r w:rsidRPr="005D4618">
              <w:rPr>
                <w:szCs w:val="18"/>
              </w:rPr>
              <w:t>utcomes</w:t>
            </w:r>
          </w:p>
          <w:p w14:paraId="08B6389D" w14:textId="39F7D7B0" w:rsidR="00D63B43" w:rsidRPr="0098262F" w:rsidRDefault="00D63B43" w:rsidP="00745BD2">
            <w:pPr>
              <w:pStyle w:val="COMTabletext"/>
              <w:spacing w:after="40"/>
              <w:rPr>
                <w:szCs w:val="18"/>
              </w:rPr>
            </w:pPr>
            <w:r w:rsidRPr="005D4618">
              <w:rPr>
                <w:szCs w:val="18"/>
              </w:rPr>
              <w:t xml:space="preserve">in </w:t>
            </w:r>
            <w:r w:rsidR="007E7408">
              <w:rPr>
                <w:szCs w:val="18"/>
              </w:rPr>
              <w:t>o</w:t>
            </w:r>
            <w:r w:rsidRPr="005D4618">
              <w:rPr>
                <w:szCs w:val="18"/>
              </w:rPr>
              <w:t xml:space="preserve">besity without </w:t>
            </w:r>
            <w:r w:rsidR="007E7408">
              <w:rPr>
                <w:szCs w:val="18"/>
              </w:rPr>
              <w:t>d</w:t>
            </w:r>
            <w:r w:rsidRPr="005D4618">
              <w:rPr>
                <w:szCs w:val="18"/>
              </w:rPr>
              <w:t>iabetes</w:t>
            </w:r>
            <w:r w:rsidR="007E7408">
              <w:rPr>
                <w:szCs w:val="18"/>
              </w:rPr>
              <w:t>.</w:t>
            </w:r>
          </w:p>
        </w:tc>
        <w:tc>
          <w:tcPr>
            <w:tcW w:w="1177" w:type="pct"/>
            <w:tcBorders>
              <w:top w:val="nil"/>
              <w:bottom w:val="nil"/>
            </w:tcBorders>
          </w:tcPr>
          <w:p w14:paraId="51A692BC" w14:textId="77777777" w:rsidR="00D63B43" w:rsidRPr="0098262F" w:rsidRDefault="00D63B43" w:rsidP="00745BD2">
            <w:pPr>
              <w:pStyle w:val="COMTabletext"/>
              <w:spacing w:after="40"/>
            </w:pPr>
            <w:r w:rsidRPr="00FE2360">
              <w:rPr>
                <w:i/>
                <w:iCs/>
              </w:rPr>
              <w:t>New England Journal of Medicine</w:t>
            </w:r>
            <w:r>
              <w:t xml:space="preserve"> 389:2221-2232</w:t>
            </w:r>
          </w:p>
        </w:tc>
      </w:tr>
      <w:tr w:rsidR="00D63B43" w:rsidRPr="0098262F" w14:paraId="79669500" w14:textId="77777777" w:rsidTr="00745BD2">
        <w:tc>
          <w:tcPr>
            <w:tcW w:w="859" w:type="pct"/>
            <w:vMerge/>
            <w:vAlign w:val="center"/>
          </w:tcPr>
          <w:p w14:paraId="15588A67" w14:textId="77777777" w:rsidR="00D63B43" w:rsidRPr="00AB5C5E" w:rsidRDefault="00D63B43">
            <w:pPr>
              <w:pStyle w:val="COMTabletext"/>
            </w:pPr>
          </w:p>
        </w:tc>
        <w:tc>
          <w:tcPr>
            <w:tcW w:w="2964" w:type="pct"/>
            <w:tcBorders>
              <w:top w:val="nil"/>
              <w:bottom w:val="nil"/>
            </w:tcBorders>
          </w:tcPr>
          <w:p w14:paraId="00C260C5" w14:textId="3221BD3B" w:rsidR="00D63B43" w:rsidRPr="0098262F" w:rsidRDefault="00D63B43" w:rsidP="00745BD2">
            <w:pPr>
              <w:pStyle w:val="COMTabletext"/>
              <w:spacing w:after="40"/>
              <w:rPr>
                <w:szCs w:val="18"/>
              </w:rPr>
            </w:pPr>
            <w:r>
              <w:rPr>
                <w:szCs w:val="18"/>
              </w:rPr>
              <w:t xml:space="preserve">Ryan et al (2024). </w:t>
            </w:r>
            <w:r w:rsidRPr="00485AFB">
              <w:rPr>
                <w:szCs w:val="18"/>
              </w:rPr>
              <w:t>Long-term weight loss effects of semaglutide in obesity without diabetes in the SELECT trial</w:t>
            </w:r>
            <w:r w:rsidR="007E7408">
              <w:rPr>
                <w:szCs w:val="18"/>
              </w:rPr>
              <w:t>.</w:t>
            </w:r>
          </w:p>
        </w:tc>
        <w:tc>
          <w:tcPr>
            <w:tcW w:w="1177" w:type="pct"/>
            <w:tcBorders>
              <w:top w:val="nil"/>
              <w:bottom w:val="nil"/>
            </w:tcBorders>
          </w:tcPr>
          <w:p w14:paraId="3C0726C1" w14:textId="77777777" w:rsidR="00D63B43" w:rsidRPr="0098262F" w:rsidRDefault="00D63B43" w:rsidP="00745BD2">
            <w:pPr>
              <w:pStyle w:val="COMTabletext"/>
              <w:spacing w:after="40"/>
            </w:pPr>
            <w:r w:rsidRPr="00FE2360">
              <w:rPr>
                <w:i/>
                <w:iCs/>
              </w:rPr>
              <w:t>Nature Medicine</w:t>
            </w:r>
            <w:r>
              <w:t xml:space="preserve"> 30:2049-2057</w:t>
            </w:r>
          </w:p>
        </w:tc>
      </w:tr>
      <w:tr w:rsidR="00D63B43" w:rsidRPr="0098262F" w14:paraId="1ECB44DB" w14:textId="77777777" w:rsidTr="00745BD2">
        <w:tc>
          <w:tcPr>
            <w:tcW w:w="859" w:type="pct"/>
            <w:vMerge/>
            <w:vAlign w:val="center"/>
          </w:tcPr>
          <w:p w14:paraId="6F6F12F7" w14:textId="77777777" w:rsidR="00D63B43" w:rsidRPr="00AB5C5E" w:rsidRDefault="00D63B43">
            <w:pPr>
              <w:pStyle w:val="COMTabletext"/>
            </w:pPr>
          </w:p>
        </w:tc>
        <w:tc>
          <w:tcPr>
            <w:tcW w:w="2964" w:type="pct"/>
            <w:tcBorders>
              <w:top w:val="nil"/>
              <w:bottom w:val="nil"/>
            </w:tcBorders>
          </w:tcPr>
          <w:p w14:paraId="13377236" w14:textId="741A5AFE" w:rsidR="00D63B43" w:rsidRPr="0098262F" w:rsidRDefault="00D63B43" w:rsidP="00745BD2">
            <w:pPr>
              <w:pStyle w:val="COMTabletext"/>
              <w:spacing w:after="40"/>
              <w:rPr>
                <w:szCs w:val="18"/>
              </w:rPr>
            </w:pPr>
            <w:r>
              <w:rPr>
                <w:szCs w:val="18"/>
              </w:rPr>
              <w:t xml:space="preserve">Colhoun et al (2024). </w:t>
            </w:r>
            <w:r w:rsidRPr="0070156F">
              <w:rPr>
                <w:szCs w:val="18"/>
              </w:rPr>
              <w:t>Long-term kidney outcomes of semaglutide in obesity and cardiovascular disease in the SELECT trial</w:t>
            </w:r>
            <w:r w:rsidR="007E7408">
              <w:rPr>
                <w:szCs w:val="18"/>
              </w:rPr>
              <w:t>.</w:t>
            </w:r>
          </w:p>
        </w:tc>
        <w:tc>
          <w:tcPr>
            <w:tcW w:w="1177" w:type="pct"/>
            <w:tcBorders>
              <w:top w:val="nil"/>
              <w:bottom w:val="nil"/>
            </w:tcBorders>
          </w:tcPr>
          <w:p w14:paraId="51254B6C" w14:textId="77777777" w:rsidR="00D63B43" w:rsidRPr="0098262F" w:rsidRDefault="00D63B43" w:rsidP="00745BD2">
            <w:pPr>
              <w:pStyle w:val="COMTabletext"/>
              <w:spacing w:after="40"/>
            </w:pPr>
            <w:r w:rsidRPr="00FE2360">
              <w:rPr>
                <w:i/>
                <w:iCs/>
              </w:rPr>
              <w:t>Nature Medicine</w:t>
            </w:r>
            <w:r>
              <w:t xml:space="preserve"> 30:2058-2066</w:t>
            </w:r>
          </w:p>
        </w:tc>
      </w:tr>
      <w:tr w:rsidR="00D63B43" w:rsidRPr="0098262F" w14:paraId="452B5E16" w14:textId="77777777" w:rsidTr="00745BD2">
        <w:tc>
          <w:tcPr>
            <w:tcW w:w="859" w:type="pct"/>
            <w:vMerge/>
            <w:vAlign w:val="center"/>
          </w:tcPr>
          <w:p w14:paraId="771D3822" w14:textId="77777777" w:rsidR="00D63B43" w:rsidRPr="00AB5C5E" w:rsidRDefault="00D63B43">
            <w:pPr>
              <w:pStyle w:val="COMTabletext"/>
            </w:pPr>
          </w:p>
        </w:tc>
        <w:tc>
          <w:tcPr>
            <w:tcW w:w="2964" w:type="pct"/>
            <w:tcBorders>
              <w:top w:val="nil"/>
              <w:bottom w:val="nil"/>
            </w:tcBorders>
          </w:tcPr>
          <w:p w14:paraId="36FF617F" w14:textId="1CCB287F" w:rsidR="00D63B43" w:rsidRDefault="00D63B43" w:rsidP="00745BD2">
            <w:pPr>
              <w:pStyle w:val="COMTabletext"/>
              <w:spacing w:after="40"/>
              <w:rPr>
                <w:szCs w:val="18"/>
              </w:rPr>
            </w:pPr>
            <w:r>
              <w:rPr>
                <w:szCs w:val="18"/>
              </w:rPr>
              <w:t xml:space="preserve">Kahn et al (2024). </w:t>
            </w:r>
            <w:r w:rsidRPr="00100DBD">
              <w:rPr>
                <w:szCs w:val="18"/>
              </w:rPr>
              <w:t xml:space="preserve">Effect of </w:t>
            </w:r>
            <w:r w:rsidR="007E7408" w:rsidRPr="00100DBD">
              <w:rPr>
                <w:szCs w:val="18"/>
              </w:rPr>
              <w:t>semaglutide on regression and progression of</w:t>
            </w:r>
            <w:r w:rsidR="007E7408">
              <w:rPr>
                <w:szCs w:val="18"/>
              </w:rPr>
              <w:t xml:space="preserve"> </w:t>
            </w:r>
            <w:r w:rsidR="007E7408" w:rsidRPr="00100DBD">
              <w:rPr>
                <w:szCs w:val="18"/>
              </w:rPr>
              <w:t>glycemia in people with overweight or obesity but without</w:t>
            </w:r>
            <w:r w:rsidR="007E7408">
              <w:rPr>
                <w:szCs w:val="18"/>
              </w:rPr>
              <w:t xml:space="preserve"> </w:t>
            </w:r>
            <w:r w:rsidR="007E7408" w:rsidRPr="00100DBD">
              <w:rPr>
                <w:szCs w:val="18"/>
              </w:rPr>
              <w:t xml:space="preserve">diabetes </w:t>
            </w:r>
            <w:r w:rsidRPr="00100DBD">
              <w:rPr>
                <w:szCs w:val="18"/>
              </w:rPr>
              <w:t xml:space="preserve">in the SELECT </w:t>
            </w:r>
            <w:r w:rsidR="007E7408">
              <w:rPr>
                <w:szCs w:val="18"/>
              </w:rPr>
              <w:t>t</w:t>
            </w:r>
            <w:r w:rsidRPr="00100DBD">
              <w:rPr>
                <w:szCs w:val="18"/>
              </w:rPr>
              <w:t>rial</w:t>
            </w:r>
            <w:r w:rsidR="007E7408">
              <w:rPr>
                <w:szCs w:val="18"/>
              </w:rPr>
              <w:t>.</w:t>
            </w:r>
          </w:p>
        </w:tc>
        <w:tc>
          <w:tcPr>
            <w:tcW w:w="1177" w:type="pct"/>
            <w:tcBorders>
              <w:top w:val="nil"/>
              <w:bottom w:val="nil"/>
            </w:tcBorders>
          </w:tcPr>
          <w:p w14:paraId="7E4C0366" w14:textId="77777777" w:rsidR="00D63B43" w:rsidRDefault="00D63B43" w:rsidP="00745BD2">
            <w:pPr>
              <w:pStyle w:val="COMTabletext"/>
              <w:spacing w:after="40"/>
            </w:pPr>
            <w:r w:rsidRPr="00FE2360">
              <w:rPr>
                <w:i/>
                <w:iCs/>
              </w:rPr>
              <w:t>Diabetes Care</w:t>
            </w:r>
            <w:r>
              <w:t xml:space="preserve"> 47(8):1350-1359</w:t>
            </w:r>
          </w:p>
        </w:tc>
      </w:tr>
      <w:tr w:rsidR="00D63B43" w:rsidRPr="0098262F" w14:paraId="2C18AD49" w14:textId="77777777" w:rsidTr="00745BD2">
        <w:tc>
          <w:tcPr>
            <w:tcW w:w="859" w:type="pct"/>
            <w:vMerge/>
            <w:tcBorders>
              <w:bottom w:val="single" w:sz="4" w:space="0" w:color="auto"/>
            </w:tcBorders>
            <w:vAlign w:val="center"/>
          </w:tcPr>
          <w:p w14:paraId="2BC5398D" w14:textId="77777777" w:rsidR="00D63B43" w:rsidRPr="00AB5C5E" w:rsidRDefault="00D63B43">
            <w:pPr>
              <w:pStyle w:val="COMTabletext"/>
            </w:pPr>
          </w:p>
        </w:tc>
        <w:tc>
          <w:tcPr>
            <w:tcW w:w="2964" w:type="pct"/>
            <w:tcBorders>
              <w:top w:val="nil"/>
              <w:bottom w:val="single" w:sz="4" w:space="0" w:color="auto"/>
            </w:tcBorders>
          </w:tcPr>
          <w:p w14:paraId="483D9B9B" w14:textId="6CA3FC3F" w:rsidR="00D63B43" w:rsidRDefault="00D63B43" w:rsidP="00745BD2">
            <w:pPr>
              <w:pStyle w:val="COMTabletext"/>
              <w:rPr>
                <w:szCs w:val="18"/>
              </w:rPr>
            </w:pPr>
            <w:proofErr w:type="spellStart"/>
            <w:r>
              <w:rPr>
                <w:szCs w:val="18"/>
              </w:rPr>
              <w:t>Lingvay</w:t>
            </w:r>
            <w:proofErr w:type="spellEnd"/>
            <w:r>
              <w:rPr>
                <w:szCs w:val="18"/>
              </w:rPr>
              <w:t xml:space="preserve"> et al (2024). </w:t>
            </w:r>
            <w:r w:rsidRPr="00D628A3">
              <w:rPr>
                <w:szCs w:val="18"/>
              </w:rPr>
              <w:t xml:space="preserve">Semaglutide and </w:t>
            </w:r>
            <w:r w:rsidR="007E7408" w:rsidRPr="00D628A3">
              <w:rPr>
                <w:szCs w:val="18"/>
              </w:rPr>
              <w:t>cardiovascular</w:t>
            </w:r>
            <w:r w:rsidR="007E7408">
              <w:rPr>
                <w:szCs w:val="18"/>
              </w:rPr>
              <w:t xml:space="preserve"> </w:t>
            </w:r>
            <w:r w:rsidR="007E7408" w:rsidRPr="00D628A3">
              <w:rPr>
                <w:szCs w:val="18"/>
              </w:rPr>
              <w:t xml:space="preserve">outcomes by baseline </w:t>
            </w:r>
            <w:r w:rsidRPr="00D628A3">
              <w:rPr>
                <w:szCs w:val="18"/>
              </w:rPr>
              <w:t>HbA1c and</w:t>
            </w:r>
            <w:r>
              <w:rPr>
                <w:szCs w:val="18"/>
              </w:rPr>
              <w:t xml:space="preserve"> </w:t>
            </w:r>
            <w:r w:rsidR="007E7408">
              <w:rPr>
                <w:szCs w:val="18"/>
              </w:rPr>
              <w:t>c</w:t>
            </w:r>
            <w:r w:rsidRPr="00D628A3">
              <w:rPr>
                <w:szCs w:val="18"/>
              </w:rPr>
              <w:t xml:space="preserve">hange in HbA1c in </w:t>
            </w:r>
            <w:r w:rsidR="007E7408" w:rsidRPr="00D628A3">
              <w:rPr>
                <w:szCs w:val="18"/>
              </w:rPr>
              <w:t>people with</w:t>
            </w:r>
            <w:r w:rsidR="007E7408">
              <w:rPr>
                <w:szCs w:val="18"/>
              </w:rPr>
              <w:t xml:space="preserve"> </w:t>
            </w:r>
            <w:r w:rsidR="007E7408" w:rsidRPr="00D628A3">
              <w:rPr>
                <w:szCs w:val="18"/>
              </w:rPr>
              <w:t>overweight or obesity but</w:t>
            </w:r>
            <w:r w:rsidR="007E7408">
              <w:rPr>
                <w:szCs w:val="18"/>
              </w:rPr>
              <w:t xml:space="preserve"> </w:t>
            </w:r>
            <w:r w:rsidR="007E7408" w:rsidRPr="00D628A3">
              <w:rPr>
                <w:szCs w:val="18"/>
              </w:rPr>
              <w:t>without diabe</w:t>
            </w:r>
            <w:r w:rsidRPr="00D628A3">
              <w:rPr>
                <w:szCs w:val="18"/>
              </w:rPr>
              <w:t>tes in SELECT</w:t>
            </w:r>
            <w:r w:rsidR="007E7408">
              <w:rPr>
                <w:szCs w:val="18"/>
              </w:rPr>
              <w:t>.</w:t>
            </w:r>
          </w:p>
        </w:tc>
        <w:tc>
          <w:tcPr>
            <w:tcW w:w="1177" w:type="pct"/>
            <w:tcBorders>
              <w:top w:val="nil"/>
              <w:bottom w:val="single" w:sz="4" w:space="0" w:color="auto"/>
            </w:tcBorders>
          </w:tcPr>
          <w:p w14:paraId="7E876AC9" w14:textId="77777777" w:rsidR="00D63B43" w:rsidRDefault="00D63B43" w:rsidP="00745BD2">
            <w:pPr>
              <w:pStyle w:val="COMTabletext"/>
            </w:pPr>
            <w:r w:rsidRPr="00FE2360">
              <w:rPr>
                <w:i/>
                <w:iCs/>
              </w:rPr>
              <w:t>Diabetes Care</w:t>
            </w:r>
            <w:r>
              <w:t xml:space="preserve"> 47:1360-1369</w:t>
            </w:r>
          </w:p>
        </w:tc>
      </w:tr>
    </w:tbl>
    <w:p w14:paraId="3EA4F286" w14:textId="77777777" w:rsidR="00D63B43" w:rsidRDefault="00D63B43" w:rsidP="00D63B43">
      <w:pPr>
        <w:pStyle w:val="COMTablefooter"/>
      </w:pPr>
      <w:r w:rsidRPr="0098262F">
        <w:t xml:space="preserve">Source: </w:t>
      </w:r>
      <w:r>
        <w:t>Table 2-3, p52 of the resubmission</w:t>
      </w:r>
    </w:p>
    <w:p w14:paraId="5ADB6F7F" w14:textId="191A3F22" w:rsidR="00F81DF5" w:rsidRPr="00F81DF5" w:rsidRDefault="008F120A" w:rsidP="00EC5836">
      <w:pPr>
        <w:pStyle w:val="COMESnumberedpara"/>
        <w:rPr>
          <w:color w:val="0066FF"/>
        </w:rPr>
      </w:pPr>
      <w:r w:rsidRPr="0098262F">
        <w:t>The key features of the</w:t>
      </w:r>
      <w:r w:rsidR="00F81DF5">
        <w:t xml:space="preserve"> SELECT trial</w:t>
      </w:r>
      <w:r w:rsidRPr="0098262F">
        <w:t xml:space="preserve"> are summarised in</w:t>
      </w:r>
      <w:r w:rsidR="00F81DF5">
        <w:t xml:space="preserve"> </w:t>
      </w:r>
      <w:r w:rsidR="00055136">
        <w:fldChar w:fldCharType="begin"/>
      </w:r>
      <w:r w:rsidR="00055136">
        <w:instrText xml:space="preserve"> REF _Ref206945183 \h </w:instrText>
      </w:r>
      <w:r w:rsidR="00055136">
        <w:fldChar w:fldCharType="separate"/>
      </w:r>
      <w:r w:rsidR="004F1BBD">
        <w:t xml:space="preserve">Table </w:t>
      </w:r>
      <w:r w:rsidR="004F1BBD">
        <w:rPr>
          <w:noProof/>
        </w:rPr>
        <w:t>3</w:t>
      </w:r>
      <w:r w:rsidR="00055136">
        <w:fldChar w:fldCharType="end"/>
      </w:r>
      <w:r w:rsidRPr="0098262F">
        <w:t>.</w:t>
      </w:r>
      <w:r w:rsidR="00BC591F" w:rsidRPr="0098262F">
        <w:t xml:space="preserve"> </w:t>
      </w:r>
    </w:p>
    <w:p w14:paraId="355E2F15" w14:textId="2B125573" w:rsidR="007F1017" w:rsidRPr="0098262F" w:rsidRDefault="00055136" w:rsidP="00055136">
      <w:pPr>
        <w:pStyle w:val="Caption"/>
      </w:pPr>
      <w:bookmarkStart w:id="21" w:name="_Ref206945183"/>
      <w:r>
        <w:lastRenderedPageBreak/>
        <w:t xml:space="preserve">Table </w:t>
      </w:r>
      <w:r w:rsidR="005448C5">
        <w:fldChar w:fldCharType="begin"/>
      </w:r>
      <w:r w:rsidR="005448C5">
        <w:instrText xml:space="preserve"> SEQ Table \* ARABIC </w:instrText>
      </w:r>
      <w:r w:rsidR="005448C5">
        <w:fldChar w:fldCharType="separate"/>
      </w:r>
      <w:r w:rsidR="004F1BBD">
        <w:rPr>
          <w:noProof/>
        </w:rPr>
        <w:t>3</w:t>
      </w:r>
      <w:r w:rsidR="005448C5">
        <w:rPr>
          <w:noProof/>
        </w:rPr>
        <w:fldChar w:fldCharType="end"/>
      </w:r>
      <w:bookmarkEnd w:id="21"/>
      <w:r w:rsidR="00D6076E" w:rsidRPr="0098262F">
        <w:t xml:space="preserve">: </w:t>
      </w:r>
      <w:r w:rsidR="007F1017" w:rsidRPr="0098262F">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Pr>
      <w:tblGrid>
        <w:gridCol w:w="1003"/>
        <w:gridCol w:w="656"/>
        <w:gridCol w:w="1360"/>
        <w:gridCol w:w="741"/>
        <w:gridCol w:w="1555"/>
        <w:gridCol w:w="2007"/>
        <w:gridCol w:w="1695"/>
      </w:tblGrid>
      <w:tr w:rsidR="00B41614" w:rsidRPr="0098262F" w14:paraId="53DD7CC6" w14:textId="77777777" w:rsidTr="00F81DF5">
        <w:trPr>
          <w:cantSplit/>
          <w:tblHeader/>
        </w:trPr>
        <w:tc>
          <w:tcPr>
            <w:tcW w:w="556" w:type="pct"/>
            <w:vAlign w:val="center"/>
          </w:tcPr>
          <w:p w14:paraId="794116BC" w14:textId="77777777" w:rsidR="007F1017" w:rsidRPr="0098262F" w:rsidRDefault="007F1017" w:rsidP="0066497C">
            <w:pPr>
              <w:pStyle w:val="COMTableheadingrow"/>
            </w:pPr>
            <w:r w:rsidRPr="0098262F">
              <w:t>Trial</w:t>
            </w:r>
          </w:p>
        </w:tc>
        <w:tc>
          <w:tcPr>
            <w:tcW w:w="364" w:type="pct"/>
            <w:vAlign w:val="center"/>
          </w:tcPr>
          <w:p w14:paraId="51122FE5" w14:textId="77777777" w:rsidR="007F1017" w:rsidRPr="0098262F" w:rsidRDefault="007F1017" w:rsidP="0066497C">
            <w:pPr>
              <w:pStyle w:val="COMTableheadingrow"/>
              <w:jc w:val="center"/>
            </w:pPr>
            <w:r w:rsidRPr="0098262F">
              <w:t>N</w:t>
            </w:r>
          </w:p>
        </w:tc>
        <w:tc>
          <w:tcPr>
            <w:tcW w:w="754" w:type="pct"/>
            <w:vAlign w:val="center"/>
          </w:tcPr>
          <w:p w14:paraId="41C438EF" w14:textId="77777777" w:rsidR="007F1017" w:rsidRPr="0098262F" w:rsidRDefault="007F1017" w:rsidP="0066497C">
            <w:pPr>
              <w:pStyle w:val="COMTableheadingrow"/>
              <w:jc w:val="center"/>
            </w:pPr>
            <w:r w:rsidRPr="0098262F">
              <w:t>Design/ duration</w:t>
            </w:r>
          </w:p>
        </w:tc>
        <w:tc>
          <w:tcPr>
            <w:tcW w:w="411" w:type="pct"/>
            <w:vAlign w:val="center"/>
          </w:tcPr>
          <w:p w14:paraId="1FC91360" w14:textId="77777777" w:rsidR="007F1017" w:rsidRPr="0098262F" w:rsidRDefault="007F1017" w:rsidP="0066497C">
            <w:pPr>
              <w:pStyle w:val="COMTableheadingrow"/>
              <w:jc w:val="center"/>
            </w:pPr>
            <w:r w:rsidRPr="0098262F">
              <w:t>Risk of bias</w:t>
            </w:r>
          </w:p>
        </w:tc>
        <w:tc>
          <w:tcPr>
            <w:tcW w:w="862" w:type="pct"/>
            <w:vAlign w:val="center"/>
          </w:tcPr>
          <w:p w14:paraId="7FF90896" w14:textId="77777777" w:rsidR="007F1017" w:rsidRPr="0098262F" w:rsidRDefault="007F1017" w:rsidP="0066497C">
            <w:pPr>
              <w:pStyle w:val="COMTableheadingrow"/>
              <w:jc w:val="center"/>
            </w:pPr>
            <w:r w:rsidRPr="0098262F">
              <w:t>Patient population</w:t>
            </w:r>
          </w:p>
        </w:tc>
        <w:tc>
          <w:tcPr>
            <w:tcW w:w="1113" w:type="pct"/>
            <w:vAlign w:val="center"/>
          </w:tcPr>
          <w:p w14:paraId="0FCB63F9" w14:textId="1CB8A0E5" w:rsidR="007F1017" w:rsidRPr="0098262F" w:rsidRDefault="007F1017" w:rsidP="0066497C">
            <w:pPr>
              <w:pStyle w:val="COMTableheadingrow"/>
              <w:jc w:val="center"/>
            </w:pPr>
            <w:r w:rsidRPr="0098262F">
              <w:t>Outcomes</w:t>
            </w:r>
          </w:p>
        </w:tc>
        <w:tc>
          <w:tcPr>
            <w:tcW w:w="940" w:type="pct"/>
            <w:vAlign w:val="center"/>
          </w:tcPr>
          <w:p w14:paraId="08C6F624" w14:textId="77777777" w:rsidR="007F1017" w:rsidRPr="0098262F" w:rsidRDefault="007F1017" w:rsidP="0066497C">
            <w:pPr>
              <w:pStyle w:val="COMTableheadingrow"/>
              <w:jc w:val="center"/>
            </w:pPr>
            <w:r w:rsidRPr="0098262F">
              <w:t>Use in modelled evaluation</w:t>
            </w:r>
          </w:p>
        </w:tc>
      </w:tr>
      <w:tr w:rsidR="007F1017" w:rsidRPr="0098262F" w14:paraId="2A03CD4B" w14:textId="77777777" w:rsidTr="00682BA6">
        <w:trPr>
          <w:cantSplit/>
        </w:trPr>
        <w:tc>
          <w:tcPr>
            <w:tcW w:w="5000" w:type="pct"/>
            <w:gridSpan w:val="7"/>
            <w:vAlign w:val="center"/>
          </w:tcPr>
          <w:p w14:paraId="73088C85" w14:textId="474A418E" w:rsidR="007F1017" w:rsidRPr="0098262F" w:rsidRDefault="00F81DF5" w:rsidP="00AA7BC2">
            <w:pPr>
              <w:pStyle w:val="COMTableheadingrow"/>
            </w:pPr>
            <w:r>
              <w:t>Semaglutide v</w:t>
            </w:r>
            <w:r w:rsidR="00B85083">
              <w:t>ersu</w:t>
            </w:r>
            <w:r>
              <w:t>s placebo</w:t>
            </w:r>
          </w:p>
        </w:tc>
      </w:tr>
      <w:tr w:rsidR="00B41614" w:rsidRPr="0098262F" w14:paraId="4EE88DCB" w14:textId="77777777" w:rsidTr="00F81DF5">
        <w:trPr>
          <w:cantSplit/>
        </w:trPr>
        <w:tc>
          <w:tcPr>
            <w:tcW w:w="556" w:type="pct"/>
            <w:vAlign w:val="center"/>
          </w:tcPr>
          <w:p w14:paraId="6EE77D33" w14:textId="4B0E1188" w:rsidR="007F1017" w:rsidRPr="0098262F" w:rsidRDefault="00F81DF5" w:rsidP="00EC5836">
            <w:pPr>
              <w:pStyle w:val="COMTabletext"/>
            </w:pPr>
            <w:r>
              <w:t>SELECT</w:t>
            </w:r>
          </w:p>
        </w:tc>
        <w:tc>
          <w:tcPr>
            <w:tcW w:w="364" w:type="pct"/>
            <w:vAlign w:val="center"/>
          </w:tcPr>
          <w:p w14:paraId="41BB0E41" w14:textId="01A9BBD9" w:rsidR="007F1017" w:rsidRPr="0098262F" w:rsidRDefault="00F81DF5" w:rsidP="00EC5836">
            <w:pPr>
              <w:pStyle w:val="COMTabletext"/>
              <w:jc w:val="center"/>
            </w:pPr>
            <w:r w:rsidRPr="00F81DF5">
              <w:t>17,604</w:t>
            </w:r>
          </w:p>
        </w:tc>
        <w:tc>
          <w:tcPr>
            <w:tcW w:w="754" w:type="pct"/>
            <w:vAlign w:val="center"/>
          </w:tcPr>
          <w:p w14:paraId="744D08AC" w14:textId="03AF4277" w:rsidR="007F1017" w:rsidRPr="0098262F" w:rsidRDefault="00F81DF5" w:rsidP="00F81DF5">
            <w:pPr>
              <w:pStyle w:val="COMTabletext"/>
              <w:jc w:val="center"/>
            </w:pPr>
            <w:r w:rsidRPr="00F81DF5">
              <w:t>MC, R, DB, PC</w:t>
            </w:r>
            <w:r>
              <w:t xml:space="preserve"> (</w:t>
            </w:r>
            <w:r w:rsidRPr="00F81DF5">
              <w:t>event-driven trial duration, mean 40 months</w:t>
            </w:r>
            <w:r>
              <w:t>)</w:t>
            </w:r>
          </w:p>
        </w:tc>
        <w:tc>
          <w:tcPr>
            <w:tcW w:w="411" w:type="pct"/>
            <w:vAlign w:val="center"/>
          </w:tcPr>
          <w:p w14:paraId="4A529D74" w14:textId="77777777" w:rsidR="007F1017" w:rsidRPr="00EC7A1A" w:rsidRDefault="007F1017" w:rsidP="00EC5836">
            <w:pPr>
              <w:pStyle w:val="COMTabletext"/>
              <w:jc w:val="center"/>
              <w:rPr>
                <w:iCs/>
              </w:rPr>
            </w:pPr>
            <w:r w:rsidRPr="00EC7A1A">
              <w:rPr>
                <w:iCs/>
              </w:rPr>
              <w:t>Low</w:t>
            </w:r>
          </w:p>
        </w:tc>
        <w:tc>
          <w:tcPr>
            <w:tcW w:w="862" w:type="pct"/>
            <w:vAlign w:val="center"/>
          </w:tcPr>
          <w:p w14:paraId="5E6F456D" w14:textId="2DC39DDB" w:rsidR="007F1017" w:rsidRPr="0098262F" w:rsidRDefault="00F81DF5" w:rsidP="00EC5836">
            <w:pPr>
              <w:pStyle w:val="COMTabletext"/>
              <w:jc w:val="center"/>
            </w:pPr>
            <w:r>
              <w:t xml:space="preserve">Established cardiovascular disease and BMI </w:t>
            </w:r>
            <w:r w:rsidR="00D01372">
              <w:t>≥</w:t>
            </w:r>
            <w:r>
              <w:t>27 kg/m</w:t>
            </w:r>
            <w:r w:rsidRPr="00F81DF5">
              <w:rPr>
                <w:vertAlign w:val="superscript"/>
              </w:rPr>
              <w:t>2</w:t>
            </w:r>
          </w:p>
        </w:tc>
        <w:tc>
          <w:tcPr>
            <w:tcW w:w="1113" w:type="pct"/>
            <w:vAlign w:val="center"/>
          </w:tcPr>
          <w:p w14:paraId="6DC76214" w14:textId="0F398C51" w:rsidR="007F1017" w:rsidRPr="0098262F" w:rsidRDefault="00F81DF5" w:rsidP="00EC5836">
            <w:pPr>
              <w:pStyle w:val="COMTabletext"/>
              <w:jc w:val="center"/>
            </w:pPr>
            <w:r>
              <w:t>Cardiovascular events, mortality, change in BMI and other biomarkers, quality of life, adverse events</w:t>
            </w:r>
          </w:p>
        </w:tc>
        <w:tc>
          <w:tcPr>
            <w:tcW w:w="940" w:type="pct"/>
            <w:vAlign w:val="center"/>
          </w:tcPr>
          <w:p w14:paraId="150A804C" w14:textId="35BDBA90" w:rsidR="007F1017" w:rsidRPr="0098262F" w:rsidRDefault="00F81DF5" w:rsidP="00EC5836">
            <w:pPr>
              <w:pStyle w:val="COMTabletext"/>
              <w:jc w:val="center"/>
            </w:pPr>
            <w:r>
              <w:t>Baseline characteristics</w:t>
            </w:r>
            <w:r w:rsidR="00FF27A3">
              <w:t xml:space="preserve"> and estimated treatment effects </w:t>
            </w:r>
          </w:p>
        </w:tc>
      </w:tr>
    </w:tbl>
    <w:p w14:paraId="560080D2" w14:textId="1BC28237" w:rsidR="00045017" w:rsidRPr="0098262F" w:rsidRDefault="00045017" w:rsidP="00EC5836">
      <w:pPr>
        <w:pStyle w:val="COMTablefooter"/>
      </w:pPr>
      <w:r w:rsidRPr="0098262F">
        <w:t xml:space="preserve">Source: </w:t>
      </w:r>
      <w:r w:rsidR="00FF27A3" w:rsidRPr="00FF27A3">
        <w:t>Section 2.3.2.1, p55</w:t>
      </w:r>
      <w:r w:rsidR="00FF27A3">
        <w:t xml:space="preserve">; </w:t>
      </w:r>
      <w:r w:rsidR="00FF27A3" w:rsidRPr="00FF27A3">
        <w:t>Section 2.4, pp58-68 of the resubmission and the SELECT trial report</w:t>
      </w:r>
    </w:p>
    <w:p w14:paraId="6AE4F80C" w14:textId="12C49239" w:rsidR="00F41C8F" w:rsidRPr="00F41C8F" w:rsidRDefault="00FF27A3" w:rsidP="00F41C8F">
      <w:pPr>
        <w:pStyle w:val="COMTablefooter"/>
        <w:rPr>
          <w:sz w:val="20"/>
        </w:rPr>
      </w:pPr>
      <w:r>
        <w:t xml:space="preserve">Abbreviations: BMI, body mass index; </w:t>
      </w:r>
      <w:r w:rsidR="00620C25" w:rsidRPr="0098262F">
        <w:t>DB</w:t>
      </w:r>
      <w:r>
        <w:t xml:space="preserve">, </w:t>
      </w:r>
      <w:r w:rsidR="00620C25" w:rsidRPr="0098262F">
        <w:t>double blind; MC</w:t>
      </w:r>
      <w:r>
        <w:t>,</w:t>
      </w:r>
      <w:r w:rsidR="00620C25" w:rsidRPr="0098262F">
        <w:t xml:space="preserve"> multi-centre; </w:t>
      </w:r>
      <w:r>
        <w:t>PC, placebo-controlled; R, randomised</w:t>
      </w:r>
    </w:p>
    <w:p w14:paraId="2FC2E740" w14:textId="186CC5C9" w:rsidR="00277256" w:rsidRPr="00BF41DB" w:rsidRDefault="00AD0432" w:rsidP="00F41C8F">
      <w:pPr>
        <w:pStyle w:val="COMESnumberedpara"/>
        <w:rPr>
          <w:iCs/>
          <w:strike/>
        </w:rPr>
      </w:pPr>
      <w:bookmarkStart w:id="22" w:name="_Ref213923704"/>
      <w:r>
        <w:t xml:space="preserve">The SELECT trial specifically excluded patients with pre-existing diabetes. </w:t>
      </w:r>
      <w:r w:rsidR="00A6218D">
        <w:t>However, t</w:t>
      </w:r>
      <w:r w:rsidR="002416A7">
        <w:t xml:space="preserve">he mean HbA1c level was 5.8% and </w:t>
      </w:r>
      <w:proofErr w:type="gramStart"/>
      <w:r w:rsidR="002416A7">
        <w:t>the majority of</w:t>
      </w:r>
      <w:proofErr w:type="gramEnd"/>
      <w:r w:rsidR="002416A7">
        <w:t xml:space="preserve"> patients met the HbA1c criterion for prediabetes (66% based on HbA1c of 5.7 to 6.4%). </w:t>
      </w:r>
      <w:r>
        <w:t xml:space="preserve">The resubmission acknowledged </w:t>
      </w:r>
      <w:r w:rsidR="00F3192E">
        <w:t xml:space="preserve">that the trial excluded </w:t>
      </w:r>
      <w:r w:rsidR="00457933">
        <w:t>patients with pre-existing diabetes</w:t>
      </w:r>
      <w:r>
        <w:t xml:space="preserve"> but noted </w:t>
      </w:r>
      <w:r w:rsidR="00277256">
        <w:t>the</w:t>
      </w:r>
      <w:r w:rsidR="00277256" w:rsidRPr="00277256">
        <w:t xml:space="preserve"> SUSTAIN-6 cardiovascular outcomes trial of </w:t>
      </w:r>
      <w:r w:rsidR="00F43A60">
        <w:t>s</w:t>
      </w:r>
      <w:r w:rsidR="00880E2E" w:rsidRPr="00D26F10">
        <w:t xml:space="preserve">emaglutide (Ozempic®, 0.25, 0.5, 1.0 mg multi dose </w:t>
      </w:r>
      <w:proofErr w:type="gramStart"/>
      <w:r w:rsidR="00880E2E" w:rsidRPr="00D26F10">
        <w:t xml:space="preserve">pen) </w:t>
      </w:r>
      <w:r w:rsidR="00880E2E">
        <w:t xml:space="preserve"> </w:t>
      </w:r>
      <w:r w:rsidR="00277256" w:rsidRPr="00277256">
        <w:t xml:space="preserve"> </w:t>
      </w:r>
      <w:proofErr w:type="gramEnd"/>
      <w:r w:rsidR="00277256" w:rsidRPr="00277256">
        <w:t xml:space="preserve">supports the use of semaglutide in </w:t>
      </w:r>
      <w:r w:rsidR="00D31C32">
        <w:t>type 2</w:t>
      </w:r>
      <w:r w:rsidR="00277256">
        <w:t xml:space="preserve"> </w:t>
      </w:r>
      <w:r w:rsidR="00277256" w:rsidRPr="00277256">
        <w:t>diabetes p</w:t>
      </w:r>
      <w:r w:rsidR="00277256">
        <w:t>atients</w:t>
      </w:r>
      <w:r w:rsidR="006129F7">
        <w:t xml:space="preserve"> </w:t>
      </w:r>
      <w:r w:rsidR="00453547">
        <w:t>with high</w:t>
      </w:r>
      <w:r w:rsidR="00A71897">
        <w:t xml:space="preserve"> cardiovascular </w:t>
      </w:r>
      <w:r w:rsidR="00453547">
        <w:t>risk</w:t>
      </w:r>
      <w:r w:rsidR="00277256">
        <w:t>.</w:t>
      </w:r>
      <w:bookmarkEnd w:id="22"/>
      <w:r w:rsidR="00BF41DB" w:rsidRPr="00BF41DB">
        <w:rPr>
          <w:rFonts w:ascii="Calibri" w:eastAsia="Times New Roman" w:hAnsi="Calibri" w:cs="Arial"/>
          <w:szCs w:val="24"/>
        </w:rPr>
        <w:t xml:space="preserve"> </w:t>
      </w:r>
    </w:p>
    <w:p w14:paraId="7378AEE1" w14:textId="59B45246" w:rsidR="00F41C8F" w:rsidRPr="009C326D" w:rsidRDefault="00BF7DC9" w:rsidP="00F41C8F">
      <w:pPr>
        <w:pStyle w:val="COMESnumberedpara"/>
      </w:pPr>
      <w:bookmarkStart w:id="23" w:name="_Ref214013152"/>
      <w:r>
        <w:t>The evaluation considered i</w:t>
      </w:r>
      <w:r w:rsidR="00F41C8F" w:rsidRPr="009C326D">
        <w:t xml:space="preserve">t was unclear whether </w:t>
      </w:r>
      <w:r w:rsidR="00277256" w:rsidRPr="009C326D">
        <w:t xml:space="preserve">the </w:t>
      </w:r>
      <w:r w:rsidR="00F41C8F" w:rsidRPr="009C326D">
        <w:t>circumstances of use from the SELECT trial would be representative of Australian clinical practice. Real-world utilisation data from international observational studies suggest</w:t>
      </w:r>
      <w:r w:rsidR="00E64890">
        <w:t>ed</w:t>
      </w:r>
      <w:r w:rsidR="00F41C8F" w:rsidRPr="009C326D">
        <w:t xml:space="preserve"> much higher discontinuation rates</w:t>
      </w:r>
      <w:r w:rsidR="00F832E7">
        <w:t xml:space="preserve"> </w:t>
      </w:r>
      <w:r w:rsidR="00F832E7" w:rsidRPr="00F832E7">
        <w:t>(approximately 50% within the first year)</w:t>
      </w:r>
      <w:r w:rsidR="00277256" w:rsidRPr="00F832E7">
        <w:t>,</w:t>
      </w:r>
      <w:r w:rsidR="00F41C8F" w:rsidRPr="009C326D">
        <w:t xml:space="preserve"> with slower titration schedules and lower maintenance doses</w:t>
      </w:r>
      <w:r w:rsidR="003E2C5A">
        <w:t>,</w:t>
      </w:r>
      <w:r w:rsidR="00F832E7">
        <w:t xml:space="preserve"> </w:t>
      </w:r>
      <w:r w:rsidR="00F832E7" w:rsidRPr="003E2C5A">
        <w:t>with only 10% of patients following treatment guidelines of increasing the dose every 4 weeks (</w:t>
      </w:r>
      <w:proofErr w:type="spellStart"/>
      <w:r w:rsidR="00F832E7" w:rsidRPr="003E2C5A">
        <w:t>Gasoyan</w:t>
      </w:r>
      <w:proofErr w:type="spellEnd"/>
      <w:r w:rsidR="00F832E7" w:rsidRPr="003E2C5A">
        <w:t xml:space="preserve"> 2025, Mayer 2024, Ladebo 2024).</w:t>
      </w:r>
      <w:r w:rsidR="00F41C8F" w:rsidRPr="003E2C5A">
        <w:t xml:space="preserve"> </w:t>
      </w:r>
      <w:r w:rsidR="00F832E7" w:rsidRPr="003E2C5A">
        <w:t xml:space="preserve">Among Danish patients who received at least 10 prescriptions of semaglutide, more than half were on maintenance doses (1.7 mg: 29%, 2.4 mg: 26%) and the rest were on lower doses (0.25 mg: 1%, 0.5 mg: 5%, 1 mg: 33%) or had stopped treatment at that point (6%) (Ladebo 2024). </w:t>
      </w:r>
      <w:r w:rsidR="00F41C8F" w:rsidRPr="009C326D">
        <w:t xml:space="preserve">However, the studies acknowledged that semaglutide supply issues and the dynamics of private markets may have also impacted these estimates. </w:t>
      </w:r>
      <w:r w:rsidR="003D6369" w:rsidRPr="00D31B2F">
        <w:rPr>
          <w:iCs/>
        </w:rPr>
        <w:t>The PSCR noted that, compared to the observational studies referenced, the proposed PBS population were at high risk of secondary cardiovascular events and argued that they are likely to be more motivated and inclined towards optimal titration and persistence. The ESC advised that, even with supply and cost issues addressed, adverse events were likely to be a key contributor to slower titration or lower maintenance doses</w:t>
      </w:r>
      <w:r w:rsidR="007606E6" w:rsidRPr="00D31B2F">
        <w:rPr>
          <w:iCs/>
        </w:rPr>
        <w:t xml:space="preserve"> rather than motivation</w:t>
      </w:r>
      <w:r w:rsidR="002E6A0D" w:rsidRPr="00D31B2F">
        <w:rPr>
          <w:iCs/>
        </w:rPr>
        <w:t>.</w:t>
      </w:r>
      <w:r w:rsidR="007A2030" w:rsidRPr="00D31B2F">
        <w:rPr>
          <w:iCs/>
        </w:rPr>
        <w:t xml:space="preserve"> </w:t>
      </w:r>
      <w:r w:rsidR="002E6A0D" w:rsidRPr="00D31B2F">
        <w:rPr>
          <w:iCs/>
        </w:rPr>
        <w:t>T</w:t>
      </w:r>
      <w:r w:rsidR="007A2030" w:rsidRPr="00D31B2F">
        <w:rPr>
          <w:iCs/>
        </w:rPr>
        <w:t xml:space="preserve">he </w:t>
      </w:r>
      <w:r w:rsidR="002E6A0D" w:rsidRPr="00D31B2F">
        <w:rPr>
          <w:iCs/>
        </w:rPr>
        <w:t xml:space="preserve">ESC disagreed with the </w:t>
      </w:r>
      <w:r w:rsidR="007D0DE9" w:rsidRPr="00D31B2F">
        <w:rPr>
          <w:iCs/>
        </w:rPr>
        <w:t>suggestion</w:t>
      </w:r>
      <w:r w:rsidR="002E6A0D" w:rsidRPr="00D31B2F">
        <w:rPr>
          <w:iCs/>
        </w:rPr>
        <w:t xml:space="preserve"> that patients without eCVD are opting for maintenance at lower doses or discontinuation due to lack of motivation</w:t>
      </w:r>
      <w:r w:rsidR="003D6369" w:rsidRPr="00D31B2F">
        <w:rPr>
          <w:iCs/>
        </w:rPr>
        <w:t>.</w:t>
      </w:r>
      <w:bookmarkEnd w:id="23"/>
      <w:r w:rsidR="003D6369" w:rsidRPr="00D31B2F">
        <w:rPr>
          <w:iCs/>
        </w:rPr>
        <w:t xml:space="preserve"> </w:t>
      </w:r>
    </w:p>
    <w:p w14:paraId="7C6500EC" w14:textId="39B0D36A" w:rsidR="00F41C8F" w:rsidRPr="009C326D" w:rsidRDefault="6D8C2049" w:rsidP="00F41C8F">
      <w:pPr>
        <w:pStyle w:val="COMESnumberedpara"/>
      </w:pPr>
      <w:r>
        <w:t>The resubmission noted that semaglutide and placebo were used in combination with ‘optimised’ background therapy for cardiovascular risk factors as well as lifestyle counselling (every 4 weeks during titration and then every 3 months during maintenance) in the SELECT trial</w:t>
      </w:r>
      <w:r w:rsidR="558DB5CC">
        <w:t>.</w:t>
      </w:r>
      <w:r w:rsidRPr="0A99B0B1">
        <w:rPr>
          <w:color w:val="0066FF"/>
        </w:rPr>
        <w:t xml:space="preserve"> </w:t>
      </w:r>
      <w:r>
        <w:t>The generalisability of background therapy in the trial to Australian clinical practice is uncertain</w:t>
      </w:r>
      <w:r w:rsidR="002E4AEF">
        <w:t>,</w:t>
      </w:r>
      <w:r>
        <w:t xml:space="preserve"> </w:t>
      </w:r>
      <w:r w:rsidR="002E4AEF">
        <w:t>as while SELECT</w:t>
      </w:r>
      <w:r>
        <w:t xml:space="preserve"> was optimised for cardiovascular risk management</w:t>
      </w:r>
      <w:r w:rsidR="002E4AEF">
        <w:t xml:space="preserve">, there was </w:t>
      </w:r>
      <w:r>
        <w:t xml:space="preserve">limited use of PCSK9 inhibitors, SGLT2 inhibitors and </w:t>
      </w:r>
      <w:bookmarkStart w:id="24" w:name="_Hlk211005428"/>
      <w:r>
        <w:t>icosapent ethyl</w:t>
      </w:r>
      <w:bookmarkEnd w:id="24"/>
      <w:r>
        <w:t xml:space="preserve">, all of which are PBS-listed for established cardiovascular disease. The resubmission did not provide any further detail on lifestyle </w:t>
      </w:r>
      <w:r>
        <w:lastRenderedPageBreak/>
        <w:t xml:space="preserve">counselling provided during the key trial and it was unclear whether this would be representative of Australian clinical practice. </w:t>
      </w:r>
      <w:r w:rsidR="26EB2A52">
        <w:t xml:space="preserve">The </w:t>
      </w:r>
      <w:proofErr w:type="gramStart"/>
      <w:r w:rsidR="26EB2A52">
        <w:t>PSCR  acknowledged</w:t>
      </w:r>
      <w:proofErr w:type="gramEnd"/>
      <w:r w:rsidR="26EB2A52">
        <w:t xml:space="preserve"> that </w:t>
      </w:r>
      <w:r w:rsidR="66EC6763">
        <w:t xml:space="preserve">standard of care for secondary prevention of CVD has improved since the SELECT trial was initiated. </w:t>
      </w:r>
      <w:r w:rsidR="6AD3C240">
        <w:t xml:space="preserve">The </w:t>
      </w:r>
      <w:proofErr w:type="gramStart"/>
      <w:r w:rsidR="6AD3C240">
        <w:t>PSCR  argued</w:t>
      </w:r>
      <w:proofErr w:type="gramEnd"/>
      <w:r w:rsidR="6AD3C240">
        <w:t xml:space="preserve"> that the </w:t>
      </w:r>
      <w:r w:rsidR="0091B831">
        <w:t xml:space="preserve">types of </w:t>
      </w:r>
      <w:r w:rsidR="12C25FD6">
        <w:t>cardiovascular</w:t>
      </w:r>
      <w:r w:rsidR="0091B831">
        <w:t>-related medicines ongoing at randomisation wer</w:t>
      </w:r>
      <w:r w:rsidR="7AF70AA5">
        <w:t xml:space="preserve">e similar between treatment groups and noted that the proportion of subjects </w:t>
      </w:r>
      <w:r w:rsidR="2D96A178">
        <w:t>initiating any type of cardiovascular</w:t>
      </w:r>
      <w:r w:rsidR="12C25FD6">
        <w:t>-</w:t>
      </w:r>
      <w:r w:rsidR="2D96A178">
        <w:t xml:space="preserve">related medication during the trial was slightly lower with semaglutide compared to placebo. </w:t>
      </w:r>
    </w:p>
    <w:p w14:paraId="0551265B" w14:textId="49E14B0E" w:rsidR="00F41C8F" w:rsidRPr="00D31B2F" w:rsidRDefault="00F41C8F" w:rsidP="00F41C8F">
      <w:pPr>
        <w:pStyle w:val="COMESnumberedpara"/>
        <w:rPr>
          <w:iCs/>
        </w:rPr>
      </w:pPr>
      <w:r w:rsidRPr="009C326D">
        <w:t>The use of GLP-1 analogues was not permitted in patients who developed diabetes in the SELECT trial. This was not consistent with Australian clinical practice.</w:t>
      </w:r>
    </w:p>
    <w:p w14:paraId="4A4FE085" w14:textId="36467D47" w:rsidR="00B60939" w:rsidRPr="0098262F" w:rsidRDefault="00B60939" w:rsidP="00EC5836">
      <w:pPr>
        <w:pStyle w:val="COMESSubsectionheading"/>
      </w:pPr>
      <w:bookmarkStart w:id="25" w:name="_Toc22897641"/>
      <w:bookmarkStart w:id="26" w:name="_Toc208928367"/>
      <w:r w:rsidRPr="0098262F">
        <w:t>Comparative effectiveness</w:t>
      </w:r>
      <w:bookmarkEnd w:id="25"/>
      <w:bookmarkEnd w:id="26"/>
    </w:p>
    <w:p w14:paraId="43840BA6" w14:textId="3A6F2E30" w:rsidR="002B1D22" w:rsidRPr="002B1D22" w:rsidRDefault="002B1D22" w:rsidP="002B1D22">
      <w:pPr>
        <w:pStyle w:val="COMESnumberedpara"/>
      </w:pPr>
      <w:r w:rsidRPr="002B1D22">
        <w:t xml:space="preserve">The primary outcome of the SELECT trial was the time to first major adverse cardiovascular event (composite endpoint of cardiovascular death, non-fatal myocardial infarction and non-fatal stroke) and is shown in </w:t>
      </w:r>
      <w:r w:rsidR="00055136">
        <w:fldChar w:fldCharType="begin"/>
      </w:r>
      <w:r w:rsidR="00055136">
        <w:instrText xml:space="preserve"> REF _Ref206945208 \h </w:instrText>
      </w:r>
      <w:r w:rsidR="00055136">
        <w:fldChar w:fldCharType="separate"/>
      </w:r>
      <w:r w:rsidR="004F1BBD">
        <w:t xml:space="preserve">Figure </w:t>
      </w:r>
      <w:r w:rsidR="004F1BBD">
        <w:rPr>
          <w:noProof/>
        </w:rPr>
        <w:t>1</w:t>
      </w:r>
      <w:r w:rsidR="00055136">
        <w:fldChar w:fldCharType="end"/>
      </w:r>
      <w:r w:rsidRPr="002B1D22">
        <w:t>.</w:t>
      </w:r>
    </w:p>
    <w:p w14:paraId="78DB6E79" w14:textId="72250688" w:rsidR="002B1D22" w:rsidRDefault="00055136" w:rsidP="00055136">
      <w:pPr>
        <w:pStyle w:val="Caption"/>
      </w:pPr>
      <w:bookmarkStart w:id="27" w:name="_Ref206945208"/>
      <w:r>
        <w:t xml:space="preserve">Figure </w:t>
      </w:r>
      <w:r w:rsidR="005448C5">
        <w:fldChar w:fldCharType="begin"/>
      </w:r>
      <w:r w:rsidR="005448C5">
        <w:instrText xml:space="preserve"> SEQ Figure \* ARABIC </w:instrText>
      </w:r>
      <w:r w:rsidR="005448C5">
        <w:fldChar w:fldCharType="separate"/>
      </w:r>
      <w:r w:rsidR="004F1BBD">
        <w:rPr>
          <w:noProof/>
        </w:rPr>
        <w:t>1</w:t>
      </w:r>
      <w:r w:rsidR="005448C5">
        <w:rPr>
          <w:noProof/>
        </w:rPr>
        <w:fldChar w:fldCharType="end"/>
      </w:r>
      <w:bookmarkEnd w:id="27"/>
      <w:r w:rsidR="002B1D22">
        <w:t>: Time to first MACE (cardiovascular death, non-fatal myocardial infarction or non-fatal stroke) (ITT)</w:t>
      </w:r>
    </w:p>
    <w:p w14:paraId="156013BB" w14:textId="4D870204" w:rsidR="002B1D22" w:rsidRPr="002B1D22" w:rsidRDefault="002B1D22" w:rsidP="002B1D22">
      <w:r w:rsidRPr="007C3763">
        <w:rPr>
          <w:noProof/>
        </w:rPr>
        <w:drawing>
          <wp:inline distT="0" distB="0" distL="0" distR="0" wp14:anchorId="6FACEF3D" wp14:editId="142C409A">
            <wp:extent cx="4472940" cy="3253612"/>
            <wp:effectExtent l="0" t="0" r="3810" b="4445"/>
            <wp:docPr id="513283185" name="Picture 1" descr="Time to first MACE (cardiovascular death, non-fatal myocardial infarction or non-fatal stroke)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283185" name="Picture 1" descr="Time to first MACE (cardiovascular death, non-fatal myocardial infarction or non-fatal stroke) (ITT)"/>
                    <pic:cNvPicPr/>
                  </pic:nvPicPr>
                  <pic:blipFill>
                    <a:blip r:embed="rId12"/>
                    <a:stretch>
                      <a:fillRect/>
                    </a:stretch>
                  </pic:blipFill>
                  <pic:spPr>
                    <a:xfrm>
                      <a:off x="0" y="0"/>
                      <a:ext cx="4514229" cy="3283646"/>
                    </a:xfrm>
                    <a:prstGeom prst="rect">
                      <a:avLst/>
                    </a:prstGeom>
                  </pic:spPr>
                </pic:pic>
              </a:graphicData>
            </a:graphic>
          </wp:inline>
        </w:drawing>
      </w:r>
    </w:p>
    <w:p w14:paraId="152A0B80" w14:textId="77777777" w:rsidR="002B1D22" w:rsidRDefault="002B1D22" w:rsidP="002B1D22">
      <w:pPr>
        <w:pStyle w:val="COMTablefooter"/>
      </w:pPr>
      <w:r>
        <w:t>Source: Figure 1, Lincoff 2023 publication</w:t>
      </w:r>
    </w:p>
    <w:p w14:paraId="0907E493" w14:textId="77777777" w:rsidR="002B1D22" w:rsidRDefault="002B1D22" w:rsidP="002B1D22">
      <w:pPr>
        <w:pStyle w:val="COMTablefooter"/>
      </w:pPr>
      <w:r>
        <w:t>Abbreviations: CI, confidence interval; ITT, intention to treat; MACE, major adverse cardiovascular event</w:t>
      </w:r>
    </w:p>
    <w:p w14:paraId="4A2315AD" w14:textId="02868CAA" w:rsidR="002B1D22" w:rsidRPr="002B1D22" w:rsidRDefault="002B1D22" w:rsidP="002B1D22">
      <w:pPr>
        <w:pStyle w:val="COMTablefooter"/>
      </w:pPr>
      <w:r>
        <w:t>Note: The inset graph shows the same data on an enlarged y axis</w:t>
      </w:r>
    </w:p>
    <w:p w14:paraId="0F512C8D" w14:textId="44170BB9" w:rsidR="002B1D22" w:rsidRPr="002B1D22" w:rsidRDefault="002B1D22" w:rsidP="002B1D22">
      <w:pPr>
        <w:pStyle w:val="COMESnumberedpara"/>
      </w:pPr>
      <w:r w:rsidRPr="002B1D22">
        <w:t xml:space="preserve">Treatment with semaglutide was associated with a statistically significant decreased risk of cardiovascular events compared to placebo (HR 0.80, 95% CI 0.72, 0.90). The difference was primarily driven by non-fatal myocardial infarction events. Sensitivity analyses using alternative methods for handling of missing data produced results that were consistent with the primary analysis. </w:t>
      </w:r>
    </w:p>
    <w:p w14:paraId="72D883EF" w14:textId="247BA5E7" w:rsidR="002B1D22" w:rsidRDefault="002B1D22" w:rsidP="002B1D22">
      <w:pPr>
        <w:pStyle w:val="COMESnumberedpara"/>
      </w:pPr>
      <w:r w:rsidRPr="002B1D22">
        <w:t xml:space="preserve">Supportive analyses were conducted using alternative </w:t>
      </w:r>
      <w:r>
        <w:t xml:space="preserve">MACE </w:t>
      </w:r>
      <w:r w:rsidRPr="002B1D22">
        <w:t xml:space="preserve">definitions. Results for semaglutide versus placebo based on time to first event of all-cause death, non-fatal myocardial infarction or non-fatal stroke (HR 0.80, 95% CI 0.72, 0.88); expanded MACE </w:t>
      </w:r>
      <w:r w:rsidRPr="002B1D22">
        <w:lastRenderedPageBreak/>
        <w:t>consisting of cardiovascular death, non-fatal myocardial infarction, non-fatal stroke, coronary revascularisation or unstable angina requiring hospitalisation (HR 0.80, 95% CI 0.73, 0.87); and expanded MACE including all-cause death (HR 0.80, 95% CI 0.73, 0.87) were consistent with results for the primary analysis.</w:t>
      </w:r>
    </w:p>
    <w:p w14:paraId="2683B12D" w14:textId="3F272590" w:rsidR="00AD0432" w:rsidRDefault="0A2071F0" w:rsidP="006E014B">
      <w:pPr>
        <w:pStyle w:val="COMESnumberedpara"/>
      </w:pPr>
      <w:bookmarkStart w:id="28" w:name="_Ref213926146"/>
      <w:r w:rsidRPr="00AD0432">
        <w:t xml:space="preserve">The resubmission </w:t>
      </w:r>
      <w:r>
        <w:t xml:space="preserve">also </w:t>
      </w:r>
      <w:r w:rsidRPr="00AD0432">
        <w:t xml:space="preserve">identified several pre-specified </w:t>
      </w:r>
      <w:r w:rsidR="40415B13" w:rsidRPr="0A99B0B1">
        <w:t xml:space="preserve">mediation </w:t>
      </w:r>
      <w:r w:rsidRPr="00AD0432">
        <w:t>analyses based on SELECT trial data that investigated possible interactions between changes in cardiovascular risk factors (including body weight) and the incidence of MACE</w:t>
      </w:r>
      <w:r>
        <w:t xml:space="preserve"> (</w:t>
      </w:r>
      <w:r w:rsidRPr="00AD0432">
        <w:t>Deanfield 2024</w:t>
      </w:r>
      <w:r>
        <w:t xml:space="preserve">; </w:t>
      </w:r>
      <w:r w:rsidRPr="00AD0432">
        <w:t>Colhoun 2024</w:t>
      </w:r>
      <w:r>
        <w:t xml:space="preserve">; </w:t>
      </w:r>
      <w:r w:rsidRPr="00AD0432">
        <w:t>Plutzky 2025</w:t>
      </w:r>
      <w:r>
        <w:t>)</w:t>
      </w:r>
      <w:r w:rsidRPr="00AD0432">
        <w:t>.</w:t>
      </w:r>
      <w:r>
        <w:t xml:space="preserve"> </w:t>
      </w:r>
      <w:r w:rsidR="16F5625D" w:rsidRPr="0A99B0B1">
        <w:t>The ESC noted that only the Deanfield</w:t>
      </w:r>
      <w:r w:rsidR="16F5625D" w:rsidRPr="00D31B2F">
        <w:rPr>
          <w:iCs/>
        </w:rPr>
        <w:t xml:space="preserve"> </w:t>
      </w:r>
      <w:r w:rsidR="0550498D" w:rsidRPr="0A99B0B1">
        <w:t xml:space="preserve">2024 study was available as a full paper </w:t>
      </w:r>
      <w:r w:rsidR="422E082E" w:rsidRPr="00D31B2F">
        <w:rPr>
          <w:iCs/>
        </w:rPr>
        <w:t>(</w:t>
      </w:r>
      <w:r w:rsidR="0550498D" w:rsidRPr="0A99B0B1">
        <w:t>with Colhoun 2024 and Plutzky 2025 available in abstract or poster form only</w:t>
      </w:r>
      <w:r w:rsidR="422E082E" w:rsidRPr="00D31B2F">
        <w:rPr>
          <w:iCs/>
        </w:rPr>
        <w:t>)</w:t>
      </w:r>
      <w:r w:rsidR="0550498D" w:rsidRPr="00D31B2F">
        <w:rPr>
          <w:iCs/>
        </w:rPr>
        <w:t xml:space="preserve"> </w:t>
      </w:r>
      <w:r w:rsidR="422E082E" w:rsidRPr="0A99B0B1">
        <w:t xml:space="preserve">and </w:t>
      </w:r>
      <w:r w:rsidR="00F26E98">
        <w:t xml:space="preserve">that </w:t>
      </w:r>
      <w:r w:rsidR="422E082E" w:rsidRPr="0A99B0B1">
        <w:t xml:space="preserve">the confidence intervals for </w:t>
      </w:r>
      <w:proofErr w:type="gramStart"/>
      <w:r w:rsidR="422E082E" w:rsidRPr="0A99B0B1">
        <w:t>a number of</w:t>
      </w:r>
      <w:proofErr w:type="gramEnd"/>
      <w:r w:rsidR="422E082E" w:rsidRPr="0A99B0B1">
        <w:t xml:space="preserve"> variables analysed went below 0% or exceeded 100%</w:t>
      </w:r>
      <w:r w:rsidR="00F26E98">
        <w:t>,</w:t>
      </w:r>
      <w:r w:rsidR="422E082E" w:rsidRPr="0A99B0B1">
        <w:t xml:space="preserve"> which suggested the analyses may be unstable and should be interpreted</w:t>
      </w:r>
      <w:r w:rsidR="745F1F99" w:rsidRPr="0A99B0B1">
        <w:t xml:space="preserve"> with caution</w:t>
      </w:r>
      <w:r w:rsidR="422E082E" w:rsidRPr="0A99B0B1">
        <w:t>.</w:t>
      </w:r>
      <w:r w:rsidR="0550498D" w:rsidRPr="00D31B2F">
        <w:rPr>
          <w:iCs/>
        </w:rPr>
        <w:t xml:space="preserve"> </w:t>
      </w:r>
      <w:r>
        <w:t>Overall, the analyses suggest that cardiovascular benefits associated with semaglutide could</w:t>
      </w:r>
      <w:r w:rsidR="5B4654B8">
        <w:t xml:space="preserve"> only be partially attributed to weight loss </w:t>
      </w:r>
      <w:r w:rsidR="4D52A52A">
        <w:t>and glycaemic reductions</w:t>
      </w:r>
      <w:r>
        <w:t>. The SELECT study investigators indicated that the underlying mechanisms for cardiovascular benefit require further investigation.</w:t>
      </w:r>
      <w:r w:rsidR="083431DF">
        <w:t xml:space="preserve"> </w:t>
      </w:r>
      <w:r w:rsidR="2E493ADC" w:rsidRPr="0A99B0B1">
        <w:t>The ESC noted that</w:t>
      </w:r>
      <w:r w:rsidR="45CBFE83" w:rsidRPr="0A99B0B1">
        <w:t>,</w:t>
      </w:r>
      <w:r w:rsidR="4026583C" w:rsidRPr="0A99B0B1">
        <w:t xml:space="preserve"> while further investigation </w:t>
      </w:r>
      <w:r w:rsidR="059BD603" w:rsidRPr="0A99B0B1">
        <w:t>wa</w:t>
      </w:r>
      <w:r w:rsidR="74789000" w:rsidRPr="0A99B0B1">
        <w:t>s</w:t>
      </w:r>
      <w:r w:rsidR="4026583C" w:rsidRPr="0A99B0B1">
        <w:t xml:space="preserve"> required</w:t>
      </w:r>
      <w:r w:rsidR="138B12A7" w:rsidRPr="00D31B2F">
        <w:rPr>
          <w:iCs/>
        </w:rPr>
        <w:t>,</w:t>
      </w:r>
      <w:r w:rsidR="4026583C" w:rsidRPr="00D31B2F">
        <w:rPr>
          <w:iCs/>
        </w:rPr>
        <w:t xml:space="preserve"> </w:t>
      </w:r>
      <w:r w:rsidR="0746EC0D" w:rsidRPr="0A99B0B1">
        <w:t>t</w:t>
      </w:r>
      <w:r w:rsidR="4B732F6E" w:rsidRPr="0A99B0B1">
        <w:t>he economic model assume</w:t>
      </w:r>
      <w:r w:rsidR="40415B13" w:rsidRPr="0A99B0B1">
        <w:t>d</w:t>
      </w:r>
      <w:r w:rsidR="4B732F6E" w:rsidRPr="00D31B2F">
        <w:rPr>
          <w:iCs/>
        </w:rPr>
        <w:t xml:space="preserve"> </w:t>
      </w:r>
      <w:r w:rsidR="23BC3E4C" w:rsidRPr="0A99B0B1">
        <w:t>a</w:t>
      </w:r>
      <w:r w:rsidR="26F5D89D" w:rsidRPr="0A99B0B1">
        <w:t>n</w:t>
      </w:r>
      <w:r w:rsidR="4951934D" w:rsidRPr="00D31B2F">
        <w:rPr>
          <w:iCs/>
        </w:rPr>
        <w:t xml:space="preserve"> </w:t>
      </w:r>
      <w:r w:rsidR="26F5D89D" w:rsidRPr="0A99B0B1">
        <w:t xml:space="preserve">additional </w:t>
      </w:r>
      <w:r w:rsidR="4951934D" w:rsidRPr="0A99B0B1">
        <w:t>increased risk</w:t>
      </w:r>
      <w:r w:rsidR="75492D6E" w:rsidRPr="00D31B2F">
        <w:rPr>
          <w:iCs/>
        </w:rPr>
        <w:t xml:space="preserve"> </w:t>
      </w:r>
      <w:r w:rsidR="40415B13" w:rsidRPr="0A99B0B1">
        <w:t xml:space="preserve">of </w:t>
      </w:r>
      <w:r w:rsidR="75492D6E" w:rsidRPr="0A99B0B1">
        <w:t xml:space="preserve">cardiovascular events </w:t>
      </w:r>
      <w:r w:rsidR="26F5D89D" w:rsidRPr="0A99B0B1">
        <w:t>based on BMI</w:t>
      </w:r>
      <w:r w:rsidR="0AB50869" w:rsidRPr="00D31B2F">
        <w:rPr>
          <w:iCs/>
        </w:rPr>
        <w:t xml:space="preserve">, </w:t>
      </w:r>
      <w:r w:rsidR="74789000" w:rsidRPr="0A99B0B1">
        <w:t xml:space="preserve">with </w:t>
      </w:r>
      <w:r w:rsidR="75492D6E" w:rsidRPr="0A99B0B1">
        <w:t xml:space="preserve">risk multipliers based on this assumption </w:t>
      </w:r>
      <w:r w:rsidR="138B12A7" w:rsidRPr="0A99B0B1">
        <w:t xml:space="preserve">being </w:t>
      </w:r>
      <w:r w:rsidR="0BF85D84" w:rsidRPr="0A99B0B1">
        <w:t>a key driver of the model</w:t>
      </w:r>
      <w:r w:rsidR="20B5FE92" w:rsidRPr="0A99B0B1">
        <w:t>s</w:t>
      </w:r>
      <w:r w:rsidR="0BF85D84" w:rsidRPr="00D31B2F">
        <w:rPr>
          <w:iCs/>
        </w:rPr>
        <w:t xml:space="preserve"> </w:t>
      </w:r>
      <w:r w:rsidR="75492D6E" w:rsidRPr="0A99B0B1">
        <w:t>(see</w:t>
      </w:r>
      <w:r w:rsidR="74789000" w:rsidRPr="00D31B2F">
        <w:rPr>
          <w:iCs/>
        </w:rPr>
        <w:t xml:space="preserve"> </w:t>
      </w:r>
      <w:r w:rsidR="006448B7" w:rsidRPr="00D31B2F">
        <w:rPr>
          <w:iCs/>
        </w:rPr>
        <w:fldChar w:fldCharType="begin"/>
      </w:r>
      <w:r w:rsidR="006448B7" w:rsidRPr="00D31B2F">
        <w:rPr>
          <w:iCs/>
        </w:rPr>
        <w:instrText xml:space="preserve"> REF _Ref206945381 \h  \* MERGEFORMAT </w:instrText>
      </w:r>
      <w:r w:rsidR="006448B7" w:rsidRPr="00D31B2F">
        <w:rPr>
          <w:iCs/>
        </w:rPr>
      </w:r>
      <w:r w:rsidR="006448B7" w:rsidRPr="00D31B2F">
        <w:rPr>
          <w:iCs/>
        </w:rPr>
        <w:fldChar w:fldCharType="separate"/>
      </w:r>
      <w:r w:rsidR="004F1BBD">
        <w:t>Table 10</w:t>
      </w:r>
      <w:r w:rsidR="006448B7" w:rsidRPr="00D31B2F">
        <w:rPr>
          <w:iCs/>
        </w:rPr>
        <w:fldChar w:fldCharType="end"/>
      </w:r>
      <w:r w:rsidR="74789000" w:rsidRPr="00D31B2F">
        <w:rPr>
          <w:iCs/>
        </w:rPr>
        <w:t xml:space="preserve">). </w:t>
      </w:r>
      <w:r w:rsidR="75492D6E" w:rsidRPr="00D31B2F">
        <w:rPr>
          <w:iCs/>
        </w:rPr>
        <w:t xml:space="preserve"> </w:t>
      </w:r>
      <w:r w:rsidR="48E5DEDB" w:rsidRPr="0A99B0B1">
        <w:t xml:space="preserve">The ESC noted </w:t>
      </w:r>
      <w:r w:rsidR="00F26E98">
        <w:t xml:space="preserve">that </w:t>
      </w:r>
      <w:r w:rsidR="48E5DEDB" w:rsidRPr="0A99B0B1">
        <w:t xml:space="preserve">the PSCR suggested that the SELECT trial was not necessarily powered to detect increasing </w:t>
      </w:r>
      <w:r w:rsidR="0AB50869" w:rsidRPr="0A99B0B1">
        <w:t>cardiovascular</w:t>
      </w:r>
      <w:r w:rsidR="48E5DEDB" w:rsidRPr="0A99B0B1">
        <w:t xml:space="preserve"> risk with increasing BMI</w:t>
      </w:r>
      <w:r w:rsidR="2E493ADC">
        <w:t xml:space="preserve"> </w:t>
      </w:r>
      <w:r w:rsidR="48E5DEDB" w:rsidRPr="0A99B0B1">
        <w:t xml:space="preserve">and hence the external BMI multipliers were included in the model to reflect the higher clinical need and greater capacity to benefit in the higher BMI subgroups. </w:t>
      </w:r>
      <w:r w:rsidR="2B6489AB" w:rsidRPr="0A99B0B1">
        <w:t>T</w:t>
      </w:r>
      <w:r w:rsidR="48E5DEDB" w:rsidRPr="0A99B0B1">
        <w:t>he ESC considered</w:t>
      </w:r>
      <w:r w:rsidR="2B6489AB" w:rsidRPr="0A99B0B1">
        <w:t xml:space="preserve"> that</w:t>
      </w:r>
      <w:r w:rsidR="48E5DEDB" w:rsidRPr="00D31B2F">
        <w:rPr>
          <w:iCs/>
        </w:rPr>
        <w:t xml:space="preserve">, </w:t>
      </w:r>
      <w:r w:rsidR="01A2C7CA" w:rsidRPr="0A99B0B1">
        <w:t>even if the trial was underpowered</w:t>
      </w:r>
      <w:r w:rsidR="4781C2B5" w:rsidRPr="00D31B2F">
        <w:rPr>
          <w:iCs/>
        </w:rPr>
        <w:t>,</w:t>
      </w:r>
      <w:r w:rsidR="01A2C7CA" w:rsidRPr="0A99B0B1">
        <w:t xml:space="preserve"> an increase in the baseline risk in the higher BMI groups would be expected</w:t>
      </w:r>
      <w:r w:rsidR="0AB50869" w:rsidRPr="00D31B2F">
        <w:rPr>
          <w:iCs/>
        </w:rPr>
        <w:t>;</w:t>
      </w:r>
      <w:r w:rsidR="15166594" w:rsidRPr="0A99B0B1">
        <w:t xml:space="preserve"> however </w:t>
      </w:r>
      <w:r w:rsidR="230730AE" w:rsidRPr="0A99B0B1">
        <w:t xml:space="preserve">this was not </w:t>
      </w:r>
      <w:r w:rsidR="77A436E7" w:rsidRPr="0A99B0B1">
        <w:t xml:space="preserve">always </w:t>
      </w:r>
      <w:r w:rsidR="230730AE" w:rsidRPr="0A99B0B1">
        <w:t>the case</w:t>
      </w:r>
      <w:r w:rsidR="0AB50869" w:rsidRPr="0A99B0B1">
        <w:t xml:space="preserve"> in the SELECT trial</w:t>
      </w:r>
      <w:r w:rsidR="5A449178" w:rsidRPr="00D31B2F">
        <w:rPr>
          <w:iCs/>
        </w:rPr>
        <w:t xml:space="preserve">, </w:t>
      </w:r>
      <w:r w:rsidR="70698436" w:rsidRPr="0A99B0B1">
        <w:t>e.g.</w:t>
      </w:r>
      <w:r w:rsidR="5A449178" w:rsidRPr="0A99B0B1">
        <w:t xml:space="preserve"> coronary </w:t>
      </w:r>
      <w:r w:rsidR="13DC2221" w:rsidRPr="0A99B0B1">
        <w:t>revascularisation</w:t>
      </w:r>
      <w:r w:rsidR="5A449178" w:rsidRPr="0A99B0B1">
        <w:t xml:space="preserve"> procedures</w:t>
      </w:r>
      <w:r w:rsidR="59612AC6" w:rsidRPr="0A99B0B1">
        <w:t xml:space="preserve"> in the placebo arm were higher</w:t>
      </w:r>
      <w:r w:rsidR="44481103" w:rsidRPr="0A99B0B1">
        <w:t xml:space="preserve"> with </w:t>
      </w:r>
      <w:r w:rsidR="6B145218" w:rsidRPr="0A99B0B1">
        <w:t>lower BMI</w:t>
      </w:r>
      <w:r w:rsidR="13DC2221" w:rsidRPr="0A99B0B1">
        <w:t xml:space="preserve"> (see </w:t>
      </w:r>
      <w:r w:rsidR="00A778EE" w:rsidRPr="00D31B2F">
        <w:rPr>
          <w:iCs/>
        </w:rPr>
        <w:fldChar w:fldCharType="begin"/>
      </w:r>
      <w:r w:rsidR="00A778EE" w:rsidRPr="00D31B2F">
        <w:rPr>
          <w:iCs/>
        </w:rPr>
        <w:instrText xml:space="preserve"> REF _Ref206945335 \h  \* MERGEFORMAT </w:instrText>
      </w:r>
      <w:r w:rsidR="00A778EE" w:rsidRPr="00D31B2F">
        <w:rPr>
          <w:iCs/>
        </w:rPr>
      </w:r>
      <w:r w:rsidR="00A778EE" w:rsidRPr="00D31B2F">
        <w:rPr>
          <w:iCs/>
        </w:rPr>
        <w:fldChar w:fldCharType="separate"/>
      </w:r>
      <w:r w:rsidR="004F1BBD">
        <w:t xml:space="preserve">Table </w:t>
      </w:r>
      <w:r w:rsidR="004F1BBD">
        <w:rPr>
          <w:noProof/>
        </w:rPr>
        <w:t>8</w:t>
      </w:r>
      <w:r w:rsidR="00A778EE" w:rsidRPr="00D31B2F">
        <w:rPr>
          <w:iCs/>
        </w:rPr>
        <w:fldChar w:fldCharType="end"/>
      </w:r>
      <w:r w:rsidR="1289DC80" w:rsidRPr="00D31B2F">
        <w:rPr>
          <w:iCs/>
        </w:rPr>
        <w:t>)</w:t>
      </w:r>
      <w:r w:rsidR="230730AE" w:rsidRPr="00D31B2F">
        <w:rPr>
          <w:iCs/>
        </w:rPr>
        <w:t xml:space="preserve">. </w:t>
      </w:r>
      <w:r w:rsidR="1CB4B7AC" w:rsidRPr="0A99B0B1">
        <w:t>T</w:t>
      </w:r>
      <w:r w:rsidR="0AB50869" w:rsidRPr="0A99B0B1">
        <w:t>he ESC considered it</w:t>
      </w:r>
      <w:r w:rsidR="48E5DEDB" w:rsidRPr="0A99B0B1">
        <w:t xml:space="preserve"> may be more reasonable to conclude that</w:t>
      </w:r>
      <w:r w:rsidR="3D7CA6C7" w:rsidRPr="0A99B0B1">
        <w:t>,</w:t>
      </w:r>
      <w:r w:rsidR="48E5DEDB" w:rsidRPr="0A99B0B1">
        <w:t xml:space="preserve"> given the multiple </w:t>
      </w:r>
      <w:r w:rsidR="3B5F0FCD" w:rsidRPr="0A99B0B1">
        <w:t xml:space="preserve">possible </w:t>
      </w:r>
      <w:r w:rsidR="48E5DEDB" w:rsidRPr="0A99B0B1">
        <w:t xml:space="preserve">interactions between changes in cardiovascular risk factors and </w:t>
      </w:r>
      <w:r w:rsidR="228EEFDD" w:rsidRPr="0A99B0B1">
        <w:t xml:space="preserve">the incidence of </w:t>
      </w:r>
      <w:r w:rsidR="48E5DEDB" w:rsidRPr="0A99B0B1">
        <w:t>MACE</w:t>
      </w:r>
      <w:r w:rsidR="4F10746B" w:rsidRPr="00D31B2F">
        <w:rPr>
          <w:iCs/>
        </w:rPr>
        <w:t>,</w:t>
      </w:r>
      <w:r w:rsidR="48E5DEDB" w:rsidRPr="0A99B0B1">
        <w:t xml:space="preserve"> the mechanisms </w:t>
      </w:r>
      <w:r w:rsidR="4F10746B" w:rsidRPr="0A99B0B1">
        <w:t xml:space="preserve">for cardiovascular benefit </w:t>
      </w:r>
      <w:r w:rsidR="56CD0F79" w:rsidRPr="0A99B0B1">
        <w:t xml:space="preserve">from semaglutide treatment </w:t>
      </w:r>
      <w:r w:rsidR="4F10746B" w:rsidRPr="0A99B0B1">
        <w:t xml:space="preserve">require further investigation, rather than </w:t>
      </w:r>
      <w:r w:rsidR="5F2951CB" w:rsidRPr="0A99B0B1">
        <w:t xml:space="preserve">that </w:t>
      </w:r>
      <w:r w:rsidR="4F10746B" w:rsidRPr="0A99B0B1">
        <w:t xml:space="preserve">they were undervalued in the SELECT </w:t>
      </w:r>
      <w:r w:rsidR="5F2951CB" w:rsidRPr="0A99B0B1">
        <w:t xml:space="preserve">trial </w:t>
      </w:r>
      <w:r w:rsidR="4F10746B" w:rsidRPr="0A99B0B1">
        <w:t>outcomes.</w:t>
      </w:r>
      <w:r w:rsidR="155958BE" w:rsidRPr="0A99B0B1">
        <w:t xml:space="preserve"> Risk multipliers are a blunt tool to apply in this situation, and the ESC considered it was inappropriate to adjust the baseline risk of the trial population by the risk of developing CVD, diabetes or CKD based on BMI from external sources.</w:t>
      </w:r>
      <w:bookmarkEnd w:id="28"/>
    </w:p>
    <w:p w14:paraId="08ABDF95" w14:textId="1BD564B8" w:rsidR="001C3CE4" w:rsidRPr="002B1D22" w:rsidRDefault="001C3CE4" w:rsidP="001C3CE4">
      <w:pPr>
        <w:pStyle w:val="COMESnumberedpara"/>
      </w:pPr>
      <w:r w:rsidRPr="001C3CE4">
        <w:t xml:space="preserve">Results from pre-specified subgroup analyses </w:t>
      </w:r>
      <w:r w:rsidR="00520EDA">
        <w:t xml:space="preserve">for sex, age and BMI </w:t>
      </w:r>
      <w:r w:rsidRPr="001C3CE4">
        <w:t xml:space="preserve">appeared consistent with the primary analysis. </w:t>
      </w:r>
    </w:p>
    <w:p w14:paraId="35CD94F5" w14:textId="56C210F2" w:rsidR="001C3CE4" w:rsidRPr="001C3CE4" w:rsidRDefault="00625922" w:rsidP="001C3CE4">
      <w:pPr>
        <w:pStyle w:val="COMESnumberedpara"/>
        <w:rPr>
          <w:color w:val="0066FF"/>
        </w:rPr>
      </w:pPr>
      <w:r>
        <w:t xml:space="preserve">The time to cardiovascular death (including undetermined cause of death) was the first confirmatory secondary endpoint assessed in the SELECT trial using a hierarchical testing structure (shown in </w:t>
      </w:r>
      <w:r w:rsidR="00055136">
        <w:fldChar w:fldCharType="begin"/>
      </w:r>
      <w:r w:rsidR="00055136">
        <w:instrText xml:space="preserve"> REF _Ref206945229 \h </w:instrText>
      </w:r>
      <w:r w:rsidR="00055136">
        <w:fldChar w:fldCharType="separate"/>
      </w:r>
      <w:r w:rsidR="004F1BBD">
        <w:t xml:space="preserve">Figure </w:t>
      </w:r>
      <w:r w:rsidR="004F1BBD">
        <w:rPr>
          <w:noProof/>
        </w:rPr>
        <w:t>2</w:t>
      </w:r>
      <w:r w:rsidR="00055136">
        <w:fldChar w:fldCharType="end"/>
      </w:r>
      <w:r>
        <w:t>).</w:t>
      </w:r>
    </w:p>
    <w:p w14:paraId="70795C20" w14:textId="199F2C7D" w:rsidR="00625922" w:rsidRDefault="00055136" w:rsidP="00055136">
      <w:pPr>
        <w:pStyle w:val="Caption"/>
      </w:pPr>
      <w:bookmarkStart w:id="29" w:name="_Ref206945229"/>
      <w:r>
        <w:lastRenderedPageBreak/>
        <w:t xml:space="preserve">Figure </w:t>
      </w:r>
      <w:r w:rsidR="005448C5">
        <w:fldChar w:fldCharType="begin"/>
      </w:r>
      <w:r w:rsidR="005448C5">
        <w:instrText xml:space="preserve"> SEQ Figure \* ARABIC </w:instrText>
      </w:r>
      <w:r w:rsidR="005448C5">
        <w:fldChar w:fldCharType="separate"/>
      </w:r>
      <w:r w:rsidR="004F1BBD">
        <w:rPr>
          <w:noProof/>
        </w:rPr>
        <w:t>2</w:t>
      </w:r>
      <w:r w:rsidR="005448C5">
        <w:rPr>
          <w:noProof/>
        </w:rPr>
        <w:fldChar w:fldCharType="end"/>
      </w:r>
      <w:bookmarkEnd w:id="29"/>
      <w:r w:rsidR="00625922">
        <w:t>: Time to cardiovascular death (ITT)</w:t>
      </w:r>
    </w:p>
    <w:p w14:paraId="375F94E4" w14:textId="22830C50" w:rsidR="00625922" w:rsidRPr="00625922" w:rsidRDefault="00625922" w:rsidP="00625922">
      <w:r w:rsidRPr="003205A6">
        <w:rPr>
          <w:noProof/>
        </w:rPr>
        <w:drawing>
          <wp:inline distT="0" distB="0" distL="0" distR="0" wp14:anchorId="187C1BD4" wp14:editId="76F3E2EB">
            <wp:extent cx="4133850" cy="3153974"/>
            <wp:effectExtent l="0" t="0" r="0" b="8890"/>
            <wp:docPr id="1928106259" name="Picture 1" descr="Time to cardiovascular death (I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106259" name="Picture 1" descr="Time to cardiovascular death (ITT)"/>
                    <pic:cNvPicPr/>
                  </pic:nvPicPr>
                  <pic:blipFill>
                    <a:blip r:embed="rId13"/>
                    <a:stretch>
                      <a:fillRect/>
                    </a:stretch>
                  </pic:blipFill>
                  <pic:spPr>
                    <a:xfrm>
                      <a:off x="0" y="0"/>
                      <a:ext cx="4159493" cy="3173538"/>
                    </a:xfrm>
                    <a:prstGeom prst="rect">
                      <a:avLst/>
                    </a:prstGeom>
                  </pic:spPr>
                </pic:pic>
              </a:graphicData>
            </a:graphic>
          </wp:inline>
        </w:drawing>
      </w:r>
    </w:p>
    <w:p w14:paraId="7AD0295D" w14:textId="77777777" w:rsidR="00625922" w:rsidRDefault="00625922" w:rsidP="00625922">
      <w:pPr>
        <w:pStyle w:val="COMTablefooter"/>
      </w:pPr>
      <w:r>
        <w:t>Source: Figure 1, Lincoff 2023 publication</w:t>
      </w:r>
    </w:p>
    <w:p w14:paraId="1ECFCACD" w14:textId="77777777" w:rsidR="00625922" w:rsidRDefault="00625922" w:rsidP="00625922">
      <w:pPr>
        <w:pStyle w:val="COMTablefooter"/>
      </w:pPr>
      <w:r>
        <w:t>Abbreviations: CI, confidence interval; ITT, intention to treat</w:t>
      </w:r>
    </w:p>
    <w:p w14:paraId="7BC8E22B" w14:textId="02C8BDAF" w:rsidR="00625922" w:rsidRPr="00625922" w:rsidRDefault="00625922" w:rsidP="00625922">
      <w:pPr>
        <w:pStyle w:val="COMTablefooter"/>
      </w:pPr>
      <w:r>
        <w:t>Note: The inset graph shows the same data on an enlarged y axis</w:t>
      </w:r>
    </w:p>
    <w:p w14:paraId="5C8B8E66" w14:textId="23E9D0BA" w:rsidR="00625922" w:rsidRDefault="00625922" w:rsidP="00EC5836">
      <w:pPr>
        <w:pStyle w:val="COMESnumberedpara"/>
      </w:pPr>
      <w:r w:rsidRPr="00625922">
        <w:t xml:space="preserve">Death from cardiovascular causes occurred in 2.5% of patients in the semaglutide arm and 3.0% of patients in the placebo arm. However, the results failed superiority testing as </w:t>
      </w:r>
      <w:r w:rsidR="002F0FCB">
        <w:t>they</w:t>
      </w:r>
      <w:r w:rsidRPr="00625922">
        <w:t xml:space="preserve"> did not achieve statistical significance (HR 0.85, 95% CI 0.71, 1.01). Superiority testing was not performed for remaining secondary endpoints in the hierarchy: heart failure composite including cardiovascular death or hospitalisation/</w:t>
      </w:r>
      <w:r w:rsidR="002F0FCB">
        <w:t xml:space="preserve"> </w:t>
      </w:r>
      <w:r w:rsidRPr="00625922">
        <w:t>urgent medical visit for heart failure (HR 0.82, 95% CI 0.71, 0.96) and all-cause death (HR 0.81, 95% CI 0.71, 0.93).</w:t>
      </w:r>
    </w:p>
    <w:p w14:paraId="4B1E3007" w14:textId="5DB4BDB7" w:rsidR="00625922" w:rsidRPr="00625922" w:rsidRDefault="00625922" w:rsidP="00EC5836">
      <w:pPr>
        <w:pStyle w:val="COMESnumberedpara"/>
      </w:pPr>
      <w:r>
        <w:t>Time to event analyses for ind</w:t>
      </w:r>
      <w:r w:rsidR="00453B55">
        <w:t xml:space="preserve">ividual </w:t>
      </w:r>
      <w:r>
        <w:t xml:space="preserve">cardiovascular events are summarised in </w:t>
      </w:r>
      <w:r w:rsidR="00055136">
        <w:fldChar w:fldCharType="begin"/>
      </w:r>
      <w:r w:rsidR="00055136">
        <w:instrText xml:space="preserve"> REF _Ref206945257 \h </w:instrText>
      </w:r>
      <w:r w:rsidR="00055136">
        <w:fldChar w:fldCharType="separate"/>
      </w:r>
      <w:r w:rsidR="004F1BBD">
        <w:t xml:space="preserve">Table </w:t>
      </w:r>
      <w:r w:rsidR="004F1BBD">
        <w:rPr>
          <w:noProof/>
        </w:rPr>
        <w:t>4</w:t>
      </w:r>
      <w:r w:rsidR="00055136">
        <w:fldChar w:fldCharType="end"/>
      </w:r>
      <w:r>
        <w:t>.</w:t>
      </w:r>
    </w:p>
    <w:p w14:paraId="394EDC47" w14:textId="09D0D435" w:rsidR="002E1334" w:rsidRDefault="00055136" w:rsidP="00055136">
      <w:pPr>
        <w:pStyle w:val="Caption"/>
      </w:pPr>
      <w:bookmarkStart w:id="30" w:name="_Ref206945257"/>
      <w:r>
        <w:t xml:space="preserve">Table </w:t>
      </w:r>
      <w:r w:rsidR="005448C5">
        <w:fldChar w:fldCharType="begin"/>
      </w:r>
      <w:r w:rsidR="005448C5">
        <w:instrText xml:space="preserve"> SEQ Table \* ARABIC </w:instrText>
      </w:r>
      <w:r w:rsidR="005448C5">
        <w:fldChar w:fldCharType="separate"/>
      </w:r>
      <w:r w:rsidR="004F1BBD">
        <w:rPr>
          <w:noProof/>
        </w:rPr>
        <w:t>4</w:t>
      </w:r>
      <w:r w:rsidR="005448C5">
        <w:rPr>
          <w:noProof/>
        </w:rPr>
        <w:fldChar w:fldCharType="end"/>
      </w:r>
      <w:bookmarkEnd w:id="30"/>
      <w:r w:rsidR="002E1334">
        <w:t>: Key cardiovascular secondary outcomes, time to first event analyses (ITT)</w:t>
      </w:r>
    </w:p>
    <w:tbl>
      <w:tblPr>
        <w:tblStyle w:val="TableGrid"/>
        <w:tblW w:w="5000" w:type="pct"/>
        <w:tblLook w:val="04A0" w:firstRow="1" w:lastRow="0" w:firstColumn="1" w:lastColumn="0" w:noHBand="0" w:noVBand="1"/>
        <w:tblCaption w:val="Key cardiovascular secondary outcomes, time to first event analyses (ITT)"/>
      </w:tblPr>
      <w:tblGrid>
        <w:gridCol w:w="4072"/>
        <w:gridCol w:w="1652"/>
        <w:gridCol w:w="1647"/>
        <w:gridCol w:w="1646"/>
      </w:tblGrid>
      <w:tr w:rsidR="002E1334" w14:paraId="37298202" w14:textId="77777777" w:rsidTr="00423F84">
        <w:tc>
          <w:tcPr>
            <w:tcW w:w="4106" w:type="dxa"/>
            <w:vAlign w:val="center"/>
          </w:tcPr>
          <w:p w14:paraId="21657506" w14:textId="77777777" w:rsidR="002E1334" w:rsidRDefault="002E1334">
            <w:pPr>
              <w:pStyle w:val="COMTableheadingrow"/>
            </w:pPr>
            <w:r>
              <w:t>Outcome</w:t>
            </w:r>
          </w:p>
        </w:tc>
        <w:tc>
          <w:tcPr>
            <w:tcW w:w="1658" w:type="dxa"/>
            <w:vAlign w:val="center"/>
          </w:tcPr>
          <w:p w14:paraId="4C4729DE" w14:textId="77777777" w:rsidR="002E1334" w:rsidRDefault="002E1334">
            <w:pPr>
              <w:pStyle w:val="COMTableheadingrow"/>
              <w:jc w:val="center"/>
            </w:pPr>
            <w:r>
              <w:t xml:space="preserve">Semaglutide </w:t>
            </w:r>
          </w:p>
          <w:p w14:paraId="611DF673" w14:textId="77777777" w:rsidR="002E1334" w:rsidRDefault="002E1334">
            <w:pPr>
              <w:pStyle w:val="COMTableheadingrow"/>
              <w:jc w:val="center"/>
            </w:pPr>
            <w:r>
              <w:t>N = 8,803</w:t>
            </w:r>
          </w:p>
        </w:tc>
        <w:tc>
          <w:tcPr>
            <w:tcW w:w="1658" w:type="dxa"/>
            <w:vAlign w:val="center"/>
          </w:tcPr>
          <w:p w14:paraId="55847A95" w14:textId="77777777" w:rsidR="002E1334" w:rsidRDefault="002E1334">
            <w:pPr>
              <w:pStyle w:val="COMTableheadingrow"/>
              <w:jc w:val="center"/>
            </w:pPr>
            <w:r>
              <w:t xml:space="preserve">Placebo </w:t>
            </w:r>
          </w:p>
          <w:p w14:paraId="565F9A0B" w14:textId="77777777" w:rsidR="002E1334" w:rsidRDefault="002E1334">
            <w:pPr>
              <w:pStyle w:val="COMTableheadingrow"/>
              <w:jc w:val="center"/>
            </w:pPr>
            <w:r>
              <w:t>N = 8,801</w:t>
            </w:r>
          </w:p>
        </w:tc>
        <w:tc>
          <w:tcPr>
            <w:tcW w:w="1658" w:type="dxa"/>
          </w:tcPr>
          <w:p w14:paraId="2CA571C3" w14:textId="77777777" w:rsidR="002E1334" w:rsidRDefault="002E1334">
            <w:pPr>
              <w:pStyle w:val="COMTableheadingrow"/>
              <w:jc w:val="center"/>
            </w:pPr>
            <w:r>
              <w:t xml:space="preserve">Hazard ratio </w:t>
            </w:r>
          </w:p>
          <w:p w14:paraId="620A108B" w14:textId="77777777" w:rsidR="002E1334" w:rsidRDefault="002E1334">
            <w:pPr>
              <w:pStyle w:val="COMTableheadingrow"/>
              <w:jc w:val="center"/>
            </w:pPr>
            <w:r>
              <w:t>(95% CI)</w:t>
            </w:r>
          </w:p>
        </w:tc>
      </w:tr>
      <w:tr w:rsidR="002E1334" w14:paraId="7793E109" w14:textId="77777777" w:rsidTr="00423F84">
        <w:trPr>
          <w:trHeight w:val="58"/>
        </w:trPr>
        <w:tc>
          <w:tcPr>
            <w:tcW w:w="4106" w:type="dxa"/>
          </w:tcPr>
          <w:p w14:paraId="4E6D5494" w14:textId="77777777" w:rsidR="002E1334" w:rsidRPr="000119A3" w:rsidRDefault="002E1334">
            <w:pPr>
              <w:pStyle w:val="COMTabletext"/>
              <w:rPr>
                <w:bCs w:val="0"/>
                <w:vertAlign w:val="superscript"/>
              </w:rPr>
            </w:pPr>
            <w:r>
              <w:rPr>
                <w:bCs w:val="0"/>
              </w:rPr>
              <w:t xml:space="preserve">Time to cardiovascular death </w:t>
            </w:r>
            <w:r>
              <w:rPr>
                <w:bCs w:val="0"/>
                <w:vertAlign w:val="superscript"/>
              </w:rPr>
              <w:t>a</w:t>
            </w:r>
          </w:p>
        </w:tc>
        <w:tc>
          <w:tcPr>
            <w:tcW w:w="1658" w:type="dxa"/>
            <w:vAlign w:val="center"/>
          </w:tcPr>
          <w:p w14:paraId="5352810A" w14:textId="77777777" w:rsidR="002E1334" w:rsidRDefault="002E1334">
            <w:pPr>
              <w:pStyle w:val="COMTabletext"/>
              <w:jc w:val="center"/>
            </w:pPr>
            <w:r>
              <w:t>223 (2.5%)</w:t>
            </w:r>
          </w:p>
        </w:tc>
        <w:tc>
          <w:tcPr>
            <w:tcW w:w="1658" w:type="dxa"/>
            <w:vAlign w:val="center"/>
          </w:tcPr>
          <w:p w14:paraId="1F2D3D38" w14:textId="77777777" w:rsidR="002E1334" w:rsidRDefault="002E1334">
            <w:pPr>
              <w:pStyle w:val="COMTabletext"/>
              <w:jc w:val="center"/>
            </w:pPr>
            <w:r>
              <w:t>262 (3.0%)</w:t>
            </w:r>
          </w:p>
        </w:tc>
        <w:tc>
          <w:tcPr>
            <w:tcW w:w="1658" w:type="dxa"/>
            <w:vAlign w:val="center"/>
          </w:tcPr>
          <w:p w14:paraId="259245FE" w14:textId="77777777" w:rsidR="002E1334" w:rsidRDefault="002E1334">
            <w:pPr>
              <w:pStyle w:val="COMTabletext"/>
              <w:jc w:val="center"/>
            </w:pPr>
            <w:r>
              <w:t>0.85 (0.71, 1.01)</w:t>
            </w:r>
          </w:p>
        </w:tc>
      </w:tr>
      <w:tr w:rsidR="002E1334" w14:paraId="5259B194" w14:textId="77777777" w:rsidTr="00423F84">
        <w:trPr>
          <w:trHeight w:val="58"/>
        </w:trPr>
        <w:tc>
          <w:tcPr>
            <w:tcW w:w="4106" w:type="dxa"/>
          </w:tcPr>
          <w:p w14:paraId="7F2D0635" w14:textId="77777777" w:rsidR="002E1334" w:rsidRPr="00523D1B" w:rsidRDefault="002E1334">
            <w:pPr>
              <w:pStyle w:val="COMTabletext"/>
              <w:rPr>
                <w:bCs w:val="0"/>
              </w:rPr>
            </w:pPr>
            <w:r>
              <w:rPr>
                <w:bCs w:val="0"/>
              </w:rPr>
              <w:t>Time to all-cause death</w:t>
            </w:r>
          </w:p>
        </w:tc>
        <w:tc>
          <w:tcPr>
            <w:tcW w:w="1658" w:type="dxa"/>
            <w:vAlign w:val="center"/>
          </w:tcPr>
          <w:p w14:paraId="7D542DD7" w14:textId="77777777" w:rsidR="002E1334" w:rsidRDefault="002E1334">
            <w:pPr>
              <w:pStyle w:val="COMTabletext"/>
              <w:jc w:val="center"/>
            </w:pPr>
            <w:r>
              <w:t>375 (4.3%)</w:t>
            </w:r>
          </w:p>
        </w:tc>
        <w:tc>
          <w:tcPr>
            <w:tcW w:w="1658" w:type="dxa"/>
            <w:vAlign w:val="center"/>
          </w:tcPr>
          <w:p w14:paraId="216F846C" w14:textId="77777777" w:rsidR="002E1334" w:rsidRDefault="002E1334">
            <w:pPr>
              <w:pStyle w:val="COMTabletext"/>
              <w:jc w:val="center"/>
            </w:pPr>
            <w:r>
              <w:t>458 (5.2%)</w:t>
            </w:r>
          </w:p>
        </w:tc>
        <w:tc>
          <w:tcPr>
            <w:tcW w:w="1658" w:type="dxa"/>
            <w:vAlign w:val="center"/>
          </w:tcPr>
          <w:p w14:paraId="4E37EBB1" w14:textId="77777777" w:rsidR="002E1334" w:rsidRDefault="002E1334">
            <w:pPr>
              <w:pStyle w:val="COMTabletext"/>
              <w:jc w:val="center"/>
            </w:pPr>
            <w:r>
              <w:t>0.81 (0.71, 0.93)</w:t>
            </w:r>
          </w:p>
        </w:tc>
      </w:tr>
      <w:tr w:rsidR="002E1334" w14:paraId="60FB0B6A" w14:textId="77777777" w:rsidTr="00423F84">
        <w:trPr>
          <w:trHeight w:val="58"/>
        </w:trPr>
        <w:tc>
          <w:tcPr>
            <w:tcW w:w="4106" w:type="dxa"/>
          </w:tcPr>
          <w:p w14:paraId="55FE5128" w14:textId="77777777" w:rsidR="002E1334" w:rsidRPr="00523D1B" w:rsidRDefault="002E1334">
            <w:pPr>
              <w:pStyle w:val="COMTabletext"/>
              <w:rPr>
                <w:bCs w:val="0"/>
              </w:rPr>
            </w:pPr>
            <w:r>
              <w:rPr>
                <w:bCs w:val="0"/>
              </w:rPr>
              <w:t>Time to first non-fatal myocardial infarction</w:t>
            </w:r>
          </w:p>
        </w:tc>
        <w:tc>
          <w:tcPr>
            <w:tcW w:w="1658" w:type="dxa"/>
            <w:vAlign w:val="center"/>
          </w:tcPr>
          <w:p w14:paraId="187C55EF" w14:textId="77777777" w:rsidR="002E1334" w:rsidRDefault="002E1334">
            <w:pPr>
              <w:pStyle w:val="COMTabletext"/>
              <w:jc w:val="center"/>
            </w:pPr>
            <w:r>
              <w:t>234 (2.7%)</w:t>
            </w:r>
          </w:p>
        </w:tc>
        <w:tc>
          <w:tcPr>
            <w:tcW w:w="1658" w:type="dxa"/>
            <w:vAlign w:val="center"/>
          </w:tcPr>
          <w:p w14:paraId="74F9629A" w14:textId="77777777" w:rsidR="002E1334" w:rsidRDefault="002E1334">
            <w:pPr>
              <w:pStyle w:val="COMTabletext"/>
              <w:jc w:val="center"/>
            </w:pPr>
            <w:r>
              <w:t>322 (3.7%)</w:t>
            </w:r>
          </w:p>
        </w:tc>
        <w:tc>
          <w:tcPr>
            <w:tcW w:w="1658" w:type="dxa"/>
          </w:tcPr>
          <w:p w14:paraId="1E48914D" w14:textId="77777777" w:rsidR="002E1334" w:rsidRDefault="002E1334">
            <w:pPr>
              <w:pStyle w:val="COMTabletext"/>
              <w:jc w:val="center"/>
            </w:pPr>
            <w:r>
              <w:t>0.72 (0.61, 0.85)</w:t>
            </w:r>
          </w:p>
        </w:tc>
      </w:tr>
      <w:tr w:rsidR="002E1334" w14:paraId="66C0744D" w14:textId="77777777" w:rsidTr="00423F84">
        <w:trPr>
          <w:trHeight w:val="58"/>
        </w:trPr>
        <w:tc>
          <w:tcPr>
            <w:tcW w:w="4106" w:type="dxa"/>
          </w:tcPr>
          <w:p w14:paraId="19F1D68C" w14:textId="77777777" w:rsidR="002E1334" w:rsidRPr="00523D1B" w:rsidRDefault="002E1334">
            <w:pPr>
              <w:pStyle w:val="COMTabletext"/>
              <w:rPr>
                <w:bCs w:val="0"/>
              </w:rPr>
            </w:pPr>
            <w:r>
              <w:rPr>
                <w:bCs w:val="0"/>
              </w:rPr>
              <w:t>Time to first non-fatal stroke</w:t>
            </w:r>
          </w:p>
        </w:tc>
        <w:tc>
          <w:tcPr>
            <w:tcW w:w="1658" w:type="dxa"/>
            <w:vAlign w:val="center"/>
          </w:tcPr>
          <w:p w14:paraId="6DC0880E" w14:textId="77777777" w:rsidR="002E1334" w:rsidRDefault="002E1334">
            <w:pPr>
              <w:pStyle w:val="COMTabletext"/>
              <w:jc w:val="center"/>
            </w:pPr>
            <w:r>
              <w:t>154 (1.7%)</w:t>
            </w:r>
          </w:p>
        </w:tc>
        <w:tc>
          <w:tcPr>
            <w:tcW w:w="1658" w:type="dxa"/>
            <w:vAlign w:val="center"/>
          </w:tcPr>
          <w:p w14:paraId="0E308111" w14:textId="77777777" w:rsidR="002E1334" w:rsidRDefault="002E1334">
            <w:pPr>
              <w:pStyle w:val="COMTabletext"/>
              <w:jc w:val="center"/>
            </w:pPr>
            <w:r>
              <w:t>165 (1.9%)</w:t>
            </w:r>
          </w:p>
        </w:tc>
        <w:tc>
          <w:tcPr>
            <w:tcW w:w="1658" w:type="dxa"/>
          </w:tcPr>
          <w:p w14:paraId="75D425F1" w14:textId="77777777" w:rsidR="002E1334" w:rsidRDefault="002E1334">
            <w:pPr>
              <w:pStyle w:val="COMTabletext"/>
              <w:jc w:val="center"/>
            </w:pPr>
            <w:r>
              <w:t>0.93 (0.74, 1.15)</w:t>
            </w:r>
          </w:p>
        </w:tc>
      </w:tr>
      <w:tr w:rsidR="002E1334" w14:paraId="290B2D9E" w14:textId="77777777" w:rsidTr="00423F84">
        <w:trPr>
          <w:trHeight w:val="58"/>
        </w:trPr>
        <w:tc>
          <w:tcPr>
            <w:tcW w:w="4106" w:type="dxa"/>
          </w:tcPr>
          <w:p w14:paraId="003AA197" w14:textId="77777777" w:rsidR="002E1334" w:rsidRDefault="002E1334">
            <w:pPr>
              <w:pStyle w:val="COMTabletext"/>
              <w:rPr>
                <w:bCs w:val="0"/>
              </w:rPr>
            </w:pPr>
            <w:r>
              <w:rPr>
                <w:bCs w:val="0"/>
              </w:rPr>
              <w:t>Time to first coronary revascularisation</w:t>
            </w:r>
          </w:p>
        </w:tc>
        <w:tc>
          <w:tcPr>
            <w:tcW w:w="1658" w:type="dxa"/>
            <w:vAlign w:val="center"/>
          </w:tcPr>
          <w:p w14:paraId="6455DBBF" w14:textId="77777777" w:rsidR="002E1334" w:rsidRDefault="002E1334">
            <w:pPr>
              <w:pStyle w:val="COMTabletext"/>
              <w:jc w:val="center"/>
            </w:pPr>
            <w:r>
              <w:t>473 (5.4%)</w:t>
            </w:r>
          </w:p>
        </w:tc>
        <w:tc>
          <w:tcPr>
            <w:tcW w:w="1658" w:type="dxa"/>
            <w:vAlign w:val="center"/>
          </w:tcPr>
          <w:p w14:paraId="4CDC0993" w14:textId="77777777" w:rsidR="002E1334" w:rsidRDefault="002E1334">
            <w:pPr>
              <w:pStyle w:val="COMTabletext"/>
              <w:jc w:val="center"/>
            </w:pPr>
            <w:r>
              <w:t>608 (6.9%)</w:t>
            </w:r>
          </w:p>
        </w:tc>
        <w:tc>
          <w:tcPr>
            <w:tcW w:w="1658" w:type="dxa"/>
          </w:tcPr>
          <w:p w14:paraId="306836CD" w14:textId="77777777" w:rsidR="002E1334" w:rsidRDefault="002E1334">
            <w:pPr>
              <w:pStyle w:val="COMTabletext"/>
              <w:jc w:val="center"/>
            </w:pPr>
            <w:r>
              <w:t>0.77 (0.68, 0.87)</w:t>
            </w:r>
          </w:p>
        </w:tc>
      </w:tr>
      <w:tr w:rsidR="002E1334" w14:paraId="0C310684" w14:textId="77777777" w:rsidTr="00423F84">
        <w:trPr>
          <w:trHeight w:val="58"/>
        </w:trPr>
        <w:tc>
          <w:tcPr>
            <w:tcW w:w="4106" w:type="dxa"/>
          </w:tcPr>
          <w:p w14:paraId="2CE1C364" w14:textId="77777777" w:rsidR="002E1334" w:rsidRPr="00523D1B" w:rsidRDefault="002E1334">
            <w:pPr>
              <w:pStyle w:val="COMTabletext"/>
              <w:rPr>
                <w:bCs w:val="0"/>
              </w:rPr>
            </w:pPr>
            <w:r>
              <w:rPr>
                <w:bCs w:val="0"/>
              </w:rPr>
              <w:t>Time to first unstable angina requiring hospitalisation</w:t>
            </w:r>
          </w:p>
        </w:tc>
        <w:tc>
          <w:tcPr>
            <w:tcW w:w="1658" w:type="dxa"/>
            <w:vAlign w:val="center"/>
          </w:tcPr>
          <w:p w14:paraId="6C11A79F" w14:textId="77777777" w:rsidR="002E1334" w:rsidRDefault="002E1334">
            <w:pPr>
              <w:pStyle w:val="COMTabletext"/>
              <w:jc w:val="center"/>
            </w:pPr>
            <w:r>
              <w:t>109 (1.2%)</w:t>
            </w:r>
          </w:p>
        </w:tc>
        <w:tc>
          <w:tcPr>
            <w:tcW w:w="1658" w:type="dxa"/>
            <w:vAlign w:val="center"/>
          </w:tcPr>
          <w:p w14:paraId="7C5865DC" w14:textId="77777777" w:rsidR="002E1334" w:rsidRDefault="002E1334">
            <w:pPr>
              <w:pStyle w:val="COMTabletext"/>
              <w:jc w:val="center"/>
            </w:pPr>
            <w:r>
              <w:t>124 (1.4%)</w:t>
            </w:r>
          </w:p>
        </w:tc>
        <w:tc>
          <w:tcPr>
            <w:tcW w:w="1658" w:type="dxa"/>
          </w:tcPr>
          <w:p w14:paraId="6648A6B9" w14:textId="77777777" w:rsidR="002E1334" w:rsidRDefault="002E1334">
            <w:pPr>
              <w:pStyle w:val="COMTabletext"/>
              <w:jc w:val="center"/>
            </w:pPr>
            <w:r>
              <w:t>0.87 (0.67, 1.13)</w:t>
            </w:r>
          </w:p>
        </w:tc>
      </w:tr>
      <w:tr w:rsidR="002E1334" w14:paraId="75C3CA55" w14:textId="77777777" w:rsidTr="00423F84">
        <w:trPr>
          <w:trHeight w:val="58"/>
        </w:trPr>
        <w:tc>
          <w:tcPr>
            <w:tcW w:w="4106" w:type="dxa"/>
          </w:tcPr>
          <w:p w14:paraId="4FD39A5E" w14:textId="77777777" w:rsidR="002E1334" w:rsidRPr="006410E0" w:rsidRDefault="002E1334">
            <w:pPr>
              <w:pStyle w:val="COMTabletext"/>
              <w:rPr>
                <w:bCs w:val="0"/>
              </w:rPr>
            </w:pPr>
            <w:r>
              <w:rPr>
                <w:bCs w:val="0"/>
              </w:rPr>
              <w:t xml:space="preserve">Time to first heart failure event </w:t>
            </w:r>
            <w:r>
              <w:rPr>
                <w:bCs w:val="0"/>
                <w:vertAlign w:val="superscript"/>
              </w:rPr>
              <w:t>b</w:t>
            </w:r>
          </w:p>
        </w:tc>
        <w:tc>
          <w:tcPr>
            <w:tcW w:w="1658" w:type="dxa"/>
            <w:vAlign w:val="center"/>
          </w:tcPr>
          <w:p w14:paraId="03D5ECA2" w14:textId="77777777" w:rsidR="002E1334" w:rsidRDefault="002E1334">
            <w:pPr>
              <w:pStyle w:val="COMTabletext"/>
              <w:jc w:val="center"/>
            </w:pPr>
            <w:r>
              <w:t>97 (1.1%)</w:t>
            </w:r>
          </w:p>
        </w:tc>
        <w:tc>
          <w:tcPr>
            <w:tcW w:w="1658" w:type="dxa"/>
            <w:vAlign w:val="center"/>
          </w:tcPr>
          <w:p w14:paraId="40E3A638" w14:textId="77777777" w:rsidR="002E1334" w:rsidRDefault="002E1334">
            <w:pPr>
              <w:pStyle w:val="COMTabletext"/>
              <w:jc w:val="center"/>
            </w:pPr>
            <w:r>
              <w:t>122 (1.4%)</w:t>
            </w:r>
          </w:p>
        </w:tc>
        <w:tc>
          <w:tcPr>
            <w:tcW w:w="1658" w:type="dxa"/>
          </w:tcPr>
          <w:p w14:paraId="786C81FD" w14:textId="77777777" w:rsidR="002E1334" w:rsidRDefault="002E1334">
            <w:pPr>
              <w:pStyle w:val="COMTabletext"/>
              <w:jc w:val="center"/>
            </w:pPr>
            <w:r>
              <w:t>0.79 (0.60, 1.03)</w:t>
            </w:r>
          </w:p>
        </w:tc>
      </w:tr>
    </w:tbl>
    <w:p w14:paraId="73360FCB" w14:textId="77777777" w:rsidR="002E1334" w:rsidRDefault="002E1334" w:rsidP="002E1334">
      <w:pPr>
        <w:pStyle w:val="COMTablefooter"/>
      </w:pPr>
      <w:r>
        <w:t>Source: Table 14.2.63, p669; Table 14.2.64, p670; Table 14.2.69, p676; Table 14.2.70, p677; Table 14.2.75, p682; Table 14.2.76, p683; Table 14.2.78, p685; Table 14.2.79, p686; Table 14.2.81, p688; Table 14.2.82, p689 of the SELECT trial report</w:t>
      </w:r>
    </w:p>
    <w:p w14:paraId="7C08D4C1" w14:textId="77777777" w:rsidR="002E1334" w:rsidRDefault="002E1334" w:rsidP="002E1334">
      <w:pPr>
        <w:pStyle w:val="COMTablefooter"/>
      </w:pPr>
      <w:r>
        <w:t>Abbreviations: CI, confidence interval; ITT, intention to treat</w:t>
      </w:r>
    </w:p>
    <w:p w14:paraId="79D6F39C" w14:textId="77777777" w:rsidR="002E1334" w:rsidRDefault="002E1334" w:rsidP="002E1334">
      <w:pPr>
        <w:pStyle w:val="COMTablefooter"/>
      </w:pPr>
      <w:r>
        <w:rPr>
          <w:vertAlign w:val="superscript"/>
        </w:rPr>
        <w:t>a</w:t>
      </w:r>
      <w:r>
        <w:t xml:space="preserve"> Includes undetermined cause of death</w:t>
      </w:r>
    </w:p>
    <w:p w14:paraId="464C9F7B" w14:textId="77777777" w:rsidR="002E1334" w:rsidRDefault="002E1334" w:rsidP="002E1334">
      <w:pPr>
        <w:pStyle w:val="COMTablefooter"/>
      </w:pPr>
      <w:r>
        <w:rPr>
          <w:vertAlign w:val="superscript"/>
        </w:rPr>
        <w:t>b</w:t>
      </w:r>
      <w:r>
        <w:t xml:space="preserve"> Includes heart failure hospitalisation and urgent heart failure medical visit </w:t>
      </w:r>
    </w:p>
    <w:p w14:paraId="3F79A8D5" w14:textId="4058A25C" w:rsidR="002E1334" w:rsidRPr="002E1334" w:rsidRDefault="002E1334" w:rsidP="002E1334">
      <w:pPr>
        <w:pStyle w:val="COMTablefooter"/>
      </w:pPr>
      <w:r>
        <w:t>Note: Treatment effect estimates for supportive secondary endpoints were unadjusted for multiplicity</w:t>
      </w:r>
    </w:p>
    <w:p w14:paraId="2B3E9421" w14:textId="3D520A1A" w:rsidR="002E1334" w:rsidRDefault="002E1334" w:rsidP="00EC5836">
      <w:pPr>
        <w:pStyle w:val="COMESnumberedpara"/>
      </w:pPr>
      <w:r w:rsidRPr="002E1334">
        <w:lastRenderedPageBreak/>
        <w:t xml:space="preserve">Time to first event analyses of secondary end points indicate that semaglutide was associated with a decreased risk of all-cause death, non-fatal myocardial infarction and coronary revascularisation compared to placebo. There was no apparent difference in cardiovascular death, non-fatal stroke, unstable angina requiring hospitalisation and heart failure </w:t>
      </w:r>
      <w:r>
        <w:t>requiring hospitalisation/urgent care</w:t>
      </w:r>
      <w:r w:rsidRPr="002E1334">
        <w:t xml:space="preserve"> between treatment arms.</w:t>
      </w:r>
    </w:p>
    <w:p w14:paraId="40148A3C" w14:textId="647B4B49" w:rsidR="00BB6756" w:rsidRDefault="00BB6756" w:rsidP="00EC5836">
      <w:pPr>
        <w:pStyle w:val="COMESnumberedpara"/>
      </w:pPr>
      <w:r w:rsidRPr="00BB6756">
        <w:t>Compared to the whole trial population, subgroups with BMI of ≥35 and ≥40 kg/m</w:t>
      </w:r>
      <w:r w:rsidRPr="00BB6756">
        <w:rPr>
          <w:vertAlign w:val="superscript"/>
        </w:rPr>
        <w:t>2</w:t>
      </w:r>
      <w:r w:rsidRPr="00BB6756">
        <w:t xml:space="preserve"> were associated with numerically increased rates of cardiovascular death, non-fatal stroke and heart failure hospitalisations, numerically decreased rates of coronary revascularisation and unstable angina requiring hospitalisation and similar rates of non-cardiovascular death and non-fatal myocardial infarction</w:t>
      </w:r>
      <w:r w:rsidR="009360DF">
        <w:t>.</w:t>
      </w:r>
    </w:p>
    <w:p w14:paraId="2F8A9952" w14:textId="146384DE" w:rsidR="00B42C7E" w:rsidRDefault="593EF7B7" w:rsidP="00B42C7E">
      <w:pPr>
        <w:pStyle w:val="COMESnumberedpara"/>
      </w:pPr>
      <w:r>
        <w:t xml:space="preserve">The time to first occurrence of HbA1c </w:t>
      </w:r>
      <w:r w:rsidR="059B3A2B">
        <w:t>≥</w:t>
      </w:r>
      <w:r>
        <w:t>6.5% i</w:t>
      </w:r>
      <w:r w:rsidR="725B4914">
        <w:t>s</w:t>
      </w:r>
      <w:r>
        <w:t xml:space="preserve"> summarised in </w:t>
      </w:r>
      <w:r w:rsidR="00B42C7E">
        <w:fldChar w:fldCharType="begin"/>
      </w:r>
      <w:r w:rsidR="00B42C7E">
        <w:instrText xml:space="preserve"> REF _Ref206945274 \h </w:instrText>
      </w:r>
      <w:r w:rsidR="00B42C7E">
        <w:fldChar w:fldCharType="separate"/>
      </w:r>
      <w:r w:rsidR="004F1BBD">
        <w:t xml:space="preserve">Table </w:t>
      </w:r>
      <w:r w:rsidR="004F1BBD">
        <w:rPr>
          <w:noProof/>
        </w:rPr>
        <w:t>5</w:t>
      </w:r>
      <w:r w:rsidR="00B42C7E">
        <w:fldChar w:fldCharType="end"/>
      </w:r>
      <w:r>
        <w:t>.</w:t>
      </w:r>
    </w:p>
    <w:p w14:paraId="7328AFC9" w14:textId="1E6C8104" w:rsidR="00B42C7E" w:rsidRDefault="00055136" w:rsidP="00055136">
      <w:pPr>
        <w:pStyle w:val="Caption"/>
      </w:pPr>
      <w:bookmarkStart w:id="31" w:name="_Ref206945274"/>
      <w:r>
        <w:t xml:space="preserve">Table </w:t>
      </w:r>
      <w:r w:rsidR="005448C5">
        <w:fldChar w:fldCharType="begin"/>
      </w:r>
      <w:r w:rsidR="005448C5">
        <w:instrText xml:space="preserve"> SEQ Table \* ARABIC </w:instrText>
      </w:r>
      <w:r w:rsidR="005448C5">
        <w:fldChar w:fldCharType="separate"/>
      </w:r>
      <w:r w:rsidR="004F1BBD">
        <w:rPr>
          <w:noProof/>
        </w:rPr>
        <w:t>5</w:t>
      </w:r>
      <w:r w:rsidR="005448C5">
        <w:rPr>
          <w:noProof/>
        </w:rPr>
        <w:fldChar w:fldCharType="end"/>
      </w:r>
      <w:bookmarkEnd w:id="31"/>
      <w:r w:rsidR="00B42C7E">
        <w:t xml:space="preserve">: Time to first occurrence of HbA1c </w:t>
      </w:r>
      <w:r w:rsidR="00D01372">
        <w:t>≥</w:t>
      </w:r>
      <w:r w:rsidR="00B42C7E">
        <w:t>6.5% (ITT)</w:t>
      </w:r>
    </w:p>
    <w:tbl>
      <w:tblPr>
        <w:tblStyle w:val="TableGrid"/>
        <w:tblW w:w="5000" w:type="pct"/>
        <w:tblCellMar>
          <w:left w:w="28" w:type="dxa"/>
          <w:right w:w="28" w:type="dxa"/>
        </w:tblCellMar>
        <w:tblLook w:val="04A0" w:firstRow="1" w:lastRow="0" w:firstColumn="1" w:lastColumn="0" w:noHBand="0" w:noVBand="1"/>
        <w:tblCaption w:val="Time to first occurrence of HbA1c ≥6.5% (ITT)"/>
      </w:tblPr>
      <w:tblGrid>
        <w:gridCol w:w="2150"/>
        <w:gridCol w:w="2292"/>
        <w:gridCol w:w="2288"/>
        <w:gridCol w:w="2287"/>
      </w:tblGrid>
      <w:tr w:rsidR="00B42C7E" w14:paraId="4F36B0FC" w14:textId="77777777" w:rsidTr="00423F84">
        <w:tc>
          <w:tcPr>
            <w:tcW w:w="2165" w:type="dxa"/>
            <w:vAlign w:val="center"/>
          </w:tcPr>
          <w:p w14:paraId="7AEC996B" w14:textId="77777777" w:rsidR="00B42C7E" w:rsidRDefault="00B42C7E">
            <w:pPr>
              <w:pStyle w:val="COMTableheadingrow"/>
            </w:pPr>
            <w:r>
              <w:t>Outcome</w:t>
            </w:r>
          </w:p>
        </w:tc>
        <w:tc>
          <w:tcPr>
            <w:tcW w:w="2305" w:type="dxa"/>
            <w:vAlign w:val="center"/>
          </w:tcPr>
          <w:p w14:paraId="61C6912F" w14:textId="77777777" w:rsidR="00B42C7E" w:rsidRDefault="00B42C7E">
            <w:pPr>
              <w:pStyle w:val="COMTableheadingrow"/>
              <w:jc w:val="center"/>
            </w:pPr>
            <w:r>
              <w:t>Semaglutide (N = 8,803)</w:t>
            </w:r>
          </w:p>
        </w:tc>
        <w:tc>
          <w:tcPr>
            <w:tcW w:w="2305" w:type="dxa"/>
            <w:vAlign w:val="center"/>
          </w:tcPr>
          <w:p w14:paraId="19BCA6E5" w14:textId="77777777" w:rsidR="00B42C7E" w:rsidRDefault="00B42C7E">
            <w:pPr>
              <w:pStyle w:val="COMTableheadingrow"/>
              <w:jc w:val="center"/>
            </w:pPr>
            <w:r>
              <w:t>Placebo (N = 8,801)</w:t>
            </w:r>
          </w:p>
        </w:tc>
        <w:tc>
          <w:tcPr>
            <w:tcW w:w="2305" w:type="dxa"/>
          </w:tcPr>
          <w:p w14:paraId="755B6B77" w14:textId="77777777" w:rsidR="00B42C7E" w:rsidRDefault="00B42C7E">
            <w:pPr>
              <w:pStyle w:val="COMTableheadingrow"/>
              <w:jc w:val="center"/>
            </w:pPr>
            <w:r>
              <w:t>Hazard ratio (95% CI)</w:t>
            </w:r>
          </w:p>
        </w:tc>
      </w:tr>
      <w:tr w:rsidR="00B42C7E" w14:paraId="385D3C9C" w14:textId="77777777" w:rsidTr="00423F84">
        <w:tc>
          <w:tcPr>
            <w:tcW w:w="2165" w:type="dxa"/>
          </w:tcPr>
          <w:p w14:paraId="00309E06" w14:textId="77777777" w:rsidR="00B42C7E" w:rsidRDefault="00B42C7E">
            <w:pPr>
              <w:pStyle w:val="COMTabletext"/>
            </w:pPr>
            <w:r>
              <w:t xml:space="preserve">Patients, n (%) </w:t>
            </w:r>
          </w:p>
        </w:tc>
        <w:tc>
          <w:tcPr>
            <w:tcW w:w="2305" w:type="dxa"/>
            <w:vAlign w:val="center"/>
          </w:tcPr>
          <w:p w14:paraId="642B03ED" w14:textId="77777777" w:rsidR="00B42C7E" w:rsidRDefault="00B42C7E">
            <w:pPr>
              <w:pStyle w:val="COMTabletext"/>
              <w:jc w:val="center"/>
            </w:pPr>
            <w:r>
              <w:t>306 (3.5)</w:t>
            </w:r>
          </w:p>
        </w:tc>
        <w:tc>
          <w:tcPr>
            <w:tcW w:w="2305" w:type="dxa"/>
            <w:vAlign w:val="center"/>
          </w:tcPr>
          <w:p w14:paraId="61427A55" w14:textId="77777777" w:rsidR="00B42C7E" w:rsidRDefault="00B42C7E">
            <w:pPr>
              <w:pStyle w:val="COMTabletext"/>
              <w:jc w:val="center"/>
            </w:pPr>
            <w:r>
              <w:t>1,059 (12.0)</w:t>
            </w:r>
          </w:p>
        </w:tc>
        <w:tc>
          <w:tcPr>
            <w:tcW w:w="2305" w:type="dxa"/>
            <w:vAlign w:val="center"/>
          </w:tcPr>
          <w:p w14:paraId="4E5BF1EF" w14:textId="77777777" w:rsidR="00B42C7E" w:rsidRPr="004062CA" w:rsidRDefault="00B42C7E">
            <w:pPr>
              <w:pStyle w:val="COMTabletext"/>
              <w:jc w:val="center"/>
            </w:pPr>
            <w:r>
              <w:t>0.27 (0.24, 0.31)</w:t>
            </w:r>
          </w:p>
        </w:tc>
      </w:tr>
    </w:tbl>
    <w:p w14:paraId="6BEAFDE4" w14:textId="77777777" w:rsidR="00B42C7E" w:rsidRDefault="00B42C7E" w:rsidP="00B42C7E">
      <w:pPr>
        <w:pStyle w:val="COMTablefooter"/>
      </w:pPr>
      <w:r>
        <w:t>Source: Table 14.2.99 and Table 14.2.100, pp708-709 of the SELECT trial report</w:t>
      </w:r>
    </w:p>
    <w:p w14:paraId="0A18DE83" w14:textId="6B16E221" w:rsidR="00B42C7E" w:rsidRDefault="00B42C7E" w:rsidP="00B42C7E">
      <w:pPr>
        <w:pStyle w:val="COMTablefooter"/>
      </w:pPr>
      <w:r>
        <w:t>Abbreviations: CI, confidence interval; ITT, intention to treat</w:t>
      </w:r>
    </w:p>
    <w:p w14:paraId="4D2A8B8E" w14:textId="360013C4" w:rsidR="00B42C7E" w:rsidRDefault="00B42C7E" w:rsidP="0079788A">
      <w:pPr>
        <w:pStyle w:val="COMESnumberedpara"/>
      </w:pPr>
      <w:r w:rsidRPr="00B42C7E">
        <w:t xml:space="preserve">Treatment with semaglutide was associated with </w:t>
      </w:r>
      <w:r w:rsidR="00F26E98">
        <w:t xml:space="preserve">a </w:t>
      </w:r>
      <w:r w:rsidRPr="00B42C7E">
        <w:t xml:space="preserve">reduced risk of having an HbA1c </w:t>
      </w:r>
      <w:r w:rsidR="00D01372">
        <w:t>≥</w:t>
      </w:r>
      <w:r w:rsidRPr="00B42C7E">
        <w:t>6.5% compared to placebo.</w:t>
      </w:r>
    </w:p>
    <w:p w14:paraId="70556150" w14:textId="0C8A5C82" w:rsidR="001C3CE4" w:rsidRDefault="001C3CE4" w:rsidP="001C3CE4">
      <w:pPr>
        <w:pStyle w:val="COMESnumberedpara"/>
      </w:pPr>
      <w:r w:rsidRPr="001C3CE4">
        <w:t xml:space="preserve">Results from </w:t>
      </w:r>
      <w:r w:rsidRPr="001C3CE4">
        <w:rPr>
          <w:i/>
          <w:iCs/>
        </w:rPr>
        <w:t>post hoc</w:t>
      </w:r>
      <w:r w:rsidRPr="001C3CE4">
        <w:t xml:space="preserve"> subgroup analyses</w:t>
      </w:r>
      <w:r>
        <w:t xml:space="preserve"> suggested that baseline HbA1c levels may be a treatment effect modifier</w:t>
      </w:r>
      <w:r w:rsidR="002F0FCB">
        <w:t>,</w:t>
      </w:r>
      <w:r>
        <w:t xml:space="preserve"> with</w:t>
      </w:r>
      <w:r w:rsidRPr="001C3CE4">
        <w:t xml:space="preserve"> a potentially smaller magnitude of benefit in the subgroup with HbA1c less than 5.7%</w:t>
      </w:r>
      <w:r>
        <w:t xml:space="preserve">. </w:t>
      </w:r>
      <w:r w:rsidRPr="001C3CE4">
        <w:t>Results based on other subgroups were generally consistent with the primary analysis.</w:t>
      </w:r>
    </w:p>
    <w:p w14:paraId="35CCEE9D" w14:textId="773F4CB8" w:rsidR="0079788A" w:rsidRDefault="0079788A" w:rsidP="0079788A">
      <w:pPr>
        <w:pStyle w:val="COMESnumberedpara"/>
      </w:pPr>
      <w:r>
        <w:t xml:space="preserve">The mean change in body weight over time is summarised in </w:t>
      </w:r>
      <w:r w:rsidR="00055136">
        <w:fldChar w:fldCharType="begin"/>
      </w:r>
      <w:r w:rsidR="00055136">
        <w:instrText xml:space="preserve"> REF _Ref206945291 \h </w:instrText>
      </w:r>
      <w:r w:rsidR="00055136">
        <w:fldChar w:fldCharType="separate"/>
      </w:r>
      <w:r w:rsidR="004F1BBD">
        <w:t xml:space="preserve">Table </w:t>
      </w:r>
      <w:r w:rsidR="004F1BBD">
        <w:rPr>
          <w:noProof/>
        </w:rPr>
        <w:t>6</w:t>
      </w:r>
      <w:r w:rsidR="00055136">
        <w:fldChar w:fldCharType="end"/>
      </w:r>
      <w:r w:rsidR="00B42C7E">
        <w:t>.</w:t>
      </w:r>
    </w:p>
    <w:p w14:paraId="11EAC292" w14:textId="7CF3286D" w:rsidR="0079788A" w:rsidRDefault="00055136" w:rsidP="00055136">
      <w:pPr>
        <w:pStyle w:val="Caption"/>
      </w:pPr>
      <w:bookmarkStart w:id="32" w:name="_Ref206945291"/>
      <w:r>
        <w:t xml:space="preserve">Table </w:t>
      </w:r>
      <w:r w:rsidR="005448C5">
        <w:fldChar w:fldCharType="begin"/>
      </w:r>
      <w:r w:rsidR="005448C5">
        <w:instrText xml:space="preserve"> SEQ Table \* ARABIC </w:instrText>
      </w:r>
      <w:r w:rsidR="005448C5">
        <w:fldChar w:fldCharType="separate"/>
      </w:r>
      <w:r w:rsidR="004F1BBD">
        <w:rPr>
          <w:noProof/>
        </w:rPr>
        <w:t>6</w:t>
      </w:r>
      <w:r w:rsidR="005448C5">
        <w:rPr>
          <w:noProof/>
        </w:rPr>
        <w:fldChar w:fldCharType="end"/>
      </w:r>
      <w:bookmarkEnd w:id="32"/>
      <w:r w:rsidR="0079788A">
        <w:t>: Change in body weight from baseline to Week 104 (ITT)</w:t>
      </w:r>
    </w:p>
    <w:tbl>
      <w:tblPr>
        <w:tblStyle w:val="TableGrid"/>
        <w:tblW w:w="5000" w:type="pct"/>
        <w:tblCellMar>
          <w:left w:w="28" w:type="dxa"/>
          <w:right w:w="28" w:type="dxa"/>
        </w:tblCellMar>
        <w:tblLook w:val="04A0" w:firstRow="1" w:lastRow="0" w:firstColumn="1" w:lastColumn="0" w:noHBand="0" w:noVBand="1"/>
        <w:tblCaption w:val="Change in body weight from baseline to Week 104 (ITT)"/>
      </w:tblPr>
      <w:tblGrid>
        <w:gridCol w:w="961"/>
        <w:gridCol w:w="952"/>
        <w:gridCol w:w="1036"/>
        <w:gridCol w:w="1106"/>
        <w:gridCol w:w="938"/>
        <w:gridCol w:w="1007"/>
        <w:gridCol w:w="1218"/>
        <w:gridCol w:w="1799"/>
      </w:tblGrid>
      <w:tr w:rsidR="0079788A" w14:paraId="18593AAC" w14:textId="77777777" w:rsidTr="00423F84">
        <w:tc>
          <w:tcPr>
            <w:tcW w:w="961" w:type="dxa"/>
            <w:vMerge w:val="restart"/>
          </w:tcPr>
          <w:p w14:paraId="76372417" w14:textId="77777777" w:rsidR="0079788A" w:rsidRDefault="0079788A">
            <w:pPr>
              <w:pStyle w:val="COMTabletext"/>
            </w:pPr>
          </w:p>
        </w:tc>
        <w:tc>
          <w:tcPr>
            <w:tcW w:w="3094" w:type="dxa"/>
            <w:gridSpan w:val="3"/>
            <w:vAlign w:val="center"/>
          </w:tcPr>
          <w:p w14:paraId="3C708A61" w14:textId="77777777" w:rsidR="0079788A" w:rsidRDefault="0079788A">
            <w:pPr>
              <w:pStyle w:val="COMTableheadingrow"/>
              <w:jc w:val="center"/>
            </w:pPr>
            <w:r>
              <w:t>Semaglutide (N = 8,803)</w:t>
            </w:r>
          </w:p>
        </w:tc>
        <w:tc>
          <w:tcPr>
            <w:tcW w:w="3163" w:type="dxa"/>
            <w:gridSpan w:val="3"/>
            <w:vAlign w:val="center"/>
          </w:tcPr>
          <w:p w14:paraId="4479872D" w14:textId="77777777" w:rsidR="0079788A" w:rsidRDefault="0079788A">
            <w:pPr>
              <w:pStyle w:val="COMTableheadingrow"/>
              <w:jc w:val="center"/>
            </w:pPr>
            <w:r>
              <w:t>Placebo (N = 8,801)</w:t>
            </w:r>
          </w:p>
        </w:tc>
        <w:tc>
          <w:tcPr>
            <w:tcW w:w="1799" w:type="dxa"/>
            <w:vMerge w:val="restart"/>
            <w:vAlign w:val="center"/>
          </w:tcPr>
          <w:p w14:paraId="05439E52" w14:textId="77777777" w:rsidR="0079788A" w:rsidRDefault="0079788A">
            <w:pPr>
              <w:pStyle w:val="COMTableheadingrow"/>
              <w:jc w:val="center"/>
            </w:pPr>
            <w:r>
              <w:t xml:space="preserve">Treatment difference </w:t>
            </w:r>
          </w:p>
          <w:p w14:paraId="0E1D6285" w14:textId="77777777" w:rsidR="0079788A" w:rsidRDefault="0079788A">
            <w:pPr>
              <w:pStyle w:val="COMTableheadingrow"/>
              <w:jc w:val="center"/>
            </w:pPr>
            <w:r>
              <w:t>(95% CI)</w:t>
            </w:r>
          </w:p>
        </w:tc>
      </w:tr>
      <w:tr w:rsidR="0079788A" w14:paraId="58AF5692" w14:textId="77777777" w:rsidTr="00423F84">
        <w:tc>
          <w:tcPr>
            <w:tcW w:w="961" w:type="dxa"/>
            <w:vMerge/>
          </w:tcPr>
          <w:p w14:paraId="322C8E5C" w14:textId="77777777" w:rsidR="0079788A" w:rsidRDefault="0079788A">
            <w:pPr>
              <w:pStyle w:val="COMTabletext"/>
            </w:pPr>
          </w:p>
        </w:tc>
        <w:tc>
          <w:tcPr>
            <w:tcW w:w="952" w:type="dxa"/>
            <w:vAlign w:val="center"/>
          </w:tcPr>
          <w:p w14:paraId="725E29E6" w14:textId="77777777" w:rsidR="0079788A" w:rsidRDefault="0079788A">
            <w:pPr>
              <w:pStyle w:val="COMTableheadingrow"/>
              <w:jc w:val="center"/>
            </w:pPr>
            <w:r>
              <w:t>Baseline</w:t>
            </w:r>
          </w:p>
        </w:tc>
        <w:tc>
          <w:tcPr>
            <w:tcW w:w="1036" w:type="dxa"/>
            <w:vAlign w:val="center"/>
          </w:tcPr>
          <w:p w14:paraId="217A4B87" w14:textId="77777777" w:rsidR="0079788A" w:rsidRDefault="0079788A">
            <w:pPr>
              <w:pStyle w:val="COMTableheadingrow"/>
              <w:jc w:val="center"/>
            </w:pPr>
            <w:r>
              <w:t>Week 104</w:t>
            </w:r>
          </w:p>
        </w:tc>
        <w:tc>
          <w:tcPr>
            <w:tcW w:w="1106" w:type="dxa"/>
            <w:vAlign w:val="center"/>
          </w:tcPr>
          <w:p w14:paraId="6BB02DF7" w14:textId="77777777" w:rsidR="0079788A" w:rsidRDefault="0079788A">
            <w:pPr>
              <w:pStyle w:val="COMTableheadingrow"/>
              <w:jc w:val="center"/>
            </w:pPr>
            <w:r>
              <w:t xml:space="preserve">Mean % change (SE) </w:t>
            </w:r>
          </w:p>
        </w:tc>
        <w:tc>
          <w:tcPr>
            <w:tcW w:w="938" w:type="dxa"/>
            <w:vAlign w:val="center"/>
          </w:tcPr>
          <w:p w14:paraId="60E05836" w14:textId="77777777" w:rsidR="0079788A" w:rsidRDefault="0079788A">
            <w:pPr>
              <w:pStyle w:val="COMTableheadingrow"/>
              <w:jc w:val="center"/>
            </w:pPr>
            <w:r>
              <w:t>Baseline</w:t>
            </w:r>
          </w:p>
        </w:tc>
        <w:tc>
          <w:tcPr>
            <w:tcW w:w="1007" w:type="dxa"/>
            <w:vAlign w:val="center"/>
          </w:tcPr>
          <w:p w14:paraId="19A4F6A5" w14:textId="77777777" w:rsidR="0079788A" w:rsidRDefault="0079788A">
            <w:pPr>
              <w:pStyle w:val="COMTableheadingrow"/>
              <w:jc w:val="center"/>
            </w:pPr>
            <w:r>
              <w:t>Week 104</w:t>
            </w:r>
          </w:p>
        </w:tc>
        <w:tc>
          <w:tcPr>
            <w:tcW w:w="1218" w:type="dxa"/>
            <w:vAlign w:val="center"/>
          </w:tcPr>
          <w:p w14:paraId="6896E86A" w14:textId="77777777" w:rsidR="0079788A" w:rsidRDefault="0079788A">
            <w:pPr>
              <w:pStyle w:val="COMTableheadingrow"/>
              <w:jc w:val="center"/>
            </w:pPr>
            <w:r>
              <w:t xml:space="preserve">Mean % change (SE) </w:t>
            </w:r>
          </w:p>
        </w:tc>
        <w:tc>
          <w:tcPr>
            <w:tcW w:w="1799" w:type="dxa"/>
            <w:vMerge/>
            <w:vAlign w:val="center"/>
          </w:tcPr>
          <w:p w14:paraId="005F077F" w14:textId="77777777" w:rsidR="0079788A" w:rsidRDefault="0079788A">
            <w:pPr>
              <w:pStyle w:val="COMTabletext"/>
              <w:jc w:val="center"/>
            </w:pPr>
          </w:p>
        </w:tc>
      </w:tr>
      <w:tr w:rsidR="0079788A" w14:paraId="22C5B9C8" w14:textId="77777777" w:rsidTr="00423F84">
        <w:tc>
          <w:tcPr>
            <w:tcW w:w="961" w:type="dxa"/>
          </w:tcPr>
          <w:p w14:paraId="59990B29" w14:textId="77777777" w:rsidR="0079788A" w:rsidRDefault="0079788A">
            <w:pPr>
              <w:pStyle w:val="COMTabletext"/>
            </w:pPr>
            <w:r>
              <w:t>Weight, kg, mean (SD)</w:t>
            </w:r>
          </w:p>
        </w:tc>
        <w:tc>
          <w:tcPr>
            <w:tcW w:w="952" w:type="dxa"/>
            <w:vAlign w:val="center"/>
          </w:tcPr>
          <w:p w14:paraId="5F4E103D" w14:textId="77777777" w:rsidR="0079788A" w:rsidRDefault="0079788A">
            <w:pPr>
              <w:pStyle w:val="COMTabletext"/>
              <w:jc w:val="center"/>
            </w:pPr>
            <w:r>
              <w:t>96.5 (17.5)</w:t>
            </w:r>
          </w:p>
        </w:tc>
        <w:tc>
          <w:tcPr>
            <w:tcW w:w="1036" w:type="dxa"/>
            <w:vAlign w:val="center"/>
          </w:tcPr>
          <w:p w14:paraId="50D1E706" w14:textId="77777777" w:rsidR="0079788A" w:rsidRDefault="0079788A">
            <w:pPr>
              <w:pStyle w:val="COMTabletext"/>
              <w:jc w:val="center"/>
            </w:pPr>
            <w:r>
              <w:t>87.4 (17.7)</w:t>
            </w:r>
          </w:p>
        </w:tc>
        <w:tc>
          <w:tcPr>
            <w:tcW w:w="1106" w:type="dxa"/>
            <w:vAlign w:val="center"/>
          </w:tcPr>
          <w:p w14:paraId="1F98BC7B" w14:textId="77777777" w:rsidR="0079788A" w:rsidRDefault="0079788A">
            <w:pPr>
              <w:pStyle w:val="COMTabletext"/>
              <w:jc w:val="center"/>
            </w:pPr>
            <w:r>
              <w:t>-9.4% (0.1)</w:t>
            </w:r>
          </w:p>
        </w:tc>
        <w:tc>
          <w:tcPr>
            <w:tcW w:w="938" w:type="dxa"/>
            <w:vAlign w:val="center"/>
          </w:tcPr>
          <w:p w14:paraId="4183725B" w14:textId="77777777" w:rsidR="0079788A" w:rsidRDefault="0079788A">
            <w:pPr>
              <w:pStyle w:val="COMTabletext"/>
              <w:jc w:val="center"/>
            </w:pPr>
            <w:r>
              <w:t>96.8 (17.8)</w:t>
            </w:r>
          </w:p>
        </w:tc>
        <w:tc>
          <w:tcPr>
            <w:tcW w:w="1007" w:type="dxa"/>
            <w:vAlign w:val="center"/>
          </w:tcPr>
          <w:p w14:paraId="6AC6E552" w14:textId="77777777" w:rsidR="0079788A" w:rsidRDefault="0079788A">
            <w:pPr>
              <w:pStyle w:val="COMTabletext"/>
              <w:jc w:val="center"/>
            </w:pPr>
            <w:r>
              <w:t>95.5 (18.0)</w:t>
            </w:r>
          </w:p>
        </w:tc>
        <w:tc>
          <w:tcPr>
            <w:tcW w:w="1218" w:type="dxa"/>
            <w:vAlign w:val="center"/>
          </w:tcPr>
          <w:p w14:paraId="6B5879F1" w14:textId="77777777" w:rsidR="0079788A" w:rsidRDefault="0079788A">
            <w:pPr>
              <w:pStyle w:val="COMTabletext"/>
              <w:jc w:val="center"/>
            </w:pPr>
            <w:r>
              <w:t>-0.9 % (0.1)</w:t>
            </w:r>
          </w:p>
        </w:tc>
        <w:tc>
          <w:tcPr>
            <w:tcW w:w="1799" w:type="dxa"/>
            <w:vAlign w:val="center"/>
          </w:tcPr>
          <w:p w14:paraId="3C4AF5D5" w14:textId="77777777" w:rsidR="0079788A" w:rsidRDefault="0079788A">
            <w:pPr>
              <w:pStyle w:val="COMTabletext"/>
              <w:jc w:val="center"/>
            </w:pPr>
            <w:r>
              <w:t>-8.5% (-8.8, -8.3)</w:t>
            </w:r>
          </w:p>
        </w:tc>
      </w:tr>
    </w:tbl>
    <w:p w14:paraId="1674F97D" w14:textId="77777777" w:rsidR="0079788A" w:rsidRDefault="0079788A" w:rsidP="0079788A">
      <w:pPr>
        <w:pStyle w:val="COMTablefooter"/>
      </w:pPr>
      <w:r>
        <w:t>Source: Table 2-18, p77 of the resubmission; Table 14.2.108, p717 of the SELECT trial report</w:t>
      </w:r>
    </w:p>
    <w:p w14:paraId="109335A2" w14:textId="52F29D31" w:rsidR="0079788A" w:rsidRPr="002E1334" w:rsidRDefault="0079788A" w:rsidP="0079788A">
      <w:pPr>
        <w:pStyle w:val="COMTablefooter"/>
      </w:pPr>
      <w:r>
        <w:t>Abbreviations: CI, confidence interval; ITT, intention to treat; SD, standard deviation; SE, standard error</w:t>
      </w:r>
    </w:p>
    <w:p w14:paraId="4A2320D2" w14:textId="03A467CB" w:rsidR="00CC74A7" w:rsidRDefault="0079788A" w:rsidP="00CC74A7">
      <w:pPr>
        <w:pStyle w:val="COMESnumberedpara"/>
      </w:pPr>
      <w:r w:rsidRPr="0079788A">
        <w:t>Treatment with semaglutide was associated with a reduction in body weight over time compared to placebo. Mean body weight decreased from baseline through to Week 65 with semaglutide</w:t>
      </w:r>
      <w:r w:rsidR="00A62B0E">
        <w:t>,</w:t>
      </w:r>
      <w:r w:rsidRPr="0079788A">
        <w:t xml:space="preserve"> after which a plateau was reached and sustained for the remainder of the trial. With placebo, mean body weight appeared relatively stable throughout the trial.  </w:t>
      </w:r>
    </w:p>
    <w:p w14:paraId="48E30170" w14:textId="75156C2D" w:rsidR="00CC74A7" w:rsidRDefault="00CC74A7" w:rsidP="00CC74A7">
      <w:pPr>
        <w:pStyle w:val="COMESnumberedpara"/>
      </w:pPr>
      <w:r w:rsidRPr="001C3CE4">
        <w:t xml:space="preserve">Results from </w:t>
      </w:r>
      <w:r w:rsidRPr="001C3CE4">
        <w:rPr>
          <w:i/>
          <w:iCs/>
        </w:rPr>
        <w:t>post hoc</w:t>
      </w:r>
      <w:r w:rsidRPr="001C3CE4">
        <w:t xml:space="preserve"> subgroup analyses</w:t>
      </w:r>
      <w:r>
        <w:t xml:space="preserve"> suggested that</w:t>
      </w:r>
      <w:r w:rsidR="003F3A0A">
        <w:t xml:space="preserve"> baseline age,</w:t>
      </w:r>
      <w:r>
        <w:t xml:space="preserve"> sex, BMI category, region, race and waist-to-height ratio may all be treatment effect modifiers for weight change. The most notable difference was the estimated treatment difference in females (</w:t>
      </w:r>
      <w:r w:rsidR="0099523E">
        <w:t>-11.11</w:t>
      </w:r>
      <w:r w:rsidR="0028738F">
        <w:t>%</w:t>
      </w:r>
      <w:r w:rsidR="0099523E">
        <w:t>; 95% CI -11.56, -10.66</w:t>
      </w:r>
      <w:r>
        <w:t>) compared to males (</w:t>
      </w:r>
      <w:r w:rsidR="0099523E">
        <w:t>-7.50</w:t>
      </w:r>
      <w:r w:rsidR="0028738F">
        <w:t>%</w:t>
      </w:r>
      <w:r w:rsidR="0099523E">
        <w:t>; 95% CI -7.78, -7.23</w:t>
      </w:r>
      <w:r>
        <w:t>).</w:t>
      </w:r>
    </w:p>
    <w:p w14:paraId="51690C09" w14:textId="0C6E7645" w:rsidR="0028738F" w:rsidRDefault="00B42C7E" w:rsidP="0028738F">
      <w:pPr>
        <w:pStyle w:val="COMESnumberedpara"/>
      </w:pPr>
      <w:r w:rsidRPr="00B42C7E">
        <w:t xml:space="preserve">Treatment with semaglutide was associated with a decreased risk of events related to a deterioration in kidney function compared to placebo. The treatment effect was </w:t>
      </w:r>
      <w:r w:rsidRPr="00B42C7E">
        <w:lastRenderedPageBreak/>
        <w:t>mainly driven by the onset of persistent macroalbuminuria, with few occurrences of other events.</w:t>
      </w:r>
      <w:r>
        <w:t xml:space="preserve"> </w:t>
      </w:r>
      <w:r w:rsidRPr="00B42C7E">
        <w:t xml:space="preserve">There was a slight decline from baseline in </w:t>
      </w:r>
      <w:r>
        <w:t>estimate</w:t>
      </w:r>
      <w:r w:rsidR="00676A52">
        <w:t>d</w:t>
      </w:r>
      <w:r>
        <w:t xml:space="preserve"> glomerular filtration rate (eGFR)</w:t>
      </w:r>
      <w:r w:rsidRPr="00B42C7E">
        <w:t xml:space="preserve"> in both treatment groups over the trial duration. At 104 weeks, treatment with semaglutide was associated with a numerically smaller decline in eGFR compared to placebo (semaglutide -0.84, placebo -1.65; difference of 0.81 mL/min/1.73 m</w:t>
      </w:r>
      <w:r w:rsidRPr="00E818DC">
        <w:rPr>
          <w:vertAlign w:val="superscript"/>
        </w:rPr>
        <w:t>2</w:t>
      </w:r>
      <w:r w:rsidRPr="00B42C7E">
        <w:t>)</w:t>
      </w:r>
      <w:r w:rsidR="000E4EC4">
        <w:t>.</w:t>
      </w:r>
    </w:p>
    <w:p w14:paraId="16CC81F7" w14:textId="00151AF2" w:rsidR="0028738F" w:rsidRPr="0079788A" w:rsidRDefault="0028738F" w:rsidP="0028738F">
      <w:pPr>
        <w:pStyle w:val="COMESnumberedpara"/>
      </w:pPr>
      <w:r w:rsidRPr="001C3CE4">
        <w:t xml:space="preserve">Results from </w:t>
      </w:r>
      <w:r w:rsidRPr="001C3CE4">
        <w:rPr>
          <w:i/>
          <w:iCs/>
        </w:rPr>
        <w:t>post hoc</w:t>
      </w:r>
      <w:r w:rsidRPr="001C3CE4">
        <w:t xml:space="preserve"> subgroup analyses</w:t>
      </w:r>
      <w:r>
        <w:t xml:space="preserve"> of change in eGFR suggested that</w:t>
      </w:r>
      <w:r w:rsidR="00676A52">
        <w:t xml:space="preserve"> baseline</w:t>
      </w:r>
      <w:r>
        <w:t xml:space="preserve"> age, eGFR and BMI category may be treatment effect modifiers</w:t>
      </w:r>
      <w:r w:rsidRPr="0028738F">
        <w:t xml:space="preserve">. </w:t>
      </w:r>
      <w:proofErr w:type="gramStart"/>
      <w:r>
        <w:t>In particular, there</w:t>
      </w:r>
      <w:proofErr w:type="gramEnd"/>
      <w:r>
        <w:t xml:space="preserve"> was no statistically significant difference in eGFR decline for patients with early-stage disease but there were nominally significant improvements in eGFR for patient</w:t>
      </w:r>
      <w:r w:rsidR="00676A52">
        <w:t>s</w:t>
      </w:r>
      <w:r>
        <w:t xml:space="preserve"> with more advanced disease. Patients with more advanced disease in both treatment arm</w:t>
      </w:r>
      <w:r w:rsidR="00676A52">
        <w:t>s</w:t>
      </w:r>
      <w:r>
        <w:t xml:space="preserve"> typically demonstrated stabilisation or improvement in eGFR scores over time.</w:t>
      </w:r>
      <w:r w:rsidRPr="0028738F">
        <w:t xml:space="preserve"> </w:t>
      </w:r>
    </w:p>
    <w:p w14:paraId="7C101E9D" w14:textId="7151E5E8" w:rsidR="00E818DC" w:rsidRDefault="00E818DC" w:rsidP="00E818DC">
      <w:pPr>
        <w:pStyle w:val="COMESnumberedpara"/>
      </w:pPr>
      <w:r w:rsidRPr="00E818DC">
        <w:t>Treatment with semaglutide was associated with small improvements in EQ-5D-5L index</w:t>
      </w:r>
      <w:r>
        <w:t xml:space="preserve"> (treatment difference: </w:t>
      </w:r>
      <w:r w:rsidRPr="00E818DC">
        <w:t>0.01</w:t>
      </w:r>
      <w:r>
        <w:t>;</w:t>
      </w:r>
      <w:r w:rsidRPr="00E818DC">
        <w:t xml:space="preserve"> 95% CI 0.01, 0.02</w:t>
      </w:r>
      <w:r>
        <w:t>)</w:t>
      </w:r>
      <w:r w:rsidRPr="00E818DC">
        <w:t xml:space="preserve"> and visual analogue scores</w:t>
      </w:r>
      <w:r>
        <w:t xml:space="preserve"> </w:t>
      </w:r>
      <w:r w:rsidR="00676A52">
        <w:t>(treatment difference 1.60; 95% CI 1.16, 2.04)</w:t>
      </w:r>
      <w:r w:rsidRPr="00E818DC">
        <w:t xml:space="preserve"> compared to placebo.</w:t>
      </w:r>
    </w:p>
    <w:p w14:paraId="5B8E149A" w14:textId="72E8D2A3" w:rsidR="00BB6756" w:rsidRPr="00E818DC" w:rsidRDefault="00BB6756" w:rsidP="00E818DC">
      <w:pPr>
        <w:pStyle w:val="COMESnumberedpara"/>
      </w:pPr>
      <w:r w:rsidRPr="00BB6756">
        <w:t>Compared to the whole trial population, patients in higher BMI categories had lower baseline EQ-5D-5L index scores. There was a statistically significant interaction between subgroups based on the BMI threshold of 35 kg/m</w:t>
      </w:r>
      <w:r w:rsidRPr="00BB6756">
        <w:rPr>
          <w:vertAlign w:val="superscript"/>
        </w:rPr>
        <w:t>2</w:t>
      </w:r>
      <w:r w:rsidRPr="00BB6756">
        <w:t xml:space="preserve"> and a borderline statistically significant interaction based on the 40 kg/m</w:t>
      </w:r>
      <w:r w:rsidRPr="00BB6756">
        <w:rPr>
          <w:vertAlign w:val="superscript"/>
        </w:rPr>
        <w:t>2</w:t>
      </w:r>
      <w:r w:rsidRPr="00BB6756">
        <w:t xml:space="preserve"> threshold. Results for these </w:t>
      </w:r>
      <w:r w:rsidRPr="00CF4353">
        <w:rPr>
          <w:i/>
          <w:iCs/>
        </w:rPr>
        <w:t>post hoc</w:t>
      </w:r>
      <w:r w:rsidRPr="00BB6756">
        <w:t xml:space="preserve"> subgroups were </w:t>
      </w:r>
      <w:proofErr w:type="gramStart"/>
      <w:r w:rsidRPr="00BB6756">
        <w:t>similar to</w:t>
      </w:r>
      <w:proofErr w:type="gramEnd"/>
      <w:r w:rsidRPr="00BB6756">
        <w:t xml:space="preserve"> those in the ITT population, showing that semaglutide was associated with small improvements in EQ-5D-5L index scores compared to placebo</w:t>
      </w:r>
      <w:r w:rsidR="00C96298">
        <w:t>.</w:t>
      </w:r>
    </w:p>
    <w:p w14:paraId="1452C351" w14:textId="0D19F1B0" w:rsidR="00B60939" w:rsidRPr="0098262F" w:rsidRDefault="00B60939" w:rsidP="00D86231">
      <w:pPr>
        <w:pStyle w:val="COMESSubsectionheading"/>
      </w:pPr>
      <w:bookmarkStart w:id="33" w:name="_Toc22897642"/>
      <w:bookmarkStart w:id="34" w:name="_Toc208928368"/>
      <w:r w:rsidRPr="0098262F">
        <w:t>Comparative harms</w:t>
      </w:r>
      <w:bookmarkEnd w:id="33"/>
      <w:bookmarkEnd w:id="34"/>
    </w:p>
    <w:p w14:paraId="51CC65D8" w14:textId="7AB89C3E" w:rsidR="000C6211" w:rsidRPr="00D31B2F" w:rsidRDefault="081CFB2B" w:rsidP="0A99B0B1">
      <w:pPr>
        <w:pStyle w:val="COMESnumberedpara"/>
      </w:pPr>
      <w:r>
        <w:t xml:space="preserve">The SELECT trial collected data for all serious adverse events and selected pre-defined categories of adverse events (regardless of seriousness) such as adverse events leading to treatment discontinuation, COVID-19 related adverse events and other safety focus areas. Both the resubmission and TGA delegate noted that it would be difficult to identify new safety concerns (other than serious adverse events) given the non-systematic approach in the trial. Adverse events that were not serious or did not fall in any of the pre-defined adverse event categories would not necessarily be captured. However, the resubmission claimed that safety findings in the trial were consistent with data from the larger safety database which includes other semaglutide clinical trial programs and post-market surveillance.  </w:t>
      </w:r>
    </w:p>
    <w:p w14:paraId="1A4987EF" w14:textId="3D1A988C" w:rsidR="00CF4353" w:rsidRPr="00CF4353" w:rsidRDefault="00CF4353" w:rsidP="00CF4353">
      <w:pPr>
        <w:pStyle w:val="COMESnumberedpara"/>
      </w:pPr>
      <w:r w:rsidRPr="000C6211">
        <w:t xml:space="preserve">An overall summary of the adverse events reported in the SELECT trial is presented in </w:t>
      </w:r>
      <w:r>
        <w:fldChar w:fldCharType="begin"/>
      </w:r>
      <w:r>
        <w:instrText xml:space="preserve"> REF _Ref206945316 \h </w:instrText>
      </w:r>
      <w:r>
        <w:fldChar w:fldCharType="separate"/>
      </w:r>
      <w:r w:rsidR="004F1BBD">
        <w:t xml:space="preserve">Table </w:t>
      </w:r>
      <w:r w:rsidR="004F1BBD">
        <w:rPr>
          <w:noProof/>
        </w:rPr>
        <w:t>7</w:t>
      </w:r>
      <w:r>
        <w:fldChar w:fldCharType="end"/>
      </w:r>
      <w:r w:rsidRPr="000C6211">
        <w:t>.</w:t>
      </w:r>
    </w:p>
    <w:p w14:paraId="0B1949D3" w14:textId="37E7C054" w:rsidR="000C6211" w:rsidRPr="00E81DBB" w:rsidRDefault="00055136" w:rsidP="00055136">
      <w:pPr>
        <w:pStyle w:val="Caption"/>
      </w:pPr>
      <w:bookmarkStart w:id="35" w:name="_Ref206945316"/>
      <w:r>
        <w:lastRenderedPageBreak/>
        <w:t xml:space="preserve">Table </w:t>
      </w:r>
      <w:r w:rsidR="005448C5">
        <w:fldChar w:fldCharType="begin"/>
      </w:r>
      <w:r w:rsidR="005448C5">
        <w:instrText xml:space="preserve"> SEQ Table \* ARABIC </w:instrText>
      </w:r>
      <w:r w:rsidR="005448C5">
        <w:fldChar w:fldCharType="separate"/>
      </w:r>
      <w:r w:rsidR="004F1BBD">
        <w:rPr>
          <w:noProof/>
        </w:rPr>
        <w:t>7</w:t>
      </w:r>
      <w:r w:rsidR="005448C5">
        <w:rPr>
          <w:noProof/>
        </w:rPr>
        <w:fldChar w:fldCharType="end"/>
      </w:r>
      <w:bookmarkEnd w:id="35"/>
      <w:r w:rsidR="000C6211" w:rsidRPr="00E81DBB">
        <w:t xml:space="preserve">: Summary of adverse events in the </w:t>
      </w:r>
      <w:r w:rsidR="000C6211">
        <w:t>SELECT trial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Summary of adverse events in the SELECT trial"/>
      </w:tblPr>
      <w:tblGrid>
        <w:gridCol w:w="3523"/>
        <w:gridCol w:w="1373"/>
        <w:gridCol w:w="1374"/>
        <w:gridCol w:w="1373"/>
        <w:gridCol w:w="1374"/>
      </w:tblGrid>
      <w:tr w:rsidR="000C6211" w:rsidRPr="0098262F" w14:paraId="71375879" w14:textId="77777777" w:rsidTr="00423F84">
        <w:trPr>
          <w:tblHeader/>
        </w:trPr>
        <w:tc>
          <w:tcPr>
            <w:tcW w:w="3523" w:type="dxa"/>
            <w:vMerge w:val="restart"/>
            <w:vAlign w:val="center"/>
          </w:tcPr>
          <w:p w14:paraId="6431E417" w14:textId="77777777" w:rsidR="000C6211" w:rsidRPr="0098262F" w:rsidRDefault="000C6211">
            <w:pPr>
              <w:pStyle w:val="COMTableheadingrow"/>
            </w:pPr>
          </w:p>
        </w:tc>
        <w:tc>
          <w:tcPr>
            <w:tcW w:w="2747" w:type="dxa"/>
            <w:gridSpan w:val="2"/>
            <w:vAlign w:val="center"/>
          </w:tcPr>
          <w:p w14:paraId="690833C9" w14:textId="77777777" w:rsidR="000C6211" w:rsidRPr="0098262F" w:rsidRDefault="000C6211">
            <w:pPr>
              <w:pStyle w:val="COMTableheadingrow"/>
              <w:jc w:val="center"/>
            </w:pPr>
            <w:r>
              <w:t>Semaglutide (N = 8,803)</w:t>
            </w:r>
          </w:p>
        </w:tc>
        <w:tc>
          <w:tcPr>
            <w:tcW w:w="2747" w:type="dxa"/>
            <w:gridSpan w:val="2"/>
            <w:vAlign w:val="center"/>
          </w:tcPr>
          <w:p w14:paraId="7AB79E0D" w14:textId="77777777" w:rsidR="000C6211" w:rsidRPr="0098262F" w:rsidRDefault="000C6211">
            <w:pPr>
              <w:pStyle w:val="COMTableheadingrow"/>
              <w:jc w:val="center"/>
            </w:pPr>
            <w:r>
              <w:t>Placebo (N = 8,801)</w:t>
            </w:r>
          </w:p>
        </w:tc>
      </w:tr>
      <w:tr w:rsidR="000C6211" w:rsidRPr="0098262F" w14:paraId="1FB99AD6" w14:textId="77777777" w:rsidTr="00423F84">
        <w:tc>
          <w:tcPr>
            <w:tcW w:w="3523" w:type="dxa"/>
            <w:vMerge/>
            <w:vAlign w:val="center"/>
          </w:tcPr>
          <w:p w14:paraId="734A0E9E" w14:textId="77777777" w:rsidR="000C6211" w:rsidRPr="0098262F" w:rsidRDefault="000C6211">
            <w:pPr>
              <w:pStyle w:val="COMTabletext"/>
            </w:pPr>
          </w:p>
        </w:tc>
        <w:tc>
          <w:tcPr>
            <w:tcW w:w="1373" w:type="dxa"/>
            <w:vAlign w:val="center"/>
          </w:tcPr>
          <w:p w14:paraId="7B1FBC8E" w14:textId="77777777" w:rsidR="000C6211" w:rsidRPr="0098262F" w:rsidRDefault="000C6211">
            <w:pPr>
              <w:pStyle w:val="COMTableheadingrow"/>
              <w:jc w:val="center"/>
            </w:pPr>
            <w:r>
              <w:t>Incidence, n (%)</w:t>
            </w:r>
          </w:p>
        </w:tc>
        <w:tc>
          <w:tcPr>
            <w:tcW w:w="1374" w:type="dxa"/>
            <w:vAlign w:val="center"/>
          </w:tcPr>
          <w:p w14:paraId="0B9188DA" w14:textId="77777777" w:rsidR="000C6211" w:rsidRPr="0098262F" w:rsidRDefault="000C6211">
            <w:pPr>
              <w:pStyle w:val="COMTableheadingrow"/>
              <w:jc w:val="center"/>
            </w:pPr>
            <w:r>
              <w:t>Events, n (rate/100 pt-yrs)</w:t>
            </w:r>
          </w:p>
        </w:tc>
        <w:tc>
          <w:tcPr>
            <w:tcW w:w="1373" w:type="dxa"/>
            <w:vAlign w:val="center"/>
          </w:tcPr>
          <w:p w14:paraId="693BD102" w14:textId="77777777" w:rsidR="000C6211" w:rsidRPr="0098262F" w:rsidRDefault="000C6211">
            <w:pPr>
              <w:pStyle w:val="COMTableheadingrow"/>
              <w:jc w:val="center"/>
            </w:pPr>
            <w:r>
              <w:t>Incidence, n (%)</w:t>
            </w:r>
          </w:p>
        </w:tc>
        <w:tc>
          <w:tcPr>
            <w:tcW w:w="1374" w:type="dxa"/>
            <w:vAlign w:val="center"/>
          </w:tcPr>
          <w:p w14:paraId="36CE344F" w14:textId="77777777" w:rsidR="000C6211" w:rsidRPr="0098262F" w:rsidRDefault="000C6211">
            <w:pPr>
              <w:pStyle w:val="COMTableheadingrow"/>
              <w:jc w:val="center"/>
            </w:pPr>
            <w:r>
              <w:t>Events, n (rate/100 pt-yrs)</w:t>
            </w:r>
          </w:p>
        </w:tc>
      </w:tr>
      <w:tr w:rsidR="000C6211" w:rsidRPr="0098262F" w14:paraId="7544CE0A" w14:textId="77777777" w:rsidTr="00423F84">
        <w:tc>
          <w:tcPr>
            <w:tcW w:w="9017" w:type="dxa"/>
            <w:gridSpan w:val="5"/>
            <w:vAlign w:val="center"/>
          </w:tcPr>
          <w:p w14:paraId="2E75B8F1" w14:textId="77777777" w:rsidR="000C6211" w:rsidRDefault="000C6211">
            <w:pPr>
              <w:pStyle w:val="COMTableheadingrow"/>
            </w:pPr>
            <w:r>
              <w:t>Serious adverse events</w:t>
            </w:r>
          </w:p>
        </w:tc>
      </w:tr>
      <w:tr w:rsidR="000C6211" w:rsidRPr="0098262F" w14:paraId="52D7566F" w14:textId="77777777" w:rsidTr="00423F84">
        <w:tc>
          <w:tcPr>
            <w:tcW w:w="3523" w:type="dxa"/>
            <w:vAlign w:val="center"/>
          </w:tcPr>
          <w:p w14:paraId="6BA14353" w14:textId="77777777" w:rsidR="000C6211" w:rsidRPr="0098262F" w:rsidRDefault="000C6211">
            <w:pPr>
              <w:pStyle w:val="COMTabletext"/>
            </w:pPr>
            <w:r>
              <w:t>Serious events</w:t>
            </w:r>
          </w:p>
        </w:tc>
        <w:tc>
          <w:tcPr>
            <w:tcW w:w="1373" w:type="dxa"/>
            <w:vAlign w:val="center"/>
          </w:tcPr>
          <w:p w14:paraId="24A0C45C" w14:textId="77777777" w:rsidR="000C6211" w:rsidRPr="0098262F" w:rsidRDefault="000C6211">
            <w:pPr>
              <w:pStyle w:val="COMTabletext"/>
              <w:jc w:val="center"/>
            </w:pPr>
            <w:r>
              <w:t>2,941 (33.4)</w:t>
            </w:r>
          </w:p>
        </w:tc>
        <w:tc>
          <w:tcPr>
            <w:tcW w:w="1374" w:type="dxa"/>
            <w:vAlign w:val="center"/>
          </w:tcPr>
          <w:p w14:paraId="4699C4FA" w14:textId="77777777" w:rsidR="000C6211" w:rsidRPr="0098262F" w:rsidRDefault="000C6211">
            <w:pPr>
              <w:pStyle w:val="COMTabletext"/>
              <w:jc w:val="center"/>
            </w:pPr>
            <w:r>
              <w:t>6,622 (22.6)</w:t>
            </w:r>
          </w:p>
        </w:tc>
        <w:tc>
          <w:tcPr>
            <w:tcW w:w="1373" w:type="dxa"/>
            <w:vAlign w:val="center"/>
          </w:tcPr>
          <w:p w14:paraId="14269692" w14:textId="77777777" w:rsidR="000C6211" w:rsidRPr="0098262F" w:rsidRDefault="000C6211">
            <w:pPr>
              <w:pStyle w:val="COMTabletext"/>
              <w:jc w:val="center"/>
            </w:pPr>
            <w:r>
              <w:t>3204 (36.4)</w:t>
            </w:r>
          </w:p>
        </w:tc>
        <w:tc>
          <w:tcPr>
            <w:tcW w:w="1374" w:type="dxa"/>
          </w:tcPr>
          <w:p w14:paraId="276B1A29" w14:textId="77777777" w:rsidR="000C6211" w:rsidRPr="0098262F" w:rsidRDefault="000C6211">
            <w:pPr>
              <w:pStyle w:val="COMTabletext"/>
              <w:jc w:val="center"/>
            </w:pPr>
            <w:r>
              <w:t>7,507 (25.8)</w:t>
            </w:r>
          </w:p>
        </w:tc>
      </w:tr>
      <w:tr w:rsidR="000C6211" w:rsidRPr="0098262F" w14:paraId="6EAE5477" w14:textId="77777777" w:rsidTr="00423F84">
        <w:tc>
          <w:tcPr>
            <w:tcW w:w="3523" w:type="dxa"/>
            <w:vAlign w:val="center"/>
          </w:tcPr>
          <w:p w14:paraId="2A1BBB5D" w14:textId="77777777" w:rsidR="000C6211" w:rsidRPr="0098262F" w:rsidRDefault="000C6211">
            <w:pPr>
              <w:pStyle w:val="COMTabletext"/>
            </w:pPr>
            <w:r>
              <w:t>- Cardiac disorders</w:t>
            </w:r>
          </w:p>
        </w:tc>
        <w:tc>
          <w:tcPr>
            <w:tcW w:w="1373" w:type="dxa"/>
            <w:vAlign w:val="center"/>
          </w:tcPr>
          <w:p w14:paraId="04EFACDD" w14:textId="77777777" w:rsidR="000C6211" w:rsidRPr="0098262F" w:rsidRDefault="000C6211">
            <w:pPr>
              <w:pStyle w:val="COMTabletext"/>
              <w:jc w:val="center"/>
            </w:pPr>
            <w:r>
              <w:t>1,008 (11.5)</w:t>
            </w:r>
          </w:p>
        </w:tc>
        <w:tc>
          <w:tcPr>
            <w:tcW w:w="1374" w:type="dxa"/>
            <w:vAlign w:val="center"/>
          </w:tcPr>
          <w:p w14:paraId="79C75819" w14:textId="77777777" w:rsidR="000C6211" w:rsidRPr="0098262F" w:rsidRDefault="000C6211">
            <w:pPr>
              <w:pStyle w:val="COMTabletext"/>
              <w:jc w:val="center"/>
            </w:pPr>
            <w:r>
              <w:t>1,414 (4.8)</w:t>
            </w:r>
          </w:p>
        </w:tc>
        <w:tc>
          <w:tcPr>
            <w:tcW w:w="1373" w:type="dxa"/>
            <w:vAlign w:val="center"/>
          </w:tcPr>
          <w:p w14:paraId="6F8BB1AA" w14:textId="77777777" w:rsidR="000C6211" w:rsidRPr="0098262F" w:rsidRDefault="000C6211">
            <w:pPr>
              <w:pStyle w:val="COMTabletext"/>
              <w:jc w:val="center"/>
            </w:pPr>
            <w:r>
              <w:t>1,184 (13.5)</w:t>
            </w:r>
          </w:p>
        </w:tc>
        <w:tc>
          <w:tcPr>
            <w:tcW w:w="1374" w:type="dxa"/>
          </w:tcPr>
          <w:p w14:paraId="5D2BA6E4" w14:textId="77777777" w:rsidR="000C6211" w:rsidRPr="0098262F" w:rsidRDefault="000C6211">
            <w:pPr>
              <w:pStyle w:val="COMTabletext"/>
              <w:jc w:val="center"/>
            </w:pPr>
            <w:r>
              <w:t>1,800 (6.2)</w:t>
            </w:r>
          </w:p>
        </w:tc>
      </w:tr>
      <w:tr w:rsidR="000C6211" w:rsidRPr="0098262F" w14:paraId="6C0EBD63" w14:textId="77777777" w:rsidTr="00423F84">
        <w:tc>
          <w:tcPr>
            <w:tcW w:w="3523" w:type="dxa"/>
            <w:vAlign w:val="center"/>
          </w:tcPr>
          <w:p w14:paraId="30EB38B1" w14:textId="77777777" w:rsidR="000C6211" w:rsidRPr="0098262F" w:rsidRDefault="000C6211">
            <w:pPr>
              <w:pStyle w:val="COMTabletext"/>
            </w:pPr>
            <w:r>
              <w:t>- Infections and infestations</w:t>
            </w:r>
          </w:p>
        </w:tc>
        <w:tc>
          <w:tcPr>
            <w:tcW w:w="1373" w:type="dxa"/>
            <w:vAlign w:val="center"/>
          </w:tcPr>
          <w:p w14:paraId="4AEAA1A9" w14:textId="77777777" w:rsidR="000C6211" w:rsidRPr="0098262F" w:rsidRDefault="000C6211">
            <w:pPr>
              <w:pStyle w:val="COMTabletext"/>
              <w:jc w:val="center"/>
            </w:pPr>
            <w:r>
              <w:t>624 (7.1)</w:t>
            </w:r>
          </w:p>
        </w:tc>
        <w:tc>
          <w:tcPr>
            <w:tcW w:w="1374" w:type="dxa"/>
            <w:vAlign w:val="center"/>
          </w:tcPr>
          <w:p w14:paraId="2648B58D" w14:textId="77777777" w:rsidR="000C6211" w:rsidRPr="0098262F" w:rsidRDefault="000C6211">
            <w:pPr>
              <w:pStyle w:val="COMTabletext"/>
              <w:jc w:val="center"/>
            </w:pPr>
            <w:r>
              <w:t>805 (2.8)</w:t>
            </w:r>
          </w:p>
        </w:tc>
        <w:tc>
          <w:tcPr>
            <w:tcW w:w="1373" w:type="dxa"/>
            <w:vAlign w:val="center"/>
          </w:tcPr>
          <w:p w14:paraId="4E699DF1" w14:textId="77777777" w:rsidR="000C6211" w:rsidRPr="0098262F" w:rsidRDefault="000C6211">
            <w:pPr>
              <w:pStyle w:val="COMTabletext"/>
              <w:jc w:val="center"/>
            </w:pPr>
            <w:r>
              <w:t>738 (8.4)</w:t>
            </w:r>
          </w:p>
        </w:tc>
        <w:tc>
          <w:tcPr>
            <w:tcW w:w="1374" w:type="dxa"/>
          </w:tcPr>
          <w:p w14:paraId="44DCF779" w14:textId="77777777" w:rsidR="000C6211" w:rsidRPr="0098262F" w:rsidRDefault="000C6211">
            <w:pPr>
              <w:pStyle w:val="COMTabletext"/>
              <w:jc w:val="center"/>
            </w:pPr>
            <w:r>
              <w:t>937 (3.2)</w:t>
            </w:r>
          </w:p>
        </w:tc>
      </w:tr>
      <w:tr w:rsidR="000C6211" w:rsidRPr="0098262F" w14:paraId="12285E80" w14:textId="77777777" w:rsidTr="00423F84">
        <w:tc>
          <w:tcPr>
            <w:tcW w:w="3523" w:type="dxa"/>
            <w:vAlign w:val="center"/>
          </w:tcPr>
          <w:p w14:paraId="0C847667" w14:textId="77777777" w:rsidR="000C6211" w:rsidRPr="0098262F" w:rsidRDefault="000C6211">
            <w:pPr>
              <w:pStyle w:val="COMTabletext"/>
            </w:pPr>
            <w:r>
              <w:t>- Nervous system disorders</w:t>
            </w:r>
          </w:p>
        </w:tc>
        <w:tc>
          <w:tcPr>
            <w:tcW w:w="1373" w:type="dxa"/>
            <w:vAlign w:val="center"/>
          </w:tcPr>
          <w:p w14:paraId="50BF1593" w14:textId="77777777" w:rsidR="000C6211" w:rsidRPr="0098262F" w:rsidRDefault="000C6211">
            <w:pPr>
              <w:pStyle w:val="COMTabletext"/>
              <w:jc w:val="center"/>
            </w:pPr>
            <w:r>
              <w:t>444 (5.0)</w:t>
            </w:r>
          </w:p>
        </w:tc>
        <w:tc>
          <w:tcPr>
            <w:tcW w:w="1374" w:type="dxa"/>
            <w:vAlign w:val="center"/>
          </w:tcPr>
          <w:p w14:paraId="4DAB7F2B" w14:textId="77777777" w:rsidR="000C6211" w:rsidRPr="0098262F" w:rsidRDefault="000C6211">
            <w:pPr>
              <w:pStyle w:val="COMTabletext"/>
              <w:jc w:val="center"/>
            </w:pPr>
            <w:r>
              <w:t>544 (1.9)</w:t>
            </w:r>
          </w:p>
        </w:tc>
        <w:tc>
          <w:tcPr>
            <w:tcW w:w="1373" w:type="dxa"/>
            <w:vAlign w:val="center"/>
          </w:tcPr>
          <w:p w14:paraId="473A7B7F" w14:textId="77777777" w:rsidR="000C6211" w:rsidRPr="0098262F" w:rsidRDefault="000C6211">
            <w:pPr>
              <w:pStyle w:val="COMTabletext"/>
              <w:jc w:val="center"/>
            </w:pPr>
            <w:r>
              <w:t>496 (5.6)</w:t>
            </w:r>
          </w:p>
        </w:tc>
        <w:tc>
          <w:tcPr>
            <w:tcW w:w="1374" w:type="dxa"/>
          </w:tcPr>
          <w:p w14:paraId="29A0A00A" w14:textId="77777777" w:rsidR="000C6211" w:rsidRPr="0098262F" w:rsidRDefault="000C6211">
            <w:pPr>
              <w:pStyle w:val="COMTabletext"/>
              <w:jc w:val="center"/>
            </w:pPr>
            <w:r>
              <w:t>623 (2.1)</w:t>
            </w:r>
          </w:p>
        </w:tc>
      </w:tr>
      <w:tr w:rsidR="000C6211" w:rsidRPr="0098262F" w14:paraId="472ADD54" w14:textId="77777777" w:rsidTr="00423F84">
        <w:tc>
          <w:tcPr>
            <w:tcW w:w="3523" w:type="dxa"/>
            <w:vAlign w:val="center"/>
          </w:tcPr>
          <w:p w14:paraId="31BE1730" w14:textId="77777777" w:rsidR="000C6211" w:rsidRPr="0098262F" w:rsidRDefault="000C6211">
            <w:pPr>
              <w:pStyle w:val="COMTabletext"/>
            </w:pPr>
            <w:r>
              <w:t>- Surgical and medical procedures</w:t>
            </w:r>
          </w:p>
        </w:tc>
        <w:tc>
          <w:tcPr>
            <w:tcW w:w="1373" w:type="dxa"/>
            <w:vAlign w:val="center"/>
          </w:tcPr>
          <w:p w14:paraId="648C593D" w14:textId="77777777" w:rsidR="000C6211" w:rsidRPr="0098262F" w:rsidRDefault="000C6211">
            <w:pPr>
              <w:pStyle w:val="COMTabletext"/>
              <w:jc w:val="center"/>
            </w:pPr>
            <w:r>
              <w:t>433 (4.9)</w:t>
            </w:r>
          </w:p>
        </w:tc>
        <w:tc>
          <w:tcPr>
            <w:tcW w:w="1374" w:type="dxa"/>
            <w:vAlign w:val="center"/>
          </w:tcPr>
          <w:p w14:paraId="774859F7" w14:textId="77777777" w:rsidR="000C6211" w:rsidRPr="0098262F" w:rsidRDefault="000C6211">
            <w:pPr>
              <w:pStyle w:val="COMTabletext"/>
              <w:jc w:val="center"/>
            </w:pPr>
            <w:r>
              <w:t>516 (1.8)</w:t>
            </w:r>
          </w:p>
        </w:tc>
        <w:tc>
          <w:tcPr>
            <w:tcW w:w="1373" w:type="dxa"/>
            <w:vAlign w:val="center"/>
          </w:tcPr>
          <w:p w14:paraId="2DB04CA5" w14:textId="77777777" w:rsidR="000C6211" w:rsidRPr="0098262F" w:rsidRDefault="000C6211">
            <w:pPr>
              <w:pStyle w:val="COMTabletext"/>
              <w:jc w:val="center"/>
            </w:pPr>
            <w:r>
              <w:t>548 (6.2)</w:t>
            </w:r>
          </w:p>
        </w:tc>
        <w:tc>
          <w:tcPr>
            <w:tcW w:w="1374" w:type="dxa"/>
          </w:tcPr>
          <w:p w14:paraId="5F792FC7" w14:textId="77777777" w:rsidR="000C6211" w:rsidRPr="0098262F" w:rsidRDefault="000C6211">
            <w:pPr>
              <w:pStyle w:val="COMTabletext"/>
              <w:jc w:val="center"/>
            </w:pPr>
            <w:r>
              <w:t>675 (2.3)</w:t>
            </w:r>
          </w:p>
        </w:tc>
      </w:tr>
      <w:tr w:rsidR="000C6211" w:rsidRPr="0098262F" w14:paraId="00A5908F" w14:textId="77777777" w:rsidTr="00423F84">
        <w:tc>
          <w:tcPr>
            <w:tcW w:w="3523" w:type="dxa"/>
            <w:vAlign w:val="center"/>
          </w:tcPr>
          <w:p w14:paraId="5279B8E7" w14:textId="77777777" w:rsidR="000C6211" w:rsidRPr="0098262F" w:rsidRDefault="000C6211">
            <w:pPr>
              <w:pStyle w:val="COMTabletext"/>
            </w:pPr>
            <w:r>
              <w:t>- Neoplasms benign, malignant, unspecified</w:t>
            </w:r>
          </w:p>
        </w:tc>
        <w:tc>
          <w:tcPr>
            <w:tcW w:w="1373" w:type="dxa"/>
            <w:vAlign w:val="center"/>
          </w:tcPr>
          <w:p w14:paraId="22B76A82" w14:textId="77777777" w:rsidR="000C6211" w:rsidRPr="0098262F" w:rsidRDefault="000C6211">
            <w:pPr>
              <w:pStyle w:val="COMTabletext"/>
              <w:jc w:val="center"/>
            </w:pPr>
            <w:r>
              <w:t>405 (4.6)</w:t>
            </w:r>
          </w:p>
        </w:tc>
        <w:tc>
          <w:tcPr>
            <w:tcW w:w="1374" w:type="dxa"/>
            <w:vAlign w:val="center"/>
          </w:tcPr>
          <w:p w14:paraId="717DC8FA" w14:textId="77777777" w:rsidR="000C6211" w:rsidRPr="0098262F" w:rsidRDefault="000C6211">
            <w:pPr>
              <w:pStyle w:val="COMTabletext"/>
              <w:jc w:val="center"/>
            </w:pPr>
            <w:r>
              <w:t>478 (1.6)</w:t>
            </w:r>
          </w:p>
        </w:tc>
        <w:tc>
          <w:tcPr>
            <w:tcW w:w="1373" w:type="dxa"/>
            <w:vAlign w:val="center"/>
          </w:tcPr>
          <w:p w14:paraId="0194112A" w14:textId="77777777" w:rsidR="000C6211" w:rsidRPr="0098262F" w:rsidRDefault="000C6211">
            <w:pPr>
              <w:pStyle w:val="COMTabletext"/>
              <w:jc w:val="center"/>
            </w:pPr>
            <w:r>
              <w:t>402 (4.6)</w:t>
            </w:r>
          </w:p>
        </w:tc>
        <w:tc>
          <w:tcPr>
            <w:tcW w:w="1374" w:type="dxa"/>
          </w:tcPr>
          <w:p w14:paraId="286332EE" w14:textId="77777777" w:rsidR="000C6211" w:rsidRPr="0098262F" w:rsidRDefault="000C6211">
            <w:pPr>
              <w:pStyle w:val="COMTabletext"/>
              <w:jc w:val="center"/>
            </w:pPr>
            <w:r>
              <w:t>462 (1.6)</w:t>
            </w:r>
          </w:p>
        </w:tc>
      </w:tr>
      <w:tr w:rsidR="000C6211" w:rsidRPr="0098262F" w14:paraId="0805D5B6" w14:textId="77777777" w:rsidTr="00423F84">
        <w:tc>
          <w:tcPr>
            <w:tcW w:w="3523" w:type="dxa"/>
            <w:vAlign w:val="center"/>
          </w:tcPr>
          <w:p w14:paraId="6AA7707C" w14:textId="77777777" w:rsidR="000C6211" w:rsidRPr="0098262F" w:rsidRDefault="000C6211">
            <w:pPr>
              <w:pStyle w:val="COMTabletext"/>
            </w:pPr>
            <w:r>
              <w:t>- Gastrointestinal disorders</w:t>
            </w:r>
          </w:p>
        </w:tc>
        <w:tc>
          <w:tcPr>
            <w:tcW w:w="1373" w:type="dxa"/>
            <w:vAlign w:val="center"/>
          </w:tcPr>
          <w:p w14:paraId="349345E3" w14:textId="77777777" w:rsidR="000C6211" w:rsidRPr="0098262F" w:rsidRDefault="000C6211">
            <w:pPr>
              <w:pStyle w:val="COMTabletext"/>
              <w:jc w:val="center"/>
            </w:pPr>
            <w:r>
              <w:t>342 (3.9)</w:t>
            </w:r>
          </w:p>
        </w:tc>
        <w:tc>
          <w:tcPr>
            <w:tcW w:w="1374" w:type="dxa"/>
            <w:vAlign w:val="center"/>
          </w:tcPr>
          <w:p w14:paraId="10ECF454" w14:textId="77777777" w:rsidR="000C6211" w:rsidRPr="0098262F" w:rsidRDefault="000C6211">
            <w:pPr>
              <w:pStyle w:val="COMTabletext"/>
              <w:jc w:val="center"/>
            </w:pPr>
            <w:r>
              <w:t>455 (1.6)</w:t>
            </w:r>
          </w:p>
        </w:tc>
        <w:tc>
          <w:tcPr>
            <w:tcW w:w="1373" w:type="dxa"/>
            <w:vAlign w:val="center"/>
          </w:tcPr>
          <w:p w14:paraId="6D65EC57" w14:textId="77777777" w:rsidR="000C6211" w:rsidRPr="0098262F" w:rsidRDefault="000C6211">
            <w:pPr>
              <w:pStyle w:val="COMTabletext"/>
              <w:jc w:val="center"/>
            </w:pPr>
            <w:r>
              <w:t>323 (3.7)</w:t>
            </w:r>
          </w:p>
        </w:tc>
        <w:tc>
          <w:tcPr>
            <w:tcW w:w="1374" w:type="dxa"/>
          </w:tcPr>
          <w:p w14:paraId="7A28BDCA" w14:textId="77777777" w:rsidR="000C6211" w:rsidRPr="0098262F" w:rsidRDefault="000C6211">
            <w:pPr>
              <w:pStyle w:val="COMTabletext"/>
              <w:jc w:val="center"/>
            </w:pPr>
            <w:r>
              <w:t>403 (1.4)</w:t>
            </w:r>
          </w:p>
        </w:tc>
      </w:tr>
      <w:tr w:rsidR="000C6211" w:rsidRPr="0098262F" w14:paraId="59F58E48" w14:textId="77777777" w:rsidTr="00423F84">
        <w:tc>
          <w:tcPr>
            <w:tcW w:w="3523" w:type="dxa"/>
            <w:vAlign w:val="center"/>
          </w:tcPr>
          <w:p w14:paraId="62E46D2C" w14:textId="77777777" w:rsidR="000C6211" w:rsidRPr="00B642DA" w:rsidRDefault="000C6211">
            <w:pPr>
              <w:pStyle w:val="COMTabletext"/>
              <w:rPr>
                <w:vertAlign w:val="superscript"/>
              </w:rPr>
            </w:pPr>
            <w:r>
              <w:t xml:space="preserve">Serious events that were fatal </w:t>
            </w:r>
            <w:r>
              <w:rPr>
                <w:vertAlign w:val="superscript"/>
              </w:rPr>
              <w:t>a</w:t>
            </w:r>
          </w:p>
        </w:tc>
        <w:tc>
          <w:tcPr>
            <w:tcW w:w="1373" w:type="dxa"/>
            <w:vAlign w:val="center"/>
          </w:tcPr>
          <w:p w14:paraId="703D2AD1" w14:textId="77777777" w:rsidR="000C6211" w:rsidRDefault="000C6211">
            <w:pPr>
              <w:pStyle w:val="COMTabletext"/>
              <w:jc w:val="center"/>
            </w:pPr>
            <w:r>
              <w:t>371 (4.2)</w:t>
            </w:r>
          </w:p>
        </w:tc>
        <w:tc>
          <w:tcPr>
            <w:tcW w:w="1374" w:type="dxa"/>
            <w:vAlign w:val="center"/>
          </w:tcPr>
          <w:p w14:paraId="75A07B19" w14:textId="77777777" w:rsidR="000C6211" w:rsidRPr="00AE4ADE" w:rsidRDefault="000C6211">
            <w:pPr>
              <w:pStyle w:val="COMTabletext"/>
              <w:jc w:val="center"/>
              <w:rPr>
                <w:vertAlign w:val="superscript"/>
              </w:rPr>
            </w:pPr>
            <w:r>
              <w:t>480 (1.6)</w:t>
            </w:r>
          </w:p>
        </w:tc>
        <w:tc>
          <w:tcPr>
            <w:tcW w:w="1373" w:type="dxa"/>
            <w:vAlign w:val="center"/>
          </w:tcPr>
          <w:p w14:paraId="289F72EF" w14:textId="77777777" w:rsidR="000C6211" w:rsidRDefault="000C6211">
            <w:pPr>
              <w:pStyle w:val="COMTabletext"/>
              <w:jc w:val="center"/>
            </w:pPr>
            <w:r>
              <w:t>460 (5.2)</w:t>
            </w:r>
          </w:p>
        </w:tc>
        <w:tc>
          <w:tcPr>
            <w:tcW w:w="1374" w:type="dxa"/>
          </w:tcPr>
          <w:p w14:paraId="0808F040" w14:textId="77777777" w:rsidR="000C6211" w:rsidRPr="00AE4ADE" w:rsidRDefault="000C6211">
            <w:pPr>
              <w:pStyle w:val="COMTabletext"/>
              <w:jc w:val="center"/>
            </w:pPr>
            <w:r>
              <w:t>595 (2.0)</w:t>
            </w:r>
          </w:p>
        </w:tc>
      </w:tr>
      <w:tr w:rsidR="000C6211" w:rsidRPr="0098262F" w14:paraId="53BD3060" w14:textId="77777777" w:rsidTr="00423F84">
        <w:tc>
          <w:tcPr>
            <w:tcW w:w="9017" w:type="dxa"/>
            <w:gridSpan w:val="5"/>
            <w:vAlign w:val="center"/>
          </w:tcPr>
          <w:p w14:paraId="3C60417D" w14:textId="77777777" w:rsidR="000C6211" w:rsidRPr="0098262F" w:rsidRDefault="000C6211">
            <w:pPr>
              <w:pStyle w:val="COMTableheadingrow"/>
            </w:pPr>
            <w:r>
              <w:t>Adverse events leading to trial product discontinuation (including non-serious events)</w:t>
            </w:r>
          </w:p>
        </w:tc>
      </w:tr>
      <w:tr w:rsidR="000C6211" w:rsidRPr="0098262F" w14:paraId="285A2CA3" w14:textId="77777777" w:rsidTr="00423F84">
        <w:tc>
          <w:tcPr>
            <w:tcW w:w="3523" w:type="dxa"/>
            <w:vAlign w:val="center"/>
          </w:tcPr>
          <w:p w14:paraId="1BF5B628" w14:textId="77777777" w:rsidR="000C6211" w:rsidRDefault="000C6211">
            <w:pPr>
              <w:pStyle w:val="COMTabletext"/>
            </w:pPr>
            <w:r>
              <w:t>Permanent treatment discontinuation</w:t>
            </w:r>
          </w:p>
        </w:tc>
        <w:tc>
          <w:tcPr>
            <w:tcW w:w="1373" w:type="dxa"/>
            <w:vAlign w:val="center"/>
          </w:tcPr>
          <w:p w14:paraId="3C59E9DC" w14:textId="77777777" w:rsidR="000C6211" w:rsidRDefault="000C6211">
            <w:pPr>
              <w:pStyle w:val="COMTabletext"/>
              <w:jc w:val="center"/>
            </w:pPr>
            <w:r>
              <w:t>1,461 (16.6)</w:t>
            </w:r>
          </w:p>
        </w:tc>
        <w:tc>
          <w:tcPr>
            <w:tcW w:w="1374" w:type="dxa"/>
            <w:vAlign w:val="center"/>
          </w:tcPr>
          <w:p w14:paraId="606D61C8" w14:textId="77777777" w:rsidR="000C6211" w:rsidRPr="0098262F" w:rsidRDefault="000C6211">
            <w:pPr>
              <w:pStyle w:val="COMTabletext"/>
              <w:jc w:val="center"/>
            </w:pPr>
            <w:r>
              <w:t>2,073 (7.1)</w:t>
            </w:r>
          </w:p>
        </w:tc>
        <w:tc>
          <w:tcPr>
            <w:tcW w:w="1373" w:type="dxa"/>
            <w:vAlign w:val="center"/>
          </w:tcPr>
          <w:p w14:paraId="5F4D0CB9" w14:textId="77777777" w:rsidR="000C6211" w:rsidRDefault="000C6211">
            <w:pPr>
              <w:pStyle w:val="COMTabletext"/>
              <w:jc w:val="center"/>
            </w:pPr>
            <w:r>
              <w:t>718 (8.2)</w:t>
            </w:r>
          </w:p>
        </w:tc>
        <w:tc>
          <w:tcPr>
            <w:tcW w:w="1374" w:type="dxa"/>
          </w:tcPr>
          <w:p w14:paraId="29EDF198" w14:textId="77777777" w:rsidR="000C6211" w:rsidRPr="0098262F" w:rsidRDefault="000C6211">
            <w:pPr>
              <w:pStyle w:val="COMTabletext"/>
              <w:jc w:val="center"/>
            </w:pPr>
            <w:r>
              <w:t>907 (3.1)</w:t>
            </w:r>
          </w:p>
        </w:tc>
      </w:tr>
      <w:tr w:rsidR="000C6211" w:rsidRPr="0098262F" w14:paraId="214E74C7" w14:textId="77777777" w:rsidTr="00423F84">
        <w:tc>
          <w:tcPr>
            <w:tcW w:w="3523" w:type="dxa"/>
            <w:vAlign w:val="center"/>
          </w:tcPr>
          <w:p w14:paraId="266F2995" w14:textId="77777777" w:rsidR="000C6211" w:rsidRPr="0098262F" w:rsidRDefault="000C6211">
            <w:pPr>
              <w:pStyle w:val="COMTabletext"/>
            </w:pPr>
            <w:r>
              <w:t>- Gastrointestinal disorders</w:t>
            </w:r>
          </w:p>
        </w:tc>
        <w:tc>
          <w:tcPr>
            <w:tcW w:w="1373" w:type="dxa"/>
            <w:vAlign w:val="center"/>
          </w:tcPr>
          <w:p w14:paraId="119AEDBB" w14:textId="77777777" w:rsidR="000C6211" w:rsidRPr="0098262F" w:rsidRDefault="000C6211">
            <w:pPr>
              <w:pStyle w:val="COMTabletext"/>
              <w:jc w:val="center"/>
            </w:pPr>
            <w:r>
              <w:t>880 (10.0)</w:t>
            </w:r>
          </w:p>
        </w:tc>
        <w:tc>
          <w:tcPr>
            <w:tcW w:w="1374" w:type="dxa"/>
            <w:vAlign w:val="center"/>
          </w:tcPr>
          <w:p w14:paraId="7F9EE609" w14:textId="77777777" w:rsidR="000C6211" w:rsidRPr="0098262F" w:rsidRDefault="000C6211">
            <w:pPr>
              <w:pStyle w:val="COMTabletext"/>
              <w:jc w:val="center"/>
            </w:pPr>
            <w:r>
              <w:t>1,195 (4.1)</w:t>
            </w:r>
          </w:p>
        </w:tc>
        <w:tc>
          <w:tcPr>
            <w:tcW w:w="1373" w:type="dxa"/>
            <w:vAlign w:val="center"/>
          </w:tcPr>
          <w:p w14:paraId="0DEBF5F0" w14:textId="77777777" w:rsidR="000C6211" w:rsidRPr="0098262F" w:rsidRDefault="000C6211">
            <w:pPr>
              <w:pStyle w:val="COMTabletext"/>
              <w:jc w:val="center"/>
            </w:pPr>
            <w:r>
              <w:t>172 (2.0)</w:t>
            </w:r>
          </w:p>
        </w:tc>
        <w:tc>
          <w:tcPr>
            <w:tcW w:w="1374" w:type="dxa"/>
          </w:tcPr>
          <w:p w14:paraId="3046A5AC" w14:textId="77777777" w:rsidR="000C6211" w:rsidRPr="0098262F" w:rsidRDefault="000C6211">
            <w:pPr>
              <w:pStyle w:val="COMTabletext"/>
              <w:jc w:val="center"/>
            </w:pPr>
            <w:r>
              <w:t>200 (0.7)</w:t>
            </w:r>
          </w:p>
        </w:tc>
      </w:tr>
      <w:tr w:rsidR="000C6211" w:rsidRPr="0098262F" w14:paraId="27161865" w14:textId="77777777" w:rsidTr="00423F84">
        <w:tc>
          <w:tcPr>
            <w:tcW w:w="3523" w:type="dxa"/>
            <w:vAlign w:val="center"/>
          </w:tcPr>
          <w:p w14:paraId="59E2C019" w14:textId="77777777" w:rsidR="000C6211" w:rsidRPr="0098262F" w:rsidRDefault="000C6211">
            <w:pPr>
              <w:pStyle w:val="COMTabletext"/>
            </w:pPr>
            <w:r>
              <w:t>- Nervous system disorders</w:t>
            </w:r>
          </w:p>
        </w:tc>
        <w:tc>
          <w:tcPr>
            <w:tcW w:w="1373" w:type="dxa"/>
            <w:vAlign w:val="center"/>
          </w:tcPr>
          <w:p w14:paraId="6AF055B2" w14:textId="77777777" w:rsidR="000C6211" w:rsidRPr="0098262F" w:rsidRDefault="000C6211">
            <w:pPr>
              <w:pStyle w:val="COMTabletext"/>
              <w:jc w:val="center"/>
            </w:pPr>
            <w:r>
              <w:t>124 (1.4)</w:t>
            </w:r>
          </w:p>
        </w:tc>
        <w:tc>
          <w:tcPr>
            <w:tcW w:w="1374" w:type="dxa"/>
            <w:vAlign w:val="center"/>
          </w:tcPr>
          <w:p w14:paraId="21148CF8" w14:textId="77777777" w:rsidR="000C6211" w:rsidRPr="0098262F" w:rsidRDefault="000C6211">
            <w:pPr>
              <w:pStyle w:val="COMTabletext"/>
              <w:jc w:val="center"/>
            </w:pPr>
            <w:r>
              <w:t>128 (0.4)</w:t>
            </w:r>
          </w:p>
        </w:tc>
        <w:tc>
          <w:tcPr>
            <w:tcW w:w="1373" w:type="dxa"/>
            <w:vAlign w:val="center"/>
          </w:tcPr>
          <w:p w14:paraId="2C70D0F3" w14:textId="77777777" w:rsidR="000C6211" w:rsidRPr="0098262F" w:rsidRDefault="000C6211">
            <w:pPr>
              <w:pStyle w:val="COMTabletext"/>
              <w:jc w:val="center"/>
            </w:pPr>
            <w:r>
              <w:t>92 (1.0)</w:t>
            </w:r>
          </w:p>
        </w:tc>
        <w:tc>
          <w:tcPr>
            <w:tcW w:w="1374" w:type="dxa"/>
          </w:tcPr>
          <w:p w14:paraId="7F0CBF5C" w14:textId="77777777" w:rsidR="000C6211" w:rsidRPr="0098262F" w:rsidRDefault="000C6211">
            <w:pPr>
              <w:pStyle w:val="COMTabletext"/>
              <w:jc w:val="center"/>
            </w:pPr>
            <w:r>
              <w:t>101 (0.4)</w:t>
            </w:r>
          </w:p>
        </w:tc>
      </w:tr>
      <w:tr w:rsidR="000C6211" w:rsidRPr="0098262F" w14:paraId="2C55755F" w14:textId="77777777" w:rsidTr="00423F84">
        <w:tc>
          <w:tcPr>
            <w:tcW w:w="3523" w:type="dxa"/>
            <w:vAlign w:val="center"/>
          </w:tcPr>
          <w:p w14:paraId="15B2AACB" w14:textId="77777777" w:rsidR="000C6211" w:rsidRPr="0098262F" w:rsidRDefault="000C6211">
            <w:pPr>
              <w:pStyle w:val="COMTabletext"/>
            </w:pPr>
            <w:r>
              <w:t>- Metabolism and nutrition disorders</w:t>
            </w:r>
          </w:p>
        </w:tc>
        <w:tc>
          <w:tcPr>
            <w:tcW w:w="1373" w:type="dxa"/>
            <w:vAlign w:val="center"/>
          </w:tcPr>
          <w:p w14:paraId="024EE7E5" w14:textId="77777777" w:rsidR="000C6211" w:rsidRPr="0098262F" w:rsidRDefault="000C6211">
            <w:pPr>
              <w:pStyle w:val="COMTabletext"/>
              <w:jc w:val="center"/>
            </w:pPr>
            <w:r>
              <w:t>108 (1.2)</w:t>
            </w:r>
          </w:p>
        </w:tc>
        <w:tc>
          <w:tcPr>
            <w:tcW w:w="1374" w:type="dxa"/>
            <w:vAlign w:val="center"/>
          </w:tcPr>
          <w:p w14:paraId="2822EDDF" w14:textId="77777777" w:rsidR="000C6211" w:rsidRPr="0098262F" w:rsidRDefault="000C6211">
            <w:pPr>
              <w:pStyle w:val="COMTabletext"/>
              <w:jc w:val="center"/>
            </w:pPr>
            <w:r>
              <w:t>111 (0.4)</w:t>
            </w:r>
          </w:p>
        </w:tc>
        <w:tc>
          <w:tcPr>
            <w:tcW w:w="1373" w:type="dxa"/>
            <w:vAlign w:val="center"/>
          </w:tcPr>
          <w:p w14:paraId="5F0C47E6" w14:textId="77777777" w:rsidR="000C6211" w:rsidRPr="0098262F" w:rsidRDefault="000C6211">
            <w:pPr>
              <w:pStyle w:val="COMTabletext"/>
              <w:jc w:val="center"/>
            </w:pPr>
            <w:r>
              <w:t>27 (0.3)</w:t>
            </w:r>
          </w:p>
        </w:tc>
        <w:tc>
          <w:tcPr>
            <w:tcW w:w="1374" w:type="dxa"/>
          </w:tcPr>
          <w:p w14:paraId="752F22C2" w14:textId="77777777" w:rsidR="000C6211" w:rsidRPr="0098262F" w:rsidRDefault="000C6211">
            <w:pPr>
              <w:pStyle w:val="COMTabletext"/>
              <w:jc w:val="center"/>
            </w:pPr>
            <w:r>
              <w:t>29 (0.1)</w:t>
            </w:r>
          </w:p>
        </w:tc>
      </w:tr>
      <w:tr w:rsidR="000C6211" w:rsidRPr="0098262F" w14:paraId="14AB5A24" w14:textId="77777777" w:rsidTr="00423F84">
        <w:tc>
          <w:tcPr>
            <w:tcW w:w="3523" w:type="dxa"/>
            <w:vAlign w:val="center"/>
          </w:tcPr>
          <w:p w14:paraId="658491F4" w14:textId="77777777" w:rsidR="000C6211" w:rsidRPr="0098262F" w:rsidRDefault="000C6211">
            <w:pPr>
              <w:pStyle w:val="COMTabletext"/>
            </w:pPr>
            <w:r>
              <w:t>- General disorders and administration site</w:t>
            </w:r>
          </w:p>
        </w:tc>
        <w:tc>
          <w:tcPr>
            <w:tcW w:w="1373" w:type="dxa"/>
            <w:vAlign w:val="center"/>
          </w:tcPr>
          <w:p w14:paraId="29E032AE" w14:textId="77777777" w:rsidR="000C6211" w:rsidRPr="0098262F" w:rsidRDefault="000C6211">
            <w:pPr>
              <w:pStyle w:val="COMTabletext"/>
              <w:jc w:val="center"/>
            </w:pPr>
            <w:r>
              <w:t>105 (1.2)</w:t>
            </w:r>
          </w:p>
        </w:tc>
        <w:tc>
          <w:tcPr>
            <w:tcW w:w="1374" w:type="dxa"/>
            <w:vAlign w:val="center"/>
          </w:tcPr>
          <w:p w14:paraId="19050C6A" w14:textId="77777777" w:rsidR="000C6211" w:rsidRPr="0098262F" w:rsidRDefault="000C6211">
            <w:pPr>
              <w:pStyle w:val="COMTabletext"/>
              <w:jc w:val="center"/>
            </w:pPr>
            <w:r>
              <w:t>106 (0.4)</w:t>
            </w:r>
          </w:p>
        </w:tc>
        <w:tc>
          <w:tcPr>
            <w:tcW w:w="1373" w:type="dxa"/>
            <w:vAlign w:val="center"/>
          </w:tcPr>
          <w:p w14:paraId="71B9F1C2" w14:textId="77777777" w:rsidR="000C6211" w:rsidRPr="0098262F" w:rsidRDefault="000C6211">
            <w:pPr>
              <w:pStyle w:val="COMTabletext"/>
              <w:jc w:val="center"/>
            </w:pPr>
            <w:r>
              <w:t>47 (0.5)</w:t>
            </w:r>
          </w:p>
        </w:tc>
        <w:tc>
          <w:tcPr>
            <w:tcW w:w="1374" w:type="dxa"/>
          </w:tcPr>
          <w:p w14:paraId="057C829C" w14:textId="77777777" w:rsidR="000C6211" w:rsidRPr="0098262F" w:rsidRDefault="000C6211">
            <w:pPr>
              <w:pStyle w:val="COMTabletext"/>
              <w:jc w:val="center"/>
            </w:pPr>
            <w:r>
              <w:t>47 (0.2)</w:t>
            </w:r>
          </w:p>
        </w:tc>
      </w:tr>
      <w:tr w:rsidR="000C6211" w:rsidRPr="0098262F" w14:paraId="01632538" w14:textId="77777777" w:rsidTr="00423F84">
        <w:tc>
          <w:tcPr>
            <w:tcW w:w="9017" w:type="dxa"/>
            <w:gridSpan w:val="5"/>
            <w:vAlign w:val="center"/>
          </w:tcPr>
          <w:p w14:paraId="0CADC4CA" w14:textId="77777777" w:rsidR="000C6211" w:rsidRPr="0098262F" w:rsidRDefault="000C6211">
            <w:pPr>
              <w:pStyle w:val="COMTableheadingrow"/>
            </w:pPr>
            <w:r>
              <w:t>Adverse events of special interest (including non-serious events)</w:t>
            </w:r>
          </w:p>
        </w:tc>
      </w:tr>
      <w:tr w:rsidR="000C6211" w:rsidRPr="0098262F" w14:paraId="5DDEF2E3" w14:textId="77777777" w:rsidTr="00423F84">
        <w:tc>
          <w:tcPr>
            <w:tcW w:w="3523" w:type="dxa"/>
            <w:vAlign w:val="center"/>
          </w:tcPr>
          <w:p w14:paraId="539792C9" w14:textId="77777777" w:rsidR="000C6211" w:rsidRPr="0098262F" w:rsidRDefault="000C6211">
            <w:pPr>
              <w:pStyle w:val="COMTabletext"/>
            </w:pPr>
            <w:r>
              <w:t>- COVID-19 related events</w:t>
            </w:r>
          </w:p>
        </w:tc>
        <w:tc>
          <w:tcPr>
            <w:tcW w:w="1373" w:type="dxa"/>
            <w:vAlign w:val="center"/>
          </w:tcPr>
          <w:p w14:paraId="78E700C2" w14:textId="77777777" w:rsidR="000C6211" w:rsidRPr="0098262F" w:rsidRDefault="000C6211">
            <w:pPr>
              <w:pStyle w:val="COMTabletext"/>
              <w:jc w:val="center"/>
            </w:pPr>
            <w:r>
              <w:t>2,108 (23.9)</w:t>
            </w:r>
          </w:p>
        </w:tc>
        <w:tc>
          <w:tcPr>
            <w:tcW w:w="1374" w:type="dxa"/>
            <w:vAlign w:val="center"/>
          </w:tcPr>
          <w:p w14:paraId="511512AE" w14:textId="77777777" w:rsidR="000C6211" w:rsidRPr="0098262F" w:rsidRDefault="000C6211">
            <w:pPr>
              <w:pStyle w:val="COMTabletext"/>
              <w:jc w:val="center"/>
            </w:pPr>
            <w:r>
              <w:t>2,323 (8.9)</w:t>
            </w:r>
          </w:p>
        </w:tc>
        <w:tc>
          <w:tcPr>
            <w:tcW w:w="1373" w:type="dxa"/>
            <w:vAlign w:val="center"/>
          </w:tcPr>
          <w:p w14:paraId="307A6EF5" w14:textId="77777777" w:rsidR="000C6211" w:rsidRPr="0098262F" w:rsidRDefault="000C6211">
            <w:pPr>
              <w:pStyle w:val="COMTabletext"/>
              <w:jc w:val="center"/>
            </w:pPr>
            <w:r>
              <w:t>2,150 (24.4)</w:t>
            </w:r>
          </w:p>
        </w:tc>
        <w:tc>
          <w:tcPr>
            <w:tcW w:w="1374" w:type="dxa"/>
          </w:tcPr>
          <w:p w14:paraId="63FF8D5C" w14:textId="77777777" w:rsidR="000C6211" w:rsidRPr="0098262F" w:rsidRDefault="000C6211">
            <w:pPr>
              <w:pStyle w:val="COMTabletext"/>
              <w:jc w:val="center"/>
            </w:pPr>
            <w:r>
              <w:t>2,365 (9.1)</w:t>
            </w:r>
          </w:p>
        </w:tc>
      </w:tr>
      <w:tr w:rsidR="000C6211" w:rsidRPr="0098262F" w14:paraId="6ED6A96F" w14:textId="77777777" w:rsidTr="00423F84">
        <w:tc>
          <w:tcPr>
            <w:tcW w:w="3523" w:type="dxa"/>
            <w:vAlign w:val="center"/>
          </w:tcPr>
          <w:p w14:paraId="4D18E0F4" w14:textId="77777777" w:rsidR="000C6211" w:rsidRPr="0098262F" w:rsidRDefault="000C6211">
            <w:pPr>
              <w:pStyle w:val="COMTabletext"/>
            </w:pPr>
            <w:r>
              <w:t>- Malignant neoplasms</w:t>
            </w:r>
          </w:p>
        </w:tc>
        <w:tc>
          <w:tcPr>
            <w:tcW w:w="1373" w:type="dxa"/>
            <w:vAlign w:val="center"/>
          </w:tcPr>
          <w:p w14:paraId="4E7ADF76" w14:textId="77777777" w:rsidR="000C6211" w:rsidRPr="0098262F" w:rsidRDefault="000C6211">
            <w:pPr>
              <w:pStyle w:val="COMTabletext"/>
              <w:jc w:val="center"/>
            </w:pPr>
            <w:r>
              <w:t>422 (4.8)</w:t>
            </w:r>
          </w:p>
        </w:tc>
        <w:tc>
          <w:tcPr>
            <w:tcW w:w="1374" w:type="dxa"/>
            <w:vAlign w:val="center"/>
          </w:tcPr>
          <w:p w14:paraId="5ADB7E25" w14:textId="77777777" w:rsidR="000C6211" w:rsidRPr="0098262F" w:rsidRDefault="000C6211">
            <w:pPr>
              <w:pStyle w:val="COMTabletext"/>
              <w:jc w:val="center"/>
            </w:pPr>
            <w:r>
              <w:t>517 (1.8)</w:t>
            </w:r>
          </w:p>
        </w:tc>
        <w:tc>
          <w:tcPr>
            <w:tcW w:w="1373" w:type="dxa"/>
            <w:vAlign w:val="center"/>
          </w:tcPr>
          <w:p w14:paraId="318327D6" w14:textId="77777777" w:rsidR="000C6211" w:rsidRPr="0098262F" w:rsidRDefault="000C6211">
            <w:pPr>
              <w:pStyle w:val="COMTabletext"/>
              <w:jc w:val="center"/>
            </w:pPr>
            <w:r>
              <w:t>418 (4.7)</w:t>
            </w:r>
          </w:p>
        </w:tc>
        <w:tc>
          <w:tcPr>
            <w:tcW w:w="1374" w:type="dxa"/>
          </w:tcPr>
          <w:p w14:paraId="0F9C00C8" w14:textId="77777777" w:rsidR="000C6211" w:rsidRPr="0098262F" w:rsidRDefault="000C6211">
            <w:pPr>
              <w:pStyle w:val="COMTabletext"/>
              <w:jc w:val="center"/>
            </w:pPr>
            <w:r>
              <w:t>505 (1.7)</w:t>
            </w:r>
          </w:p>
        </w:tc>
      </w:tr>
      <w:tr w:rsidR="000C6211" w:rsidRPr="0098262F" w14:paraId="0B32F487" w14:textId="77777777" w:rsidTr="00423F84">
        <w:tc>
          <w:tcPr>
            <w:tcW w:w="3523" w:type="dxa"/>
            <w:vAlign w:val="center"/>
          </w:tcPr>
          <w:p w14:paraId="3C2EEAAE" w14:textId="77777777" w:rsidR="000C6211" w:rsidRPr="0098262F" w:rsidRDefault="000C6211">
            <w:pPr>
              <w:pStyle w:val="COMTabletext"/>
            </w:pPr>
            <w:r>
              <w:t>- Gallbladder-related disorders</w:t>
            </w:r>
          </w:p>
        </w:tc>
        <w:tc>
          <w:tcPr>
            <w:tcW w:w="1373" w:type="dxa"/>
            <w:vAlign w:val="center"/>
          </w:tcPr>
          <w:p w14:paraId="6EEDE9A7" w14:textId="77777777" w:rsidR="000C6211" w:rsidRPr="0098262F" w:rsidRDefault="000C6211">
            <w:pPr>
              <w:pStyle w:val="COMTabletext"/>
              <w:jc w:val="center"/>
            </w:pPr>
            <w:r>
              <w:t>246 (2.8)</w:t>
            </w:r>
          </w:p>
        </w:tc>
        <w:tc>
          <w:tcPr>
            <w:tcW w:w="1374" w:type="dxa"/>
            <w:vAlign w:val="center"/>
          </w:tcPr>
          <w:p w14:paraId="3829A0B5" w14:textId="77777777" w:rsidR="000C6211" w:rsidRPr="0098262F" w:rsidRDefault="000C6211">
            <w:pPr>
              <w:pStyle w:val="COMTabletext"/>
              <w:jc w:val="center"/>
            </w:pPr>
            <w:r>
              <w:t>300 (1.0)</w:t>
            </w:r>
          </w:p>
        </w:tc>
        <w:tc>
          <w:tcPr>
            <w:tcW w:w="1373" w:type="dxa"/>
            <w:vAlign w:val="center"/>
          </w:tcPr>
          <w:p w14:paraId="30070F1B" w14:textId="77777777" w:rsidR="000C6211" w:rsidRPr="0098262F" w:rsidRDefault="000C6211">
            <w:pPr>
              <w:pStyle w:val="COMTabletext"/>
              <w:jc w:val="center"/>
            </w:pPr>
            <w:r>
              <w:t>203 (2.3)</w:t>
            </w:r>
          </w:p>
        </w:tc>
        <w:tc>
          <w:tcPr>
            <w:tcW w:w="1374" w:type="dxa"/>
          </w:tcPr>
          <w:p w14:paraId="19DB4000" w14:textId="77777777" w:rsidR="000C6211" w:rsidRPr="0098262F" w:rsidRDefault="000C6211">
            <w:pPr>
              <w:pStyle w:val="COMTabletext"/>
              <w:jc w:val="center"/>
            </w:pPr>
            <w:r>
              <w:t>246 (0.9)</w:t>
            </w:r>
          </w:p>
        </w:tc>
      </w:tr>
      <w:tr w:rsidR="000C6211" w:rsidRPr="0098262F" w14:paraId="1B275132" w14:textId="77777777" w:rsidTr="00423F84">
        <w:tc>
          <w:tcPr>
            <w:tcW w:w="3523" w:type="dxa"/>
            <w:vAlign w:val="center"/>
          </w:tcPr>
          <w:p w14:paraId="3CDB9F2F" w14:textId="77777777" w:rsidR="000C6211" w:rsidRPr="0098262F" w:rsidRDefault="000C6211">
            <w:pPr>
              <w:pStyle w:val="COMTabletext"/>
            </w:pPr>
            <w:r>
              <w:t>- Acute kidney failure</w:t>
            </w:r>
          </w:p>
        </w:tc>
        <w:tc>
          <w:tcPr>
            <w:tcW w:w="1373" w:type="dxa"/>
            <w:vAlign w:val="center"/>
          </w:tcPr>
          <w:p w14:paraId="50769422" w14:textId="77777777" w:rsidR="000C6211" w:rsidRPr="0098262F" w:rsidRDefault="000C6211">
            <w:pPr>
              <w:pStyle w:val="COMTabletext"/>
              <w:jc w:val="center"/>
            </w:pPr>
            <w:r>
              <w:t>171 (1.9)</w:t>
            </w:r>
          </w:p>
        </w:tc>
        <w:tc>
          <w:tcPr>
            <w:tcW w:w="1374" w:type="dxa"/>
            <w:vAlign w:val="center"/>
          </w:tcPr>
          <w:p w14:paraId="701DAFD2" w14:textId="77777777" w:rsidR="000C6211" w:rsidRPr="0098262F" w:rsidRDefault="000C6211">
            <w:pPr>
              <w:pStyle w:val="COMTabletext"/>
              <w:jc w:val="center"/>
            </w:pPr>
            <w:r>
              <w:t>193 (0.7)</w:t>
            </w:r>
          </w:p>
        </w:tc>
        <w:tc>
          <w:tcPr>
            <w:tcW w:w="1373" w:type="dxa"/>
            <w:vAlign w:val="center"/>
          </w:tcPr>
          <w:p w14:paraId="3DEEF277" w14:textId="77777777" w:rsidR="000C6211" w:rsidRPr="0098262F" w:rsidRDefault="000C6211">
            <w:pPr>
              <w:pStyle w:val="COMTabletext"/>
              <w:jc w:val="center"/>
            </w:pPr>
            <w:r>
              <w:t>200 (2.3)</w:t>
            </w:r>
          </w:p>
        </w:tc>
        <w:tc>
          <w:tcPr>
            <w:tcW w:w="1374" w:type="dxa"/>
          </w:tcPr>
          <w:p w14:paraId="12D89DB8" w14:textId="77777777" w:rsidR="000C6211" w:rsidRPr="0098262F" w:rsidRDefault="000C6211">
            <w:pPr>
              <w:pStyle w:val="COMTabletext"/>
              <w:jc w:val="center"/>
            </w:pPr>
            <w:r>
              <w:t>222 (0.8)</w:t>
            </w:r>
          </w:p>
        </w:tc>
      </w:tr>
      <w:tr w:rsidR="000C6211" w:rsidRPr="0098262F" w14:paraId="55BD2B1D" w14:textId="77777777" w:rsidTr="00423F84">
        <w:tc>
          <w:tcPr>
            <w:tcW w:w="3523" w:type="dxa"/>
            <w:vAlign w:val="center"/>
          </w:tcPr>
          <w:p w14:paraId="4E62AB3A" w14:textId="77777777" w:rsidR="000C6211" w:rsidRPr="0098262F" w:rsidRDefault="000C6211">
            <w:pPr>
              <w:pStyle w:val="COMTabletext"/>
            </w:pPr>
            <w:r>
              <w:t>- Pancreatitis</w:t>
            </w:r>
          </w:p>
        </w:tc>
        <w:tc>
          <w:tcPr>
            <w:tcW w:w="1373" w:type="dxa"/>
            <w:vAlign w:val="center"/>
          </w:tcPr>
          <w:p w14:paraId="3A4FB586" w14:textId="77777777" w:rsidR="000C6211" w:rsidRPr="0098262F" w:rsidRDefault="000C6211">
            <w:pPr>
              <w:pStyle w:val="COMTabletext"/>
              <w:jc w:val="center"/>
            </w:pPr>
            <w:r>
              <w:t>29 (0.3)</w:t>
            </w:r>
          </w:p>
        </w:tc>
        <w:tc>
          <w:tcPr>
            <w:tcW w:w="1374" w:type="dxa"/>
            <w:vAlign w:val="center"/>
          </w:tcPr>
          <w:p w14:paraId="1EF3AD46" w14:textId="77777777" w:rsidR="000C6211" w:rsidRPr="0098262F" w:rsidRDefault="000C6211">
            <w:pPr>
              <w:pStyle w:val="COMTabletext"/>
              <w:jc w:val="center"/>
            </w:pPr>
            <w:r>
              <w:t>33 (0.1)</w:t>
            </w:r>
          </w:p>
        </w:tc>
        <w:tc>
          <w:tcPr>
            <w:tcW w:w="1373" w:type="dxa"/>
            <w:vAlign w:val="center"/>
          </w:tcPr>
          <w:p w14:paraId="054B16DF" w14:textId="77777777" w:rsidR="000C6211" w:rsidRPr="0098262F" w:rsidRDefault="000C6211">
            <w:pPr>
              <w:pStyle w:val="COMTabletext"/>
              <w:jc w:val="center"/>
            </w:pPr>
            <w:r>
              <w:t>30 (0.3)</w:t>
            </w:r>
          </w:p>
        </w:tc>
        <w:tc>
          <w:tcPr>
            <w:tcW w:w="1374" w:type="dxa"/>
          </w:tcPr>
          <w:p w14:paraId="2CB92495" w14:textId="77777777" w:rsidR="000C6211" w:rsidRPr="0098262F" w:rsidRDefault="000C6211">
            <w:pPr>
              <w:pStyle w:val="COMTabletext"/>
              <w:jc w:val="center"/>
            </w:pPr>
            <w:r>
              <w:t>33 (0.1)</w:t>
            </w:r>
          </w:p>
        </w:tc>
      </w:tr>
    </w:tbl>
    <w:p w14:paraId="552BE036" w14:textId="77777777" w:rsidR="000C6211" w:rsidRDefault="000C6211" w:rsidP="000C6211">
      <w:pPr>
        <w:pStyle w:val="COMTablefooter"/>
      </w:pPr>
      <w:r w:rsidRPr="0098262F">
        <w:t>Source:</w:t>
      </w:r>
      <w:r>
        <w:t xml:space="preserve"> Table 2-26, p92 of the resubmission; Figure 12-1, p183, Figure 12-2, p184; Table 14.3.1.3, p864, Table 14.3.1.8, p933, Table 14.3.1.12, p980, Table 14.3.1.15, p1011, Table 14.3.1.20, p1029, Table 14.3.1.24, p1033, Table 14.3.1.29, p1039, Table 14.3.1.37, p1056, Table 14.3.1.45, p1068 of the trial report</w:t>
      </w:r>
    </w:p>
    <w:p w14:paraId="0F4547F2" w14:textId="77777777" w:rsidR="000C6211" w:rsidRDefault="000C6211" w:rsidP="000C6211">
      <w:pPr>
        <w:pStyle w:val="COMTablefooter"/>
      </w:pPr>
      <w:r>
        <w:t>Abbreviations: pt-yrs, patient-years</w:t>
      </w:r>
    </w:p>
    <w:p w14:paraId="01614178" w14:textId="46F295AF" w:rsidR="000C6211" w:rsidRPr="000C6211" w:rsidRDefault="000C6211" w:rsidP="000C6211">
      <w:pPr>
        <w:pStyle w:val="COMTablefooter"/>
        <w:rPr>
          <w:sz w:val="20"/>
        </w:rPr>
      </w:pPr>
      <w:r>
        <w:rPr>
          <w:vertAlign w:val="superscript"/>
        </w:rPr>
        <w:t>a</w:t>
      </w:r>
      <w:r>
        <w:t xml:space="preserve"> </w:t>
      </w:r>
      <w:proofErr w:type="gramStart"/>
      <w:r>
        <w:t>Trial investigators</w:t>
      </w:r>
      <w:proofErr w:type="gramEnd"/>
      <w:r>
        <w:t xml:space="preserve"> could report more than one event with a fatal outcome for the same subject</w:t>
      </w:r>
    </w:p>
    <w:p w14:paraId="6D88D4D1" w14:textId="55F3A18E" w:rsidR="000C6211" w:rsidRPr="000C6211" w:rsidRDefault="000C6211" w:rsidP="000C6211">
      <w:pPr>
        <w:pStyle w:val="COMESnumberedpara"/>
      </w:pPr>
      <w:r w:rsidRPr="000C6211">
        <w:t>Treatment with semaglutide was associated with a lower incidence of serious adverse events</w:t>
      </w:r>
      <w:r w:rsidR="00CF4353">
        <w:t>,</w:t>
      </w:r>
      <w:r w:rsidRPr="000C6211">
        <w:t xml:space="preserve"> including those that led to fatal outcomes</w:t>
      </w:r>
      <w:r w:rsidR="00CF4353">
        <w:t>,</w:t>
      </w:r>
      <w:r w:rsidRPr="000C6211">
        <w:t xml:space="preserve"> compared to placebo, primarily due to fewer serious cardiac disorder events. A slightly higher percentage of patients in the semaglutide arm experienced serious gastrointestinal disorders, of which the most frequently reported were inguinal hernia, diarrhoea and gastrointestinal haemorrhage.   </w:t>
      </w:r>
    </w:p>
    <w:p w14:paraId="3CBA9F39" w14:textId="291974CD" w:rsidR="000C6211" w:rsidRPr="000C6211" w:rsidRDefault="000C6211" w:rsidP="000C6211">
      <w:pPr>
        <w:pStyle w:val="COMESnumberedpara"/>
      </w:pPr>
      <w:r w:rsidRPr="000C6211">
        <w:t xml:space="preserve">A higher proportion of patients discontinued semaglutide compared to placebo due to adverse events, primarily due to </w:t>
      </w:r>
      <w:r w:rsidR="00CF4353">
        <w:t xml:space="preserve">the </w:t>
      </w:r>
      <w:r w:rsidRPr="000C6211">
        <w:t xml:space="preserve">more frequent occurrence of gastrointestinal disorders such as nausea, diarrhoea and vomiting. Adverse events leading to treatment discontinuation were more frequent during the dose escalation phase but continued to occur throughout the trial period. </w:t>
      </w:r>
    </w:p>
    <w:p w14:paraId="2CFB3693" w14:textId="5E7B1A95" w:rsidR="000C6211" w:rsidRPr="000C6211" w:rsidRDefault="000C6211" w:rsidP="000C6211">
      <w:pPr>
        <w:pStyle w:val="COMESnumberedpara"/>
      </w:pPr>
      <w:r w:rsidRPr="000C6211">
        <w:t>Treatment with semaglutide was also associated with more frequent gallbladder-related disorders, mainly driven by an imbalance in cholelithiasis.</w:t>
      </w:r>
    </w:p>
    <w:p w14:paraId="20314897" w14:textId="25E1E44A" w:rsidR="003A42FC" w:rsidRPr="003A42FC" w:rsidRDefault="003A42FC" w:rsidP="003A42FC">
      <w:pPr>
        <w:pStyle w:val="COMESnumberedpara"/>
      </w:pPr>
      <w:r w:rsidRPr="003A42FC">
        <w:t xml:space="preserve">The resubmission provided updated data on potential safety concerns with semaglutide based on a Periodic Benefit Risk Evaluation Report (June 2023 to May 2024). The report includes use of injectable (single dose and multi-dose pens) and oral semaglutide predominantly for type 2 diabetes and weight management. </w:t>
      </w:r>
    </w:p>
    <w:p w14:paraId="19C731F2" w14:textId="11EB4181" w:rsidR="003A42FC" w:rsidRPr="003A42FC" w:rsidRDefault="003A42FC" w:rsidP="003A42FC">
      <w:pPr>
        <w:pStyle w:val="COMESnumberedpara"/>
      </w:pPr>
      <w:r w:rsidRPr="003A42FC">
        <w:lastRenderedPageBreak/>
        <w:t xml:space="preserve">During the reporting period, there were changes to the safety profile of semaglutide including the addition of intestinal obstruction as an important identified risk. In addition, there is an open and ongoing signal regarding cardioembolic stroke following the unblinding of clinical data from the FLOW study of semaglutide in patients with type 2 diabetes and chronic kidney disease. </w:t>
      </w:r>
    </w:p>
    <w:p w14:paraId="1D9D70EE" w14:textId="294A2BAF" w:rsidR="003A42FC" w:rsidRPr="003A42FC" w:rsidRDefault="003A42FC" w:rsidP="003A42FC">
      <w:pPr>
        <w:pStyle w:val="COMESnumberedpara"/>
      </w:pPr>
      <w:r w:rsidRPr="003A42FC">
        <w:t xml:space="preserve">Important identified risks include gastrointestinal adverse events (specifically nausea, vomiting and diarrhoea), acute gallstone disease (cholelithiasis), severe hypoglycaemia in combination with oral anti-diabetic treatments and/or insulin, diabetic retinopathy complications, acute pancreatitis and serious allergic reactions (injectable semaglutide for type 2 diabetes) and intestinal obstruction. Important potential risks include serious allergic reactions (oral semaglutide for type 2 diabetes and injectable semaglutide for weight management), medullary thyroid cancer and pancreatic cancer. The Periodic Benefit Risk Evaluation Report identified missing information </w:t>
      </w:r>
      <w:proofErr w:type="gramStart"/>
      <w:r w:rsidRPr="003A42FC">
        <w:t>in regard to</w:t>
      </w:r>
      <w:proofErr w:type="gramEnd"/>
      <w:r w:rsidRPr="003A42FC">
        <w:t xml:space="preserve"> pregnancy and lactation as well as patients with severe hepatic impairment.</w:t>
      </w:r>
    </w:p>
    <w:p w14:paraId="7B6C95D1" w14:textId="3C022CF5" w:rsidR="003A42FC" w:rsidRPr="003A42FC" w:rsidRDefault="003A42FC" w:rsidP="003A42FC">
      <w:pPr>
        <w:pStyle w:val="COMESnumberedpara"/>
      </w:pPr>
      <w:r w:rsidRPr="003A42FC">
        <w:t>The report acknowledged a high reporting rate of medication errors with semaglutide single-dose pens for weight management. The report stated that these errors were predominantly related to dosing errors (starting dose too high) and administration errors (insufficient pressure applied while using the device). The report noted higher starting doses may increase the risk of gastrointestinal events but otherwise concluded that the safety implications of these medication errors were limited.</w:t>
      </w:r>
    </w:p>
    <w:p w14:paraId="04908C7F" w14:textId="415B9B7D" w:rsidR="007F1017" w:rsidRPr="0098262F" w:rsidRDefault="007F1017" w:rsidP="00D86231">
      <w:pPr>
        <w:pStyle w:val="COMESSubsectionheading"/>
      </w:pPr>
      <w:bookmarkStart w:id="36" w:name="_Toc22897643"/>
      <w:bookmarkStart w:id="37" w:name="_Toc208928369"/>
      <w:bookmarkStart w:id="38" w:name="_Hlk206855504"/>
      <w:r w:rsidRPr="0098262F">
        <w:t>Benefits/harms</w:t>
      </w:r>
      <w:bookmarkEnd w:id="36"/>
      <w:bookmarkEnd w:id="37"/>
    </w:p>
    <w:p w14:paraId="158FB8BD" w14:textId="770ED928" w:rsidR="002D29D4" w:rsidRPr="002D29D4" w:rsidRDefault="002D29D4" w:rsidP="00D129C3">
      <w:pPr>
        <w:pStyle w:val="COMexecsummnumbered"/>
        <w:numPr>
          <w:ilvl w:val="1"/>
          <w:numId w:val="5"/>
        </w:numPr>
      </w:pPr>
      <w:r w:rsidRPr="006F73D9">
        <w:t xml:space="preserve">A summary of comparative benefits and harms for </w:t>
      </w:r>
      <w:r>
        <w:t>semaglutide</w:t>
      </w:r>
      <w:r w:rsidRPr="006F73D9">
        <w:t xml:space="preserve"> versus </w:t>
      </w:r>
      <w:r>
        <w:t>placebo</w:t>
      </w:r>
      <w:r w:rsidRPr="006F73D9">
        <w:t xml:space="preserve"> based on the</w:t>
      </w:r>
      <w:r>
        <w:t xml:space="preserve"> overall SELECT trial population (BMI </w:t>
      </w:r>
      <w:r w:rsidR="00D01372">
        <w:t>≥</w:t>
      </w:r>
      <w:r>
        <w:t>27 kg/m</w:t>
      </w:r>
      <w:r w:rsidRPr="002D29D4">
        <w:rPr>
          <w:vertAlign w:val="superscript"/>
        </w:rPr>
        <w:t>2</w:t>
      </w:r>
      <w:r>
        <w:t xml:space="preserve">) and BMI subgroups (BMI </w:t>
      </w:r>
      <w:r w:rsidR="00D01372">
        <w:t>≥</w:t>
      </w:r>
      <w:r>
        <w:t>35 kg/m</w:t>
      </w:r>
      <w:r w:rsidRPr="002D29D4">
        <w:rPr>
          <w:vertAlign w:val="superscript"/>
        </w:rPr>
        <w:t>2</w:t>
      </w:r>
      <w:r>
        <w:t xml:space="preserve">; </w:t>
      </w:r>
      <w:r w:rsidR="00D01372">
        <w:t>≥</w:t>
      </w:r>
      <w:r>
        <w:t>40 kg/m</w:t>
      </w:r>
      <w:r w:rsidRPr="002D29D4">
        <w:rPr>
          <w:vertAlign w:val="superscript"/>
        </w:rPr>
        <w:t>2</w:t>
      </w:r>
      <w:r>
        <w:t>)</w:t>
      </w:r>
      <w:r w:rsidRPr="006F73D9">
        <w:t xml:space="preserve"> is presented in</w:t>
      </w:r>
      <w:r>
        <w:t xml:space="preserve"> </w:t>
      </w:r>
      <w:r w:rsidR="00055136">
        <w:fldChar w:fldCharType="begin"/>
      </w:r>
      <w:r w:rsidR="00055136">
        <w:instrText xml:space="preserve"> REF _Ref206945335 \h </w:instrText>
      </w:r>
      <w:r w:rsidR="00055136">
        <w:fldChar w:fldCharType="separate"/>
      </w:r>
      <w:r w:rsidR="004F1BBD">
        <w:t xml:space="preserve">Table </w:t>
      </w:r>
      <w:r w:rsidR="004F1BBD">
        <w:rPr>
          <w:noProof/>
        </w:rPr>
        <w:t>8</w:t>
      </w:r>
      <w:r w:rsidR="00055136">
        <w:fldChar w:fldCharType="end"/>
      </w:r>
      <w:r w:rsidRPr="006F73D9">
        <w:t>.</w:t>
      </w:r>
    </w:p>
    <w:p w14:paraId="469794AE" w14:textId="75A3F60C" w:rsidR="00534CBF" w:rsidRDefault="00055136" w:rsidP="00055136">
      <w:pPr>
        <w:pStyle w:val="Caption"/>
        <w:jc w:val="both"/>
      </w:pPr>
      <w:bookmarkStart w:id="39" w:name="_Ref206945335"/>
      <w:r>
        <w:lastRenderedPageBreak/>
        <w:t xml:space="preserve">Table </w:t>
      </w:r>
      <w:r w:rsidR="005448C5">
        <w:fldChar w:fldCharType="begin"/>
      </w:r>
      <w:r w:rsidR="005448C5">
        <w:instrText xml:space="preserve"> SEQ Table \* ARABIC </w:instrText>
      </w:r>
      <w:r w:rsidR="005448C5">
        <w:fldChar w:fldCharType="separate"/>
      </w:r>
      <w:r w:rsidR="004F1BBD">
        <w:rPr>
          <w:noProof/>
        </w:rPr>
        <w:t>8</w:t>
      </w:r>
      <w:r w:rsidR="005448C5">
        <w:rPr>
          <w:noProof/>
        </w:rPr>
        <w:fldChar w:fldCharType="end"/>
      </w:r>
      <w:bookmarkEnd w:id="39"/>
      <w:r w:rsidR="00534CBF">
        <w:t xml:space="preserve">: Comparative benefits and harms for semaglutide versus placebo in patients with established cardiovascular disease </w:t>
      </w:r>
    </w:p>
    <w:tbl>
      <w:tblPr>
        <w:tblStyle w:val="TableGrid"/>
        <w:tblW w:w="5000" w:type="pct"/>
        <w:tblCellMar>
          <w:left w:w="28" w:type="dxa"/>
          <w:right w:w="28" w:type="dxa"/>
        </w:tblCellMar>
        <w:tblLook w:val="04A0" w:firstRow="1" w:lastRow="0" w:firstColumn="1" w:lastColumn="0" w:noHBand="0" w:noVBand="1"/>
        <w:tblCaption w:val="Comparative benefits and harms for semaglutide versus placebo in patients with established cardiovascular disease "/>
      </w:tblPr>
      <w:tblGrid>
        <w:gridCol w:w="5035"/>
        <w:gridCol w:w="1327"/>
        <w:gridCol w:w="1327"/>
        <w:gridCol w:w="1328"/>
      </w:tblGrid>
      <w:tr w:rsidR="00534CBF" w14:paraId="20C1C792" w14:textId="77777777" w:rsidTr="00423F84">
        <w:tc>
          <w:tcPr>
            <w:tcW w:w="5035" w:type="dxa"/>
            <w:vAlign w:val="center"/>
          </w:tcPr>
          <w:p w14:paraId="402FB40C" w14:textId="01A38649" w:rsidR="00534CBF" w:rsidRDefault="004F4180" w:rsidP="004F4180">
            <w:pPr>
              <w:pStyle w:val="COMTableheadingrow"/>
            </w:pPr>
            <w:r>
              <w:t>Events per 1</w:t>
            </w:r>
            <w:r w:rsidR="000836D9">
              <w:t>,</w:t>
            </w:r>
            <w:r>
              <w:t>00</w:t>
            </w:r>
            <w:r w:rsidR="000836D9">
              <w:t>0</w:t>
            </w:r>
            <w:r>
              <w:t xml:space="preserve"> patients treated for 3.5 years</w:t>
            </w:r>
          </w:p>
        </w:tc>
        <w:tc>
          <w:tcPr>
            <w:tcW w:w="1327" w:type="dxa"/>
            <w:vAlign w:val="center"/>
          </w:tcPr>
          <w:p w14:paraId="011B0C3A" w14:textId="65CF6556" w:rsidR="00534CBF" w:rsidRDefault="00534CBF">
            <w:pPr>
              <w:pStyle w:val="COMTableheadingrow"/>
              <w:jc w:val="center"/>
            </w:pPr>
            <w:r>
              <w:t>Semaglutide</w:t>
            </w:r>
          </w:p>
        </w:tc>
        <w:tc>
          <w:tcPr>
            <w:tcW w:w="1327" w:type="dxa"/>
            <w:vAlign w:val="center"/>
          </w:tcPr>
          <w:p w14:paraId="05B0B4B6" w14:textId="73EE65B7" w:rsidR="00534CBF" w:rsidRDefault="00534CBF">
            <w:pPr>
              <w:pStyle w:val="COMTableheadingrow"/>
              <w:jc w:val="center"/>
            </w:pPr>
            <w:r>
              <w:t>Placebo</w:t>
            </w:r>
          </w:p>
        </w:tc>
        <w:tc>
          <w:tcPr>
            <w:tcW w:w="1328" w:type="dxa"/>
            <w:vAlign w:val="center"/>
          </w:tcPr>
          <w:p w14:paraId="671160F7" w14:textId="77777777" w:rsidR="00534CBF" w:rsidRDefault="00534CBF">
            <w:pPr>
              <w:pStyle w:val="COMTableheadingrow"/>
              <w:jc w:val="center"/>
            </w:pPr>
            <w:r>
              <w:t>Treatment difference</w:t>
            </w:r>
          </w:p>
        </w:tc>
      </w:tr>
      <w:tr w:rsidR="00534CBF" w14:paraId="5BA9E640" w14:textId="77777777" w:rsidTr="00423F84">
        <w:tc>
          <w:tcPr>
            <w:tcW w:w="9017" w:type="dxa"/>
            <w:gridSpan w:val="4"/>
          </w:tcPr>
          <w:p w14:paraId="4511EC7A" w14:textId="7236246A" w:rsidR="00534CBF" w:rsidRPr="006F73D9" w:rsidRDefault="00534CBF">
            <w:pPr>
              <w:pStyle w:val="COMTableheadingrow"/>
            </w:pPr>
            <w:r>
              <w:t xml:space="preserve">Overall population (patients with established cardiovascular disease and BMI </w:t>
            </w:r>
            <w:r w:rsidR="00D01372">
              <w:t>≥</w:t>
            </w:r>
            <w:r>
              <w:t>27 kg/m</w:t>
            </w:r>
            <w:r w:rsidRPr="00534CBF">
              <w:rPr>
                <w:vertAlign w:val="superscript"/>
              </w:rPr>
              <w:t>2</w:t>
            </w:r>
            <w:r>
              <w:t>)</w:t>
            </w:r>
          </w:p>
        </w:tc>
      </w:tr>
      <w:tr w:rsidR="00534CBF" w14:paraId="6CC6F6DB" w14:textId="77777777" w:rsidTr="00423F84">
        <w:tc>
          <w:tcPr>
            <w:tcW w:w="5035" w:type="dxa"/>
          </w:tcPr>
          <w:p w14:paraId="1FF30E9A" w14:textId="272B854F" w:rsidR="00534CBF" w:rsidRPr="006F73D9" w:rsidRDefault="004F4180">
            <w:pPr>
              <w:pStyle w:val="COMTableheadingrow"/>
              <w:rPr>
                <w:b w:val="0"/>
                <w:bCs w:val="0"/>
              </w:rPr>
            </w:pPr>
            <w:r>
              <w:rPr>
                <w:b w:val="0"/>
                <w:bCs w:val="0"/>
              </w:rPr>
              <w:t xml:space="preserve">Cardiovascular death </w:t>
            </w:r>
          </w:p>
        </w:tc>
        <w:tc>
          <w:tcPr>
            <w:tcW w:w="1327" w:type="dxa"/>
          </w:tcPr>
          <w:p w14:paraId="4A83EC42" w14:textId="01511C78" w:rsidR="00534CBF" w:rsidRPr="006F73D9" w:rsidRDefault="000836D9">
            <w:pPr>
              <w:pStyle w:val="COMTableheadingrow"/>
              <w:jc w:val="center"/>
              <w:rPr>
                <w:b w:val="0"/>
                <w:bCs w:val="0"/>
              </w:rPr>
            </w:pPr>
            <w:r>
              <w:rPr>
                <w:b w:val="0"/>
                <w:bCs w:val="0"/>
              </w:rPr>
              <w:t>28</w:t>
            </w:r>
          </w:p>
        </w:tc>
        <w:tc>
          <w:tcPr>
            <w:tcW w:w="1327" w:type="dxa"/>
          </w:tcPr>
          <w:p w14:paraId="420B704D" w14:textId="6007DBD4" w:rsidR="00534CBF" w:rsidRPr="006F73D9" w:rsidRDefault="000836D9">
            <w:pPr>
              <w:pStyle w:val="COMTableheadingrow"/>
              <w:jc w:val="center"/>
              <w:rPr>
                <w:b w:val="0"/>
                <w:bCs w:val="0"/>
              </w:rPr>
            </w:pPr>
            <w:r>
              <w:rPr>
                <w:b w:val="0"/>
                <w:bCs w:val="0"/>
              </w:rPr>
              <w:t>32</w:t>
            </w:r>
          </w:p>
        </w:tc>
        <w:tc>
          <w:tcPr>
            <w:tcW w:w="1328" w:type="dxa"/>
          </w:tcPr>
          <w:p w14:paraId="4BE00906" w14:textId="33B38515" w:rsidR="00534CBF" w:rsidRPr="006F73D9" w:rsidRDefault="000836D9">
            <w:pPr>
              <w:pStyle w:val="COMTableheadingrow"/>
              <w:jc w:val="center"/>
              <w:rPr>
                <w:b w:val="0"/>
                <w:bCs w:val="0"/>
              </w:rPr>
            </w:pPr>
            <w:r>
              <w:rPr>
                <w:b w:val="0"/>
                <w:bCs w:val="0"/>
              </w:rPr>
              <w:t>-4</w:t>
            </w:r>
          </w:p>
        </w:tc>
      </w:tr>
      <w:tr w:rsidR="00534CBF" w14:paraId="777E3184" w14:textId="77777777" w:rsidTr="00423F84">
        <w:tc>
          <w:tcPr>
            <w:tcW w:w="5035" w:type="dxa"/>
          </w:tcPr>
          <w:p w14:paraId="27F91AEF" w14:textId="3B4DFE4A" w:rsidR="00534CBF" w:rsidRPr="006F73D9" w:rsidRDefault="004F4180">
            <w:pPr>
              <w:pStyle w:val="COMTableheadingrow"/>
              <w:rPr>
                <w:b w:val="0"/>
                <w:bCs w:val="0"/>
              </w:rPr>
            </w:pPr>
            <w:r>
              <w:rPr>
                <w:b w:val="0"/>
              </w:rPr>
              <w:t>Non-cardiovascular death</w:t>
            </w:r>
          </w:p>
        </w:tc>
        <w:tc>
          <w:tcPr>
            <w:tcW w:w="1327" w:type="dxa"/>
          </w:tcPr>
          <w:p w14:paraId="1A8B018B" w14:textId="013EA274" w:rsidR="00534CBF" w:rsidRPr="006F73D9" w:rsidRDefault="00181EAF">
            <w:pPr>
              <w:pStyle w:val="COMTableheadingrow"/>
              <w:jc w:val="center"/>
              <w:rPr>
                <w:b w:val="0"/>
                <w:bCs w:val="0"/>
              </w:rPr>
            </w:pPr>
            <w:r>
              <w:rPr>
                <w:b w:val="0"/>
                <w:bCs w:val="0"/>
              </w:rPr>
              <w:t>18</w:t>
            </w:r>
          </w:p>
        </w:tc>
        <w:tc>
          <w:tcPr>
            <w:tcW w:w="1327" w:type="dxa"/>
          </w:tcPr>
          <w:p w14:paraId="61C6E63E" w14:textId="1E21900A" w:rsidR="00534CBF" w:rsidRPr="006F73D9" w:rsidRDefault="00181EAF">
            <w:pPr>
              <w:pStyle w:val="COMTableheadingrow"/>
              <w:jc w:val="center"/>
              <w:rPr>
                <w:b w:val="0"/>
                <w:bCs w:val="0"/>
              </w:rPr>
            </w:pPr>
            <w:r>
              <w:rPr>
                <w:b w:val="0"/>
                <w:bCs w:val="0"/>
              </w:rPr>
              <w:t>25</w:t>
            </w:r>
          </w:p>
        </w:tc>
        <w:tc>
          <w:tcPr>
            <w:tcW w:w="1328" w:type="dxa"/>
          </w:tcPr>
          <w:p w14:paraId="267BD3EF" w14:textId="6A8C99CF" w:rsidR="00534CBF" w:rsidRPr="006F73D9" w:rsidRDefault="00181EAF">
            <w:pPr>
              <w:pStyle w:val="COMTableheadingrow"/>
              <w:jc w:val="center"/>
              <w:rPr>
                <w:b w:val="0"/>
                <w:bCs w:val="0"/>
              </w:rPr>
            </w:pPr>
            <w:r>
              <w:rPr>
                <w:b w:val="0"/>
                <w:bCs w:val="0"/>
              </w:rPr>
              <w:t>-7</w:t>
            </w:r>
          </w:p>
        </w:tc>
      </w:tr>
      <w:tr w:rsidR="00534CBF" w14:paraId="1CC098BB" w14:textId="77777777" w:rsidTr="00423F84">
        <w:tc>
          <w:tcPr>
            <w:tcW w:w="5035" w:type="dxa"/>
          </w:tcPr>
          <w:p w14:paraId="3F3E8FE9" w14:textId="2B824CE2" w:rsidR="00534CBF" w:rsidRPr="006F73D9" w:rsidRDefault="004F4180">
            <w:pPr>
              <w:pStyle w:val="COMTableheadingrow"/>
              <w:rPr>
                <w:b w:val="0"/>
                <w:bCs w:val="0"/>
              </w:rPr>
            </w:pPr>
            <w:r>
              <w:rPr>
                <w:b w:val="0"/>
              </w:rPr>
              <w:t>Non-fatal myocardial infarction</w:t>
            </w:r>
          </w:p>
        </w:tc>
        <w:tc>
          <w:tcPr>
            <w:tcW w:w="1327" w:type="dxa"/>
          </w:tcPr>
          <w:p w14:paraId="5E23BA54" w14:textId="30E0A454" w:rsidR="00534CBF" w:rsidRPr="006F73D9" w:rsidRDefault="00131180">
            <w:pPr>
              <w:pStyle w:val="COMTableheadingrow"/>
              <w:jc w:val="center"/>
              <w:rPr>
                <w:b w:val="0"/>
                <w:bCs w:val="0"/>
              </w:rPr>
            </w:pPr>
            <w:r>
              <w:rPr>
                <w:b w:val="0"/>
                <w:bCs w:val="0"/>
              </w:rPr>
              <w:t>32</w:t>
            </w:r>
          </w:p>
        </w:tc>
        <w:tc>
          <w:tcPr>
            <w:tcW w:w="1327" w:type="dxa"/>
          </w:tcPr>
          <w:p w14:paraId="1BB01CCF" w14:textId="277CBA31" w:rsidR="00534CBF" w:rsidRPr="006F73D9" w:rsidRDefault="00131180">
            <w:pPr>
              <w:pStyle w:val="COMTableheadingrow"/>
              <w:jc w:val="center"/>
              <w:rPr>
                <w:b w:val="0"/>
                <w:bCs w:val="0"/>
              </w:rPr>
            </w:pPr>
            <w:r>
              <w:rPr>
                <w:b w:val="0"/>
                <w:bCs w:val="0"/>
              </w:rPr>
              <w:t>46</w:t>
            </w:r>
          </w:p>
        </w:tc>
        <w:tc>
          <w:tcPr>
            <w:tcW w:w="1328" w:type="dxa"/>
          </w:tcPr>
          <w:p w14:paraId="4E4DE114" w14:textId="2A3B3388" w:rsidR="00534CBF" w:rsidRPr="006F73D9" w:rsidRDefault="00131180">
            <w:pPr>
              <w:pStyle w:val="COMTableheadingrow"/>
              <w:jc w:val="center"/>
              <w:rPr>
                <w:b w:val="0"/>
                <w:bCs w:val="0"/>
              </w:rPr>
            </w:pPr>
            <w:r>
              <w:rPr>
                <w:b w:val="0"/>
                <w:bCs w:val="0"/>
              </w:rPr>
              <w:t>-14</w:t>
            </w:r>
          </w:p>
        </w:tc>
      </w:tr>
      <w:tr w:rsidR="00534CBF" w14:paraId="3137E5BA" w14:textId="77777777" w:rsidTr="00423F84">
        <w:tc>
          <w:tcPr>
            <w:tcW w:w="5035" w:type="dxa"/>
          </w:tcPr>
          <w:p w14:paraId="23AFF6F5" w14:textId="0B0B5E77" w:rsidR="00534CBF" w:rsidRPr="006F73D9" w:rsidRDefault="004F4180">
            <w:pPr>
              <w:pStyle w:val="COMTableheadingrow"/>
              <w:rPr>
                <w:b w:val="0"/>
                <w:bCs w:val="0"/>
              </w:rPr>
            </w:pPr>
            <w:r>
              <w:rPr>
                <w:b w:val="0"/>
              </w:rPr>
              <w:t>Non-fatal stroke</w:t>
            </w:r>
          </w:p>
        </w:tc>
        <w:tc>
          <w:tcPr>
            <w:tcW w:w="1327" w:type="dxa"/>
          </w:tcPr>
          <w:p w14:paraId="30A1D13F" w14:textId="52F209C7" w:rsidR="00534CBF" w:rsidRPr="006F73D9" w:rsidRDefault="00131180">
            <w:pPr>
              <w:pStyle w:val="COMTableheadingrow"/>
              <w:jc w:val="center"/>
              <w:rPr>
                <w:b w:val="0"/>
                <w:bCs w:val="0"/>
              </w:rPr>
            </w:pPr>
            <w:r>
              <w:rPr>
                <w:b w:val="0"/>
                <w:bCs w:val="0"/>
              </w:rPr>
              <w:t>21</w:t>
            </w:r>
          </w:p>
        </w:tc>
        <w:tc>
          <w:tcPr>
            <w:tcW w:w="1327" w:type="dxa"/>
          </w:tcPr>
          <w:p w14:paraId="4AE53939" w14:textId="35F42B09" w:rsidR="00534CBF" w:rsidRPr="006F73D9" w:rsidRDefault="00131180">
            <w:pPr>
              <w:pStyle w:val="COMTableheadingrow"/>
              <w:jc w:val="center"/>
              <w:rPr>
                <w:b w:val="0"/>
                <w:bCs w:val="0"/>
              </w:rPr>
            </w:pPr>
            <w:r>
              <w:rPr>
                <w:b w:val="0"/>
                <w:bCs w:val="0"/>
              </w:rPr>
              <w:t>21</w:t>
            </w:r>
          </w:p>
        </w:tc>
        <w:tc>
          <w:tcPr>
            <w:tcW w:w="1328" w:type="dxa"/>
          </w:tcPr>
          <w:p w14:paraId="56D129A8" w14:textId="7323D1F5" w:rsidR="00534CBF" w:rsidRPr="006F73D9" w:rsidRDefault="00131180">
            <w:pPr>
              <w:pStyle w:val="COMTableheadingrow"/>
              <w:jc w:val="center"/>
              <w:rPr>
                <w:b w:val="0"/>
                <w:bCs w:val="0"/>
              </w:rPr>
            </w:pPr>
            <w:r>
              <w:rPr>
                <w:b w:val="0"/>
                <w:bCs w:val="0"/>
              </w:rPr>
              <w:t>0</w:t>
            </w:r>
          </w:p>
        </w:tc>
      </w:tr>
      <w:tr w:rsidR="00534CBF" w14:paraId="3F29A820" w14:textId="77777777" w:rsidTr="00423F84">
        <w:tc>
          <w:tcPr>
            <w:tcW w:w="5035" w:type="dxa"/>
          </w:tcPr>
          <w:p w14:paraId="4874E64A" w14:textId="68141AEF" w:rsidR="00534CBF" w:rsidRPr="006F73D9" w:rsidRDefault="004F4180">
            <w:pPr>
              <w:pStyle w:val="COMTableheadingrow"/>
              <w:rPr>
                <w:b w:val="0"/>
                <w:bCs w:val="0"/>
              </w:rPr>
            </w:pPr>
            <w:r>
              <w:rPr>
                <w:b w:val="0"/>
              </w:rPr>
              <w:t>Hospitalisation/urgent care for heart failure</w:t>
            </w:r>
          </w:p>
        </w:tc>
        <w:tc>
          <w:tcPr>
            <w:tcW w:w="1327" w:type="dxa"/>
          </w:tcPr>
          <w:p w14:paraId="47B376EE" w14:textId="7C64DE75" w:rsidR="00534CBF" w:rsidRPr="006F73D9" w:rsidRDefault="00BD4DA6">
            <w:pPr>
              <w:pStyle w:val="COMTableheadingrow"/>
              <w:jc w:val="center"/>
              <w:rPr>
                <w:b w:val="0"/>
                <w:bCs w:val="0"/>
              </w:rPr>
            </w:pPr>
            <w:r>
              <w:rPr>
                <w:b w:val="0"/>
                <w:bCs w:val="0"/>
              </w:rPr>
              <w:t>18</w:t>
            </w:r>
          </w:p>
        </w:tc>
        <w:tc>
          <w:tcPr>
            <w:tcW w:w="1327" w:type="dxa"/>
          </w:tcPr>
          <w:p w14:paraId="4AE65E54" w14:textId="1E67A8D1" w:rsidR="00534CBF" w:rsidRPr="006F73D9" w:rsidRDefault="00BD4DA6">
            <w:pPr>
              <w:pStyle w:val="COMTableheadingrow"/>
              <w:jc w:val="center"/>
              <w:rPr>
                <w:b w:val="0"/>
                <w:bCs w:val="0"/>
              </w:rPr>
            </w:pPr>
            <w:r>
              <w:rPr>
                <w:b w:val="0"/>
                <w:bCs w:val="0"/>
              </w:rPr>
              <w:t>21</w:t>
            </w:r>
          </w:p>
        </w:tc>
        <w:tc>
          <w:tcPr>
            <w:tcW w:w="1328" w:type="dxa"/>
          </w:tcPr>
          <w:p w14:paraId="02BD9C81" w14:textId="4473555C" w:rsidR="00534CBF" w:rsidRPr="006F73D9" w:rsidRDefault="00BD4DA6">
            <w:pPr>
              <w:pStyle w:val="COMTableheadingrow"/>
              <w:jc w:val="center"/>
              <w:rPr>
                <w:b w:val="0"/>
                <w:bCs w:val="0"/>
              </w:rPr>
            </w:pPr>
            <w:r>
              <w:rPr>
                <w:b w:val="0"/>
                <w:bCs w:val="0"/>
              </w:rPr>
              <w:t>-3</w:t>
            </w:r>
          </w:p>
        </w:tc>
      </w:tr>
      <w:tr w:rsidR="00534CBF" w14:paraId="7CF1620B" w14:textId="77777777" w:rsidTr="00423F84">
        <w:tc>
          <w:tcPr>
            <w:tcW w:w="5035" w:type="dxa"/>
          </w:tcPr>
          <w:p w14:paraId="3C23B45C" w14:textId="5AFB9969" w:rsidR="00534CBF" w:rsidRPr="006F73D9" w:rsidRDefault="004F4180">
            <w:pPr>
              <w:pStyle w:val="COMTableheadingrow"/>
              <w:rPr>
                <w:b w:val="0"/>
                <w:bCs w:val="0"/>
              </w:rPr>
            </w:pPr>
            <w:r>
              <w:rPr>
                <w:b w:val="0"/>
              </w:rPr>
              <w:t>Hospitalisation for unstable angina</w:t>
            </w:r>
          </w:p>
        </w:tc>
        <w:tc>
          <w:tcPr>
            <w:tcW w:w="1327" w:type="dxa"/>
          </w:tcPr>
          <w:p w14:paraId="40CB0B02" w14:textId="4B9802FA" w:rsidR="00534CBF" w:rsidRPr="006F73D9" w:rsidRDefault="00BD4DA6">
            <w:pPr>
              <w:pStyle w:val="COMTableheadingrow"/>
              <w:jc w:val="center"/>
              <w:rPr>
                <w:b w:val="0"/>
                <w:bCs w:val="0"/>
              </w:rPr>
            </w:pPr>
            <w:r>
              <w:rPr>
                <w:b w:val="0"/>
                <w:bCs w:val="0"/>
              </w:rPr>
              <w:t>14</w:t>
            </w:r>
          </w:p>
        </w:tc>
        <w:tc>
          <w:tcPr>
            <w:tcW w:w="1327" w:type="dxa"/>
          </w:tcPr>
          <w:p w14:paraId="4872208C" w14:textId="6866BA21" w:rsidR="00534CBF" w:rsidRPr="006F73D9" w:rsidRDefault="00BD4DA6">
            <w:pPr>
              <w:pStyle w:val="COMTableheadingrow"/>
              <w:jc w:val="center"/>
              <w:rPr>
                <w:b w:val="0"/>
                <w:bCs w:val="0"/>
              </w:rPr>
            </w:pPr>
            <w:r>
              <w:rPr>
                <w:b w:val="0"/>
                <w:bCs w:val="0"/>
              </w:rPr>
              <w:t>18</w:t>
            </w:r>
          </w:p>
        </w:tc>
        <w:tc>
          <w:tcPr>
            <w:tcW w:w="1328" w:type="dxa"/>
          </w:tcPr>
          <w:p w14:paraId="5D576603" w14:textId="2C0FB08F" w:rsidR="00534CBF" w:rsidRPr="006F73D9" w:rsidRDefault="00BD4DA6">
            <w:pPr>
              <w:pStyle w:val="COMTableheadingrow"/>
              <w:jc w:val="center"/>
              <w:rPr>
                <w:b w:val="0"/>
                <w:bCs w:val="0"/>
              </w:rPr>
            </w:pPr>
            <w:r>
              <w:rPr>
                <w:b w:val="0"/>
                <w:bCs w:val="0"/>
              </w:rPr>
              <w:t>-3</w:t>
            </w:r>
          </w:p>
        </w:tc>
      </w:tr>
      <w:tr w:rsidR="004F4180" w14:paraId="01F99B0A" w14:textId="77777777" w:rsidTr="00423F84">
        <w:tc>
          <w:tcPr>
            <w:tcW w:w="5035" w:type="dxa"/>
          </w:tcPr>
          <w:p w14:paraId="49EED73E" w14:textId="5F0D0373" w:rsidR="004F4180" w:rsidRDefault="004F4180">
            <w:pPr>
              <w:pStyle w:val="COMTableheadingrow"/>
              <w:rPr>
                <w:b w:val="0"/>
              </w:rPr>
            </w:pPr>
            <w:r>
              <w:rPr>
                <w:b w:val="0"/>
              </w:rPr>
              <w:t>Coronary revascularisation procedure</w:t>
            </w:r>
          </w:p>
        </w:tc>
        <w:tc>
          <w:tcPr>
            <w:tcW w:w="1327" w:type="dxa"/>
          </w:tcPr>
          <w:p w14:paraId="6AC44355" w14:textId="2F9E0AE6" w:rsidR="004F4180" w:rsidRPr="00F03B0D" w:rsidRDefault="00131180">
            <w:pPr>
              <w:pStyle w:val="COMTableheadingrow"/>
              <w:jc w:val="center"/>
              <w:rPr>
                <w:b w:val="0"/>
              </w:rPr>
            </w:pPr>
            <w:r>
              <w:rPr>
                <w:b w:val="0"/>
              </w:rPr>
              <w:t>67</w:t>
            </w:r>
          </w:p>
        </w:tc>
        <w:tc>
          <w:tcPr>
            <w:tcW w:w="1327" w:type="dxa"/>
          </w:tcPr>
          <w:p w14:paraId="0657FD9B" w14:textId="10129153" w:rsidR="004F4180" w:rsidRPr="00F03B0D" w:rsidRDefault="00131180">
            <w:pPr>
              <w:pStyle w:val="COMTableheadingrow"/>
              <w:jc w:val="center"/>
              <w:rPr>
                <w:b w:val="0"/>
              </w:rPr>
            </w:pPr>
            <w:r>
              <w:rPr>
                <w:b w:val="0"/>
              </w:rPr>
              <w:t>91</w:t>
            </w:r>
          </w:p>
        </w:tc>
        <w:tc>
          <w:tcPr>
            <w:tcW w:w="1328" w:type="dxa"/>
          </w:tcPr>
          <w:p w14:paraId="78A8E22C" w14:textId="4A56CD39" w:rsidR="004F4180" w:rsidRDefault="00131180">
            <w:pPr>
              <w:pStyle w:val="COMTableheadingrow"/>
              <w:jc w:val="center"/>
              <w:rPr>
                <w:b w:val="0"/>
              </w:rPr>
            </w:pPr>
            <w:r>
              <w:rPr>
                <w:b w:val="0"/>
              </w:rPr>
              <w:t>-24</w:t>
            </w:r>
          </w:p>
        </w:tc>
      </w:tr>
      <w:tr w:rsidR="00534CBF" w14:paraId="64970FA7" w14:textId="77777777" w:rsidTr="00423F84">
        <w:tc>
          <w:tcPr>
            <w:tcW w:w="5035" w:type="dxa"/>
          </w:tcPr>
          <w:p w14:paraId="534B41D9" w14:textId="1A8469B9" w:rsidR="00534CBF" w:rsidRPr="00C15016" w:rsidRDefault="00534CBF">
            <w:pPr>
              <w:pStyle w:val="COMTableheadingrow"/>
              <w:rPr>
                <w:b w:val="0"/>
                <w:bCs w:val="0"/>
                <w:vertAlign w:val="superscript"/>
              </w:rPr>
            </w:pPr>
            <w:r w:rsidRPr="006F73D9">
              <w:rPr>
                <w:b w:val="0"/>
              </w:rPr>
              <w:t>Adverse events leading to treatment discontinuation</w:t>
            </w:r>
            <w:r w:rsidR="00C15016">
              <w:rPr>
                <w:b w:val="0"/>
                <w:vertAlign w:val="superscript"/>
              </w:rPr>
              <w:t>a</w:t>
            </w:r>
          </w:p>
        </w:tc>
        <w:tc>
          <w:tcPr>
            <w:tcW w:w="1327" w:type="dxa"/>
          </w:tcPr>
          <w:p w14:paraId="0929F36F" w14:textId="18E68DD0" w:rsidR="00534CBF" w:rsidRPr="006F73D9" w:rsidRDefault="00993C7B">
            <w:pPr>
              <w:pStyle w:val="COMTableheadingrow"/>
              <w:jc w:val="center"/>
              <w:rPr>
                <w:b w:val="0"/>
                <w:bCs w:val="0"/>
              </w:rPr>
            </w:pPr>
            <w:r>
              <w:rPr>
                <w:b w:val="0"/>
                <w:bCs w:val="0"/>
              </w:rPr>
              <w:t>249</w:t>
            </w:r>
          </w:p>
        </w:tc>
        <w:tc>
          <w:tcPr>
            <w:tcW w:w="1327" w:type="dxa"/>
          </w:tcPr>
          <w:p w14:paraId="296C9562" w14:textId="4D02283A" w:rsidR="00534CBF" w:rsidRPr="006F73D9" w:rsidRDefault="00993C7B">
            <w:pPr>
              <w:pStyle w:val="COMTableheadingrow"/>
              <w:jc w:val="center"/>
              <w:rPr>
                <w:b w:val="0"/>
                <w:bCs w:val="0"/>
              </w:rPr>
            </w:pPr>
            <w:r>
              <w:rPr>
                <w:b w:val="0"/>
                <w:bCs w:val="0"/>
              </w:rPr>
              <w:t>109</w:t>
            </w:r>
          </w:p>
        </w:tc>
        <w:tc>
          <w:tcPr>
            <w:tcW w:w="1328" w:type="dxa"/>
          </w:tcPr>
          <w:p w14:paraId="45ABA2F3" w14:textId="2EF00016" w:rsidR="00534CBF" w:rsidRPr="006F73D9" w:rsidRDefault="00993C7B">
            <w:pPr>
              <w:pStyle w:val="COMTableheadingrow"/>
              <w:jc w:val="center"/>
              <w:rPr>
                <w:b w:val="0"/>
                <w:bCs w:val="0"/>
              </w:rPr>
            </w:pPr>
            <w:r>
              <w:rPr>
                <w:b w:val="0"/>
                <w:bCs w:val="0"/>
              </w:rPr>
              <w:t>+130</w:t>
            </w:r>
          </w:p>
        </w:tc>
      </w:tr>
      <w:tr w:rsidR="00534CBF" w14:paraId="4D038388" w14:textId="77777777" w:rsidTr="00423F84">
        <w:tc>
          <w:tcPr>
            <w:tcW w:w="9017" w:type="dxa"/>
            <w:gridSpan w:val="4"/>
          </w:tcPr>
          <w:p w14:paraId="12406F89" w14:textId="3BEFDC67" w:rsidR="00534CBF" w:rsidRDefault="004F4180">
            <w:pPr>
              <w:pStyle w:val="COMTableheadingrow"/>
            </w:pPr>
            <w:r>
              <w:t xml:space="preserve">Patients with established cardiovascular disease and BMI </w:t>
            </w:r>
            <w:r w:rsidR="00D01372">
              <w:t>≥</w:t>
            </w:r>
            <w:r>
              <w:t>35 kg/m</w:t>
            </w:r>
            <w:r w:rsidRPr="00534CBF">
              <w:rPr>
                <w:vertAlign w:val="superscript"/>
              </w:rPr>
              <w:t>2</w:t>
            </w:r>
          </w:p>
        </w:tc>
      </w:tr>
      <w:tr w:rsidR="004F4180" w14:paraId="02CF89B6" w14:textId="77777777" w:rsidTr="00423F84">
        <w:tc>
          <w:tcPr>
            <w:tcW w:w="5035" w:type="dxa"/>
          </w:tcPr>
          <w:p w14:paraId="1AD9CB0E" w14:textId="2FC1E8C8" w:rsidR="004F4180" w:rsidRPr="004F4180" w:rsidRDefault="004F4180" w:rsidP="004F4180">
            <w:pPr>
              <w:pStyle w:val="COMTabletext"/>
            </w:pPr>
            <w:r w:rsidRPr="004F4180">
              <w:t xml:space="preserve">Cardiovascular death </w:t>
            </w:r>
          </w:p>
        </w:tc>
        <w:tc>
          <w:tcPr>
            <w:tcW w:w="1327" w:type="dxa"/>
            <w:vAlign w:val="center"/>
          </w:tcPr>
          <w:p w14:paraId="304F98FA" w14:textId="55FCEA91" w:rsidR="004F4180" w:rsidRDefault="00EA614F" w:rsidP="004F4180">
            <w:pPr>
              <w:pStyle w:val="COMTabletext"/>
              <w:jc w:val="center"/>
            </w:pPr>
            <w:r>
              <w:t>35</w:t>
            </w:r>
          </w:p>
        </w:tc>
        <w:tc>
          <w:tcPr>
            <w:tcW w:w="1327" w:type="dxa"/>
            <w:vAlign w:val="center"/>
          </w:tcPr>
          <w:p w14:paraId="78AC6DD5" w14:textId="6AA21BC3" w:rsidR="004F4180" w:rsidRDefault="00EA614F" w:rsidP="004F4180">
            <w:pPr>
              <w:pStyle w:val="COMTabletext"/>
              <w:jc w:val="center"/>
            </w:pPr>
            <w:r>
              <w:t>35</w:t>
            </w:r>
          </w:p>
        </w:tc>
        <w:tc>
          <w:tcPr>
            <w:tcW w:w="1328" w:type="dxa"/>
          </w:tcPr>
          <w:p w14:paraId="09FE7B5E" w14:textId="224A6416" w:rsidR="004F4180" w:rsidRDefault="00EA614F" w:rsidP="004F4180">
            <w:pPr>
              <w:pStyle w:val="COMTabletext"/>
              <w:jc w:val="center"/>
            </w:pPr>
            <w:r>
              <w:t>0</w:t>
            </w:r>
          </w:p>
        </w:tc>
      </w:tr>
      <w:tr w:rsidR="004F4180" w14:paraId="2A48B43C" w14:textId="77777777" w:rsidTr="00423F84">
        <w:tc>
          <w:tcPr>
            <w:tcW w:w="5035" w:type="dxa"/>
          </w:tcPr>
          <w:p w14:paraId="6EE2C64F" w14:textId="13F6F099" w:rsidR="004F4180" w:rsidRPr="004F4180" w:rsidRDefault="004F4180" w:rsidP="004F4180">
            <w:pPr>
              <w:pStyle w:val="COMTabletext"/>
            </w:pPr>
            <w:r w:rsidRPr="004F4180">
              <w:t>Non-cardiovascular death</w:t>
            </w:r>
          </w:p>
        </w:tc>
        <w:tc>
          <w:tcPr>
            <w:tcW w:w="1327" w:type="dxa"/>
            <w:vAlign w:val="center"/>
          </w:tcPr>
          <w:p w14:paraId="0CDEB193" w14:textId="2BA3B8AF" w:rsidR="004F4180" w:rsidRDefault="00EA614F" w:rsidP="004F4180">
            <w:pPr>
              <w:pStyle w:val="COMTabletext"/>
              <w:jc w:val="center"/>
            </w:pPr>
            <w:r>
              <w:t>21</w:t>
            </w:r>
          </w:p>
        </w:tc>
        <w:tc>
          <w:tcPr>
            <w:tcW w:w="1327" w:type="dxa"/>
            <w:vAlign w:val="center"/>
          </w:tcPr>
          <w:p w14:paraId="564F1BF5" w14:textId="083F1169" w:rsidR="004F4180" w:rsidRDefault="00EA614F" w:rsidP="004F4180">
            <w:pPr>
              <w:pStyle w:val="COMTabletext"/>
              <w:jc w:val="center"/>
            </w:pPr>
            <w:r>
              <w:t>25</w:t>
            </w:r>
          </w:p>
        </w:tc>
        <w:tc>
          <w:tcPr>
            <w:tcW w:w="1328" w:type="dxa"/>
          </w:tcPr>
          <w:p w14:paraId="33F071C0" w14:textId="632CE6A4" w:rsidR="004F4180" w:rsidRDefault="00EA614F" w:rsidP="004F4180">
            <w:pPr>
              <w:pStyle w:val="COMTabletext"/>
              <w:jc w:val="center"/>
            </w:pPr>
            <w:r>
              <w:t>-4</w:t>
            </w:r>
          </w:p>
        </w:tc>
      </w:tr>
      <w:tr w:rsidR="004F4180" w14:paraId="5FC34941" w14:textId="77777777" w:rsidTr="00423F84">
        <w:tc>
          <w:tcPr>
            <w:tcW w:w="5035" w:type="dxa"/>
          </w:tcPr>
          <w:p w14:paraId="42372156" w14:textId="4CC26094" w:rsidR="004F4180" w:rsidRPr="004F4180" w:rsidRDefault="004F4180" w:rsidP="004F4180">
            <w:pPr>
              <w:pStyle w:val="COMTabletext"/>
            </w:pPr>
            <w:r w:rsidRPr="004F4180">
              <w:t>Non-fatal myocardial infarction</w:t>
            </w:r>
          </w:p>
        </w:tc>
        <w:tc>
          <w:tcPr>
            <w:tcW w:w="1327" w:type="dxa"/>
            <w:vAlign w:val="center"/>
          </w:tcPr>
          <w:p w14:paraId="5806BB47" w14:textId="07FEC8D7" w:rsidR="004F4180" w:rsidRDefault="00EB2BB2" w:rsidP="004F4180">
            <w:pPr>
              <w:pStyle w:val="COMTabletext"/>
              <w:jc w:val="center"/>
            </w:pPr>
            <w:r>
              <w:t>35</w:t>
            </w:r>
          </w:p>
        </w:tc>
        <w:tc>
          <w:tcPr>
            <w:tcW w:w="1327" w:type="dxa"/>
            <w:vAlign w:val="center"/>
          </w:tcPr>
          <w:p w14:paraId="154B873C" w14:textId="56CEEED6" w:rsidR="004F4180" w:rsidRDefault="00EB2BB2" w:rsidP="004F4180">
            <w:pPr>
              <w:pStyle w:val="COMTabletext"/>
              <w:jc w:val="center"/>
            </w:pPr>
            <w:r>
              <w:t>46</w:t>
            </w:r>
          </w:p>
        </w:tc>
        <w:tc>
          <w:tcPr>
            <w:tcW w:w="1328" w:type="dxa"/>
          </w:tcPr>
          <w:p w14:paraId="0D8FC69E" w14:textId="56056AB4" w:rsidR="004F4180" w:rsidRDefault="00EB2BB2" w:rsidP="004F4180">
            <w:pPr>
              <w:pStyle w:val="COMTabletext"/>
              <w:jc w:val="center"/>
            </w:pPr>
            <w:r>
              <w:t>-11</w:t>
            </w:r>
          </w:p>
        </w:tc>
      </w:tr>
      <w:tr w:rsidR="004F4180" w14:paraId="3962E066" w14:textId="77777777" w:rsidTr="00423F84">
        <w:tc>
          <w:tcPr>
            <w:tcW w:w="5035" w:type="dxa"/>
          </w:tcPr>
          <w:p w14:paraId="61DE22BF" w14:textId="0F90150B" w:rsidR="004F4180" w:rsidRPr="004F4180" w:rsidRDefault="004F4180" w:rsidP="004F4180">
            <w:pPr>
              <w:pStyle w:val="COMTabletext"/>
            </w:pPr>
            <w:r w:rsidRPr="004F4180">
              <w:t>Non-fatal stroke</w:t>
            </w:r>
          </w:p>
        </w:tc>
        <w:tc>
          <w:tcPr>
            <w:tcW w:w="1327" w:type="dxa"/>
            <w:vAlign w:val="center"/>
          </w:tcPr>
          <w:p w14:paraId="21E7D4F4" w14:textId="69D3562F" w:rsidR="004F4180" w:rsidRDefault="00EB2BB2" w:rsidP="004F4180">
            <w:pPr>
              <w:pStyle w:val="COMTabletext"/>
              <w:jc w:val="center"/>
            </w:pPr>
            <w:r>
              <w:t>25</w:t>
            </w:r>
          </w:p>
        </w:tc>
        <w:tc>
          <w:tcPr>
            <w:tcW w:w="1327" w:type="dxa"/>
            <w:vAlign w:val="center"/>
          </w:tcPr>
          <w:p w14:paraId="55E146C4" w14:textId="59A43AEF" w:rsidR="004F4180" w:rsidRDefault="00EB2BB2" w:rsidP="004F4180">
            <w:pPr>
              <w:pStyle w:val="COMTabletext"/>
              <w:jc w:val="center"/>
            </w:pPr>
            <w:r>
              <w:t>25</w:t>
            </w:r>
          </w:p>
        </w:tc>
        <w:tc>
          <w:tcPr>
            <w:tcW w:w="1328" w:type="dxa"/>
          </w:tcPr>
          <w:p w14:paraId="3E64BAE6" w14:textId="0C75D877" w:rsidR="004F4180" w:rsidRDefault="00EB2BB2" w:rsidP="004F4180">
            <w:pPr>
              <w:pStyle w:val="COMTabletext"/>
              <w:jc w:val="center"/>
            </w:pPr>
            <w:r>
              <w:t>0</w:t>
            </w:r>
          </w:p>
        </w:tc>
      </w:tr>
      <w:tr w:rsidR="004F4180" w14:paraId="00923141" w14:textId="77777777" w:rsidTr="00423F84">
        <w:tc>
          <w:tcPr>
            <w:tcW w:w="5035" w:type="dxa"/>
          </w:tcPr>
          <w:p w14:paraId="2147708A" w14:textId="55578CAB" w:rsidR="004F4180" w:rsidRPr="004F4180" w:rsidRDefault="004F4180" w:rsidP="004F4180">
            <w:pPr>
              <w:pStyle w:val="COMTabletext"/>
            </w:pPr>
            <w:r w:rsidRPr="004F4180">
              <w:t>Hospitalisation/urgent care for heart failure</w:t>
            </w:r>
          </w:p>
        </w:tc>
        <w:tc>
          <w:tcPr>
            <w:tcW w:w="1327" w:type="dxa"/>
            <w:vAlign w:val="center"/>
          </w:tcPr>
          <w:p w14:paraId="4CB51C8C" w14:textId="360A576C" w:rsidR="004F4180" w:rsidRDefault="00D41DA1" w:rsidP="004F4180">
            <w:pPr>
              <w:pStyle w:val="COMTabletext"/>
              <w:jc w:val="center"/>
            </w:pPr>
            <w:r>
              <w:t>25</w:t>
            </w:r>
          </w:p>
        </w:tc>
        <w:tc>
          <w:tcPr>
            <w:tcW w:w="1327" w:type="dxa"/>
            <w:vAlign w:val="center"/>
          </w:tcPr>
          <w:p w14:paraId="5B150C76" w14:textId="7B79E44D" w:rsidR="004F4180" w:rsidRDefault="00D41DA1" w:rsidP="004F4180">
            <w:pPr>
              <w:pStyle w:val="COMTabletext"/>
              <w:jc w:val="center"/>
            </w:pPr>
            <w:r>
              <w:t>32</w:t>
            </w:r>
          </w:p>
        </w:tc>
        <w:tc>
          <w:tcPr>
            <w:tcW w:w="1328" w:type="dxa"/>
          </w:tcPr>
          <w:p w14:paraId="518BF065" w14:textId="220926F7" w:rsidR="004F4180" w:rsidRDefault="00D41DA1" w:rsidP="004F4180">
            <w:pPr>
              <w:pStyle w:val="COMTabletext"/>
              <w:jc w:val="center"/>
            </w:pPr>
            <w:r>
              <w:t>-7</w:t>
            </w:r>
          </w:p>
        </w:tc>
      </w:tr>
      <w:tr w:rsidR="004F4180" w14:paraId="73528392" w14:textId="77777777" w:rsidTr="00423F84">
        <w:tc>
          <w:tcPr>
            <w:tcW w:w="5035" w:type="dxa"/>
          </w:tcPr>
          <w:p w14:paraId="037846EF" w14:textId="47B31F19" w:rsidR="004F4180" w:rsidRPr="004F4180" w:rsidRDefault="004F4180" w:rsidP="004F4180">
            <w:pPr>
              <w:pStyle w:val="COMTabletext"/>
            </w:pPr>
            <w:r w:rsidRPr="004F4180">
              <w:t>Hospitalisation for unstable angina</w:t>
            </w:r>
          </w:p>
        </w:tc>
        <w:tc>
          <w:tcPr>
            <w:tcW w:w="1327" w:type="dxa"/>
            <w:vAlign w:val="center"/>
          </w:tcPr>
          <w:p w14:paraId="3845FAC5" w14:textId="40C72F51" w:rsidR="004F4180" w:rsidRDefault="00D41DA1" w:rsidP="004F4180">
            <w:pPr>
              <w:pStyle w:val="COMTabletext"/>
              <w:jc w:val="center"/>
            </w:pPr>
            <w:r>
              <w:t>11</w:t>
            </w:r>
          </w:p>
        </w:tc>
        <w:tc>
          <w:tcPr>
            <w:tcW w:w="1327" w:type="dxa"/>
            <w:vAlign w:val="center"/>
          </w:tcPr>
          <w:p w14:paraId="6FB22286" w14:textId="65FE8902" w:rsidR="004F4180" w:rsidRDefault="00D41DA1" w:rsidP="004F4180">
            <w:pPr>
              <w:pStyle w:val="COMTabletext"/>
              <w:jc w:val="center"/>
            </w:pPr>
            <w:r>
              <w:t>11</w:t>
            </w:r>
          </w:p>
        </w:tc>
        <w:tc>
          <w:tcPr>
            <w:tcW w:w="1328" w:type="dxa"/>
          </w:tcPr>
          <w:p w14:paraId="1FE37028" w14:textId="70DAFD9F" w:rsidR="004F4180" w:rsidRDefault="00D41DA1" w:rsidP="004F4180">
            <w:pPr>
              <w:pStyle w:val="COMTabletext"/>
              <w:jc w:val="center"/>
            </w:pPr>
            <w:r>
              <w:t>0</w:t>
            </w:r>
          </w:p>
        </w:tc>
      </w:tr>
      <w:tr w:rsidR="004F4180" w14:paraId="7983DF58" w14:textId="77777777" w:rsidTr="00423F84">
        <w:tc>
          <w:tcPr>
            <w:tcW w:w="5035" w:type="dxa"/>
          </w:tcPr>
          <w:p w14:paraId="3F8E7E76" w14:textId="10D223F8" w:rsidR="004F4180" w:rsidRPr="004F4180" w:rsidRDefault="004F4180" w:rsidP="004F4180">
            <w:pPr>
              <w:pStyle w:val="COMTabletext"/>
            </w:pPr>
            <w:r w:rsidRPr="004F4180">
              <w:t>Coronary revascularisation procedure</w:t>
            </w:r>
          </w:p>
        </w:tc>
        <w:tc>
          <w:tcPr>
            <w:tcW w:w="1327" w:type="dxa"/>
            <w:vAlign w:val="center"/>
          </w:tcPr>
          <w:p w14:paraId="5896499C" w14:textId="735B8811" w:rsidR="004F4180" w:rsidRDefault="00D41DA1" w:rsidP="004F4180">
            <w:pPr>
              <w:pStyle w:val="COMTabletext"/>
              <w:jc w:val="center"/>
            </w:pPr>
            <w:r>
              <w:t>67</w:t>
            </w:r>
          </w:p>
        </w:tc>
        <w:tc>
          <w:tcPr>
            <w:tcW w:w="1327" w:type="dxa"/>
            <w:vAlign w:val="center"/>
          </w:tcPr>
          <w:p w14:paraId="1892D039" w14:textId="5603E900" w:rsidR="004F4180" w:rsidRDefault="00D41DA1" w:rsidP="004F4180">
            <w:pPr>
              <w:pStyle w:val="COMTabletext"/>
              <w:jc w:val="center"/>
            </w:pPr>
            <w:r>
              <w:t>84</w:t>
            </w:r>
          </w:p>
        </w:tc>
        <w:tc>
          <w:tcPr>
            <w:tcW w:w="1328" w:type="dxa"/>
          </w:tcPr>
          <w:p w14:paraId="534AD96C" w14:textId="1709895E" w:rsidR="004F4180" w:rsidRDefault="00D41DA1" w:rsidP="004F4180">
            <w:pPr>
              <w:pStyle w:val="COMTabletext"/>
              <w:jc w:val="center"/>
            </w:pPr>
            <w:r>
              <w:t>-21</w:t>
            </w:r>
          </w:p>
        </w:tc>
      </w:tr>
      <w:tr w:rsidR="00D41DA1" w14:paraId="1AA6C2F1" w14:textId="77777777" w:rsidTr="00423F84">
        <w:tc>
          <w:tcPr>
            <w:tcW w:w="5035" w:type="dxa"/>
          </w:tcPr>
          <w:p w14:paraId="386209DC" w14:textId="64D8A2FD" w:rsidR="00D41DA1" w:rsidRPr="00C15016" w:rsidRDefault="00D41DA1" w:rsidP="00D41DA1">
            <w:pPr>
              <w:pStyle w:val="COMTabletext"/>
              <w:rPr>
                <w:vertAlign w:val="superscript"/>
              </w:rPr>
            </w:pPr>
            <w:r w:rsidRPr="006F73D9">
              <w:t>Adverse events leading to treatment discontinuation</w:t>
            </w:r>
            <w:r>
              <w:rPr>
                <w:vertAlign w:val="superscript"/>
              </w:rPr>
              <w:t>a</w:t>
            </w:r>
          </w:p>
        </w:tc>
        <w:tc>
          <w:tcPr>
            <w:tcW w:w="1327" w:type="dxa"/>
          </w:tcPr>
          <w:p w14:paraId="24210A06" w14:textId="07709B9D" w:rsidR="00D41DA1" w:rsidRPr="00D41DA1" w:rsidRDefault="00D41DA1" w:rsidP="00D41DA1">
            <w:pPr>
              <w:pStyle w:val="COMTabletext"/>
              <w:jc w:val="center"/>
            </w:pPr>
            <w:r w:rsidRPr="00D41DA1">
              <w:t>249</w:t>
            </w:r>
          </w:p>
        </w:tc>
        <w:tc>
          <w:tcPr>
            <w:tcW w:w="1327" w:type="dxa"/>
          </w:tcPr>
          <w:p w14:paraId="228A5E80" w14:textId="060E84CB" w:rsidR="00D41DA1" w:rsidRPr="00D41DA1" w:rsidRDefault="00D41DA1" w:rsidP="00D41DA1">
            <w:pPr>
              <w:pStyle w:val="COMTabletext"/>
              <w:jc w:val="center"/>
            </w:pPr>
            <w:r w:rsidRPr="00D41DA1">
              <w:t>109</w:t>
            </w:r>
          </w:p>
        </w:tc>
        <w:tc>
          <w:tcPr>
            <w:tcW w:w="1328" w:type="dxa"/>
          </w:tcPr>
          <w:p w14:paraId="31581191" w14:textId="76092068" w:rsidR="00D41DA1" w:rsidRPr="00D41DA1" w:rsidRDefault="00D41DA1" w:rsidP="00D41DA1">
            <w:pPr>
              <w:pStyle w:val="COMTabletext"/>
              <w:jc w:val="center"/>
            </w:pPr>
            <w:r w:rsidRPr="00D41DA1">
              <w:t>+130</w:t>
            </w:r>
          </w:p>
        </w:tc>
      </w:tr>
      <w:tr w:rsidR="00D41DA1" w14:paraId="7B2BF901" w14:textId="77777777" w:rsidTr="00423F84">
        <w:tc>
          <w:tcPr>
            <w:tcW w:w="9017" w:type="dxa"/>
            <w:gridSpan w:val="4"/>
          </w:tcPr>
          <w:p w14:paraId="531C2E60" w14:textId="70FE4A9E" w:rsidR="00D41DA1" w:rsidRDefault="00D41DA1" w:rsidP="00D41DA1">
            <w:pPr>
              <w:pStyle w:val="COMTableheadingrow"/>
            </w:pPr>
            <w:r>
              <w:t xml:space="preserve">Patients with established cardiovascular disease and BMI </w:t>
            </w:r>
            <w:r w:rsidR="00D01372">
              <w:t>≥</w:t>
            </w:r>
            <w:r>
              <w:t>40 kg/m</w:t>
            </w:r>
            <w:r w:rsidRPr="00534CBF">
              <w:rPr>
                <w:vertAlign w:val="superscript"/>
              </w:rPr>
              <w:t>2</w:t>
            </w:r>
          </w:p>
        </w:tc>
      </w:tr>
      <w:tr w:rsidR="00D41DA1" w14:paraId="62D2A0F8" w14:textId="77777777" w:rsidTr="00423F84">
        <w:tc>
          <w:tcPr>
            <w:tcW w:w="5035" w:type="dxa"/>
          </w:tcPr>
          <w:p w14:paraId="60FC9D4A" w14:textId="47CF1E9E" w:rsidR="00D41DA1" w:rsidRDefault="00D41DA1" w:rsidP="00D41DA1">
            <w:pPr>
              <w:pStyle w:val="COMTabletext"/>
            </w:pPr>
            <w:r w:rsidRPr="004F4180">
              <w:t xml:space="preserve">Cardiovascular death </w:t>
            </w:r>
          </w:p>
        </w:tc>
        <w:tc>
          <w:tcPr>
            <w:tcW w:w="1327" w:type="dxa"/>
            <w:vAlign w:val="center"/>
          </w:tcPr>
          <w:p w14:paraId="562AF886" w14:textId="2172A7CD" w:rsidR="00D41DA1" w:rsidRDefault="003C4BBA" w:rsidP="00D41DA1">
            <w:pPr>
              <w:pStyle w:val="COMTabletext"/>
              <w:jc w:val="center"/>
            </w:pPr>
            <w:r>
              <w:t>35</w:t>
            </w:r>
          </w:p>
        </w:tc>
        <w:tc>
          <w:tcPr>
            <w:tcW w:w="1327" w:type="dxa"/>
            <w:vAlign w:val="center"/>
          </w:tcPr>
          <w:p w14:paraId="498D01F3" w14:textId="5DE7B3D0" w:rsidR="00D41DA1" w:rsidRDefault="003C4BBA" w:rsidP="00D41DA1">
            <w:pPr>
              <w:pStyle w:val="COMTabletext"/>
              <w:jc w:val="center"/>
            </w:pPr>
            <w:r>
              <w:t>39</w:t>
            </w:r>
          </w:p>
        </w:tc>
        <w:tc>
          <w:tcPr>
            <w:tcW w:w="1328" w:type="dxa"/>
          </w:tcPr>
          <w:p w14:paraId="419095E1" w14:textId="5ADC123A" w:rsidR="00D41DA1" w:rsidRDefault="003C4BBA" w:rsidP="00D41DA1">
            <w:pPr>
              <w:pStyle w:val="COMTabletext"/>
              <w:jc w:val="center"/>
            </w:pPr>
            <w:r>
              <w:t>-4</w:t>
            </w:r>
          </w:p>
        </w:tc>
      </w:tr>
      <w:tr w:rsidR="00D41DA1" w14:paraId="14488D02" w14:textId="77777777" w:rsidTr="00423F84">
        <w:tc>
          <w:tcPr>
            <w:tcW w:w="5035" w:type="dxa"/>
          </w:tcPr>
          <w:p w14:paraId="457627D4" w14:textId="10B388A1" w:rsidR="00D41DA1" w:rsidRDefault="00D41DA1" w:rsidP="00D41DA1">
            <w:pPr>
              <w:pStyle w:val="COMTabletext"/>
            </w:pPr>
            <w:r w:rsidRPr="004F4180">
              <w:t>Non-cardiovascular death</w:t>
            </w:r>
          </w:p>
        </w:tc>
        <w:tc>
          <w:tcPr>
            <w:tcW w:w="1327" w:type="dxa"/>
            <w:vAlign w:val="center"/>
          </w:tcPr>
          <w:p w14:paraId="60E2D2C5" w14:textId="6E0F0037" w:rsidR="00D41DA1" w:rsidRDefault="003C4BBA" w:rsidP="00D41DA1">
            <w:pPr>
              <w:pStyle w:val="COMTabletext"/>
              <w:jc w:val="center"/>
            </w:pPr>
            <w:r>
              <w:t>28</w:t>
            </w:r>
          </w:p>
        </w:tc>
        <w:tc>
          <w:tcPr>
            <w:tcW w:w="1327" w:type="dxa"/>
            <w:vAlign w:val="center"/>
          </w:tcPr>
          <w:p w14:paraId="78BCB8D6" w14:textId="0B08A8E9" w:rsidR="00D41DA1" w:rsidRDefault="003C4BBA" w:rsidP="00D41DA1">
            <w:pPr>
              <w:pStyle w:val="COMTabletext"/>
              <w:jc w:val="center"/>
            </w:pPr>
            <w:r>
              <w:t>28</w:t>
            </w:r>
          </w:p>
        </w:tc>
        <w:tc>
          <w:tcPr>
            <w:tcW w:w="1328" w:type="dxa"/>
          </w:tcPr>
          <w:p w14:paraId="7B0BF1CF" w14:textId="6644A84B" w:rsidR="00D41DA1" w:rsidRDefault="003C4BBA" w:rsidP="00D41DA1">
            <w:pPr>
              <w:pStyle w:val="COMTabletext"/>
              <w:jc w:val="center"/>
            </w:pPr>
            <w:r>
              <w:t>0</w:t>
            </w:r>
          </w:p>
        </w:tc>
      </w:tr>
      <w:tr w:rsidR="00D41DA1" w14:paraId="42EF2877" w14:textId="77777777" w:rsidTr="00423F84">
        <w:tc>
          <w:tcPr>
            <w:tcW w:w="5035" w:type="dxa"/>
          </w:tcPr>
          <w:p w14:paraId="3E56547A" w14:textId="0E50CF45" w:rsidR="00D41DA1" w:rsidRDefault="00D41DA1" w:rsidP="00D41DA1">
            <w:pPr>
              <w:pStyle w:val="COMTabletext"/>
            </w:pPr>
            <w:r w:rsidRPr="004F4180">
              <w:t>Non-fatal myocardial infarction</w:t>
            </w:r>
          </w:p>
        </w:tc>
        <w:tc>
          <w:tcPr>
            <w:tcW w:w="1327" w:type="dxa"/>
            <w:vAlign w:val="center"/>
          </w:tcPr>
          <w:p w14:paraId="10F3A27E" w14:textId="22447738" w:rsidR="00D41DA1" w:rsidRDefault="003C4BBA" w:rsidP="00D41DA1">
            <w:pPr>
              <w:pStyle w:val="COMTabletext"/>
              <w:jc w:val="center"/>
            </w:pPr>
            <w:r>
              <w:t>28</w:t>
            </w:r>
          </w:p>
        </w:tc>
        <w:tc>
          <w:tcPr>
            <w:tcW w:w="1327" w:type="dxa"/>
            <w:vAlign w:val="center"/>
          </w:tcPr>
          <w:p w14:paraId="6DAD6AE7" w14:textId="522C3952" w:rsidR="00D41DA1" w:rsidRDefault="003C4BBA" w:rsidP="00D41DA1">
            <w:pPr>
              <w:pStyle w:val="COMTabletext"/>
              <w:jc w:val="center"/>
            </w:pPr>
            <w:r>
              <w:t>42</w:t>
            </w:r>
          </w:p>
        </w:tc>
        <w:tc>
          <w:tcPr>
            <w:tcW w:w="1328" w:type="dxa"/>
          </w:tcPr>
          <w:p w14:paraId="30EB036D" w14:textId="0495B829" w:rsidR="00D41DA1" w:rsidRDefault="003C4BBA" w:rsidP="00D41DA1">
            <w:pPr>
              <w:pStyle w:val="COMTabletext"/>
              <w:jc w:val="center"/>
            </w:pPr>
            <w:r>
              <w:t>-14</w:t>
            </w:r>
          </w:p>
        </w:tc>
      </w:tr>
      <w:tr w:rsidR="00D41DA1" w14:paraId="2B3B29E1" w14:textId="77777777" w:rsidTr="00423F84">
        <w:tc>
          <w:tcPr>
            <w:tcW w:w="5035" w:type="dxa"/>
          </w:tcPr>
          <w:p w14:paraId="6BF03C16" w14:textId="35530E65" w:rsidR="00D41DA1" w:rsidRDefault="00D41DA1" w:rsidP="00D41DA1">
            <w:pPr>
              <w:pStyle w:val="COMTabletext"/>
            </w:pPr>
            <w:r w:rsidRPr="004F4180">
              <w:t>Non-fatal stroke</w:t>
            </w:r>
          </w:p>
        </w:tc>
        <w:tc>
          <w:tcPr>
            <w:tcW w:w="1327" w:type="dxa"/>
            <w:vAlign w:val="center"/>
          </w:tcPr>
          <w:p w14:paraId="7A3E168B" w14:textId="03122434" w:rsidR="00D41DA1" w:rsidRDefault="003C4BBA" w:rsidP="00D41DA1">
            <w:pPr>
              <w:pStyle w:val="COMTabletext"/>
              <w:jc w:val="center"/>
            </w:pPr>
            <w:r>
              <w:t>25</w:t>
            </w:r>
          </w:p>
        </w:tc>
        <w:tc>
          <w:tcPr>
            <w:tcW w:w="1327" w:type="dxa"/>
            <w:vAlign w:val="center"/>
          </w:tcPr>
          <w:p w14:paraId="3AF3CAC2" w14:textId="1C91FBC4" w:rsidR="00D41DA1" w:rsidRDefault="003C4BBA" w:rsidP="00D41DA1">
            <w:pPr>
              <w:pStyle w:val="COMTabletext"/>
              <w:jc w:val="center"/>
            </w:pPr>
            <w:r>
              <w:t>28</w:t>
            </w:r>
          </w:p>
        </w:tc>
        <w:tc>
          <w:tcPr>
            <w:tcW w:w="1328" w:type="dxa"/>
          </w:tcPr>
          <w:p w14:paraId="35B63C7C" w14:textId="3336544E" w:rsidR="00D41DA1" w:rsidRDefault="003C4BBA" w:rsidP="00D41DA1">
            <w:pPr>
              <w:pStyle w:val="COMTabletext"/>
              <w:jc w:val="center"/>
            </w:pPr>
            <w:r>
              <w:t>-3</w:t>
            </w:r>
          </w:p>
        </w:tc>
      </w:tr>
      <w:tr w:rsidR="00D41DA1" w14:paraId="590CD965" w14:textId="77777777" w:rsidTr="00423F84">
        <w:tc>
          <w:tcPr>
            <w:tcW w:w="5035" w:type="dxa"/>
          </w:tcPr>
          <w:p w14:paraId="17C2657F" w14:textId="3979E888" w:rsidR="00D41DA1" w:rsidRDefault="00D41DA1" w:rsidP="00D41DA1">
            <w:pPr>
              <w:pStyle w:val="COMTabletext"/>
            </w:pPr>
            <w:r w:rsidRPr="004F4180">
              <w:t>Hospitalisation/urgent care for heart failure</w:t>
            </w:r>
          </w:p>
        </w:tc>
        <w:tc>
          <w:tcPr>
            <w:tcW w:w="1327" w:type="dxa"/>
            <w:vAlign w:val="center"/>
          </w:tcPr>
          <w:p w14:paraId="17BC7AED" w14:textId="014E3D6A" w:rsidR="00D41DA1" w:rsidRDefault="003C4BBA" w:rsidP="00D41DA1">
            <w:pPr>
              <w:pStyle w:val="COMTabletext"/>
              <w:jc w:val="center"/>
            </w:pPr>
            <w:r>
              <w:t>21</w:t>
            </w:r>
          </w:p>
        </w:tc>
        <w:tc>
          <w:tcPr>
            <w:tcW w:w="1327" w:type="dxa"/>
            <w:vAlign w:val="center"/>
          </w:tcPr>
          <w:p w14:paraId="34C49C02" w14:textId="1EBD428B" w:rsidR="00D41DA1" w:rsidRDefault="003C4BBA" w:rsidP="00D41DA1">
            <w:pPr>
              <w:pStyle w:val="COMTabletext"/>
              <w:jc w:val="center"/>
            </w:pPr>
            <w:r>
              <w:t>28</w:t>
            </w:r>
          </w:p>
        </w:tc>
        <w:tc>
          <w:tcPr>
            <w:tcW w:w="1328" w:type="dxa"/>
          </w:tcPr>
          <w:p w14:paraId="75A1BE42" w14:textId="0D3562AE" w:rsidR="00D41DA1" w:rsidRDefault="003C4BBA" w:rsidP="00D41DA1">
            <w:pPr>
              <w:pStyle w:val="COMTabletext"/>
              <w:jc w:val="center"/>
            </w:pPr>
            <w:r>
              <w:t>-7</w:t>
            </w:r>
          </w:p>
        </w:tc>
      </w:tr>
      <w:tr w:rsidR="00D41DA1" w14:paraId="50B4D5EB" w14:textId="77777777" w:rsidTr="00423F84">
        <w:tc>
          <w:tcPr>
            <w:tcW w:w="5035" w:type="dxa"/>
          </w:tcPr>
          <w:p w14:paraId="5CFCD56D" w14:textId="1E629421" w:rsidR="00D41DA1" w:rsidRDefault="00D41DA1" w:rsidP="00D41DA1">
            <w:pPr>
              <w:pStyle w:val="COMTabletext"/>
            </w:pPr>
            <w:r w:rsidRPr="004F4180">
              <w:t>Hospitalisation for unstable angina</w:t>
            </w:r>
          </w:p>
        </w:tc>
        <w:tc>
          <w:tcPr>
            <w:tcW w:w="1327" w:type="dxa"/>
            <w:vAlign w:val="center"/>
          </w:tcPr>
          <w:p w14:paraId="6A94995A" w14:textId="3CB46B54" w:rsidR="00D41DA1" w:rsidRDefault="003C4BBA" w:rsidP="00D41DA1">
            <w:pPr>
              <w:pStyle w:val="COMTabletext"/>
              <w:jc w:val="center"/>
            </w:pPr>
            <w:r>
              <w:t>4</w:t>
            </w:r>
          </w:p>
        </w:tc>
        <w:tc>
          <w:tcPr>
            <w:tcW w:w="1327" w:type="dxa"/>
            <w:vAlign w:val="center"/>
          </w:tcPr>
          <w:p w14:paraId="61CBFAF8" w14:textId="09E60FD3" w:rsidR="00D41DA1" w:rsidRDefault="003C4BBA" w:rsidP="00D41DA1">
            <w:pPr>
              <w:pStyle w:val="COMTabletext"/>
              <w:jc w:val="center"/>
            </w:pPr>
            <w:r>
              <w:t>11</w:t>
            </w:r>
          </w:p>
        </w:tc>
        <w:tc>
          <w:tcPr>
            <w:tcW w:w="1328" w:type="dxa"/>
          </w:tcPr>
          <w:p w14:paraId="6967DDCC" w14:textId="5E4E71AF" w:rsidR="00D41DA1" w:rsidRDefault="003C4BBA" w:rsidP="00D41DA1">
            <w:pPr>
              <w:pStyle w:val="COMTabletext"/>
              <w:jc w:val="center"/>
            </w:pPr>
            <w:r>
              <w:t>-7</w:t>
            </w:r>
          </w:p>
        </w:tc>
      </w:tr>
      <w:tr w:rsidR="00D41DA1" w14:paraId="6976ECCD" w14:textId="77777777" w:rsidTr="00423F84">
        <w:tc>
          <w:tcPr>
            <w:tcW w:w="5035" w:type="dxa"/>
          </w:tcPr>
          <w:p w14:paraId="447F670C" w14:textId="206D2C59" w:rsidR="00D41DA1" w:rsidRDefault="00D41DA1" w:rsidP="00D41DA1">
            <w:pPr>
              <w:pStyle w:val="COMTabletext"/>
            </w:pPr>
            <w:r w:rsidRPr="004F4180">
              <w:t>Coronary revascularisation procedure</w:t>
            </w:r>
          </w:p>
        </w:tc>
        <w:tc>
          <w:tcPr>
            <w:tcW w:w="1327" w:type="dxa"/>
            <w:vAlign w:val="center"/>
          </w:tcPr>
          <w:p w14:paraId="66A1068E" w14:textId="70DCBCF7" w:rsidR="00D41DA1" w:rsidRDefault="003C4BBA" w:rsidP="00D41DA1">
            <w:pPr>
              <w:pStyle w:val="COMTabletext"/>
              <w:jc w:val="center"/>
            </w:pPr>
            <w:r>
              <w:t>53</w:t>
            </w:r>
          </w:p>
        </w:tc>
        <w:tc>
          <w:tcPr>
            <w:tcW w:w="1327" w:type="dxa"/>
            <w:vAlign w:val="center"/>
          </w:tcPr>
          <w:p w14:paraId="4A857590" w14:textId="06A204B0" w:rsidR="00D41DA1" w:rsidRDefault="003C4BBA" w:rsidP="00D41DA1">
            <w:pPr>
              <w:pStyle w:val="COMTabletext"/>
              <w:jc w:val="center"/>
            </w:pPr>
            <w:r>
              <w:t>70</w:t>
            </w:r>
          </w:p>
        </w:tc>
        <w:tc>
          <w:tcPr>
            <w:tcW w:w="1328" w:type="dxa"/>
          </w:tcPr>
          <w:p w14:paraId="7CFBF870" w14:textId="322ED8E5" w:rsidR="00D41DA1" w:rsidRDefault="003C4BBA" w:rsidP="00D41DA1">
            <w:pPr>
              <w:pStyle w:val="COMTabletext"/>
              <w:jc w:val="center"/>
            </w:pPr>
            <w:r>
              <w:t>-17</w:t>
            </w:r>
          </w:p>
        </w:tc>
      </w:tr>
      <w:tr w:rsidR="003C4BBA" w14:paraId="356D5F50" w14:textId="77777777" w:rsidTr="00423F84">
        <w:tc>
          <w:tcPr>
            <w:tcW w:w="5035" w:type="dxa"/>
          </w:tcPr>
          <w:p w14:paraId="6B29036E" w14:textId="65F1BA5F" w:rsidR="003C4BBA" w:rsidRPr="00C15016" w:rsidRDefault="003C4BBA" w:rsidP="003C4BBA">
            <w:pPr>
              <w:pStyle w:val="COMTabletext"/>
              <w:rPr>
                <w:vertAlign w:val="superscript"/>
              </w:rPr>
            </w:pPr>
            <w:r w:rsidRPr="006F73D9">
              <w:t>Adverse events leading to treatment discontinuation</w:t>
            </w:r>
            <w:r>
              <w:rPr>
                <w:vertAlign w:val="superscript"/>
              </w:rPr>
              <w:t>a</w:t>
            </w:r>
          </w:p>
        </w:tc>
        <w:tc>
          <w:tcPr>
            <w:tcW w:w="1327" w:type="dxa"/>
          </w:tcPr>
          <w:p w14:paraId="1F757113" w14:textId="25355F3F" w:rsidR="003C4BBA" w:rsidRDefault="003C4BBA" w:rsidP="003C4BBA">
            <w:pPr>
              <w:pStyle w:val="COMTabletext"/>
              <w:jc w:val="center"/>
            </w:pPr>
            <w:r w:rsidRPr="00D41DA1">
              <w:t>249</w:t>
            </w:r>
          </w:p>
        </w:tc>
        <w:tc>
          <w:tcPr>
            <w:tcW w:w="1327" w:type="dxa"/>
          </w:tcPr>
          <w:p w14:paraId="777F9EC5" w14:textId="0B93AB1D" w:rsidR="003C4BBA" w:rsidRDefault="003C4BBA" w:rsidP="003C4BBA">
            <w:pPr>
              <w:pStyle w:val="COMTabletext"/>
              <w:jc w:val="center"/>
            </w:pPr>
            <w:r w:rsidRPr="00D41DA1">
              <w:t>109</w:t>
            </w:r>
          </w:p>
        </w:tc>
        <w:tc>
          <w:tcPr>
            <w:tcW w:w="1328" w:type="dxa"/>
          </w:tcPr>
          <w:p w14:paraId="75FAE699" w14:textId="3B1825FE" w:rsidR="003C4BBA" w:rsidRPr="002E226E" w:rsidRDefault="003C4BBA" w:rsidP="003C4BBA">
            <w:pPr>
              <w:pStyle w:val="COMTabletext"/>
              <w:jc w:val="center"/>
            </w:pPr>
            <w:r w:rsidRPr="00D41DA1">
              <w:t>+130</w:t>
            </w:r>
          </w:p>
        </w:tc>
      </w:tr>
    </w:tbl>
    <w:p w14:paraId="5270A5DB" w14:textId="521E38B4" w:rsidR="00534CBF" w:rsidRDefault="00534CBF" w:rsidP="004F4180">
      <w:pPr>
        <w:pStyle w:val="TableFooter"/>
      </w:pPr>
      <w:r>
        <w:t xml:space="preserve">Source: </w:t>
      </w:r>
      <w:r w:rsidR="00803C62" w:rsidRPr="00803C62">
        <w:t>Source: Table 1, Event rates report of the resubmission</w:t>
      </w:r>
    </w:p>
    <w:p w14:paraId="72A68B77" w14:textId="795952E3" w:rsidR="00803C62" w:rsidRDefault="00803C62" w:rsidP="004F4180">
      <w:pPr>
        <w:pStyle w:val="TableFooter"/>
      </w:pPr>
      <w:r>
        <w:t>Abbreviations: BMI, body mass index</w:t>
      </w:r>
    </w:p>
    <w:p w14:paraId="41522ADB" w14:textId="0FA1E7D9" w:rsidR="00C15016" w:rsidRPr="00C15016" w:rsidRDefault="00C15016" w:rsidP="004F4180">
      <w:pPr>
        <w:pStyle w:val="TableFooter"/>
      </w:pPr>
      <w:proofErr w:type="spellStart"/>
      <w:r>
        <w:rPr>
          <w:vertAlign w:val="superscript"/>
        </w:rPr>
        <w:t>a</w:t>
      </w:r>
      <w:proofErr w:type="spellEnd"/>
      <w:r>
        <w:t xml:space="preserve"> </w:t>
      </w:r>
      <w:proofErr w:type="gramStart"/>
      <w:r>
        <w:t>All treatment</w:t>
      </w:r>
      <w:proofErr w:type="gramEnd"/>
      <w:r>
        <w:t xml:space="preserve"> discontinuation estimates were based on the overall population of the SELECT trial</w:t>
      </w:r>
    </w:p>
    <w:p w14:paraId="19567594" w14:textId="136ED8B2" w:rsidR="002D29D4" w:rsidRDefault="002D29D4" w:rsidP="002D29D4">
      <w:pPr>
        <w:pStyle w:val="COMESnumberedpara"/>
      </w:pPr>
      <w:r>
        <w:t>Based on the S</w:t>
      </w:r>
      <w:r w:rsidR="00534CBF">
        <w:t>ELECT</w:t>
      </w:r>
      <w:r>
        <w:t xml:space="preserve"> overall patient population (BMI </w:t>
      </w:r>
      <w:r w:rsidR="00D01372">
        <w:t>≥</w:t>
      </w:r>
      <w:r>
        <w:t>27 kg/m</w:t>
      </w:r>
      <w:r w:rsidRPr="002D29D4">
        <w:rPr>
          <w:vertAlign w:val="superscript"/>
        </w:rPr>
        <w:t>2</w:t>
      </w:r>
      <w:r>
        <w:t>), for every 1</w:t>
      </w:r>
      <w:r w:rsidR="000836D9">
        <w:t>,0</w:t>
      </w:r>
      <w:r>
        <w:t>00 patients with established cardiovascular disease who</w:t>
      </w:r>
      <w:r w:rsidR="00095C16">
        <w:t xml:space="preserve"> were</w:t>
      </w:r>
      <w:r>
        <w:t xml:space="preserve"> treated with semaglutide </w:t>
      </w:r>
      <w:r w:rsidR="007B61FE">
        <w:t>instead of</w:t>
      </w:r>
      <w:r>
        <w:t xml:space="preserve"> placebo over </w:t>
      </w:r>
      <w:r w:rsidR="007B61FE">
        <w:t>3.5 years there would be</w:t>
      </w:r>
      <w:r>
        <w:t>:</w:t>
      </w:r>
    </w:p>
    <w:p w14:paraId="24E96624" w14:textId="50A29EC9" w:rsidR="002D29D4" w:rsidRDefault="00E62292" w:rsidP="009D3280">
      <w:pPr>
        <w:pStyle w:val="COMBodybulletlist"/>
        <w:tabs>
          <w:tab w:val="clear" w:pos="360"/>
          <w:tab w:val="num" w:pos="1080"/>
        </w:tabs>
        <w:ind w:left="1080"/>
      </w:pPr>
      <w:r>
        <w:t>11 fewer deaths (</w:t>
      </w:r>
      <w:r w:rsidR="00C13246">
        <w:t xml:space="preserve">primarily </w:t>
      </w:r>
      <w:r>
        <w:t>non-cardiovascular deaths)</w:t>
      </w:r>
      <w:r w:rsidR="00CF4353">
        <w:t>.</w:t>
      </w:r>
    </w:p>
    <w:p w14:paraId="29002F79" w14:textId="4218663E" w:rsidR="002D29D4" w:rsidRDefault="00C13246" w:rsidP="009D3280">
      <w:pPr>
        <w:pStyle w:val="COMBodybulletlist"/>
        <w:tabs>
          <w:tab w:val="clear" w:pos="360"/>
          <w:tab w:val="num" w:pos="1080"/>
        </w:tabs>
        <w:ind w:left="1080"/>
      </w:pPr>
      <w:r>
        <w:t>44</w:t>
      </w:r>
      <w:r w:rsidR="002D29D4">
        <w:t xml:space="preserve"> </w:t>
      </w:r>
      <w:r>
        <w:t>fewer non-fatal cardiovascular events (primarily non-fatal myocardial infarction and coronary revascularisation procedures)</w:t>
      </w:r>
      <w:r w:rsidR="002D29D4">
        <w:t>.</w:t>
      </w:r>
    </w:p>
    <w:p w14:paraId="0AAF06CA" w14:textId="3496622B" w:rsidR="00D41DA1" w:rsidRDefault="00C13246" w:rsidP="009D3280">
      <w:pPr>
        <w:pStyle w:val="COMBodybulletlist"/>
        <w:tabs>
          <w:tab w:val="clear" w:pos="360"/>
          <w:tab w:val="num" w:pos="1080"/>
        </w:tabs>
        <w:ind w:left="1080"/>
      </w:pPr>
      <w:r>
        <w:t>130 additional adverse events that result in treatment discontinuation (primarily gastrointestinal events)</w:t>
      </w:r>
      <w:r w:rsidR="002D29D4">
        <w:t>.</w:t>
      </w:r>
    </w:p>
    <w:p w14:paraId="04E74572" w14:textId="1119C380" w:rsidR="00D41DA1" w:rsidRDefault="00D41DA1" w:rsidP="00D41DA1">
      <w:pPr>
        <w:pStyle w:val="COMESnumberedpara"/>
      </w:pPr>
      <w:r>
        <w:t xml:space="preserve">Based on the SELECT subgroup population with BMI </w:t>
      </w:r>
      <w:r w:rsidR="00D01372">
        <w:t>≥</w:t>
      </w:r>
      <w:r>
        <w:t>35 kg/m</w:t>
      </w:r>
      <w:r w:rsidRPr="00D41DA1">
        <w:rPr>
          <w:vertAlign w:val="superscript"/>
        </w:rPr>
        <w:t>2</w:t>
      </w:r>
      <w:r>
        <w:t>, for every 1,000 patients with established cardiovascular disease who were treated with semaglutide instead of placebo over 3.5 years there would be:</w:t>
      </w:r>
    </w:p>
    <w:p w14:paraId="375FD864" w14:textId="09B25559" w:rsidR="00D41DA1" w:rsidRDefault="00D41DA1" w:rsidP="009D3280">
      <w:pPr>
        <w:pStyle w:val="COMBodybulletlist"/>
        <w:tabs>
          <w:tab w:val="clear" w:pos="360"/>
          <w:tab w:val="num" w:pos="1080"/>
        </w:tabs>
        <w:ind w:left="1080"/>
      </w:pPr>
      <w:r>
        <w:t>4 fewer deaths (primarily non-cardiovascular deaths)</w:t>
      </w:r>
      <w:r w:rsidR="00CF4353">
        <w:t>.</w:t>
      </w:r>
    </w:p>
    <w:p w14:paraId="72FD5415" w14:textId="115435A5" w:rsidR="00D41DA1" w:rsidRDefault="00D41DA1" w:rsidP="009D3280">
      <w:pPr>
        <w:pStyle w:val="COMBodybulletlist"/>
        <w:tabs>
          <w:tab w:val="clear" w:pos="360"/>
          <w:tab w:val="num" w:pos="1080"/>
        </w:tabs>
        <w:ind w:left="1080"/>
      </w:pPr>
      <w:r>
        <w:t>39 fewer non-fatal cardiovascular events (primarily non-fatal myocardial infarction and coronary revascularisation procedures).</w:t>
      </w:r>
    </w:p>
    <w:p w14:paraId="7B8FAF13" w14:textId="77777777" w:rsidR="00D41DA1" w:rsidRDefault="00D41DA1" w:rsidP="009D3280">
      <w:pPr>
        <w:pStyle w:val="COMBodybulletlist"/>
        <w:tabs>
          <w:tab w:val="clear" w:pos="360"/>
          <w:tab w:val="num" w:pos="1080"/>
        </w:tabs>
        <w:ind w:left="1080"/>
      </w:pPr>
      <w:r>
        <w:lastRenderedPageBreak/>
        <w:t>130 additional adverse events that result in treatment discontinuation (primarily gastrointestinal events).</w:t>
      </w:r>
    </w:p>
    <w:p w14:paraId="7A378225" w14:textId="240FD5F2" w:rsidR="006C17C7" w:rsidRDefault="006C17C7" w:rsidP="006C17C7">
      <w:pPr>
        <w:pStyle w:val="COMESnumberedpara"/>
      </w:pPr>
      <w:r>
        <w:t xml:space="preserve">Based on the SELECT subgroup population with BMI </w:t>
      </w:r>
      <w:r w:rsidR="00D01372">
        <w:t>≥</w:t>
      </w:r>
      <w:r>
        <w:t>40 kg/m</w:t>
      </w:r>
      <w:r w:rsidRPr="00D41DA1">
        <w:rPr>
          <w:vertAlign w:val="superscript"/>
        </w:rPr>
        <w:t>2</w:t>
      </w:r>
      <w:r>
        <w:t>, for every 1,000 patients with established cardiovascular disease who were treated with semaglutide instead of placebo over 3.5 years there would be:</w:t>
      </w:r>
    </w:p>
    <w:p w14:paraId="3E88B9E1" w14:textId="1980E005" w:rsidR="006C17C7" w:rsidRDefault="006C17C7" w:rsidP="009D3280">
      <w:pPr>
        <w:pStyle w:val="COMBodybulletlist"/>
        <w:tabs>
          <w:tab w:val="clear" w:pos="360"/>
          <w:tab w:val="num" w:pos="1080"/>
        </w:tabs>
        <w:ind w:left="1080"/>
      </w:pPr>
      <w:r>
        <w:t>4 fewer deaths (primarily cardiovascular deaths)</w:t>
      </w:r>
      <w:r w:rsidR="00CF4353">
        <w:t>.</w:t>
      </w:r>
    </w:p>
    <w:p w14:paraId="1E4FD112" w14:textId="13296593" w:rsidR="006C17C7" w:rsidRDefault="006C17C7" w:rsidP="009D3280">
      <w:pPr>
        <w:pStyle w:val="COMBodybulletlist"/>
        <w:tabs>
          <w:tab w:val="clear" w:pos="360"/>
          <w:tab w:val="num" w:pos="1080"/>
        </w:tabs>
        <w:ind w:left="1080"/>
      </w:pPr>
      <w:r>
        <w:t>48 fewer non-fatal cardiovascular events (primarily non-fatal myocardial infarction and coronary revascularisation procedures).</w:t>
      </w:r>
    </w:p>
    <w:p w14:paraId="77145B54" w14:textId="77777777" w:rsidR="006C17C7" w:rsidRDefault="006C17C7" w:rsidP="009D3280">
      <w:pPr>
        <w:pStyle w:val="COMBodybulletlist"/>
        <w:tabs>
          <w:tab w:val="clear" w:pos="360"/>
          <w:tab w:val="num" w:pos="1080"/>
        </w:tabs>
        <w:ind w:left="1080"/>
      </w:pPr>
      <w:r>
        <w:t>130 additional adverse events that result in treatment discontinuation (primarily gastrointestinal events).</w:t>
      </w:r>
    </w:p>
    <w:p w14:paraId="7A1772B6" w14:textId="23BB3145" w:rsidR="00B60939" w:rsidRPr="0098262F" w:rsidRDefault="00B60939" w:rsidP="00E9094A">
      <w:pPr>
        <w:pStyle w:val="COMESSubsectionheading"/>
      </w:pPr>
      <w:bookmarkStart w:id="40" w:name="_Toc22897644"/>
      <w:bookmarkStart w:id="41" w:name="_Toc208928370"/>
      <w:bookmarkEnd w:id="38"/>
      <w:r w:rsidRPr="0098262F">
        <w:t>Clinical claim</w:t>
      </w:r>
      <w:bookmarkEnd w:id="40"/>
      <w:bookmarkEnd w:id="41"/>
    </w:p>
    <w:p w14:paraId="0D5033BF" w14:textId="53C6024D" w:rsidR="002831EF" w:rsidRPr="00D31B2F" w:rsidRDefault="002831EF" w:rsidP="002831EF">
      <w:pPr>
        <w:pStyle w:val="COMESnumberedpara"/>
        <w:rPr>
          <w:iCs/>
        </w:rPr>
      </w:pPr>
      <w:r w:rsidRPr="002831EF">
        <w:t xml:space="preserve">The resubmission described semaglutide as superior in terms of efficacy </w:t>
      </w:r>
      <w:r w:rsidR="005276B9">
        <w:t xml:space="preserve">(in reducing major adverse cardiovascular events in patients with eCVD) </w:t>
      </w:r>
      <w:r w:rsidRPr="002831EF">
        <w:t xml:space="preserve">and inferior in terms of safety compared to placebo. </w:t>
      </w:r>
      <w:r w:rsidRPr="006D7289">
        <w:t>T</w:t>
      </w:r>
      <w:r w:rsidR="002B1569">
        <w:t xml:space="preserve">he </w:t>
      </w:r>
      <w:r w:rsidR="002B1569" w:rsidRPr="00D31B2F">
        <w:rPr>
          <w:iCs/>
        </w:rPr>
        <w:t xml:space="preserve">ESC agreed with the evaluation that </w:t>
      </w:r>
      <w:r w:rsidR="002B1569">
        <w:t>t</w:t>
      </w:r>
      <w:r w:rsidRPr="006D7289">
        <w:t>his claim was reasonable.</w:t>
      </w:r>
      <w:r w:rsidRPr="00D31B2F">
        <w:rPr>
          <w:iCs/>
        </w:rPr>
        <w:t xml:space="preserve"> </w:t>
      </w:r>
    </w:p>
    <w:p w14:paraId="58DDDF55" w14:textId="77777777" w:rsidR="002831EF" w:rsidRPr="009C326D" w:rsidRDefault="002831EF" w:rsidP="002831EF">
      <w:pPr>
        <w:pStyle w:val="COMESnumberedpara"/>
      </w:pPr>
      <w:r w:rsidRPr="009C326D">
        <w:t>The following issues should be considered:</w:t>
      </w:r>
    </w:p>
    <w:p w14:paraId="52CD9B84" w14:textId="35FB3612" w:rsidR="002831EF" w:rsidRPr="009C326D" w:rsidRDefault="002831EF" w:rsidP="00D129C3">
      <w:pPr>
        <w:pStyle w:val="COMESnumberedpara"/>
        <w:numPr>
          <w:ilvl w:val="0"/>
          <w:numId w:val="11"/>
        </w:numPr>
      </w:pPr>
      <w:r w:rsidRPr="009C326D">
        <w:t>The circumstances of use of semaglutide in the key trial may not be applicable to clinical practice. Real-world utilisation data suggest that patients undergo slower titration, remain on lower doses for maintenance and experience higher discontinuation rates compared to the trial. Th</w:t>
      </w:r>
      <w:r w:rsidR="00D65729">
        <w:t>e evaluation considered th</w:t>
      </w:r>
      <w:r w:rsidRPr="009C326D">
        <w:t xml:space="preserve">ese differences may lead to more modest treatment benefits than observed in the trial. </w:t>
      </w:r>
      <w:r w:rsidR="00577B5C" w:rsidRPr="00D31B2F">
        <w:rPr>
          <w:iCs/>
        </w:rPr>
        <w:t xml:space="preserve">The PSCR </w:t>
      </w:r>
      <w:r w:rsidR="00A9068E" w:rsidRPr="00D31B2F">
        <w:rPr>
          <w:iCs/>
        </w:rPr>
        <w:t xml:space="preserve"> </w:t>
      </w:r>
      <w:r w:rsidR="00045F61" w:rsidRPr="00D31B2F">
        <w:rPr>
          <w:iCs/>
        </w:rPr>
        <w:t xml:space="preserve">stated that </w:t>
      </w:r>
      <w:r w:rsidR="00067AC5" w:rsidRPr="00D31B2F">
        <w:rPr>
          <w:iCs/>
        </w:rPr>
        <w:t>the retrospective SCORE study (</w:t>
      </w:r>
      <w:proofErr w:type="spellStart"/>
      <w:r w:rsidR="00067AC5" w:rsidRPr="00D31B2F">
        <w:rPr>
          <w:iCs/>
        </w:rPr>
        <w:t>Smolderen</w:t>
      </w:r>
      <w:proofErr w:type="spellEnd"/>
      <w:r w:rsidR="00067AC5" w:rsidRPr="00D31B2F">
        <w:rPr>
          <w:iCs/>
        </w:rPr>
        <w:t xml:space="preserve"> 2025)</w:t>
      </w:r>
      <w:r w:rsidR="00067AC5">
        <w:rPr>
          <w:iCs/>
        </w:rPr>
        <w:t>,</w:t>
      </w:r>
      <w:r w:rsidR="00067AC5" w:rsidRPr="00D31B2F">
        <w:rPr>
          <w:iCs/>
        </w:rPr>
        <w:t xml:space="preserve"> </w:t>
      </w:r>
      <w:r w:rsidR="00987347" w:rsidRPr="00D31B2F">
        <w:rPr>
          <w:iCs/>
        </w:rPr>
        <w:t>using US claims data</w:t>
      </w:r>
      <w:r w:rsidR="00067AC5">
        <w:rPr>
          <w:iCs/>
        </w:rPr>
        <w:t>,</w:t>
      </w:r>
      <w:r w:rsidR="00987347" w:rsidRPr="00D31B2F">
        <w:rPr>
          <w:iCs/>
        </w:rPr>
        <w:t xml:space="preserve"> </w:t>
      </w:r>
      <w:r w:rsidR="00807D61" w:rsidRPr="00D31B2F">
        <w:rPr>
          <w:iCs/>
        </w:rPr>
        <w:t xml:space="preserve">suggested </w:t>
      </w:r>
      <w:r w:rsidR="00B0606E" w:rsidRPr="00D31B2F">
        <w:rPr>
          <w:iCs/>
        </w:rPr>
        <w:t xml:space="preserve">that </w:t>
      </w:r>
      <w:r w:rsidR="00AD455E" w:rsidRPr="00D31B2F">
        <w:rPr>
          <w:iCs/>
        </w:rPr>
        <w:t xml:space="preserve">semaglutide </w:t>
      </w:r>
      <w:r w:rsidR="007E6103" w:rsidRPr="00D31B2F">
        <w:rPr>
          <w:iCs/>
        </w:rPr>
        <w:t xml:space="preserve">2.4 mg </w:t>
      </w:r>
      <w:r w:rsidR="00AD455E" w:rsidRPr="00D31B2F">
        <w:rPr>
          <w:iCs/>
        </w:rPr>
        <w:t>may have larger treatment effects on cardiovascular events in clinical practice compared to the SELECT trial (3-point MACE endpoint</w:t>
      </w:r>
      <w:r w:rsidR="005471FA" w:rsidRPr="00D31B2F">
        <w:rPr>
          <w:iCs/>
        </w:rPr>
        <w:t xml:space="preserve">; </w:t>
      </w:r>
      <w:r w:rsidR="00DD5A54" w:rsidRPr="00D31B2F">
        <w:rPr>
          <w:iCs/>
        </w:rPr>
        <w:t>SCORE hazard ratio: 0.43, 95% CI 0.31, 0.61; SELECT hazard ratio 0.80, 95% CI 0.72, 0.90).</w:t>
      </w:r>
      <w:r w:rsidR="006F44A0" w:rsidRPr="00D31B2F">
        <w:rPr>
          <w:iCs/>
        </w:rPr>
        <w:t xml:space="preserve"> </w:t>
      </w:r>
      <w:r w:rsidR="007E67DD" w:rsidRPr="00D31B2F">
        <w:rPr>
          <w:iCs/>
        </w:rPr>
        <w:t xml:space="preserve">The ESC considered </w:t>
      </w:r>
      <w:r w:rsidR="00067AC5" w:rsidRPr="00D31B2F">
        <w:rPr>
          <w:iCs/>
        </w:rPr>
        <w:t>th</w:t>
      </w:r>
      <w:r w:rsidR="00067AC5">
        <w:rPr>
          <w:iCs/>
        </w:rPr>
        <w:t>is</w:t>
      </w:r>
      <w:r w:rsidR="00067AC5" w:rsidRPr="00D31B2F">
        <w:rPr>
          <w:iCs/>
        </w:rPr>
        <w:t xml:space="preserve"> </w:t>
      </w:r>
      <w:r w:rsidR="00DF6D50" w:rsidRPr="00D31B2F">
        <w:rPr>
          <w:iCs/>
        </w:rPr>
        <w:t>retrospective non-</w:t>
      </w:r>
      <w:r w:rsidR="00205D9D" w:rsidRPr="00D31B2F">
        <w:rPr>
          <w:iCs/>
        </w:rPr>
        <w:t xml:space="preserve">randomised study was </w:t>
      </w:r>
      <w:r w:rsidR="00633714" w:rsidRPr="00D31B2F">
        <w:rPr>
          <w:iCs/>
        </w:rPr>
        <w:t xml:space="preserve">less </w:t>
      </w:r>
      <w:r w:rsidR="007E67DD" w:rsidRPr="00D31B2F">
        <w:rPr>
          <w:iCs/>
        </w:rPr>
        <w:t>robust</w:t>
      </w:r>
      <w:r w:rsidR="00633714" w:rsidRPr="00D31B2F">
        <w:rPr>
          <w:iCs/>
        </w:rPr>
        <w:t xml:space="preserve"> than the SELECT trial </w:t>
      </w:r>
      <w:r w:rsidR="00D433C1" w:rsidRPr="00D31B2F">
        <w:rPr>
          <w:iCs/>
        </w:rPr>
        <w:t>and its</w:t>
      </w:r>
      <w:r w:rsidR="0078542B" w:rsidRPr="00D31B2F">
        <w:rPr>
          <w:iCs/>
        </w:rPr>
        <w:t xml:space="preserve"> </w:t>
      </w:r>
      <w:r w:rsidR="00CD283E" w:rsidRPr="00D31B2F">
        <w:rPr>
          <w:iCs/>
        </w:rPr>
        <w:t xml:space="preserve">applicability to Australian clinical practice </w:t>
      </w:r>
      <w:r w:rsidR="007E67DD" w:rsidRPr="00D31B2F">
        <w:rPr>
          <w:iCs/>
        </w:rPr>
        <w:t>was unclear</w:t>
      </w:r>
      <w:r w:rsidR="002A2A4D" w:rsidRPr="00D31B2F">
        <w:rPr>
          <w:iCs/>
        </w:rPr>
        <w:t xml:space="preserve">. </w:t>
      </w:r>
      <w:r w:rsidR="00D65729" w:rsidRPr="00D31B2F">
        <w:rPr>
          <w:iCs/>
        </w:rPr>
        <w:t>The ESC agreed with the evaluation that differences in dosing and discontinuation rates may lead to more modest treatment benefits than observed in the trial.</w:t>
      </w:r>
    </w:p>
    <w:p w14:paraId="34D3F66A" w14:textId="45D86C9E" w:rsidR="002831EF" w:rsidRPr="009C326D" w:rsidRDefault="002831EF" w:rsidP="00D129C3">
      <w:pPr>
        <w:pStyle w:val="COMESnumberedpara"/>
        <w:numPr>
          <w:ilvl w:val="0"/>
          <w:numId w:val="11"/>
        </w:numPr>
      </w:pPr>
      <w:r w:rsidRPr="009C326D">
        <w:t>The generalisability of standard of care in the SELECT trial to Australian practice is uncertain given background therapy was optimised for cardiovascular risk management</w:t>
      </w:r>
      <w:r w:rsidR="00067AC5">
        <w:t>,</w:t>
      </w:r>
      <w:r w:rsidRPr="009C326D">
        <w:t xml:space="preserve"> but included limited use of PCSK9 inhibitors, SGLT2 inhibitors and icosapent ethyl, all of which are PBS-listed for atherosclerotic cardiovascular disease.</w:t>
      </w:r>
      <w:r w:rsidR="00C338D3">
        <w:t xml:space="preserve"> </w:t>
      </w:r>
    </w:p>
    <w:p w14:paraId="42A103B8" w14:textId="001EEB80" w:rsidR="002831EF" w:rsidRDefault="002831EF" w:rsidP="00D129C3">
      <w:pPr>
        <w:pStyle w:val="COMESnumberedpara"/>
        <w:numPr>
          <w:ilvl w:val="0"/>
          <w:numId w:val="11"/>
        </w:numPr>
      </w:pPr>
      <w:r w:rsidRPr="009C326D">
        <w:t>The applicability of downstream semaglutide treatment benefit</w:t>
      </w:r>
      <w:r w:rsidR="00CF4353" w:rsidRPr="009C326D">
        <w:t>s</w:t>
      </w:r>
      <w:r w:rsidRPr="009C326D">
        <w:t xml:space="preserve"> in the trial to the Australian setting is uncertain given initiation of GLP-1 analogues was not permitted in patients who developed diabetes during the trial. </w:t>
      </w:r>
    </w:p>
    <w:p w14:paraId="099D35D8" w14:textId="7DB48059" w:rsidR="00C657D3" w:rsidRPr="002A468A" w:rsidRDefault="00C657D3" w:rsidP="00C657D3">
      <w:pPr>
        <w:pStyle w:val="COMESnumberedpara"/>
      </w:pPr>
      <w:bookmarkStart w:id="42" w:name="_Hlk76376200"/>
      <w:r w:rsidRPr="002A468A">
        <w:t>The PBAC considered that the claim of superior comparative effectiveness</w:t>
      </w:r>
      <w:r w:rsidR="002A468A">
        <w:t xml:space="preserve"> in reducing major adverse cardiovascular events in patients with eCVD</w:t>
      </w:r>
      <w:r w:rsidRPr="002A468A">
        <w:t xml:space="preserve"> was reasonable.</w:t>
      </w:r>
    </w:p>
    <w:p w14:paraId="11FF48EC" w14:textId="781C8A59" w:rsidR="00C657D3" w:rsidRPr="007A5A83" w:rsidRDefault="00C657D3" w:rsidP="007A5A83">
      <w:pPr>
        <w:pStyle w:val="COMESnumberedpara"/>
        <w:rPr>
          <w:rFonts w:cs="Arial"/>
          <w:snapToGrid w:val="0"/>
          <w:szCs w:val="20"/>
        </w:rPr>
      </w:pPr>
      <w:r w:rsidRPr="007A5A83">
        <w:lastRenderedPageBreak/>
        <w:t>The PBAC considered</w:t>
      </w:r>
      <w:r w:rsidRPr="007A5A83">
        <w:rPr>
          <w:rFonts w:cs="Arial"/>
          <w:snapToGrid w:val="0"/>
          <w:szCs w:val="20"/>
        </w:rPr>
        <w:t xml:space="preserve"> that the claim of inferior comparative safety was reasonable.</w:t>
      </w:r>
      <w:bookmarkEnd w:id="42"/>
    </w:p>
    <w:p w14:paraId="74A1172E" w14:textId="128C170E" w:rsidR="00B60939" w:rsidRPr="0098262F" w:rsidRDefault="00B60939" w:rsidP="00E9094A">
      <w:pPr>
        <w:pStyle w:val="COMESSubsectionheading"/>
      </w:pPr>
      <w:bookmarkStart w:id="43" w:name="_Toc22897645"/>
      <w:bookmarkStart w:id="44" w:name="_Toc208928371"/>
      <w:r w:rsidRPr="0098262F">
        <w:t>Economic analysis</w:t>
      </w:r>
      <w:bookmarkEnd w:id="43"/>
      <w:bookmarkEnd w:id="44"/>
      <w:r w:rsidR="00491B3A" w:rsidRPr="0098262F">
        <w:t xml:space="preserve"> </w:t>
      </w:r>
    </w:p>
    <w:p w14:paraId="7243D890" w14:textId="5600288C" w:rsidR="005D0F3A" w:rsidRPr="005D0F3A" w:rsidRDefault="005D0F3A" w:rsidP="005D0F3A">
      <w:pPr>
        <w:pStyle w:val="COMESnumberedpara"/>
      </w:pPr>
      <w:r w:rsidRPr="005D0F3A">
        <w:t xml:space="preserve">The resubmission presented a stepped economic evaluation of semaglutide compared to placebo in patients with established cardiovascular disease who were overweight or obese. The resubmission presented the results for three alternative patient populations based on different BMI thresholds: </w:t>
      </w:r>
      <w:r w:rsidR="00D01372">
        <w:t>≥</w:t>
      </w:r>
      <w:r w:rsidRPr="005D0F3A">
        <w:t>27 kg/m</w:t>
      </w:r>
      <w:r w:rsidRPr="005D0F3A">
        <w:rPr>
          <w:vertAlign w:val="superscript"/>
        </w:rPr>
        <w:t>2</w:t>
      </w:r>
      <w:r w:rsidRPr="005D0F3A">
        <w:t xml:space="preserve"> (consistent with the key trial population), </w:t>
      </w:r>
      <w:r w:rsidR="00D01372">
        <w:t>≥</w:t>
      </w:r>
      <w:r w:rsidRPr="005D0F3A">
        <w:t>35 kg/m</w:t>
      </w:r>
      <w:r w:rsidRPr="005D0F3A">
        <w:rPr>
          <w:vertAlign w:val="superscript"/>
        </w:rPr>
        <w:t>2</w:t>
      </w:r>
      <w:r w:rsidRPr="005D0F3A">
        <w:t xml:space="preserve"> and </w:t>
      </w:r>
      <w:r w:rsidR="00D01372">
        <w:t>≥</w:t>
      </w:r>
      <w:r w:rsidRPr="005D0F3A">
        <w:t>40 kg/m</w:t>
      </w:r>
      <w:r w:rsidRPr="005D0F3A">
        <w:rPr>
          <w:vertAlign w:val="superscript"/>
        </w:rPr>
        <w:t>2</w:t>
      </w:r>
      <w:r w:rsidRPr="005D0F3A">
        <w:t>. The economic evaluation was based on the SELECT trial with additional modelled data. The economic evaluation was presented as a cost</w:t>
      </w:r>
      <w:r w:rsidR="00042F21">
        <w:t xml:space="preserve"> </w:t>
      </w:r>
      <w:r w:rsidRPr="005D0F3A">
        <w:t>effectiveness/cost</w:t>
      </w:r>
      <w:r w:rsidR="00042F21">
        <w:t xml:space="preserve"> </w:t>
      </w:r>
      <w:r w:rsidRPr="005D0F3A">
        <w:t xml:space="preserve">utility analysis. </w:t>
      </w:r>
    </w:p>
    <w:p w14:paraId="1FFA1513" w14:textId="5255E6A5" w:rsidR="005D0F3A" w:rsidRPr="009C326D" w:rsidRDefault="005D0F3A" w:rsidP="005D0F3A">
      <w:pPr>
        <w:pStyle w:val="COMESnumberedpara"/>
      </w:pPr>
      <w:r w:rsidRPr="009C326D">
        <w:t>The economic evaluation was based on patient populations without pre-existing diabetes. No cost</w:t>
      </w:r>
      <w:r w:rsidR="00042F21" w:rsidRPr="009C326D">
        <w:t xml:space="preserve"> </w:t>
      </w:r>
      <w:r w:rsidRPr="009C326D">
        <w:t>effectiveness estimates were provided for patients with pre-existing diabetes.</w:t>
      </w:r>
    </w:p>
    <w:p w14:paraId="0A856311" w14:textId="7A556C19" w:rsidR="005D0F3A" w:rsidRDefault="005D0F3A" w:rsidP="00DF1E29">
      <w:pPr>
        <w:pStyle w:val="COMESnumberedpara"/>
      </w:pPr>
      <w:r w:rsidRPr="005D0F3A">
        <w:t xml:space="preserve">Key components of the economic evaluation are summarised in </w:t>
      </w:r>
      <w:r w:rsidR="00055136">
        <w:fldChar w:fldCharType="begin"/>
      </w:r>
      <w:r w:rsidR="00055136">
        <w:instrText xml:space="preserve"> REF _Ref206945361 \h </w:instrText>
      </w:r>
      <w:r w:rsidR="00055136">
        <w:fldChar w:fldCharType="separate"/>
      </w:r>
      <w:r w:rsidR="004F1BBD">
        <w:t xml:space="preserve">Table </w:t>
      </w:r>
      <w:r w:rsidR="004F1BBD">
        <w:rPr>
          <w:noProof/>
        </w:rPr>
        <w:t>9</w:t>
      </w:r>
      <w:r w:rsidR="00055136">
        <w:fldChar w:fldCharType="end"/>
      </w:r>
      <w:r w:rsidRPr="005D0F3A">
        <w:t>.</w:t>
      </w:r>
    </w:p>
    <w:p w14:paraId="01E9D40C" w14:textId="3C6B946E" w:rsidR="00DF1E29" w:rsidRPr="006117F6" w:rsidRDefault="00055136" w:rsidP="00055136">
      <w:pPr>
        <w:pStyle w:val="Caption"/>
      </w:pPr>
      <w:bookmarkStart w:id="45" w:name="_Ref206945361"/>
      <w:r>
        <w:t xml:space="preserve">Table </w:t>
      </w:r>
      <w:r w:rsidR="005448C5">
        <w:fldChar w:fldCharType="begin"/>
      </w:r>
      <w:r w:rsidR="005448C5">
        <w:instrText xml:space="preserve"> SEQ Table \* ARABIC </w:instrText>
      </w:r>
      <w:r w:rsidR="005448C5">
        <w:fldChar w:fldCharType="separate"/>
      </w:r>
      <w:r w:rsidR="004F1BBD">
        <w:rPr>
          <w:noProof/>
        </w:rPr>
        <w:t>9</w:t>
      </w:r>
      <w:r w:rsidR="005448C5">
        <w:rPr>
          <w:noProof/>
        </w:rPr>
        <w:fldChar w:fldCharType="end"/>
      </w:r>
      <w:bookmarkEnd w:id="45"/>
      <w:r w:rsidR="00DF1E29" w:rsidRPr="006117F6">
        <w:t>: Key components of the economic evaluation</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Key components of the economic evaluation"/>
      </w:tblPr>
      <w:tblGrid>
        <w:gridCol w:w="1545"/>
        <w:gridCol w:w="7470"/>
      </w:tblGrid>
      <w:tr w:rsidR="00DF1E29" w:rsidRPr="006117F6" w14:paraId="172D46A2" w14:textId="77777777">
        <w:trPr>
          <w:tblHeader/>
        </w:trPr>
        <w:tc>
          <w:tcPr>
            <w:tcW w:w="857" w:type="pct"/>
          </w:tcPr>
          <w:p w14:paraId="027886C3" w14:textId="77777777" w:rsidR="00DF1E29" w:rsidRPr="006117F6" w:rsidRDefault="00DF1E29">
            <w:pPr>
              <w:pStyle w:val="TableText"/>
              <w:keepNext w:val="0"/>
              <w:keepLines/>
              <w:rPr>
                <w:b/>
              </w:rPr>
            </w:pPr>
            <w:r w:rsidRPr="006117F6">
              <w:rPr>
                <w:b/>
              </w:rPr>
              <w:t xml:space="preserve">Component </w:t>
            </w:r>
          </w:p>
        </w:tc>
        <w:tc>
          <w:tcPr>
            <w:tcW w:w="4143" w:type="pct"/>
          </w:tcPr>
          <w:p w14:paraId="64D6955F" w14:textId="77777777" w:rsidR="00DF1E29" w:rsidRPr="006117F6" w:rsidRDefault="00DF1E29">
            <w:pPr>
              <w:pStyle w:val="TableText"/>
              <w:keepNext w:val="0"/>
              <w:keepLines/>
              <w:rPr>
                <w:b/>
              </w:rPr>
            </w:pPr>
            <w:r w:rsidRPr="006117F6">
              <w:rPr>
                <w:b/>
              </w:rPr>
              <w:t>Description</w:t>
            </w:r>
          </w:p>
        </w:tc>
      </w:tr>
      <w:tr w:rsidR="00DF1E29" w:rsidRPr="006117F6" w14:paraId="186990DC" w14:textId="77777777">
        <w:tc>
          <w:tcPr>
            <w:tcW w:w="857" w:type="pct"/>
            <w:vAlign w:val="center"/>
          </w:tcPr>
          <w:p w14:paraId="3EFB80FB" w14:textId="77777777" w:rsidR="00DF1E29" w:rsidRPr="006117F6" w:rsidRDefault="00DF1E29">
            <w:pPr>
              <w:pStyle w:val="TableText"/>
              <w:keepNext w:val="0"/>
              <w:keepLines/>
            </w:pPr>
            <w:r w:rsidRPr="006117F6">
              <w:t xml:space="preserve">Type of analysis </w:t>
            </w:r>
          </w:p>
        </w:tc>
        <w:tc>
          <w:tcPr>
            <w:tcW w:w="4143" w:type="pct"/>
            <w:vAlign w:val="center"/>
          </w:tcPr>
          <w:p w14:paraId="518FE5A3" w14:textId="722C7983" w:rsidR="00DF1E29" w:rsidRPr="006117F6" w:rsidRDefault="00DF1E29">
            <w:pPr>
              <w:pStyle w:val="TableText"/>
              <w:keepNext w:val="0"/>
              <w:keepLines/>
              <w:rPr>
                <w:rFonts w:ascii="Times" w:eastAsia="Times New Roman" w:hAnsi="Times" w:cs="Times New Roman"/>
                <w:szCs w:val="20"/>
              </w:rPr>
            </w:pPr>
            <w:r>
              <w:t>Cost effectiveness/c</w:t>
            </w:r>
            <w:r w:rsidRPr="006117F6">
              <w:t>ost</w:t>
            </w:r>
            <w:r w:rsidR="00042F21">
              <w:t xml:space="preserve"> </w:t>
            </w:r>
            <w:r w:rsidRPr="006117F6">
              <w:t>utility analysis</w:t>
            </w:r>
          </w:p>
        </w:tc>
      </w:tr>
      <w:tr w:rsidR="00DF1E29" w:rsidRPr="006117F6" w14:paraId="153D36FE" w14:textId="77777777">
        <w:tc>
          <w:tcPr>
            <w:tcW w:w="857" w:type="pct"/>
            <w:vAlign w:val="center"/>
          </w:tcPr>
          <w:p w14:paraId="24E6F7F4" w14:textId="77777777" w:rsidR="00DF1E29" w:rsidRPr="006117F6" w:rsidRDefault="00DF1E29">
            <w:pPr>
              <w:pStyle w:val="TableText"/>
              <w:keepNext w:val="0"/>
              <w:keepLines/>
              <w:rPr>
                <w:rFonts w:ascii="Times" w:eastAsia="Times New Roman" w:hAnsi="Times" w:cs="Times New Roman"/>
                <w:szCs w:val="20"/>
              </w:rPr>
            </w:pPr>
            <w:r w:rsidRPr="006117F6">
              <w:t>Outcomes</w:t>
            </w:r>
          </w:p>
        </w:tc>
        <w:tc>
          <w:tcPr>
            <w:tcW w:w="4143" w:type="pct"/>
            <w:vAlign w:val="center"/>
          </w:tcPr>
          <w:p w14:paraId="4BC30FAD" w14:textId="77777777" w:rsidR="00DF1E29" w:rsidRPr="006117F6" w:rsidRDefault="00DF1E29">
            <w:pPr>
              <w:pStyle w:val="TableText"/>
              <w:keepNext w:val="0"/>
              <w:keepLines/>
            </w:pPr>
            <w:r>
              <w:t>Events avoided, life years, q</w:t>
            </w:r>
            <w:r w:rsidRPr="006117F6">
              <w:t xml:space="preserve">uality adjusted life years </w:t>
            </w:r>
          </w:p>
        </w:tc>
      </w:tr>
      <w:tr w:rsidR="00DF1E29" w:rsidRPr="006117F6" w14:paraId="6AC594BC" w14:textId="77777777">
        <w:tc>
          <w:tcPr>
            <w:tcW w:w="857" w:type="pct"/>
            <w:vAlign w:val="center"/>
          </w:tcPr>
          <w:p w14:paraId="68736B43" w14:textId="77777777" w:rsidR="00DF1E29" w:rsidRPr="006117F6" w:rsidRDefault="00DF1E29">
            <w:pPr>
              <w:pStyle w:val="TableText"/>
              <w:keepNext w:val="0"/>
              <w:keepLines/>
              <w:rPr>
                <w:rFonts w:ascii="Times" w:eastAsia="Times New Roman" w:hAnsi="Times" w:cs="Times New Roman"/>
                <w:szCs w:val="20"/>
              </w:rPr>
            </w:pPr>
            <w:r w:rsidRPr="006117F6">
              <w:t>Time horizon</w:t>
            </w:r>
          </w:p>
        </w:tc>
        <w:tc>
          <w:tcPr>
            <w:tcW w:w="4143" w:type="pct"/>
            <w:vAlign w:val="center"/>
          </w:tcPr>
          <w:p w14:paraId="2EE6E400" w14:textId="77777777" w:rsidR="00DF1E29" w:rsidRPr="006117F6" w:rsidRDefault="00DF1E29">
            <w:pPr>
              <w:pStyle w:val="TableText"/>
              <w:keepNext w:val="0"/>
              <w:keepLines/>
              <w:rPr>
                <w:rFonts w:ascii="Times" w:eastAsia="Times New Roman" w:hAnsi="Times" w:cs="Times New Roman"/>
                <w:szCs w:val="20"/>
              </w:rPr>
            </w:pPr>
            <w:r>
              <w:t>25</w:t>
            </w:r>
            <w:r w:rsidRPr="006117F6">
              <w:t xml:space="preserve"> years</w:t>
            </w:r>
          </w:p>
        </w:tc>
      </w:tr>
      <w:tr w:rsidR="00DF1E29" w:rsidRPr="006117F6" w14:paraId="673484BE" w14:textId="77777777">
        <w:tc>
          <w:tcPr>
            <w:tcW w:w="857" w:type="pct"/>
            <w:vAlign w:val="center"/>
          </w:tcPr>
          <w:p w14:paraId="38E7EE1A" w14:textId="77777777" w:rsidR="00DF1E29" w:rsidRPr="006117F6" w:rsidRDefault="00DF1E29">
            <w:pPr>
              <w:pStyle w:val="TableText"/>
              <w:keepNext w:val="0"/>
              <w:keepLines/>
              <w:rPr>
                <w:rFonts w:ascii="Times" w:eastAsia="Times New Roman" w:hAnsi="Times" w:cs="Times New Roman"/>
                <w:szCs w:val="20"/>
              </w:rPr>
            </w:pPr>
            <w:r w:rsidRPr="006117F6">
              <w:t>Methods used to generate results</w:t>
            </w:r>
          </w:p>
        </w:tc>
        <w:tc>
          <w:tcPr>
            <w:tcW w:w="4143" w:type="pct"/>
            <w:vAlign w:val="center"/>
          </w:tcPr>
          <w:p w14:paraId="34A63463" w14:textId="77777777" w:rsidR="00DF1E29" w:rsidRPr="006117F6" w:rsidRDefault="00DF1E29">
            <w:pPr>
              <w:pStyle w:val="TableText"/>
              <w:keepNext w:val="0"/>
              <w:keepLines/>
            </w:pPr>
            <w:r w:rsidRPr="006117F6">
              <w:t>Markov cohort analysis</w:t>
            </w:r>
          </w:p>
        </w:tc>
      </w:tr>
      <w:tr w:rsidR="00DF1E29" w:rsidRPr="006117F6" w14:paraId="518C15DE" w14:textId="77777777">
        <w:tc>
          <w:tcPr>
            <w:tcW w:w="857" w:type="pct"/>
            <w:vAlign w:val="center"/>
          </w:tcPr>
          <w:p w14:paraId="64D55180" w14:textId="77777777" w:rsidR="00DF1E29" w:rsidRPr="006117F6" w:rsidRDefault="00DF1E29">
            <w:pPr>
              <w:pStyle w:val="TableText"/>
              <w:keepNext w:val="0"/>
              <w:keepLines/>
            </w:pPr>
            <w:r w:rsidRPr="006117F6">
              <w:t>Treatments</w:t>
            </w:r>
          </w:p>
        </w:tc>
        <w:tc>
          <w:tcPr>
            <w:tcW w:w="4143" w:type="pct"/>
            <w:vAlign w:val="center"/>
          </w:tcPr>
          <w:p w14:paraId="66A48B97" w14:textId="77777777" w:rsidR="00DF1E29" w:rsidRPr="006117F6" w:rsidRDefault="00DF1E29">
            <w:pPr>
              <w:pStyle w:val="TableText"/>
              <w:keepNext w:val="0"/>
              <w:keepLines/>
            </w:pPr>
            <w:r w:rsidRPr="006117F6">
              <w:t xml:space="preserve">Semaglutide or placebo.  </w:t>
            </w:r>
          </w:p>
        </w:tc>
      </w:tr>
      <w:tr w:rsidR="00DF1E29" w:rsidRPr="006117F6" w14:paraId="46C7F851" w14:textId="77777777">
        <w:tc>
          <w:tcPr>
            <w:tcW w:w="857" w:type="pct"/>
            <w:vAlign w:val="center"/>
          </w:tcPr>
          <w:p w14:paraId="062FC2B7" w14:textId="77777777" w:rsidR="00DF1E29" w:rsidRPr="006117F6" w:rsidRDefault="00DF1E29">
            <w:pPr>
              <w:pStyle w:val="TableText"/>
              <w:keepNext w:val="0"/>
              <w:keepLines/>
              <w:rPr>
                <w:rFonts w:ascii="Times" w:eastAsia="Times New Roman" w:hAnsi="Times" w:cs="Times New Roman"/>
                <w:szCs w:val="20"/>
              </w:rPr>
            </w:pPr>
            <w:r w:rsidRPr="006117F6">
              <w:t>Model structure</w:t>
            </w:r>
          </w:p>
        </w:tc>
        <w:tc>
          <w:tcPr>
            <w:tcW w:w="4143" w:type="pct"/>
            <w:vAlign w:val="center"/>
          </w:tcPr>
          <w:p w14:paraId="714D8A85" w14:textId="23BEBD9A" w:rsidR="00DF1E29" w:rsidRPr="006117F6" w:rsidRDefault="00042F21">
            <w:pPr>
              <w:pStyle w:val="TableText"/>
              <w:keepNext w:val="0"/>
              <w:keepLines/>
            </w:pPr>
            <w:r>
              <w:t>A c</w:t>
            </w:r>
            <w:r w:rsidR="00DF1E29">
              <w:t>ombination of 16 cardiovascular disease health states (established cardiovascular disease, MI only, S only, HF only, UA only, CR only, MI+S, MI+HF, MI+UA, MI+CR, S+HF, S+UA, S+CR, HF+UA, HF+CR, UA +CR), 2 diabetes health states (diabetes, no diabetes) and 6 chronic kidney disease health states (</w:t>
            </w:r>
            <w:r w:rsidR="004B445F">
              <w:t>stage</w:t>
            </w:r>
            <w:r w:rsidR="00DF1E29">
              <w:t xml:space="preserve"> 1, 2, 3a, 3b, 4, 5) as well as cardiovascular death and non-cardiovascular death</w:t>
            </w:r>
          </w:p>
        </w:tc>
      </w:tr>
      <w:tr w:rsidR="00DF1E29" w:rsidRPr="006117F6" w14:paraId="355344B5" w14:textId="77777777">
        <w:tc>
          <w:tcPr>
            <w:tcW w:w="857" w:type="pct"/>
            <w:vAlign w:val="center"/>
          </w:tcPr>
          <w:p w14:paraId="008E19C4" w14:textId="77777777" w:rsidR="00DF1E29" w:rsidRPr="006117F6" w:rsidRDefault="00DF1E29">
            <w:pPr>
              <w:pStyle w:val="TableText"/>
              <w:keepNext w:val="0"/>
              <w:keepLines/>
              <w:rPr>
                <w:rFonts w:ascii="Times" w:eastAsia="Times New Roman" w:hAnsi="Times" w:cs="Times New Roman"/>
                <w:szCs w:val="20"/>
              </w:rPr>
            </w:pPr>
            <w:r w:rsidRPr="006117F6">
              <w:t>Cycle length</w:t>
            </w:r>
          </w:p>
        </w:tc>
        <w:tc>
          <w:tcPr>
            <w:tcW w:w="4143" w:type="pct"/>
            <w:vAlign w:val="center"/>
          </w:tcPr>
          <w:p w14:paraId="667F1B9D" w14:textId="77777777" w:rsidR="00DF1E29" w:rsidRPr="006117F6" w:rsidRDefault="00DF1E29">
            <w:pPr>
              <w:pStyle w:val="TableText"/>
              <w:keepNext w:val="0"/>
              <w:keepLines/>
            </w:pPr>
            <w:r w:rsidRPr="006117F6">
              <w:t>28 days (half cycle correction)</w:t>
            </w:r>
          </w:p>
        </w:tc>
      </w:tr>
      <w:tr w:rsidR="00DF1E29" w:rsidRPr="006117F6" w14:paraId="6EAD1AB2" w14:textId="77777777">
        <w:tc>
          <w:tcPr>
            <w:tcW w:w="857" w:type="pct"/>
            <w:vAlign w:val="center"/>
          </w:tcPr>
          <w:p w14:paraId="7CD372A6" w14:textId="77777777" w:rsidR="00DF1E29" w:rsidRPr="006117F6" w:rsidRDefault="00DF1E29" w:rsidP="00DF1E29">
            <w:pPr>
              <w:pStyle w:val="COMTabletext"/>
            </w:pPr>
            <w:r w:rsidRPr="006117F6">
              <w:t>Patient characteristics</w:t>
            </w:r>
          </w:p>
          <w:p w14:paraId="395D9645" w14:textId="56E25598" w:rsidR="00DF1E29" w:rsidRPr="006117F6" w:rsidRDefault="00DF1E29" w:rsidP="00DF1E29">
            <w:pPr>
              <w:pStyle w:val="TableText"/>
              <w:keepNext w:val="0"/>
              <w:keepLines/>
            </w:pPr>
            <w:r w:rsidRPr="006117F6">
              <w:t>and circumstances of use</w:t>
            </w:r>
          </w:p>
        </w:tc>
        <w:tc>
          <w:tcPr>
            <w:tcW w:w="4143" w:type="pct"/>
            <w:vAlign w:val="center"/>
          </w:tcPr>
          <w:p w14:paraId="43FA9BD5" w14:textId="004F6A2D" w:rsidR="00DF1E29" w:rsidRPr="00CF4353" w:rsidRDefault="00CF4353" w:rsidP="00DF1E29">
            <w:pPr>
              <w:pStyle w:val="COMTabletext"/>
              <w:spacing w:after="120"/>
            </w:pPr>
            <w:r>
              <w:t>Baseline a</w:t>
            </w:r>
            <w:r w:rsidR="00DF1E29" w:rsidRPr="00602E0D">
              <w:t xml:space="preserve">ge, sex, BMI and chronic kidney disease stage </w:t>
            </w:r>
            <w:r w:rsidR="00DF1E29">
              <w:t xml:space="preserve">were </w:t>
            </w:r>
            <w:r w:rsidR="00DF1E29" w:rsidRPr="00602E0D">
              <w:t xml:space="preserve">based on reported baseline values from the combined treatment arms of the SELECT population (established cardiovascular disease with BMI </w:t>
            </w:r>
            <w:r w:rsidR="00D01372">
              <w:t>≥</w:t>
            </w:r>
            <w:r w:rsidR="00DF1E29" w:rsidRPr="00602E0D">
              <w:t>27 kg/m</w:t>
            </w:r>
            <w:r w:rsidR="00DF1E29" w:rsidRPr="00602E0D">
              <w:rPr>
                <w:vertAlign w:val="superscript"/>
              </w:rPr>
              <w:t>2</w:t>
            </w:r>
            <w:r w:rsidR="00DF1E29" w:rsidRPr="00602E0D">
              <w:t xml:space="preserve">) as well as the subgroup populations with baseline BMI </w:t>
            </w:r>
            <w:r w:rsidR="00D01372">
              <w:t>≥</w:t>
            </w:r>
            <w:r w:rsidR="00DF1E29" w:rsidRPr="00602E0D">
              <w:t>35 kg/m</w:t>
            </w:r>
            <w:r w:rsidR="00DF1E29" w:rsidRPr="00602E0D">
              <w:rPr>
                <w:vertAlign w:val="superscript"/>
              </w:rPr>
              <w:t>2</w:t>
            </w:r>
            <w:r w:rsidR="00DF1E29" w:rsidRPr="00602E0D">
              <w:t xml:space="preserve"> and baseline BMI </w:t>
            </w:r>
            <w:r w:rsidR="00D01372">
              <w:t>≥</w:t>
            </w:r>
            <w:r w:rsidR="00DF1E29" w:rsidRPr="00602E0D">
              <w:t>40 kg/m</w:t>
            </w:r>
            <w:r w:rsidR="00DF1E29" w:rsidRPr="00602E0D">
              <w:rPr>
                <w:vertAlign w:val="superscript"/>
              </w:rPr>
              <w:t>2</w:t>
            </w:r>
            <w:r>
              <w:t>.</w:t>
            </w:r>
          </w:p>
          <w:p w14:paraId="565AA65D" w14:textId="00391EA3" w:rsidR="00DF1E29" w:rsidRPr="006117F6" w:rsidRDefault="00DF1E29" w:rsidP="00DF1E29">
            <w:pPr>
              <w:pStyle w:val="TableText"/>
              <w:keepNext w:val="0"/>
              <w:keepLines/>
            </w:pPr>
            <w:r>
              <w:t>T</w:t>
            </w:r>
            <w:r w:rsidRPr="00602E0D">
              <w:t xml:space="preserve">reatment discontinuation rates for semaglutide and the distribution of semaglutide maintenance doses </w:t>
            </w:r>
            <w:r>
              <w:t xml:space="preserve">were </w:t>
            </w:r>
            <w:r w:rsidRPr="00602E0D">
              <w:t>based on the overall population of the SELECT trial.</w:t>
            </w:r>
          </w:p>
        </w:tc>
      </w:tr>
      <w:tr w:rsidR="00DF1E29" w:rsidRPr="006117F6" w14:paraId="3B655B31" w14:textId="77777777">
        <w:tc>
          <w:tcPr>
            <w:tcW w:w="857" w:type="pct"/>
            <w:vAlign w:val="center"/>
          </w:tcPr>
          <w:p w14:paraId="567F9D8F" w14:textId="77777777" w:rsidR="00DF1E29" w:rsidRPr="006117F6" w:rsidRDefault="00DF1E29" w:rsidP="00DF1E29">
            <w:pPr>
              <w:pStyle w:val="TableText"/>
              <w:keepNext w:val="0"/>
              <w:keepLines/>
            </w:pPr>
            <w:r w:rsidRPr="006117F6">
              <w:t xml:space="preserve">Transition probabilities </w:t>
            </w:r>
          </w:p>
        </w:tc>
        <w:tc>
          <w:tcPr>
            <w:tcW w:w="4143" w:type="pct"/>
            <w:vAlign w:val="center"/>
          </w:tcPr>
          <w:p w14:paraId="78CC4D90" w14:textId="77777777" w:rsidR="00DF1E29" w:rsidRDefault="00DF1E29" w:rsidP="00DF1E29">
            <w:pPr>
              <w:pStyle w:val="TableText"/>
              <w:keepNext w:val="0"/>
              <w:keepLines/>
              <w:spacing w:after="120"/>
            </w:pPr>
            <w:r>
              <w:t xml:space="preserve">The </w:t>
            </w:r>
            <w:r w:rsidRPr="00071184">
              <w:t xml:space="preserve">risk of </w:t>
            </w:r>
            <w:r>
              <w:t xml:space="preserve">treatment </w:t>
            </w:r>
            <w:r w:rsidRPr="00071184">
              <w:t xml:space="preserve">discontinuation in the semaglutide arm </w:t>
            </w:r>
            <w:r>
              <w:t xml:space="preserve">was based on a </w:t>
            </w:r>
            <w:r w:rsidRPr="00071184">
              <w:rPr>
                <w:i/>
                <w:iCs/>
              </w:rPr>
              <w:t>post hoc</w:t>
            </w:r>
            <w:r>
              <w:t xml:space="preserve"> analysis of </w:t>
            </w:r>
            <w:r w:rsidRPr="00071184">
              <w:t>the overall population</w:t>
            </w:r>
            <w:r>
              <w:t xml:space="preserve"> from</w:t>
            </w:r>
            <w:r w:rsidRPr="00071184">
              <w:t xml:space="preserve"> the SELECT trial</w:t>
            </w:r>
            <w:r>
              <w:t xml:space="preserve"> which censored discontinuations</w:t>
            </w:r>
            <w:r w:rsidRPr="00071184">
              <w:t xml:space="preserve"> that occurred within 30 days prior to end-of-treatment or end-of-trial period.</w:t>
            </w:r>
          </w:p>
          <w:p w14:paraId="50C88C9D" w14:textId="77777777" w:rsidR="00DF1E29" w:rsidRDefault="00DF1E29" w:rsidP="00DF1E29">
            <w:pPr>
              <w:pStyle w:val="TableText"/>
              <w:keepNext w:val="0"/>
              <w:keepLines/>
              <w:spacing w:after="120"/>
              <w:jc w:val="both"/>
            </w:pPr>
            <w:r>
              <w:t>T</w:t>
            </w:r>
            <w:r w:rsidRPr="00071184">
              <w:t xml:space="preserve">he risk of adverse events </w:t>
            </w:r>
            <w:r>
              <w:t>was estimated</w:t>
            </w:r>
            <w:r w:rsidRPr="00071184">
              <w:t xml:space="preserve"> based on the reported event rates for</w:t>
            </w:r>
            <w:r>
              <w:t xml:space="preserve"> serious adverse events in</w:t>
            </w:r>
            <w:r w:rsidRPr="00071184">
              <w:t xml:space="preserve"> </w:t>
            </w:r>
            <w:r>
              <w:t>the</w:t>
            </w:r>
            <w:r w:rsidRPr="00071184">
              <w:t xml:space="preserve"> overall population of the SELECT trial.</w:t>
            </w:r>
          </w:p>
          <w:p w14:paraId="38C75441" w14:textId="09C66943" w:rsidR="00DF1E29" w:rsidRDefault="00DF1E29" w:rsidP="00DF1E29">
            <w:pPr>
              <w:pStyle w:val="TableText"/>
              <w:keepNext w:val="0"/>
              <w:keepLines/>
              <w:spacing w:after="120"/>
            </w:pPr>
            <w:r>
              <w:t xml:space="preserve">The change in BMI over time was based on a </w:t>
            </w:r>
            <w:r w:rsidRPr="00762A7D">
              <w:rPr>
                <w:i/>
                <w:iCs/>
              </w:rPr>
              <w:t>post hoc</w:t>
            </w:r>
            <w:r>
              <w:t xml:space="preserve"> analysis of the overall population in the SELECT trial (Ryan 2024). Time to optimal weight loss and time to weight regain after treatment discontinuation w</w:t>
            </w:r>
            <w:r w:rsidR="00CF4353">
              <w:t>ere</w:t>
            </w:r>
            <w:r>
              <w:t xml:space="preserve"> estimated based on additional </w:t>
            </w:r>
            <w:r w:rsidRPr="00602E0D">
              <w:rPr>
                <w:i/>
                <w:iCs/>
              </w:rPr>
              <w:t>post hoc</w:t>
            </w:r>
            <w:r>
              <w:t xml:space="preserve"> analyses of the SELECT trial. Weight loss in the placebo arm of the SELECT trial was assumed to represent the natural history of weight loss in older persons. </w:t>
            </w:r>
          </w:p>
          <w:p w14:paraId="51F806B2" w14:textId="30529146" w:rsidR="00DF1E29" w:rsidRDefault="00DF1E29" w:rsidP="00DF1E29">
            <w:pPr>
              <w:pStyle w:val="TableText"/>
              <w:keepNext w:val="0"/>
              <w:keepLines/>
              <w:spacing w:after="120"/>
            </w:pPr>
            <w:r>
              <w:lastRenderedPageBreak/>
              <w:t>T</w:t>
            </w:r>
            <w:r w:rsidRPr="009C6556">
              <w:t>he risk</w:t>
            </w:r>
            <w:r w:rsidR="00042F21">
              <w:t>s</w:t>
            </w:r>
            <w:r w:rsidRPr="009C6556">
              <w:t xml:space="preserve"> of cardiovascular death and non-fatal cardiovascular events in the first 3.5 years </w:t>
            </w:r>
            <w:r>
              <w:t>w</w:t>
            </w:r>
            <w:r w:rsidR="00042F21">
              <w:t>ere</w:t>
            </w:r>
            <w:r>
              <w:t xml:space="preserve"> </w:t>
            </w:r>
            <w:r w:rsidRPr="009C6556">
              <w:t xml:space="preserve">based on reported incidence rates in the overall population of the SELECT trial. These risks </w:t>
            </w:r>
            <w:r>
              <w:t>were extrapolated based on the assumption of a constant risk over time that</w:t>
            </w:r>
            <w:r w:rsidRPr="009C6556">
              <w:t xml:space="preserve"> could be modified by additional risk multipliers</w:t>
            </w:r>
            <w:r>
              <w:t xml:space="preserve"> for age (</w:t>
            </w:r>
            <w:r w:rsidRPr="009C6556">
              <w:t>AIHW Heart, stroke and vascular disease report 2024</w:t>
            </w:r>
            <w:r>
              <w:t>), baseline BMI (</w:t>
            </w:r>
            <w:r w:rsidRPr="009C6556">
              <w:t>Khan 2018</w:t>
            </w:r>
            <w:r>
              <w:t>) and diabetes status (</w:t>
            </w:r>
            <w:r w:rsidRPr="009C6556">
              <w:t>Angoulvant 2021</w:t>
            </w:r>
            <w:r>
              <w:t>)</w:t>
            </w:r>
            <w:r w:rsidRPr="009C6556">
              <w:t>.</w:t>
            </w:r>
          </w:p>
          <w:p w14:paraId="3325C6A3" w14:textId="77777777" w:rsidR="00DF1E29" w:rsidRDefault="00DF1E29" w:rsidP="00DF1E29">
            <w:pPr>
              <w:pStyle w:val="TableText"/>
              <w:keepNext w:val="0"/>
              <w:keepLines/>
              <w:spacing w:after="120"/>
            </w:pPr>
            <w:r>
              <w:t xml:space="preserve">The risk of non-cardiovascular death </w:t>
            </w:r>
            <w:r w:rsidRPr="009C6556">
              <w:t xml:space="preserve">in the first 3.5 years </w:t>
            </w:r>
            <w:r>
              <w:t xml:space="preserve">was </w:t>
            </w:r>
            <w:r w:rsidRPr="009C6556">
              <w:t xml:space="preserve">based on reported incidence rates in the overall population of the SELECT trial. These risks </w:t>
            </w:r>
            <w:r>
              <w:t>were extrapolated</w:t>
            </w:r>
            <w:r w:rsidRPr="009C6556">
              <w:t xml:space="preserve"> based on the assumption that the annualised incidence of events would remain constant over time</w:t>
            </w:r>
            <w:r>
              <w:t>.</w:t>
            </w:r>
          </w:p>
          <w:p w14:paraId="4B422B3D" w14:textId="77777777" w:rsidR="00DF1E29" w:rsidRDefault="00DF1E29" w:rsidP="00DF1E29">
            <w:pPr>
              <w:pStyle w:val="TableText"/>
              <w:keepNext w:val="0"/>
              <w:keepLines/>
              <w:spacing w:after="120"/>
            </w:pPr>
            <w:r>
              <w:t>The</w:t>
            </w:r>
            <w:r w:rsidRPr="00071184">
              <w:t xml:space="preserve"> risk of diabetes in the first 3.5 years </w:t>
            </w:r>
            <w:r>
              <w:t xml:space="preserve">was </w:t>
            </w:r>
            <w:r w:rsidRPr="00071184">
              <w:t>based on reported incidence rates in the overall population of the SELECT trial. The</w:t>
            </w:r>
            <w:r>
              <w:t>se risks were extrapolated based on the assumption of a constant risk over time that could be modified by additional risk multipliers for baseline BMI (Zhang 2020).</w:t>
            </w:r>
          </w:p>
          <w:p w14:paraId="44819CB3" w14:textId="6A9BEE63" w:rsidR="00DF1E29" w:rsidRPr="006117F6" w:rsidRDefault="00DF1E29" w:rsidP="00DF1E29">
            <w:pPr>
              <w:pStyle w:val="TableText"/>
              <w:keepNext w:val="0"/>
              <w:keepLines/>
            </w:pPr>
            <w:r w:rsidRPr="00071184">
              <w:t>The risk of chronic kidney disease progression</w:t>
            </w:r>
            <w:r>
              <w:t xml:space="preserve"> was</w:t>
            </w:r>
            <w:r w:rsidRPr="00071184">
              <w:t xml:space="preserve"> based on the mean change in estimated glomerular filtration rate per year reported for the semaglutide and placebo arms of the overall SELECT trial population.</w:t>
            </w:r>
            <w:r>
              <w:t xml:space="preserve"> These estimates were transformed into transition probabilities based on the assumption of a constant decline over time.</w:t>
            </w:r>
            <w:r w:rsidRPr="00071184">
              <w:t xml:space="preserve"> </w:t>
            </w:r>
            <w:r>
              <w:t>The transition probabilities were modified by additional risk multiplier</w:t>
            </w:r>
            <w:r w:rsidR="00042F21">
              <w:t>s</w:t>
            </w:r>
            <w:r>
              <w:t xml:space="preserve"> for baseline BMI (Kang 2020).</w:t>
            </w:r>
          </w:p>
        </w:tc>
      </w:tr>
      <w:tr w:rsidR="00347F30" w:rsidRPr="006117F6" w14:paraId="3169CE77" w14:textId="77777777">
        <w:tc>
          <w:tcPr>
            <w:tcW w:w="857" w:type="pct"/>
            <w:vAlign w:val="center"/>
          </w:tcPr>
          <w:p w14:paraId="66759260" w14:textId="38E6FF24" w:rsidR="00347F30" w:rsidRPr="006117F6" w:rsidRDefault="00347F30" w:rsidP="00347F30">
            <w:pPr>
              <w:pStyle w:val="TableText"/>
              <w:keepNext w:val="0"/>
              <w:keepLines/>
            </w:pPr>
            <w:r w:rsidRPr="006117F6">
              <w:lastRenderedPageBreak/>
              <w:t>Utility values</w:t>
            </w:r>
          </w:p>
        </w:tc>
        <w:tc>
          <w:tcPr>
            <w:tcW w:w="4143" w:type="pct"/>
            <w:vAlign w:val="center"/>
          </w:tcPr>
          <w:p w14:paraId="10D6DC00" w14:textId="0C689B4F" w:rsidR="00347F30" w:rsidRDefault="00347F30" w:rsidP="00347F30">
            <w:pPr>
              <w:pStyle w:val="COMTabletext"/>
              <w:keepNext w:val="0"/>
              <w:spacing w:after="120"/>
              <w:rPr>
                <w:rFonts w:eastAsia="Calibri"/>
              </w:rPr>
            </w:pPr>
            <w:r>
              <w:rPr>
                <w:rFonts w:eastAsia="Calibri"/>
              </w:rPr>
              <w:t>C</w:t>
            </w:r>
            <w:r w:rsidRPr="007B7565">
              <w:rPr>
                <w:rFonts w:eastAsia="Calibri"/>
              </w:rPr>
              <w:t xml:space="preserve">ardiovascular health state utility values </w:t>
            </w:r>
            <w:r>
              <w:rPr>
                <w:rFonts w:eastAsia="Calibri"/>
              </w:rPr>
              <w:t xml:space="preserve">were </w:t>
            </w:r>
            <w:r w:rsidRPr="007B7565">
              <w:rPr>
                <w:rFonts w:eastAsia="Calibri"/>
              </w:rPr>
              <w:t>based on estimates from an Australian cost</w:t>
            </w:r>
            <w:r w:rsidR="00042F21">
              <w:rPr>
                <w:rFonts w:eastAsia="Calibri"/>
              </w:rPr>
              <w:t xml:space="preserve"> </w:t>
            </w:r>
            <w:r w:rsidRPr="007B7565">
              <w:rPr>
                <w:rFonts w:eastAsia="Calibri"/>
              </w:rPr>
              <w:t>effectiveness study of icosapent ethyl versus placebo for the treatment of established cardiovascular disease (Gao 2019)</w:t>
            </w:r>
            <w:r>
              <w:rPr>
                <w:rFonts w:eastAsia="Calibri"/>
              </w:rPr>
              <w:t>.</w:t>
            </w:r>
          </w:p>
          <w:p w14:paraId="1DC2B043" w14:textId="7EEDA07C" w:rsidR="00347F30" w:rsidRDefault="00347F30" w:rsidP="00347F30">
            <w:pPr>
              <w:pStyle w:val="COMTabletext"/>
              <w:keepNext w:val="0"/>
              <w:spacing w:after="120"/>
              <w:rPr>
                <w:rFonts w:eastAsia="Calibri"/>
              </w:rPr>
            </w:pPr>
            <w:r>
              <w:rPr>
                <w:rFonts w:eastAsia="Calibri"/>
              </w:rPr>
              <w:t xml:space="preserve">Diabetes and weight-related disutility values were </w:t>
            </w:r>
            <w:r w:rsidRPr="007B7565">
              <w:rPr>
                <w:rFonts w:eastAsia="Calibri"/>
              </w:rPr>
              <w:t>based on a sponsor-commissioned cross-sectional analysis of the relationship between BMI and EQ-5D-5L index scores in the general adult population using data from the 2017/2018 Health Survey for England (Luah 2024)</w:t>
            </w:r>
            <w:r>
              <w:rPr>
                <w:rFonts w:eastAsia="Calibri"/>
              </w:rPr>
              <w:t>.</w:t>
            </w:r>
          </w:p>
          <w:p w14:paraId="50F0C006" w14:textId="77777777" w:rsidR="00347F30" w:rsidRDefault="00347F30" w:rsidP="00347F30">
            <w:pPr>
              <w:pStyle w:val="COMTabletext"/>
              <w:keepNext w:val="0"/>
              <w:spacing w:after="120"/>
              <w:rPr>
                <w:rFonts w:eastAsia="Calibri"/>
              </w:rPr>
            </w:pPr>
            <w:r>
              <w:rPr>
                <w:rFonts w:eastAsia="Calibri"/>
              </w:rPr>
              <w:t>Chronic kidney disease disutility values were based on</w:t>
            </w:r>
            <w:r w:rsidRPr="007B7565">
              <w:rPr>
                <w:rFonts w:eastAsia="Calibri"/>
              </w:rPr>
              <w:t xml:space="preserve"> values presented in an Australian cost of illness study for chronic kidney disease (Deloitte 2023)</w:t>
            </w:r>
            <w:r>
              <w:rPr>
                <w:rFonts w:eastAsia="Calibri"/>
              </w:rPr>
              <w:t>.</w:t>
            </w:r>
          </w:p>
          <w:p w14:paraId="3F037D2C" w14:textId="38771D93" w:rsidR="00347F30" w:rsidRDefault="00347F30" w:rsidP="00347F30">
            <w:pPr>
              <w:pStyle w:val="COMTabletext"/>
              <w:keepNext w:val="0"/>
              <w:spacing w:after="120"/>
              <w:rPr>
                <w:rFonts w:eastAsia="Calibri"/>
              </w:rPr>
            </w:pPr>
            <w:r>
              <w:rPr>
                <w:rFonts w:eastAsia="Calibri"/>
              </w:rPr>
              <w:t xml:space="preserve">Disutility values for acute </w:t>
            </w:r>
            <w:r w:rsidRPr="007B7565">
              <w:rPr>
                <w:rFonts w:eastAsia="Calibri"/>
              </w:rPr>
              <w:t xml:space="preserve">cardiovascular events </w:t>
            </w:r>
            <w:r>
              <w:rPr>
                <w:rFonts w:eastAsia="Calibri"/>
              </w:rPr>
              <w:t xml:space="preserve">were </w:t>
            </w:r>
            <w:r w:rsidRPr="007B7565">
              <w:rPr>
                <w:rFonts w:eastAsia="Calibri"/>
              </w:rPr>
              <w:t>based on values reported in a published economic model assessing the cost</w:t>
            </w:r>
            <w:r w:rsidR="00042F21">
              <w:rPr>
                <w:rFonts w:eastAsia="Calibri"/>
              </w:rPr>
              <w:t xml:space="preserve"> </w:t>
            </w:r>
            <w:r w:rsidRPr="007B7565">
              <w:rPr>
                <w:rFonts w:eastAsia="Calibri"/>
              </w:rPr>
              <w:t>effectiveness of treatments for dyslipidaemia in the UK treatment setting (Michaeli 2022)</w:t>
            </w:r>
            <w:r>
              <w:rPr>
                <w:rFonts w:eastAsia="Calibri"/>
              </w:rPr>
              <w:t>.</w:t>
            </w:r>
          </w:p>
          <w:p w14:paraId="477D6A74" w14:textId="03E5D668" w:rsidR="00347F30" w:rsidRDefault="00347F30" w:rsidP="00347F30">
            <w:pPr>
              <w:pStyle w:val="TableText"/>
              <w:keepNext w:val="0"/>
              <w:keepLines/>
            </w:pPr>
            <w:r>
              <w:rPr>
                <w:rFonts w:eastAsia="Calibri"/>
              </w:rPr>
              <w:t>Disutility values for serious adverse events were based on estimates from various published sources.</w:t>
            </w:r>
          </w:p>
        </w:tc>
      </w:tr>
      <w:tr w:rsidR="00347F30" w:rsidRPr="006117F6" w14:paraId="5740A9CB" w14:textId="77777777">
        <w:tc>
          <w:tcPr>
            <w:tcW w:w="857" w:type="pct"/>
            <w:vAlign w:val="center"/>
          </w:tcPr>
          <w:p w14:paraId="191FF61D" w14:textId="235F09F5" w:rsidR="00347F30" w:rsidRPr="006117F6" w:rsidRDefault="00347F30" w:rsidP="00347F30">
            <w:pPr>
              <w:pStyle w:val="TableText"/>
              <w:keepNext w:val="0"/>
              <w:keepLines/>
            </w:pPr>
            <w:r w:rsidRPr="006117F6">
              <w:t>Costs</w:t>
            </w:r>
          </w:p>
        </w:tc>
        <w:tc>
          <w:tcPr>
            <w:tcW w:w="4143" w:type="pct"/>
            <w:vAlign w:val="center"/>
          </w:tcPr>
          <w:p w14:paraId="100DBBFF" w14:textId="77777777" w:rsidR="00347F30" w:rsidRDefault="00347F30" w:rsidP="00347F30">
            <w:pPr>
              <w:pStyle w:val="COMTabletext"/>
              <w:keepNext w:val="0"/>
              <w:spacing w:after="120"/>
            </w:pPr>
            <w:r w:rsidRPr="006117F6">
              <w:t xml:space="preserve">Drug costs were estimated based on the proposed effective price of semaglutide. </w:t>
            </w:r>
            <w:r>
              <w:t>No other treatment costs were included for administration or adjunctive therapies.</w:t>
            </w:r>
          </w:p>
          <w:p w14:paraId="79F1DDC1" w14:textId="280C5900" w:rsidR="00347F30" w:rsidRPr="006117F6" w:rsidRDefault="00347F30" w:rsidP="00347F30">
            <w:pPr>
              <w:pStyle w:val="COMTabletext"/>
              <w:keepNext w:val="0"/>
              <w:spacing w:after="120"/>
            </w:pPr>
            <w:r>
              <w:t xml:space="preserve">The </w:t>
            </w:r>
            <w:r w:rsidRPr="000E49B0">
              <w:t>cost</w:t>
            </w:r>
            <w:r>
              <w:t>s</w:t>
            </w:r>
            <w:r w:rsidRPr="000E49B0">
              <w:t xml:space="preserve"> of acute cardiovascular events</w:t>
            </w:r>
            <w:r>
              <w:t>, serious adverse events and terminal care were estimated</w:t>
            </w:r>
            <w:r w:rsidRPr="000E49B0">
              <w:t xml:space="preserve"> by mapping each event to AR-DRG hospitalisation items. An average weighted cost was estimated based on the</w:t>
            </w:r>
            <w:r w:rsidR="00120E9F">
              <w:t xml:space="preserve"> number of</w:t>
            </w:r>
            <w:r w:rsidRPr="000E49B0">
              <w:t xml:space="preserve"> separations for each item and cost weights from the National Hospital Cost Data Collection Report, Public Sector Round 25 (2020–2021).</w:t>
            </w:r>
          </w:p>
          <w:p w14:paraId="4ED53730" w14:textId="39861A57" w:rsidR="00347F30" w:rsidRDefault="00347F30" w:rsidP="00347F30">
            <w:pPr>
              <w:pStyle w:val="COMTabletext"/>
              <w:spacing w:after="120"/>
            </w:pPr>
            <w:r>
              <w:t xml:space="preserve">Health state </w:t>
            </w:r>
            <w:r w:rsidR="00120E9F">
              <w:t>costs</w:t>
            </w:r>
            <w:r>
              <w:t xml:space="preserve"> for cardiovascular disease were based on values reported in published Australian economic analyses (Marquina 2022, Savira 2021)</w:t>
            </w:r>
            <w:r w:rsidR="00120E9F">
              <w:t>.</w:t>
            </w:r>
          </w:p>
          <w:p w14:paraId="64B312DD" w14:textId="77777777" w:rsidR="00347F30" w:rsidRDefault="00347F30" w:rsidP="00347F30">
            <w:pPr>
              <w:pStyle w:val="COMTabletext"/>
              <w:spacing w:after="120"/>
            </w:pPr>
            <w:r>
              <w:t xml:space="preserve">Health state costs for patients with diabetes were </w:t>
            </w:r>
            <w:r w:rsidRPr="006F620F">
              <w:t>based on a costing study of diabetes using data from the 2011-2012 update of the Australian Diabetes, Obesity and Lifestyle study (Lee 2018).</w:t>
            </w:r>
          </w:p>
          <w:p w14:paraId="7A317ACB" w14:textId="44E78DBD" w:rsidR="00347F30" w:rsidRDefault="00347F30" w:rsidP="00347F30">
            <w:pPr>
              <w:pStyle w:val="TableText"/>
              <w:keepNext w:val="0"/>
              <w:keepLines/>
            </w:pPr>
            <w:r>
              <w:t xml:space="preserve">Health state costs for chronic kidney disease </w:t>
            </w:r>
            <w:r w:rsidRPr="006F620F">
              <w:t>were based on values presented in an Australian cost of illness study for chronic kidney disease (Deloitte 2023).</w:t>
            </w:r>
          </w:p>
        </w:tc>
      </w:tr>
      <w:tr w:rsidR="00347F30" w:rsidRPr="006117F6" w14:paraId="39CD1E39" w14:textId="77777777">
        <w:tc>
          <w:tcPr>
            <w:tcW w:w="857" w:type="pct"/>
            <w:vAlign w:val="center"/>
          </w:tcPr>
          <w:p w14:paraId="3A682A50" w14:textId="77777777" w:rsidR="00347F30" w:rsidRPr="006117F6" w:rsidRDefault="00347F30" w:rsidP="00347F30">
            <w:pPr>
              <w:pStyle w:val="TableText"/>
              <w:keepNext w:val="0"/>
              <w:keepLines/>
            </w:pPr>
            <w:r w:rsidRPr="006117F6">
              <w:t>Discount rate</w:t>
            </w:r>
          </w:p>
        </w:tc>
        <w:tc>
          <w:tcPr>
            <w:tcW w:w="4143" w:type="pct"/>
            <w:vAlign w:val="center"/>
          </w:tcPr>
          <w:p w14:paraId="492C0BCA" w14:textId="77777777" w:rsidR="00347F30" w:rsidRPr="006117F6" w:rsidRDefault="00347F30" w:rsidP="00347F30">
            <w:pPr>
              <w:pStyle w:val="TableText"/>
              <w:keepNext w:val="0"/>
              <w:keepLines/>
            </w:pPr>
            <w:r w:rsidRPr="006117F6">
              <w:t>5% for costs and outcomes</w:t>
            </w:r>
          </w:p>
        </w:tc>
      </w:tr>
      <w:tr w:rsidR="00347F30" w:rsidRPr="006117F6" w14:paraId="4BC65AB7" w14:textId="77777777">
        <w:tc>
          <w:tcPr>
            <w:tcW w:w="857" w:type="pct"/>
            <w:vAlign w:val="center"/>
          </w:tcPr>
          <w:p w14:paraId="0D0D4262" w14:textId="77777777" w:rsidR="00347F30" w:rsidRPr="006117F6" w:rsidRDefault="00347F30" w:rsidP="00347F30">
            <w:pPr>
              <w:pStyle w:val="TableText"/>
              <w:keepNext w:val="0"/>
              <w:keepLines/>
              <w:rPr>
                <w:rFonts w:ascii="Times" w:eastAsia="Times New Roman" w:hAnsi="Times" w:cs="Times New Roman"/>
                <w:szCs w:val="20"/>
              </w:rPr>
            </w:pPr>
            <w:r w:rsidRPr="006117F6">
              <w:t>Software package</w:t>
            </w:r>
          </w:p>
        </w:tc>
        <w:tc>
          <w:tcPr>
            <w:tcW w:w="4143" w:type="pct"/>
            <w:vAlign w:val="center"/>
          </w:tcPr>
          <w:p w14:paraId="50B85CA1" w14:textId="77777777" w:rsidR="00347F30" w:rsidRPr="006117F6" w:rsidRDefault="00347F30" w:rsidP="00347F30">
            <w:pPr>
              <w:pStyle w:val="TableText"/>
              <w:keepNext w:val="0"/>
              <w:keepLines/>
            </w:pPr>
            <w:r w:rsidRPr="006117F6">
              <w:t>Microsoft Excel</w:t>
            </w:r>
          </w:p>
        </w:tc>
      </w:tr>
    </w:tbl>
    <w:p w14:paraId="1392EA3C" w14:textId="77777777" w:rsidR="00DF1E29" w:rsidRPr="006117F6" w:rsidRDefault="00DF1E29" w:rsidP="00DF1E29">
      <w:pPr>
        <w:pStyle w:val="TableFooter"/>
      </w:pPr>
      <w:r w:rsidRPr="006117F6">
        <w:t>Source: Table 3</w:t>
      </w:r>
      <w:r>
        <w:t>-</w:t>
      </w:r>
      <w:r w:rsidRPr="006117F6">
        <w:t>1, p</w:t>
      </w:r>
      <w:r>
        <w:t>105</w:t>
      </w:r>
      <w:r w:rsidRPr="006117F6">
        <w:t xml:space="preserve"> of the resubmission</w:t>
      </w:r>
    </w:p>
    <w:p w14:paraId="4D6DA1ED" w14:textId="456C41BA" w:rsidR="00DF1E29" w:rsidRPr="00DF1E29" w:rsidRDefault="00DF1E29" w:rsidP="00DF1E29">
      <w:pPr>
        <w:pStyle w:val="TableFooter"/>
      </w:pPr>
      <w:r w:rsidRPr="006117F6">
        <w:t xml:space="preserve">Abbreviations: </w:t>
      </w:r>
      <w:r>
        <w:t>BMI, body mass index; CR, coronary revascularisation; HF, heart failure; MI, myocardial infarction; S, stroke; UA, unstable angina</w:t>
      </w:r>
    </w:p>
    <w:p w14:paraId="07E676DC" w14:textId="02A9678B" w:rsidR="005002EC" w:rsidRDefault="005002EC" w:rsidP="005002EC">
      <w:pPr>
        <w:pStyle w:val="COMESnumberedpara"/>
      </w:pPr>
      <w:r w:rsidRPr="00D31B2F">
        <w:rPr>
          <w:iCs/>
        </w:rPr>
        <w:t xml:space="preserve">The resubmission nominated a 25-year time horizon for the economic analysis on the basis that this was consistent with previous PBAC considerations of interventions for </w:t>
      </w:r>
      <w:r w:rsidRPr="00D31B2F">
        <w:rPr>
          <w:iCs/>
        </w:rPr>
        <w:lastRenderedPageBreak/>
        <w:t xml:space="preserve">established cardiovascular disease (July 2022 </w:t>
      </w:r>
      <w:proofErr w:type="spellStart"/>
      <w:r w:rsidRPr="00D31B2F">
        <w:rPr>
          <w:iCs/>
        </w:rPr>
        <w:t>evolocumab</w:t>
      </w:r>
      <w:proofErr w:type="spellEnd"/>
      <w:r w:rsidRPr="00D31B2F">
        <w:rPr>
          <w:iCs/>
        </w:rPr>
        <w:t xml:space="preserve"> submission; November 2023 icosapent ethyl submission).</w:t>
      </w:r>
      <w:r w:rsidRPr="00301867">
        <w:t xml:space="preserve"> </w:t>
      </w:r>
      <w:r w:rsidRPr="00D31B2F">
        <w:rPr>
          <w:iCs/>
        </w:rPr>
        <w:t>The ESC considered this was reasonable.</w:t>
      </w:r>
    </w:p>
    <w:p w14:paraId="5AED6043" w14:textId="633F211E" w:rsidR="002E41A3" w:rsidRPr="002E41A3" w:rsidRDefault="002E41A3" w:rsidP="002E41A3">
      <w:pPr>
        <w:pStyle w:val="COMESnumberedpara"/>
      </w:pPr>
      <w:r w:rsidRPr="002E41A3">
        <w:t xml:space="preserve">Patients enter the model in the established cardiovascular disease health state without diabetes but with chronic kidney disease at </w:t>
      </w:r>
      <w:r w:rsidR="004B445F">
        <w:t>stage</w:t>
      </w:r>
      <w:r w:rsidRPr="002E41A3">
        <w:t xml:space="preserve"> 1, 2 or 3a. </w:t>
      </w:r>
    </w:p>
    <w:p w14:paraId="1DDB9A9C" w14:textId="355449C3" w:rsidR="002E41A3" w:rsidRPr="002E41A3" w:rsidRDefault="002E41A3" w:rsidP="002E41A3">
      <w:pPr>
        <w:pStyle w:val="COMESnumberedpara"/>
      </w:pPr>
      <w:r w:rsidRPr="002E41A3">
        <w:t xml:space="preserve">In each 4-weekly cycle patients can experience a non-fatal cardiovascular event (myocardial infarction, stroke, heart failure, unstable angina, coronary revascularisation), cardiovascular death or non-cardiovascular death. Non-fatal cardiovascular events were associated with both transient (acute) impacts as well as ongoing (chronic) impacts. The post-event history was only tracked using specific health states for the first two different modelled events (such as myocardial infarction only or myocardial infarction plus stroke). Beyond this, patients could continue to experience transient events and incur acute costs and disutilities but remained in the same health state. </w:t>
      </w:r>
      <w:r w:rsidR="009140D1">
        <w:rPr>
          <w:iCs/>
        </w:rPr>
        <w:t xml:space="preserve">The pre-PBAC </w:t>
      </w:r>
      <w:proofErr w:type="gramStart"/>
      <w:r w:rsidR="009140D1">
        <w:rPr>
          <w:iCs/>
        </w:rPr>
        <w:t xml:space="preserve">response </w:t>
      </w:r>
      <w:r w:rsidR="00775C16">
        <w:rPr>
          <w:iCs/>
        </w:rPr>
        <w:t xml:space="preserve"> addressed</w:t>
      </w:r>
      <w:proofErr w:type="gramEnd"/>
      <w:r w:rsidR="00775C16">
        <w:rPr>
          <w:iCs/>
        </w:rPr>
        <w:t xml:space="preserve"> concerns that the utility weights for post event health states may include double counting</w:t>
      </w:r>
      <w:r w:rsidR="00A047DC">
        <w:rPr>
          <w:iCs/>
        </w:rPr>
        <w:t xml:space="preserve"> by clarifying that the base case specification of the model applie</w:t>
      </w:r>
      <w:r w:rsidR="005B696B">
        <w:rPr>
          <w:iCs/>
        </w:rPr>
        <w:t>d</w:t>
      </w:r>
      <w:r w:rsidR="00A047DC">
        <w:rPr>
          <w:iCs/>
        </w:rPr>
        <w:t xml:space="preserve"> a hierarchical (not multiplicative) approach to estimating quality of life losses in health states with multiple prior events. </w:t>
      </w:r>
      <w:r w:rsidR="00C277D4">
        <w:rPr>
          <w:iCs/>
        </w:rPr>
        <w:t xml:space="preserve">As such, only the </w:t>
      </w:r>
      <w:proofErr w:type="gramStart"/>
      <w:r w:rsidR="00C277D4">
        <w:rPr>
          <w:iCs/>
        </w:rPr>
        <w:t>quality of life</w:t>
      </w:r>
      <w:proofErr w:type="gramEnd"/>
      <w:r w:rsidR="00C277D4">
        <w:rPr>
          <w:iCs/>
        </w:rPr>
        <w:t xml:space="preserve"> decrement of the more severe event is used for the calculation of the utility weight for the post event health states. </w:t>
      </w:r>
    </w:p>
    <w:p w14:paraId="4997393C" w14:textId="330C759B" w:rsidR="002E41A3" w:rsidRPr="002E41A3" w:rsidRDefault="002E41A3" w:rsidP="002E41A3">
      <w:pPr>
        <w:pStyle w:val="COMESnumberedpara"/>
      </w:pPr>
      <w:r w:rsidRPr="002E41A3">
        <w:t>Patients could also experience serious adverse events, develop diabetes, experience progression of chronic kidney disease, or experience weight loss/regain in each cycle. Patients who develop diabetes in the model were assumed to have a higher subsequent risk of cardiovascular disease. Weight loss/regain and chronic kidney disease progression were not directly linked to cardiovascular disease or mortality in model.</w:t>
      </w:r>
    </w:p>
    <w:p w14:paraId="4C4A52F9" w14:textId="0E612F53" w:rsidR="00DF1E29" w:rsidRDefault="002E41A3" w:rsidP="002E41A3">
      <w:pPr>
        <w:pStyle w:val="COMESnumberedpara"/>
      </w:pPr>
      <w:r w:rsidRPr="002E41A3">
        <w:t xml:space="preserve">Additionally, patients in the semaglutide arm could discontinue treatment in each cycle. The resubmission assumed that patients who discontinue semaglutide would have the same risk as patients treated with placebo </w:t>
      </w:r>
      <w:proofErr w:type="gramStart"/>
      <w:r w:rsidRPr="002E41A3">
        <w:t>with the exception of</w:t>
      </w:r>
      <w:proofErr w:type="gramEnd"/>
      <w:r w:rsidRPr="002E41A3">
        <w:t xml:space="preserve"> a residual weight loss benefit for up to 2.36 years after treatment. Patients who discontinue therapy in the economic model were not allowed to re-initiate therapy. Therefore, the model does not provide any estimate of the cost</w:t>
      </w:r>
      <w:r w:rsidR="00042F21">
        <w:t xml:space="preserve"> </w:t>
      </w:r>
      <w:r w:rsidRPr="002E41A3">
        <w:t>effectiveness associated with multiple cycles of treatment.</w:t>
      </w:r>
    </w:p>
    <w:p w14:paraId="533F0C95" w14:textId="77777777" w:rsidR="008B284C" w:rsidRPr="00473F11" w:rsidRDefault="008B284C" w:rsidP="008B284C">
      <w:pPr>
        <w:pStyle w:val="COMESnumberedpara"/>
      </w:pPr>
      <w:r w:rsidRPr="00EF7937">
        <w:t xml:space="preserve">The resubmission did not include any administration costs associated with using semaglutide. </w:t>
      </w:r>
      <w:r w:rsidRPr="00473F11">
        <w:t>This may not be appropriate as semaglutide requires frequent GP visits during the titration period.</w:t>
      </w:r>
    </w:p>
    <w:p w14:paraId="34D2A2B2" w14:textId="77777777" w:rsidR="008B284C" w:rsidRPr="00473F11" w:rsidRDefault="008B284C" w:rsidP="008B284C">
      <w:pPr>
        <w:pStyle w:val="COMESnumberedpara"/>
      </w:pPr>
      <w:r w:rsidRPr="00EF7937">
        <w:t xml:space="preserve">The resubmission assumed that the use of semaglutide would not be associated with increased use of other weight management services such as diet and exercise programs delivered by general practitioners and allied health professionals. </w:t>
      </w:r>
      <w:r w:rsidRPr="00473F11">
        <w:t xml:space="preserve">It was unclear whether this assumption was reasonable.  </w:t>
      </w:r>
    </w:p>
    <w:p w14:paraId="3B4AB6B9" w14:textId="2675F199" w:rsidR="007E4FB2" w:rsidRPr="00473F11" w:rsidRDefault="00140C0D" w:rsidP="00140C0D">
      <w:pPr>
        <w:pStyle w:val="COMESnumberedpara"/>
      </w:pPr>
      <w:r w:rsidRPr="00473F11">
        <w:t xml:space="preserve">Calculation errors related to the application of discontinuation rates and QALY losses in patients with a history of multiple events were identified during the evaluation. </w:t>
      </w:r>
      <w:r w:rsidRPr="00D54E8A">
        <w:t xml:space="preserve">These errors were acknowledged by the sponsor and corrected in the </w:t>
      </w:r>
      <w:r w:rsidR="00D54E8A" w:rsidRPr="00D54E8A">
        <w:t>evaluation</w:t>
      </w:r>
      <w:r w:rsidRPr="00D54E8A">
        <w:t>.</w:t>
      </w:r>
    </w:p>
    <w:p w14:paraId="7DFC88DE" w14:textId="6DCD3197" w:rsidR="009312BA" w:rsidRPr="009312BA" w:rsidRDefault="009312BA" w:rsidP="009312BA">
      <w:pPr>
        <w:pStyle w:val="COMESnumberedpara"/>
      </w:pPr>
      <w:r w:rsidRPr="009312BA">
        <w:t xml:space="preserve">Key drivers of the economic model are summarised in </w:t>
      </w:r>
      <w:r w:rsidR="00055136">
        <w:fldChar w:fldCharType="begin"/>
      </w:r>
      <w:r w:rsidR="00055136">
        <w:instrText xml:space="preserve"> REF _Ref206945381 \h </w:instrText>
      </w:r>
      <w:r w:rsidR="00055136">
        <w:fldChar w:fldCharType="separate"/>
      </w:r>
      <w:r w:rsidR="004F1BBD">
        <w:t xml:space="preserve">Table </w:t>
      </w:r>
      <w:r w:rsidR="004F1BBD">
        <w:rPr>
          <w:noProof/>
        </w:rPr>
        <w:t>10</w:t>
      </w:r>
      <w:r w:rsidR="00055136">
        <w:fldChar w:fldCharType="end"/>
      </w:r>
      <w:r w:rsidRPr="009312BA">
        <w:t>.</w:t>
      </w:r>
    </w:p>
    <w:p w14:paraId="76829278" w14:textId="5A5569B7" w:rsidR="00954522" w:rsidRPr="006117F6" w:rsidRDefault="00055136" w:rsidP="00055136">
      <w:pPr>
        <w:pStyle w:val="Caption"/>
      </w:pPr>
      <w:bookmarkStart w:id="46" w:name="_Ref206945381"/>
      <w:r>
        <w:lastRenderedPageBreak/>
        <w:t xml:space="preserve">Table </w:t>
      </w:r>
      <w:r w:rsidR="005448C5">
        <w:fldChar w:fldCharType="begin"/>
      </w:r>
      <w:r w:rsidR="005448C5">
        <w:instrText xml:space="preserve"> SEQ Table \* ARABIC </w:instrText>
      </w:r>
      <w:r w:rsidR="005448C5">
        <w:fldChar w:fldCharType="separate"/>
      </w:r>
      <w:r w:rsidR="004F1BBD">
        <w:rPr>
          <w:noProof/>
        </w:rPr>
        <w:t>10</w:t>
      </w:r>
      <w:r w:rsidR="005448C5">
        <w:rPr>
          <w:noProof/>
        </w:rPr>
        <w:fldChar w:fldCharType="end"/>
      </w:r>
      <w:bookmarkEnd w:id="46"/>
      <w:r w:rsidR="00954522" w:rsidRPr="006117F6">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Key drivers of the model"/>
      </w:tblPr>
      <w:tblGrid>
        <w:gridCol w:w="1367"/>
        <w:gridCol w:w="6566"/>
        <w:gridCol w:w="1084"/>
      </w:tblGrid>
      <w:tr w:rsidR="00954522" w:rsidRPr="006117F6" w14:paraId="5A829AC7" w14:textId="77777777" w:rsidTr="00954522">
        <w:trPr>
          <w:tblHeader/>
        </w:trPr>
        <w:tc>
          <w:tcPr>
            <w:tcW w:w="758" w:type="pct"/>
            <w:vAlign w:val="center"/>
          </w:tcPr>
          <w:p w14:paraId="0A3A0C78" w14:textId="77777777" w:rsidR="00954522" w:rsidRPr="00473F11" w:rsidRDefault="00954522">
            <w:pPr>
              <w:pStyle w:val="COMTableheadingrow"/>
              <w:jc w:val="center"/>
            </w:pPr>
            <w:r w:rsidRPr="00473F11">
              <w:t>Description</w:t>
            </w:r>
          </w:p>
        </w:tc>
        <w:tc>
          <w:tcPr>
            <w:tcW w:w="3641" w:type="pct"/>
            <w:vAlign w:val="center"/>
          </w:tcPr>
          <w:p w14:paraId="6FFD0945" w14:textId="77777777" w:rsidR="00954522" w:rsidRPr="00473F11" w:rsidRDefault="00954522">
            <w:pPr>
              <w:pStyle w:val="COMTableheadingrow"/>
              <w:jc w:val="center"/>
            </w:pPr>
            <w:r w:rsidRPr="00473F11">
              <w:t>Method/Value</w:t>
            </w:r>
          </w:p>
        </w:tc>
        <w:tc>
          <w:tcPr>
            <w:tcW w:w="601" w:type="pct"/>
            <w:vAlign w:val="center"/>
          </w:tcPr>
          <w:p w14:paraId="59598650" w14:textId="77777777" w:rsidR="00954522" w:rsidRPr="00473F11" w:rsidRDefault="00954522">
            <w:pPr>
              <w:pStyle w:val="COMTableheadingrow"/>
              <w:jc w:val="center"/>
            </w:pPr>
            <w:r w:rsidRPr="00473F11">
              <w:t>Impact</w:t>
            </w:r>
          </w:p>
        </w:tc>
      </w:tr>
      <w:tr w:rsidR="009C64D7" w:rsidRPr="006117F6" w14:paraId="210C9887" w14:textId="77777777" w:rsidTr="00954522">
        <w:tc>
          <w:tcPr>
            <w:tcW w:w="758" w:type="pct"/>
            <w:vAlign w:val="center"/>
          </w:tcPr>
          <w:p w14:paraId="5F78BDD3" w14:textId="5EEA5A03" w:rsidR="009C64D7" w:rsidRPr="00473F11" w:rsidRDefault="009C64D7" w:rsidP="009C64D7">
            <w:pPr>
              <w:pStyle w:val="COMTabletext"/>
            </w:pPr>
            <w:r w:rsidRPr="00473F11">
              <w:t>Cardiovascular risks</w:t>
            </w:r>
          </w:p>
        </w:tc>
        <w:tc>
          <w:tcPr>
            <w:tcW w:w="3641" w:type="pct"/>
            <w:vAlign w:val="center"/>
          </w:tcPr>
          <w:p w14:paraId="280A3014" w14:textId="68AD40FD" w:rsidR="009C64D7" w:rsidRPr="00473F11" w:rsidRDefault="00D319D1" w:rsidP="009C64D7">
            <w:pPr>
              <w:pStyle w:val="COMTabletext"/>
              <w:spacing w:after="60"/>
            </w:pPr>
            <w:r w:rsidRPr="00473F11">
              <w:t>The risk</w:t>
            </w:r>
            <w:r w:rsidR="00120E9F" w:rsidRPr="00473F11">
              <w:t>s</w:t>
            </w:r>
            <w:r w:rsidRPr="00473F11">
              <w:t xml:space="preserve"> of cardiovascular death and non-fatal cardiovascular events in the first 3.5 years</w:t>
            </w:r>
            <w:r w:rsidR="009F7B86" w:rsidRPr="00473F11">
              <w:t xml:space="preserve"> were based on reported incidence rates in the overall population</w:t>
            </w:r>
            <w:r w:rsidRPr="00473F11">
              <w:t>. These risks were extrapolated over time and to other alternative patient populations based on the assumption that the annualised incidence of events in the SELECT trial would remain constant over time.</w:t>
            </w:r>
          </w:p>
          <w:p w14:paraId="15CF116F" w14:textId="3E31DC9A" w:rsidR="00D319D1" w:rsidRPr="00473F11" w:rsidRDefault="00445A88" w:rsidP="009C64D7">
            <w:pPr>
              <w:pStyle w:val="COMTabletext"/>
              <w:spacing w:after="60"/>
            </w:pPr>
            <w:r w:rsidRPr="00473F11">
              <w:t xml:space="preserve">The resubmission implicitly assumed that semaglutide was associated with reductions in all modelled cardiovascular events. This assumption was not </w:t>
            </w:r>
            <w:r w:rsidR="009E60A6">
              <w:t>completely</w:t>
            </w:r>
            <w:r w:rsidR="009E60A6" w:rsidRPr="00473F11">
              <w:t xml:space="preserve"> </w:t>
            </w:r>
            <w:r w:rsidRPr="00473F11">
              <w:t>supported by clinical data from the SELECT trial which indicated a statistically significant reduction in the composite primary endpoint (cardiovascular death, non-fatal myocardial infarction, non-fatal stroke) and demonstrated nominally significant reductions for the individual events of non-fatal myocardial infarction and coronary revascularisation only.</w:t>
            </w:r>
            <w:r w:rsidR="00642A2B">
              <w:t xml:space="preserve"> </w:t>
            </w:r>
            <w:r w:rsidR="0064199B" w:rsidRPr="00D31B2F">
              <w:rPr>
                <w:iCs/>
              </w:rPr>
              <w:t xml:space="preserve">The </w:t>
            </w:r>
            <w:proofErr w:type="gramStart"/>
            <w:r w:rsidR="0064199B" w:rsidRPr="00D31B2F">
              <w:rPr>
                <w:iCs/>
              </w:rPr>
              <w:t>PSCR  argued</w:t>
            </w:r>
            <w:proofErr w:type="gramEnd"/>
            <w:r w:rsidR="0064199B" w:rsidRPr="00D31B2F">
              <w:rPr>
                <w:iCs/>
              </w:rPr>
              <w:t xml:space="preserve"> that despite a lack of significance in some of the individual cardiovascular outcomes it was reasonable to include them in the economic model because of the different cost and health implications of each of them as individual events.</w:t>
            </w:r>
            <w:r w:rsidR="0003174D" w:rsidRPr="00D31B2F">
              <w:rPr>
                <w:iCs/>
              </w:rPr>
              <w:t xml:space="preserve"> </w:t>
            </w:r>
            <w:r w:rsidR="008B284C" w:rsidRPr="00D31B2F">
              <w:rPr>
                <w:iCs/>
              </w:rPr>
              <w:t xml:space="preserve">The ESC acknowledged the arguments put forward by the PSCR but considered that the extent of impact on the ICER of inclusion of individual outcomes without significant results was difficult to justify and advised that additional multivariate sensitivity analyses excluding differences in these outcomes would be informative (see paragraph </w:t>
            </w:r>
            <w:r w:rsidR="008B284C" w:rsidRPr="00D31B2F">
              <w:rPr>
                <w:iCs/>
              </w:rPr>
              <w:fldChar w:fldCharType="begin"/>
            </w:r>
            <w:r w:rsidR="008B284C" w:rsidRPr="00D31B2F">
              <w:rPr>
                <w:iCs/>
              </w:rPr>
              <w:instrText xml:space="preserve"> REF _Ref211251009 \r \h </w:instrText>
            </w:r>
            <w:r w:rsidR="008B284C" w:rsidRPr="00D31B2F">
              <w:rPr>
                <w:iCs/>
              </w:rPr>
            </w:r>
            <w:r w:rsidR="008B284C" w:rsidRPr="00D31B2F">
              <w:rPr>
                <w:iCs/>
              </w:rPr>
              <w:fldChar w:fldCharType="separate"/>
            </w:r>
            <w:r w:rsidR="004F1BBD">
              <w:rPr>
                <w:iCs/>
              </w:rPr>
              <w:t>6.79</w:t>
            </w:r>
            <w:r w:rsidR="008B284C" w:rsidRPr="00D31B2F">
              <w:rPr>
                <w:iCs/>
              </w:rPr>
              <w:fldChar w:fldCharType="end"/>
            </w:r>
            <w:r w:rsidR="008B284C" w:rsidRPr="00D31B2F">
              <w:rPr>
                <w:iCs/>
              </w:rPr>
              <w:t>).</w:t>
            </w:r>
            <w:r w:rsidR="005E1B68" w:rsidRPr="00D31B2F">
              <w:rPr>
                <w:iCs/>
              </w:rPr>
              <w:t xml:space="preserve"> </w:t>
            </w:r>
            <w:r w:rsidR="0084162B">
              <w:rPr>
                <w:iCs/>
              </w:rPr>
              <w:t xml:space="preserve">The pre-PBAC </w:t>
            </w:r>
            <w:proofErr w:type="gramStart"/>
            <w:r w:rsidR="0084162B">
              <w:rPr>
                <w:iCs/>
              </w:rPr>
              <w:t xml:space="preserve">response </w:t>
            </w:r>
            <w:r w:rsidR="001D1616">
              <w:rPr>
                <w:iCs/>
              </w:rPr>
              <w:t xml:space="preserve"> argued</w:t>
            </w:r>
            <w:proofErr w:type="gramEnd"/>
            <w:r w:rsidR="001D1616">
              <w:rPr>
                <w:iCs/>
              </w:rPr>
              <w:t xml:space="preserve"> that </w:t>
            </w:r>
            <w:r w:rsidR="00217D4F">
              <w:rPr>
                <w:iCs/>
              </w:rPr>
              <w:t>a multivariate sensitivity analysis that completely removed the benefit of semaglutide on cardiovascular mor</w:t>
            </w:r>
            <w:r w:rsidR="00DC6F7B">
              <w:rPr>
                <w:iCs/>
              </w:rPr>
              <w:t xml:space="preserve">tality </w:t>
            </w:r>
            <w:proofErr w:type="gramStart"/>
            <w:r w:rsidR="00DC6F7B">
              <w:rPr>
                <w:iCs/>
              </w:rPr>
              <w:t>on the basis of</w:t>
            </w:r>
            <w:proofErr w:type="gramEnd"/>
            <w:r w:rsidR="00DC6F7B">
              <w:rPr>
                <w:iCs/>
              </w:rPr>
              <w:t xml:space="preserve"> a p</w:t>
            </w:r>
            <w:r w:rsidR="006F2E4E">
              <w:rPr>
                <w:iCs/>
              </w:rPr>
              <w:t>-value which was 0.07 may not be informative</w:t>
            </w:r>
            <w:r w:rsidR="007F7D0D">
              <w:rPr>
                <w:iCs/>
              </w:rPr>
              <w:t xml:space="preserve"> given this was a component of the </w:t>
            </w:r>
            <w:r w:rsidR="005471D2">
              <w:rPr>
                <w:iCs/>
              </w:rPr>
              <w:t>primary endpoint</w:t>
            </w:r>
            <w:r w:rsidR="007F7D0D">
              <w:rPr>
                <w:iCs/>
              </w:rPr>
              <w:t xml:space="preserve">. </w:t>
            </w:r>
          </w:p>
          <w:p w14:paraId="123BDFE9" w14:textId="558B2E8D" w:rsidR="00445A88" w:rsidRPr="00473F11" w:rsidRDefault="00445A88" w:rsidP="009F7B86">
            <w:pPr>
              <w:pStyle w:val="COMTabletext"/>
            </w:pPr>
            <w:r w:rsidRPr="00473F11">
              <w:t>During the evaluation, it was noted that the global semaglutide economic model included other extrapolation options using parametric functions fitted to the SELECT trial data. These functions were disabled in the current model with the sponsor stating that they were unaware of any precedent for PBAC using survival functions to predict cardiovascular risk over time. Additionally, the sponsor noted that the constant risk approach was consistent with the approach used in another Australian model of semaglutide (Zomer 2024) and provides simplicity and transparency in the presentation of the transition probabilities and the associated risk multipliers incorporated into the model. Overall, it is unclear whether the use of constant risks</w:t>
            </w:r>
            <w:r w:rsidR="002A2A9D">
              <w:t xml:space="preserve"> </w:t>
            </w:r>
            <w:r w:rsidRPr="00473F11">
              <w:t>represents the best fit to the available data and the natural history of established cardiovascular disease.</w:t>
            </w:r>
          </w:p>
        </w:tc>
        <w:tc>
          <w:tcPr>
            <w:tcW w:w="601" w:type="pct"/>
            <w:vAlign w:val="center"/>
          </w:tcPr>
          <w:p w14:paraId="72D6D5A3" w14:textId="77777777" w:rsidR="009C64D7" w:rsidRPr="00473F11" w:rsidRDefault="009C64D7" w:rsidP="009C64D7">
            <w:pPr>
              <w:pStyle w:val="COMTabletext"/>
              <w:keepNext w:val="0"/>
              <w:jc w:val="center"/>
            </w:pPr>
            <w:r w:rsidRPr="00473F11">
              <w:t>High,</w:t>
            </w:r>
          </w:p>
          <w:p w14:paraId="17A49C4B" w14:textId="36CEB338" w:rsidR="009C64D7" w:rsidRPr="00473F11" w:rsidRDefault="009C64D7" w:rsidP="009C64D7">
            <w:pPr>
              <w:pStyle w:val="COMTabletext"/>
              <w:jc w:val="center"/>
              <w:rPr>
                <w:bCs w:val="0"/>
              </w:rPr>
            </w:pPr>
            <w:r w:rsidRPr="00473F11">
              <w:t>favours semaglutide</w:t>
            </w:r>
          </w:p>
        </w:tc>
      </w:tr>
      <w:tr w:rsidR="009C64D7" w:rsidRPr="006117F6" w14:paraId="0D092343" w14:textId="77777777" w:rsidTr="00954522">
        <w:tc>
          <w:tcPr>
            <w:tcW w:w="758" w:type="pct"/>
            <w:vAlign w:val="center"/>
          </w:tcPr>
          <w:p w14:paraId="7B443E1E" w14:textId="240F919A" w:rsidR="009C64D7" w:rsidRPr="00473F11" w:rsidRDefault="009C64D7" w:rsidP="009C64D7">
            <w:pPr>
              <w:pStyle w:val="COMTabletext"/>
              <w:keepNext w:val="0"/>
            </w:pPr>
            <w:r w:rsidRPr="00473F11">
              <w:t>Chronic kidney disease risks</w:t>
            </w:r>
          </w:p>
        </w:tc>
        <w:tc>
          <w:tcPr>
            <w:tcW w:w="3641" w:type="pct"/>
            <w:vAlign w:val="center"/>
          </w:tcPr>
          <w:p w14:paraId="5682D239" w14:textId="522E69F6" w:rsidR="00CA7E81" w:rsidRPr="00473F11" w:rsidRDefault="00CA7E81" w:rsidP="00CA7E81">
            <w:pPr>
              <w:pStyle w:val="COMTabletext"/>
              <w:keepNext w:val="0"/>
              <w:spacing w:after="120"/>
            </w:pPr>
            <w:r w:rsidRPr="00473F11">
              <w:t xml:space="preserve">The risk of chronic kidney disease progression </w:t>
            </w:r>
            <w:r w:rsidR="00120E9F" w:rsidRPr="00473F11">
              <w:t xml:space="preserve">was </w:t>
            </w:r>
            <w:r w:rsidRPr="00473F11">
              <w:t>based on the mean change in estimated glomerular filtration rate (eGFR) per year reported for the semaglutide and placebo arms of the overall SELECT trial population. The estimates were transformed into transition probabilities by estimating the total time it would take to transition from the maximum eGFR to the minimum eGFR in each chronic kidney disease stage using the reported mean changes for each arm.</w:t>
            </w:r>
          </w:p>
          <w:p w14:paraId="072273F2" w14:textId="140B919F" w:rsidR="00CA7E81" w:rsidRPr="00473F11" w:rsidRDefault="00CA7E81" w:rsidP="009C64D7">
            <w:pPr>
              <w:pStyle w:val="COMTabletext"/>
              <w:keepNext w:val="0"/>
            </w:pPr>
            <w:r w:rsidRPr="00473F11">
              <w:t xml:space="preserve">The resubmission assumed that the reported rate of change applied to all patients regardless of chronic kidney disease stage. </w:t>
            </w:r>
            <w:r w:rsidRPr="00D31B2F">
              <w:rPr>
                <w:iCs/>
              </w:rPr>
              <w:t>T</w:t>
            </w:r>
            <w:r w:rsidR="008B6AAC" w:rsidRPr="00D31B2F">
              <w:rPr>
                <w:iCs/>
              </w:rPr>
              <w:t>he</w:t>
            </w:r>
            <w:r w:rsidR="008B6AAC">
              <w:t xml:space="preserve"> </w:t>
            </w:r>
            <w:r w:rsidR="008B6AAC" w:rsidRPr="00D31B2F">
              <w:rPr>
                <w:iCs/>
              </w:rPr>
              <w:t xml:space="preserve">ESC agreed with the evaluation that </w:t>
            </w:r>
            <w:r w:rsidR="008B6AAC" w:rsidRPr="008B6AAC">
              <w:t>t</w:t>
            </w:r>
            <w:r w:rsidRPr="008B6AAC">
              <w:t>h</w:t>
            </w:r>
            <w:r w:rsidRPr="00473F11">
              <w:t>is assumption was not reasonable and was not consistent with data from the SELECT trial which indicated that eGFR declines were only observed in patients with early stage disease while patients with more advanced kidney disease typically experienced stabilisation or improvement in eGFR values over time in both treatment arms (potentially related to the optimisation of background therapies).</w:t>
            </w:r>
            <w:r w:rsidR="00EB5F3A">
              <w:t xml:space="preserve"> </w:t>
            </w:r>
            <w:r w:rsidR="00EB5F3A" w:rsidRPr="00D31B2F">
              <w:rPr>
                <w:iCs/>
              </w:rPr>
              <w:t xml:space="preserve">The PSCR acknowledged the differences in renal function impairment were only observed in patients with early stages of kidney disease in the SELECT trial and provided a sensitivity analysis for a scenario which stabilises the probability of CKD progression in both arms of the model, increasing the ICER for the base case subgroup from </w:t>
            </w:r>
            <w:r w:rsidR="00EB5F3A" w:rsidRPr="000562E2">
              <w:rPr>
                <w:iCs/>
              </w:rPr>
              <w:t>$</w:t>
            </w:r>
            <w:r w:rsidR="005E35AF" w:rsidRPr="005E35AF">
              <w:rPr>
                <w:iCs/>
                <w:highlight w:val="black"/>
              </w:rPr>
              <w:t>&amp;&amp;&amp;&amp;</w:t>
            </w:r>
            <w:r w:rsidR="00AF43A4">
              <w:rPr>
                <w:iCs/>
                <w:vertAlign w:val="superscript"/>
              </w:rPr>
              <w:t>1</w:t>
            </w:r>
            <w:r w:rsidR="00EB5F3A" w:rsidRPr="000562E2">
              <w:rPr>
                <w:iCs/>
              </w:rPr>
              <w:t xml:space="preserve"> to $</w:t>
            </w:r>
            <w:r w:rsidR="005E35AF" w:rsidRPr="005E35AF">
              <w:rPr>
                <w:iCs/>
                <w:highlight w:val="black"/>
              </w:rPr>
              <w:t>&amp;&amp;&amp;&amp;</w:t>
            </w:r>
            <w:r w:rsidR="00AF43A4">
              <w:rPr>
                <w:iCs/>
                <w:vertAlign w:val="superscript"/>
              </w:rPr>
              <w:t>1</w:t>
            </w:r>
            <w:r w:rsidR="00EB5F3A" w:rsidRPr="000562E2">
              <w:rPr>
                <w:iCs/>
              </w:rPr>
              <w:t xml:space="preserve"> per</w:t>
            </w:r>
            <w:r w:rsidR="00EB5F3A" w:rsidRPr="00D31B2F">
              <w:rPr>
                <w:iCs/>
              </w:rPr>
              <w:t xml:space="preserve"> QALY gained.</w:t>
            </w:r>
          </w:p>
        </w:tc>
        <w:tc>
          <w:tcPr>
            <w:tcW w:w="601" w:type="pct"/>
            <w:vAlign w:val="center"/>
          </w:tcPr>
          <w:p w14:paraId="4FC6AF67" w14:textId="77777777" w:rsidR="009C64D7" w:rsidRPr="00473F11" w:rsidRDefault="009C64D7" w:rsidP="009C64D7">
            <w:pPr>
              <w:pStyle w:val="COMTabletext"/>
              <w:keepNext w:val="0"/>
              <w:jc w:val="center"/>
            </w:pPr>
            <w:r w:rsidRPr="00473F11">
              <w:t>High,</w:t>
            </w:r>
          </w:p>
          <w:p w14:paraId="1443EDDE" w14:textId="77777777" w:rsidR="009C64D7" w:rsidRPr="00473F11" w:rsidRDefault="009C64D7" w:rsidP="009C64D7">
            <w:pPr>
              <w:pStyle w:val="COMTabletext"/>
              <w:keepNext w:val="0"/>
              <w:jc w:val="center"/>
              <w:rPr>
                <w:bCs w:val="0"/>
              </w:rPr>
            </w:pPr>
            <w:r w:rsidRPr="00473F11">
              <w:t>favours semaglutide</w:t>
            </w:r>
          </w:p>
        </w:tc>
      </w:tr>
      <w:tr w:rsidR="009C64D7" w:rsidRPr="006117F6" w14:paraId="69072BFD" w14:textId="77777777" w:rsidTr="00954522">
        <w:tc>
          <w:tcPr>
            <w:tcW w:w="758" w:type="pct"/>
            <w:vAlign w:val="center"/>
          </w:tcPr>
          <w:p w14:paraId="56355E4C" w14:textId="6426D358" w:rsidR="009C64D7" w:rsidRPr="00473F11" w:rsidRDefault="009C64D7" w:rsidP="009C64D7">
            <w:pPr>
              <w:pStyle w:val="COMTabletext"/>
              <w:keepNext w:val="0"/>
            </w:pPr>
            <w:r w:rsidRPr="00473F11">
              <w:lastRenderedPageBreak/>
              <w:t>Risk multipliers</w:t>
            </w:r>
          </w:p>
        </w:tc>
        <w:tc>
          <w:tcPr>
            <w:tcW w:w="3641" w:type="pct"/>
            <w:vAlign w:val="center"/>
          </w:tcPr>
          <w:p w14:paraId="1ECCDF37" w14:textId="4706B533" w:rsidR="00185BAA" w:rsidRPr="00473F11" w:rsidRDefault="006F091D" w:rsidP="00F26B66">
            <w:pPr>
              <w:pStyle w:val="COMTabletext"/>
              <w:keepNext w:val="0"/>
              <w:spacing w:after="120"/>
            </w:pPr>
            <w:r w:rsidRPr="00473F11">
              <w:t xml:space="preserve">Age-based risk multipliers </w:t>
            </w:r>
            <w:r w:rsidR="004B5759" w:rsidRPr="00473F11">
              <w:t>for</w:t>
            </w:r>
            <w:r w:rsidRPr="00473F11">
              <w:t xml:space="preserve"> cardiovascular events </w:t>
            </w:r>
            <w:r w:rsidR="000F3A4F" w:rsidRPr="00473F11">
              <w:t xml:space="preserve">were </w:t>
            </w:r>
            <w:r w:rsidRPr="00473F11">
              <w:t xml:space="preserve">based on the incidence of events reported in the AIHW Heart, stroke and vascular disease report 2024 (using data from 2021). </w:t>
            </w:r>
            <w:r w:rsidR="000F3A4F" w:rsidRPr="00473F11">
              <w:t xml:space="preserve">The resubmission did not adequately justify the mapping of AIHW data to modelled events in the economic evaluation. </w:t>
            </w:r>
            <w:proofErr w:type="gramStart"/>
            <w:r w:rsidR="000F3A4F" w:rsidRPr="00473F11">
              <w:t>In particular, some</w:t>
            </w:r>
            <w:proofErr w:type="gramEnd"/>
            <w:r w:rsidR="000F3A4F" w:rsidRPr="00473F11">
              <w:t xml:space="preserve"> estimates appeared implausible</w:t>
            </w:r>
            <w:r w:rsidR="00650742" w:rsidRPr="00473F11">
              <w:t>,</w:t>
            </w:r>
            <w:r w:rsidR="000F3A4F" w:rsidRPr="00473F11">
              <w:t xml:space="preserve"> such as female patients aged </w:t>
            </w:r>
            <w:r w:rsidR="00D01372" w:rsidRPr="00473F11">
              <w:t>≥</w:t>
            </w:r>
            <w:r w:rsidR="000F3A4F" w:rsidRPr="00473F11">
              <w:t xml:space="preserve">85 years having 3.5 times the risk of a coronary revascularisation procedure compared to females aged </w:t>
            </w:r>
            <w:r w:rsidR="002E2D5F" w:rsidRPr="00473F11">
              <w:t>55-64 years which is not consistent with other</w:t>
            </w:r>
            <w:r w:rsidR="00F26B66" w:rsidRPr="00473F11">
              <w:t xml:space="preserve"> available data</w:t>
            </w:r>
            <w:r w:rsidR="002E2D5F" w:rsidRPr="00473F11">
              <w:t>.</w:t>
            </w:r>
          </w:p>
          <w:p w14:paraId="0FC04BB6" w14:textId="0D78FB68" w:rsidR="008F2FFF" w:rsidRPr="00473F11" w:rsidRDefault="00185BAA" w:rsidP="00F26B66">
            <w:pPr>
              <w:pStyle w:val="COMTabletext"/>
              <w:keepNext w:val="0"/>
              <w:spacing w:after="120"/>
            </w:pPr>
            <w:r w:rsidRPr="00473F11">
              <w:t xml:space="preserve">Diabetes-based risk multipliers for cardiovascular events were based on </w:t>
            </w:r>
            <w:r w:rsidR="00B92853" w:rsidRPr="00473F11">
              <w:t>a retrospective longitudinal study of hospitalisation records for patients hospitalised in France in 2013 (Angoulvant 2021). The publication excluded patients with pre-existing cardiovascular disease and therefore the generalisability of results to patients with established cardiovascular disease was unclear. Additionally, the analysis only included hospitalised patients and therefore may not be reflective of the broader population. Further, given the rapidly changing landscape for diabetes treatment it was unclear whether these results would be applicable to current Australian clinical practice.</w:t>
            </w:r>
          </w:p>
          <w:p w14:paraId="7BCD77A0" w14:textId="77777777" w:rsidR="00722455" w:rsidRDefault="008F2FFF" w:rsidP="00F26B66">
            <w:pPr>
              <w:pStyle w:val="COMTabletext"/>
              <w:keepNext w:val="0"/>
              <w:spacing w:after="120"/>
            </w:pPr>
            <w:r w:rsidRPr="00473F11">
              <w:t>BMI-based risk multipliers for cardiovascular events (</w:t>
            </w:r>
            <w:r w:rsidR="00312A7B" w:rsidRPr="00473F11">
              <w:t>Khan 2018</w:t>
            </w:r>
            <w:r w:rsidRPr="00473F11">
              <w:t>), diabetes (</w:t>
            </w:r>
            <w:r w:rsidR="00312A7B" w:rsidRPr="00473F11">
              <w:t>Zhang 2020</w:t>
            </w:r>
            <w:r w:rsidRPr="00473F11">
              <w:t>) and chronic kidney disease</w:t>
            </w:r>
            <w:r w:rsidR="00312A7B" w:rsidRPr="00473F11">
              <w:t xml:space="preserve"> (Kang 2020)</w:t>
            </w:r>
            <w:r w:rsidRPr="00473F11">
              <w:t xml:space="preserve"> were derived from various published sources.</w:t>
            </w:r>
            <w:r w:rsidR="00312A7B" w:rsidRPr="00473F11">
              <w:t xml:space="preserve"> The resubmission did not adequately justify the use of external data source</w:t>
            </w:r>
            <w:r w:rsidR="004B5759" w:rsidRPr="00473F11">
              <w:t>s</w:t>
            </w:r>
            <w:r w:rsidR="00312A7B" w:rsidRPr="00473F11">
              <w:t xml:space="preserve"> to inform BMI-based risk multipliers given the availability of data from the SELECT trial. </w:t>
            </w:r>
          </w:p>
          <w:p w14:paraId="3DB316AE" w14:textId="64A8B17A" w:rsidR="00722455" w:rsidRPr="00D31B2F" w:rsidRDefault="00722455" w:rsidP="00F26B66">
            <w:pPr>
              <w:pStyle w:val="COMTabletext"/>
              <w:keepNext w:val="0"/>
              <w:spacing w:after="120"/>
              <w:rPr>
                <w:iCs/>
              </w:rPr>
            </w:pPr>
            <w:r w:rsidRPr="00D31B2F">
              <w:rPr>
                <w:iCs/>
              </w:rPr>
              <w:t>The PSCR</w:t>
            </w:r>
            <w:r w:rsidR="002D3B84" w:rsidRPr="00D31B2F">
              <w:rPr>
                <w:iCs/>
              </w:rPr>
              <w:t xml:space="preserve"> </w:t>
            </w:r>
            <w:r w:rsidR="00C17035" w:rsidRPr="00D31B2F">
              <w:rPr>
                <w:iCs/>
              </w:rPr>
              <w:t xml:space="preserve">acknowledged that the risk of cardiovascular events was not consistently higher in subgroup populations with higher baseline BMI values in the SELECT trial. The PSCR suggested that this may be a limitation of the SELECT trial rather than a </w:t>
            </w:r>
            <w:proofErr w:type="gramStart"/>
            <w:r w:rsidR="00C17035" w:rsidRPr="00D31B2F">
              <w:rPr>
                <w:iCs/>
              </w:rPr>
              <w:t>real world</w:t>
            </w:r>
            <w:proofErr w:type="gramEnd"/>
            <w:r w:rsidR="00C17035" w:rsidRPr="00D31B2F">
              <w:rPr>
                <w:iCs/>
              </w:rPr>
              <w:t xml:space="preserve"> effect </w:t>
            </w:r>
            <w:r w:rsidR="00E85052" w:rsidRPr="00D31B2F">
              <w:rPr>
                <w:iCs/>
              </w:rPr>
              <w:t xml:space="preserve">as the trial was not necessarily powered to detect increasing cardiovascular risk with increasing BMI. </w:t>
            </w:r>
            <w:r w:rsidR="007C03C3" w:rsidRPr="00D31B2F">
              <w:rPr>
                <w:iCs/>
              </w:rPr>
              <w:t xml:space="preserve">As such, the PSCR </w:t>
            </w:r>
            <w:r w:rsidR="00935A4D" w:rsidRPr="00D31B2F">
              <w:rPr>
                <w:iCs/>
              </w:rPr>
              <w:t xml:space="preserve">stated that the economic model introduced external BMI multipliers </w:t>
            </w:r>
            <w:proofErr w:type="gramStart"/>
            <w:r w:rsidR="00935A4D" w:rsidRPr="00D31B2F">
              <w:rPr>
                <w:iCs/>
              </w:rPr>
              <w:t>in order to</w:t>
            </w:r>
            <w:proofErr w:type="gramEnd"/>
            <w:r w:rsidR="00935A4D" w:rsidRPr="00D31B2F">
              <w:rPr>
                <w:iCs/>
              </w:rPr>
              <w:t xml:space="preserve"> reflect a higher clinical need and greater capacity </w:t>
            </w:r>
            <w:r w:rsidR="00632AA4" w:rsidRPr="00D31B2F">
              <w:rPr>
                <w:iCs/>
              </w:rPr>
              <w:t>to benefit in the higher BMI subgroups.</w:t>
            </w:r>
          </w:p>
          <w:p w14:paraId="3AC88A9A" w14:textId="7C2BB0DC" w:rsidR="00F26B66" w:rsidRDefault="00FB2709" w:rsidP="009C64D7">
            <w:pPr>
              <w:pStyle w:val="COMTabletext"/>
              <w:keepNext w:val="0"/>
            </w:pPr>
            <w:r w:rsidRPr="00D31B2F">
              <w:rPr>
                <w:iCs/>
              </w:rPr>
              <w:t xml:space="preserve">The ESC considered the applicability </w:t>
            </w:r>
            <w:r w:rsidR="00671451" w:rsidRPr="00D31B2F">
              <w:rPr>
                <w:iCs/>
              </w:rPr>
              <w:t xml:space="preserve">of </w:t>
            </w:r>
            <w:r w:rsidRPr="00D31B2F">
              <w:rPr>
                <w:iCs/>
              </w:rPr>
              <w:t xml:space="preserve">the published estimates (used to derive BMI, age and diabetes-based risk multipliers) to </w:t>
            </w:r>
            <w:r w:rsidR="00671451" w:rsidRPr="00D31B2F">
              <w:rPr>
                <w:iCs/>
              </w:rPr>
              <w:t>the model population</w:t>
            </w:r>
            <w:r w:rsidRPr="00D31B2F">
              <w:rPr>
                <w:iCs/>
              </w:rPr>
              <w:t xml:space="preserve"> with established cardiovascular disease was unclear. For example,</w:t>
            </w:r>
            <w:r w:rsidR="003D03B5" w:rsidRPr="00D31B2F">
              <w:rPr>
                <w:iCs/>
              </w:rPr>
              <w:t xml:space="preserve"> </w:t>
            </w:r>
            <w:r w:rsidR="001E12E5" w:rsidRPr="00D31B2F">
              <w:rPr>
                <w:iCs/>
              </w:rPr>
              <w:t xml:space="preserve">the Khan 2018 publication used </w:t>
            </w:r>
            <w:r w:rsidR="0023538F" w:rsidRPr="00D31B2F">
              <w:rPr>
                <w:iCs/>
              </w:rPr>
              <w:t xml:space="preserve">to inform the BMI-based risk multipliers for cardiovascular events </w:t>
            </w:r>
            <w:r w:rsidR="005067B6" w:rsidRPr="00D31B2F">
              <w:rPr>
                <w:iCs/>
              </w:rPr>
              <w:t xml:space="preserve">reported the risk of developing cardiovascular disease in patients without pre-existing disease. </w:t>
            </w:r>
            <w:r w:rsidR="00F26B66" w:rsidRPr="00D31B2F">
              <w:rPr>
                <w:iCs/>
              </w:rPr>
              <w:t>The</w:t>
            </w:r>
            <w:r w:rsidR="005628B1" w:rsidRPr="00D31B2F">
              <w:rPr>
                <w:iCs/>
              </w:rPr>
              <w:t xml:space="preserve"> ESC noted that the</w:t>
            </w:r>
            <w:r w:rsidR="00F26B66" w:rsidRPr="00473F11">
              <w:t xml:space="preserve"> combined effect of multiple risk multipliers was large (e.g. the risk of cardiovascular death increased up to 57 times the baseline risk in males and 152 times the baseline risk in females using risk multipliers)</w:t>
            </w:r>
            <w:r w:rsidR="00D46C03">
              <w:t xml:space="preserve">. </w:t>
            </w:r>
            <w:r w:rsidRPr="00D31B2F">
              <w:rPr>
                <w:iCs/>
              </w:rPr>
              <w:t xml:space="preserve">The PSCR claimed that the seemingly large multipliers (of 52 to 157) </w:t>
            </w:r>
            <w:r w:rsidR="00671451" w:rsidRPr="00D31B2F">
              <w:rPr>
                <w:iCs/>
              </w:rPr>
              <w:t>are</w:t>
            </w:r>
            <w:r w:rsidRPr="00D31B2F">
              <w:rPr>
                <w:iCs/>
              </w:rPr>
              <w:t>, driven almost exclusively by age, with those over 85 years of age having a 25-to-66-fold increase in risk of CV death. The multipliers independent of age reaches a maximum of only 2.28 (for a diabetes patient with a BMI over 40).</w:t>
            </w:r>
            <w:r w:rsidR="00D46C03">
              <w:t xml:space="preserve"> </w:t>
            </w:r>
            <w:r w:rsidRPr="00D31B2F">
              <w:rPr>
                <w:iCs/>
              </w:rPr>
              <w:t>However, t</w:t>
            </w:r>
            <w:r w:rsidR="00D46C03" w:rsidRPr="00D31B2F">
              <w:rPr>
                <w:iCs/>
              </w:rPr>
              <w:t xml:space="preserve">he ESC agreed with the evaluation that the </w:t>
            </w:r>
            <w:r w:rsidR="00EE12F0" w:rsidRPr="00D31B2F">
              <w:rPr>
                <w:iCs/>
              </w:rPr>
              <w:t>application of multiple risk multipliers was</w:t>
            </w:r>
            <w:r w:rsidR="00EE12F0">
              <w:t xml:space="preserve"> </w:t>
            </w:r>
            <w:r w:rsidR="00F26B66" w:rsidRPr="00473F11">
              <w:t>not be appropriate as there is likely to be substantial double-counting of risks between different data sources.</w:t>
            </w:r>
          </w:p>
          <w:p w14:paraId="5C8B0B89" w14:textId="77777777" w:rsidR="00B9495A" w:rsidRDefault="00B9495A" w:rsidP="009C64D7">
            <w:pPr>
              <w:pStyle w:val="COMTabletext"/>
              <w:keepNext w:val="0"/>
            </w:pPr>
          </w:p>
          <w:p w14:paraId="586F7CEC" w14:textId="08D52D94" w:rsidR="00B9495A" w:rsidRPr="00473F11" w:rsidRDefault="00B9495A" w:rsidP="00B9495A">
            <w:pPr>
              <w:pStyle w:val="COMTabletext"/>
              <w:keepNext w:val="0"/>
              <w:spacing w:after="120"/>
            </w:pPr>
            <w:r w:rsidRPr="00D31B2F">
              <w:rPr>
                <w:iCs/>
              </w:rPr>
              <w:t xml:space="preserve">The ESC advised that </w:t>
            </w:r>
            <w:r w:rsidR="005A3342" w:rsidRPr="00D31B2F">
              <w:rPr>
                <w:iCs/>
              </w:rPr>
              <w:t xml:space="preserve">the use of </w:t>
            </w:r>
            <w:r>
              <w:t>e</w:t>
            </w:r>
            <w:r w:rsidRPr="00473F11">
              <w:t>stimates directly from the SELECT trial have the added advantage of being based on established cardiovascular populations, capturing the implicit differences in BMI subgroup populations, as well as providing separate estimates for each modelled event.</w:t>
            </w:r>
          </w:p>
        </w:tc>
        <w:tc>
          <w:tcPr>
            <w:tcW w:w="601" w:type="pct"/>
            <w:vAlign w:val="center"/>
          </w:tcPr>
          <w:p w14:paraId="70D71BC8" w14:textId="77777777" w:rsidR="009C64D7" w:rsidRPr="00473F11" w:rsidRDefault="009C64D7" w:rsidP="009C64D7">
            <w:pPr>
              <w:pStyle w:val="COMTabletext"/>
              <w:keepNext w:val="0"/>
              <w:jc w:val="center"/>
            </w:pPr>
            <w:r w:rsidRPr="00473F11">
              <w:t>High,</w:t>
            </w:r>
          </w:p>
          <w:p w14:paraId="4818587A" w14:textId="0751B3B5" w:rsidR="009C64D7" w:rsidRPr="00473F11" w:rsidRDefault="009C64D7" w:rsidP="009C64D7">
            <w:pPr>
              <w:pStyle w:val="COMTabletext"/>
              <w:keepNext w:val="0"/>
              <w:jc w:val="center"/>
            </w:pPr>
            <w:r w:rsidRPr="00473F11">
              <w:t>favours semaglutide</w:t>
            </w:r>
          </w:p>
        </w:tc>
      </w:tr>
      <w:tr w:rsidR="00AA574B" w:rsidRPr="006117F6" w14:paraId="2BD718D7" w14:textId="77777777" w:rsidTr="00954522">
        <w:tc>
          <w:tcPr>
            <w:tcW w:w="758" w:type="pct"/>
            <w:vAlign w:val="center"/>
          </w:tcPr>
          <w:p w14:paraId="173E457C" w14:textId="32A2B1BB" w:rsidR="00AA574B" w:rsidRPr="00473F11" w:rsidRDefault="00AA574B" w:rsidP="009C64D7">
            <w:pPr>
              <w:pStyle w:val="COMTabletext"/>
              <w:keepNext w:val="0"/>
            </w:pPr>
            <w:r w:rsidRPr="00473F11">
              <w:lastRenderedPageBreak/>
              <w:t>BMI-related QALY loss</w:t>
            </w:r>
          </w:p>
        </w:tc>
        <w:tc>
          <w:tcPr>
            <w:tcW w:w="3641" w:type="pct"/>
            <w:vAlign w:val="center"/>
          </w:tcPr>
          <w:p w14:paraId="526F1237" w14:textId="77777777" w:rsidR="00150099" w:rsidRPr="00473F11" w:rsidRDefault="00150099" w:rsidP="00150099">
            <w:pPr>
              <w:pStyle w:val="COMTabletext"/>
              <w:spacing w:after="120"/>
            </w:pPr>
            <w:r w:rsidRPr="00473F11">
              <w:t xml:space="preserve">BMI-related disutility values were estimated based on a sponsor-commissioned cross-sectional analysis of the relationship between BMI and EQ-5D-5L index scores in the general adult population using data from the 2017/2018 Health Survey for England (Luah 2024). </w:t>
            </w:r>
          </w:p>
          <w:p w14:paraId="591EAE3D" w14:textId="659A7772" w:rsidR="00705761" w:rsidRPr="00473F11" w:rsidRDefault="00150099" w:rsidP="00705761">
            <w:pPr>
              <w:pStyle w:val="COMTabletext"/>
              <w:spacing w:after="120"/>
            </w:pPr>
            <w:r w:rsidRPr="00473F11">
              <w:t>The publication noted that the relationship between BMI and EQ-5D-5L utility scores represents an association rather than causation. The study authors noted that as a cross-sectional analysis the model does not capture the time dependency of effects (the impact of time spent in different BMI classes) nor can it identify the impact of weight change patterns (utility loss due to weight gain may be different from the utility gain from weight loss). Given these limitations, the resubmission did not adequately justify the use of this data source to inform disutility estimates given the availability of longitudinal EQ-5D-5L data from the SELECT trial which could allow the assessment of weight change patterns over time.</w:t>
            </w:r>
            <w:r w:rsidR="006107CF">
              <w:t xml:space="preserve"> </w:t>
            </w:r>
            <w:r w:rsidR="000D0F90" w:rsidRPr="00D31B2F">
              <w:rPr>
                <w:iCs/>
              </w:rPr>
              <w:t xml:space="preserve">The </w:t>
            </w:r>
            <w:proofErr w:type="gramStart"/>
            <w:r w:rsidR="000D0F90" w:rsidRPr="00D31B2F">
              <w:rPr>
                <w:iCs/>
              </w:rPr>
              <w:t>PSCR  argued</w:t>
            </w:r>
            <w:proofErr w:type="gramEnd"/>
            <w:r w:rsidR="000D0F90" w:rsidRPr="00D31B2F">
              <w:rPr>
                <w:iCs/>
              </w:rPr>
              <w:t xml:space="preserve"> that high BMI is known to adversely affect quality of </w:t>
            </w:r>
            <w:proofErr w:type="gramStart"/>
            <w:r w:rsidR="000D0F90" w:rsidRPr="00D31B2F">
              <w:rPr>
                <w:iCs/>
              </w:rPr>
              <w:t>life  and</w:t>
            </w:r>
            <w:proofErr w:type="gramEnd"/>
            <w:r w:rsidR="000D0F90" w:rsidRPr="00D31B2F">
              <w:rPr>
                <w:iCs/>
              </w:rPr>
              <w:t xml:space="preserve"> stated that this supports (along with the increased event risk multipliers used) the submission’s premise that patients with higher BMI have a higher clinical need and capacity to benefit from treatment. As such, the </w:t>
            </w:r>
            <w:proofErr w:type="gramStart"/>
            <w:r w:rsidR="000D0F90" w:rsidRPr="00D31B2F">
              <w:rPr>
                <w:iCs/>
              </w:rPr>
              <w:t>PSCR  argued</w:t>
            </w:r>
            <w:proofErr w:type="gramEnd"/>
            <w:r w:rsidR="000D0F90" w:rsidRPr="00D31B2F">
              <w:rPr>
                <w:iCs/>
              </w:rPr>
              <w:t xml:space="preserve"> that it was necessary to introduce external sources to ensure that this benefit of semaglutide was appropriately captured in the economic model. </w:t>
            </w:r>
            <w:r w:rsidR="00252BDE" w:rsidRPr="00D31B2F">
              <w:rPr>
                <w:iCs/>
              </w:rPr>
              <w:t>The ESC considered that, with the availability of EQ-5D-5L utility estimates from the SELECT trial, it was inappropriate to use less reliable estimates derived from external published sources. In particular, the ESC considered that applying cross sectional data longitudinally was a major source of uncertainty and was likely to overestimate effect. The ESC considered that double counting was highly likely with the approach taken</w:t>
            </w:r>
            <w:r w:rsidR="000D0F90" w:rsidRPr="00D31B2F">
              <w:rPr>
                <w:iCs/>
              </w:rPr>
              <w:t>.</w:t>
            </w:r>
          </w:p>
          <w:p w14:paraId="4AFC61EA" w14:textId="6676E9CC" w:rsidR="00705761" w:rsidRPr="00D77DFA" w:rsidRDefault="00705761" w:rsidP="00F53134">
            <w:pPr>
              <w:pStyle w:val="COMTabletext"/>
              <w:rPr>
                <w:i/>
                <w:iCs/>
              </w:rPr>
            </w:pPr>
            <w:r w:rsidRPr="00473F11">
              <w:t>Additionally, a substantial proportion of the weight</w:t>
            </w:r>
            <w:r w:rsidR="00A97C54" w:rsidRPr="00473F11">
              <w:t xml:space="preserve"> </w:t>
            </w:r>
            <w:r w:rsidRPr="00473F11">
              <w:t xml:space="preserve">loss benefit attributed </w:t>
            </w:r>
            <w:r w:rsidR="005E10EB" w:rsidRPr="00473F11">
              <w:t xml:space="preserve">to </w:t>
            </w:r>
            <w:r w:rsidRPr="00473F11">
              <w:t>semaglutide was due to the inappropriate modelling of time dependent BMI changes in a Markov cohort model which resulted in a substantial overestimation of ongoing BMI treatment effects in patients who have discontinued semaglutide treatment (</w:t>
            </w:r>
            <w:r w:rsidRPr="006963E3">
              <w:t>see</w:t>
            </w:r>
            <w:r w:rsidR="00F34EDA" w:rsidRPr="006963E3">
              <w:t xml:space="preserve"> </w:t>
            </w:r>
            <w:r w:rsidR="00F34EDA" w:rsidRPr="006963E3">
              <w:fldChar w:fldCharType="begin"/>
            </w:r>
            <w:r w:rsidR="00F34EDA" w:rsidRPr="006963E3">
              <w:instrText xml:space="preserve"> REF _Ref210991836 \h </w:instrText>
            </w:r>
            <w:r w:rsidR="006963E3">
              <w:instrText xml:space="preserve"> \* MERGEFORMAT </w:instrText>
            </w:r>
            <w:r w:rsidR="00F34EDA" w:rsidRPr="006963E3">
              <w:fldChar w:fldCharType="separate"/>
            </w:r>
            <w:r w:rsidR="004F1BBD" w:rsidRPr="004F1BBD">
              <w:t xml:space="preserve">Figure </w:t>
            </w:r>
            <w:r w:rsidR="004F1BBD" w:rsidRPr="004F1BBD">
              <w:rPr>
                <w:noProof/>
              </w:rPr>
              <w:t>3</w:t>
            </w:r>
            <w:r w:rsidR="00F34EDA" w:rsidRPr="006963E3">
              <w:fldChar w:fldCharType="end"/>
            </w:r>
            <w:r w:rsidRPr="006963E3">
              <w:t>).</w:t>
            </w:r>
            <w:r w:rsidR="005D0FB1">
              <w:t xml:space="preserve"> </w:t>
            </w:r>
          </w:p>
        </w:tc>
        <w:tc>
          <w:tcPr>
            <w:tcW w:w="601" w:type="pct"/>
            <w:vAlign w:val="center"/>
          </w:tcPr>
          <w:p w14:paraId="2A5C4D33" w14:textId="7423BCDD" w:rsidR="00150099" w:rsidRPr="00473F11" w:rsidRDefault="00150099" w:rsidP="00150099">
            <w:pPr>
              <w:pStyle w:val="COMTabletext"/>
              <w:jc w:val="center"/>
            </w:pPr>
            <w:r w:rsidRPr="00473F11">
              <w:t>High,</w:t>
            </w:r>
          </w:p>
          <w:p w14:paraId="4F452CDE" w14:textId="320A5C2B" w:rsidR="00AA574B" w:rsidRPr="00473F11" w:rsidRDefault="00150099" w:rsidP="00150099">
            <w:pPr>
              <w:pStyle w:val="COMTabletext"/>
              <w:jc w:val="center"/>
            </w:pPr>
            <w:r w:rsidRPr="00473F11">
              <w:t>favours semaglutide</w:t>
            </w:r>
          </w:p>
        </w:tc>
      </w:tr>
      <w:tr w:rsidR="009C64D7" w:rsidRPr="006117F6" w14:paraId="3AA9436B" w14:textId="77777777" w:rsidTr="00954522">
        <w:tc>
          <w:tcPr>
            <w:tcW w:w="758" w:type="pct"/>
            <w:vAlign w:val="center"/>
          </w:tcPr>
          <w:p w14:paraId="7C7B77A0" w14:textId="382BE206" w:rsidR="009C64D7" w:rsidRPr="00473F11" w:rsidRDefault="009C64D7" w:rsidP="009C64D7">
            <w:pPr>
              <w:pStyle w:val="COMTabletext"/>
              <w:keepNext w:val="0"/>
            </w:pPr>
            <w:r w:rsidRPr="00473F11">
              <w:t>Coronary revascularisation costs</w:t>
            </w:r>
          </w:p>
        </w:tc>
        <w:tc>
          <w:tcPr>
            <w:tcW w:w="3641" w:type="pct"/>
            <w:vAlign w:val="center"/>
          </w:tcPr>
          <w:p w14:paraId="27A920E0" w14:textId="089AFC2D" w:rsidR="009C64D7" w:rsidRPr="00C354B8" w:rsidRDefault="00120E9F" w:rsidP="00F53134">
            <w:pPr>
              <w:pStyle w:val="COMTabletext"/>
              <w:rPr>
                <w:i/>
                <w:iCs/>
              </w:rPr>
            </w:pPr>
            <w:r w:rsidRPr="00473F11">
              <w:t>The cost associated with coronary revascularisation events was based on the weighted average hospitalisation cost ($57,438 per event) derived using AR-DRG items</w:t>
            </w:r>
            <w:r w:rsidR="006F091D" w:rsidRPr="00473F11">
              <w:t>.</w:t>
            </w:r>
            <w:r w:rsidR="00F53134" w:rsidRPr="00473F11">
              <w:t xml:space="preserve"> The estimate used in the resubmission included items for heart valve replacements (a different procedure) but </w:t>
            </w:r>
            <w:r w:rsidRPr="00473F11">
              <w:t>did not include</w:t>
            </w:r>
            <w:r w:rsidR="00F53134" w:rsidRPr="00473F11">
              <w:t xml:space="preserve"> items related to percutaneous coronary interventions (the most common type of coronary revascularisation procedure). Overall, the costs for coronary revascularisation procedures do not appear to be plausible particularly in comparison to the costs of other acute cardiovascular events (</w:t>
            </w:r>
            <w:r w:rsidR="00D01372" w:rsidRPr="00473F11">
              <w:t>&gt;</w:t>
            </w:r>
            <w:r w:rsidR="00F53134" w:rsidRPr="00473F11">
              <w:t>4 times the cost of a myocardial infarction event).</w:t>
            </w:r>
            <w:r w:rsidR="00C354B8">
              <w:t xml:space="preserve"> </w:t>
            </w:r>
            <w:r w:rsidR="00C354B8" w:rsidRPr="00D31B2F">
              <w:rPr>
                <w:iCs/>
              </w:rPr>
              <w:t xml:space="preserve">The </w:t>
            </w:r>
            <w:proofErr w:type="gramStart"/>
            <w:r w:rsidR="00C354B8" w:rsidRPr="00D31B2F">
              <w:rPr>
                <w:iCs/>
              </w:rPr>
              <w:t>PSCR  argued</w:t>
            </w:r>
            <w:proofErr w:type="gramEnd"/>
            <w:r w:rsidR="00C354B8" w:rsidRPr="00D31B2F">
              <w:rPr>
                <w:iCs/>
              </w:rPr>
              <w:t xml:space="preserve"> that all event costs in the model were inherently underestimated because they only include the cost of the hospital episode </w:t>
            </w:r>
            <w:r w:rsidR="00563F80" w:rsidRPr="00D31B2F">
              <w:rPr>
                <w:iCs/>
              </w:rPr>
              <w:t xml:space="preserve">and none of the costs of treatment or managing the event that happen outside of the hospital stay. </w:t>
            </w:r>
            <w:r w:rsidR="00BC0C16" w:rsidRPr="00D31B2F">
              <w:rPr>
                <w:iCs/>
              </w:rPr>
              <w:t xml:space="preserve">The ESC agreed with the evaluation that </w:t>
            </w:r>
            <w:r w:rsidR="007808D0" w:rsidRPr="00D31B2F">
              <w:rPr>
                <w:iCs/>
              </w:rPr>
              <w:t xml:space="preserve">the costs of </w:t>
            </w:r>
            <w:r w:rsidR="00A90B72" w:rsidRPr="00D31B2F">
              <w:rPr>
                <w:iCs/>
              </w:rPr>
              <w:t>coronary revascularisation procedures used in the model were not plausible</w:t>
            </w:r>
            <w:r w:rsidR="00994F46" w:rsidRPr="00D31B2F">
              <w:rPr>
                <w:iCs/>
              </w:rPr>
              <w:t xml:space="preserve">. </w:t>
            </w:r>
          </w:p>
        </w:tc>
        <w:tc>
          <w:tcPr>
            <w:tcW w:w="601" w:type="pct"/>
            <w:vAlign w:val="center"/>
          </w:tcPr>
          <w:p w14:paraId="7E4239FB" w14:textId="29AB3F44" w:rsidR="009C64D7" w:rsidRPr="00473F11" w:rsidRDefault="00150099" w:rsidP="009C64D7">
            <w:pPr>
              <w:pStyle w:val="COMTabletext"/>
              <w:jc w:val="center"/>
            </w:pPr>
            <w:r w:rsidRPr="00473F11">
              <w:t>High</w:t>
            </w:r>
            <w:r w:rsidR="009C64D7" w:rsidRPr="00473F11">
              <w:t>,</w:t>
            </w:r>
          </w:p>
          <w:p w14:paraId="1E5EECA5" w14:textId="4DB75E4D" w:rsidR="009C64D7" w:rsidRPr="00473F11" w:rsidRDefault="009C64D7" w:rsidP="009C64D7">
            <w:pPr>
              <w:pStyle w:val="COMTabletext"/>
              <w:keepNext w:val="0"/>
              <w:jc w:val="center"/>
            </w:pPr>
            <w:r w:rsidRPr="00473F11">
              <w:t>favours semaglutide</w:t>
            </w:r>
          </w:p>
        </w:tc>
      </w:tr>
    </w:tbl>
    <w:p w14:paraId="26DFE5E0" w14:textId="1E1C22A9" w:rsidR="00954522" w:rsidRDefault="00954522" w:rsidP="00954522">
      <w:pPr>
        <w:pStyle w:val="TableFooter"/>
      </w:pPr>
      <w:r w:rsidRPr="006117F6">
        <w:t>Source: Constructed during the evaluation.</w:t>
      </w:r>
    </w:p>
    <w:p w14:paraId="2714C47D" w14:textId="0B851799" w:rsidR="008E05CA" w:rsidRDefault="008E05CA" w:rsidP="00954522">
      <w:pPr>
        <w:pStyle w:val="TableFooter"/>
      </w:pPr>
      <w:r>
        <w:t xml:space="preserve">Abbreviations: AIHW, Australian Institute for Health and Welfare; </w:t>
      </w:r>
      <w:r w:rsidRPr="008E05CA">
        <w:t>AR-DRG, Australian Refined Diagnosis Related Groups</w:t>
      </w:r>
      <w:r>
        <w:t>;</w:t>
      </w:r>
      <w:r w:rsidRPr="008E05CA">
        <w:t xml:space="preserve"> </w:t>
      </w:r>
      <w:r>
        <w:t>BMI, body mass index; eGFR, estimated glomerular filtration rate; PBAC, Pharmaceutical Benefits Advisory Committee</w:t>
      </w:r>
    </w:p>
    <w:p w14:paraId="3336D74C" w14:textId="77777777" w:rsidR="00DA397F" w:rsidRPr="00DA397F" w:rsidRDefault="00DA397F" w:rsidP="00DA397F">
      <w:pPr>
        <w:pStyle w:val="TableFooter"/>
        <w:rPr>
          <w:i/>
        </w:rPr>
      </w:pPr>
      <w:r w:rsidRPr="00DA397F">
        <w:rPr>
          <w:i/>
        </w:rPr>
        <w:t xml:space="preserve">The redacted values correspond to the following ranges: </w:t>
      </w:r>
    </w:p>
    <w:p w14:paraId="59EE47F7" w14:textId="7EE86C9C" w:rsidR="00DA397F" w:rsidRPr="00DA397F" w:rsidRDefault="00DA397F" w:rsidP="00DA397F">
      <w:pPr>
        <w:pStyle w:val="TableFooter"/>
        <w:rPr>
          <w:i/>
        </w:rPr>
      </w:pPr>
      <w:r w:rsidRPr="00DA397F">
        <w:rPr>
          <w:i/>
          <w:vertAlign w:val="superscript"/>
        </w:rPr>
        <w:t>1</w:t>
      </w:r>
      <w:r w:rsidRPr="00DA397F">
        <w:rPr>
          <w:i/>
        </w:rPr>
        <w:t xml:space="preserve"> </w:t>
      </w:r>
      <w:r w:rsidR="00AF43A4" w:rsidRPr="00AF43A4">
        <w:rPr>
          <w:i/>
        </w:rPr>
        <w:t>$15,000 to &lt; $25,000</w:t>
      </w:r>
    </w:p>
    <w:p w14:paraId="0EF8F28F" w14:textId="77777777" w:rsidR="00DA397F" w:rsidRPr="00954522" w:rsidRDefault="00DA397F" w:rsidP="00954522">
      <w:pPr>
        <w:pStyle w:val="TableFooter"/>
      </w:pPr>
    </w:p>
    <w:p w14:paraId="234676F9" w14:textId="3D335756" w:rsidR="00F35869" w:rsidRPr="00D31B2F" w:rsidRDefault="00C60600" w:rsidP="00641FB3">
      <w:pPr>
        <w:pStyle w:val="COMESnumberedpara"/>
        <w:rPr>
          <w:iCs/>
        </w:rPr>
      </w:pPr>
      <w:r w:rsidRPr="00D31B2F">
        <w:rPr>
          <w:iCs/>
          <w:color w:val="000000" w:themeColor="text1"/>
        </w:rPr>
        <w:t>The average BMI over time in the modelled population with established cardiovascular disease and BMI ≥27 kg/m</w:t>
      </w:r>
      <w:r w:rsidRPr="00D31B2F">
        <w:rPr>
          <w:iCs/>
          <w:color w:val="000000" w:themeColor="text1"/>
          <w:vertAlign w:val="superscript"/>
        </w:rPr>
        <w:t>2</w:t>
      </w:r>
      <w:r w:rsidRPr="00D31B2F">
        <w:rPr>
          <w:iCs/>
          <w:color w:val="000000" w:themeColor="text1"/>
        </w:rPr>
        <w:t xml:space="preserve"> (consistent with the SELECT overall trial population) is shown in </w:t>
      </w:r>
      <w:r w:rsidR="00A53997" w:rsidRPr="00D31B2F">
        <w:rPr>
          <w:iCs/>
          <w:color w:val="000000" w:themeColor="text1"/>
        </w:rPr>
        <w:fldChar w:fldCharType="begin"/>
      </w:r>
      <w:r w:rsidR="00A53997" w:rsidRPr="00D31B2F">
        <w:rPr>
          <w:iCs/>
          <w:color w:val="000000" w:themeColor="text1"/>
        </w:rPr>
        <w:instrText xml:space="preserve"> REF _Ref210991836 \h </w:instrText>
      </w:r>
      <w:r w:rsidR="00ED5B02" w:rsidRPr="00D31B2F">
        <w:rPr>
          <w:iCs/>
          <w:color w:val="000000" w:themeColor="text1"/>
        </w:rPr>
        <w:instrText xml:space="preserve"> \* MERGEFORMAT </w:instrText>
      </w:r>
      <w:r w:rsidR="00A53997" w:rsidRPr="00D31B2F">
        <w:rPr>
          <w:iCs/>
          <w:color w:val="000000" w:themeColor="text1"/>
        </w:rPr>
      </w:r>
      <w:r w:rsidR="00A53997" w:rsidRPr="00D31B2F">
        <w:rPr>
          <w:iCs/>
          <w:color w:val="000000" w:themeColor="text1"/>
        </w:rPr>
        <w:fldChar w:fldCharType="separate"/>
      </w:r>
      <w:r w:rsidR="004F1BBD" w:rsidRPr="00D31B2F">
        <w:rPr>
          <w:iCs/>
        </w:rPr>
        <w:t xml:space="preserve">Figure </w:t>
      </w:r>
      <w:r w:rsidR="004F1BBD">
        <w:rPr>
          <w:iCs/>
          <w:noProof/>
        </w:rPr>
        <w:t>3</w:t>
      </w:r>
      <w:r w:rsidR="00A53997" w:rsidRPr="00D31B2F">
        <w:rPr>
          <w:iCs/>
          <w:color w:val="000000" w:themeColor="text1"/>
        </w:rPr>
        <w:fldChar w:fldCharType="end"/>
      </w:r>
      <w:r w:rsidR="00A53997" w:rsidRPr="00D31B2F">
        <w:rPr>
          <w:iCs/>
          <w:color w:val="000000" w:themeColor="text1"/>
        </w:rPr>
        <w:t xml:space="preserve">. </w:t>
      </w:r>
    </w:p>
    <w:p w14:paraId="0CA64C37" w14:textId="746C50B0" w:rsidR="00C60600" w:rsidRPr="00D31B2F" w:rsidRDefault="00C60600" w:rsidP="00C60600">
      <w:pPr>
        <w:pStyle w:val="Caption"/>
        <w:rPr>
          <w:iCs/>
          <w:vertAlign w:val="superscript"/>
        </w:rPr>
      </w:pPr>
      <w:bookmarkStart w:id="47" w:name="_Ref210991836"/>
      <w:r w:rsidRPr="00D31B2F">
        <w:rPr>
          <w:iCs/>
        </w:rPr>
        <w:lastRenderedPageBreak/>
        <w:t xml:space="preserve">Figure </w:t>
      </w:r>
      <w:r w:rsidRPr="00D31B2F">
        <w:rPr>
          <w:iCs/>
        </w:rPr>
        <w:fldChar w:fldCharType="begin"/>
      </w:r>
      <w:r w:rsidRPr="00D31B2F">
        <w:rPr>
          <w:iCs/>
        </w:rPr>
        <w:instrText xml:space="preserve"> SEQ Figure \* ARABIC </w:instrText>
      </w:r>
      <w:r w:rsidRPr="00D31B2F">
        <w:rPr>
          <w:iCs/>
        </w:rPr>
        <w:fldChar w:fldCharType="separate"/>
      </w:r>
      <w:r w:rsidR="004F1BBD">
        <w:rPr>
          <w:iCs/>
          <w:noProof/>
        </w:rPr>
        <w:t>3</w:t>
      </w:r>
      <w:r w:rsidRPr="00D31B2F">
        <w:rPr>
          <w:iCs/>
        </w:rPr>
        <w:fldChar w:fldCharType="end"/>
      </w:r>
      <w:bookmarkEnd w:id="47"/>
      <w:r w:rsidRPr="00D31B2F">
        <w:rPr>
          <w:iCs/>
        </w:rPr>
        <w:t>: Average BMI of the modelled population with established cardiovascular disease and BMI ≥ 27kg/m</w:t>
      </w:r>
      <w:r w:rsidRPr="00D31B2F">
        <w:rPr>
          <w:iCs/>
          <w:vertAlign w:val="superscript"/>
        </w:rPr>
        <w:t>2</w:t>
      </w:r>
    </w:p>
    <w:p w14:paraId="0A8700EB" w14:textId="35D28DD9" w:rsidR="00C60600" w:rsidRPr="00C60600" w:rsidRDefault="00A53997" w:rsidP="00C60600">
      <w:r>
        <w:rPr>
          <w:noProof/>
        </w:rPr>
        <w:drawing>
          <wp:inline distT="0" distB="0" distL="0" distR="0" wp14:anchorId="69988037" wp14:editId="5A120F93">
            <wp:extent cx="5732145" cy="3726815"/>
            <wp:effectExtent l="0" t="0" r="1905" b="6985"/>
            <wp:docPr id="882164489" name="Picture 1" descr="Average BMI of the modelled population with established cardiovascular disease and BMI ≥ 27kg/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64489" name="Picture 1" descr="Average BMI of the modelled population with established cardiovascular disease and BMI ≥ 27kg/m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145" cy="3726815"/>
                    </a:xfrm>
                    <a:prstGeom prst="rect">
                      <a:avLst/>
                    </a:prstGeom>
                    <a:noFill/>
                  </pic:spPr>
                </pic:pic>
              </a:graphicData>
            </a:graphic>
          </wp:inline>
        </w:drawing>
      </w:r>
    </w:p>
    <w:p w14:paraId="054C2E87" w14:textId="77777777" w:rsidR="00A53997" w:rsidRDefault="00A53997" w:rsidP="00A53997">
      <w:pPr>
        <w:pStyle w:val="COMTablefooter"/>
        <w:keepNext/>
        <w:spacing w:after="0"/>
      </w:pPr>
      <w:r w:rsidRPr="003A3E5D">
        <w:t xml:space="preserve">Source: </w:t>
      </w:r>
      <w:r>
        <w:t>‘Section 3 Workbook’ provided with the resubmission</w:t>
      </w:r>
    </w:p>
    <w:p w14:paraId="56A19A8D" w14:textId="19AA40C4" w:rsidR="00A53997" w:rsidRPr="003A3E5D" w:rsidRDefault="00A53997" w:rsidP="00A53997">
      <w:pPr>
        <w:pStyle w:val="COMTablefooter"/>
        <w:keepNext/>
      </w:pPr>
      <w:r w:rsidRPr="003A3E5D">
        <w:t>Abbreviations: BMI, body mass index</w:t>
      </w:r>
      <w:r>
        <w:t xml:space="preserve">; </w:t>
      </w:r>
      <w:proofErr w:type="spellStart"/>
      <w:r>
        <w:t>tx</w:t>
      </w:r>
      <w:proofErr w:type="spellEnd"/>
      <w:r>
        <w:t>, treatment.</w:t>
      </w:r>
      <w:r w:rsidRPr="00A53997">
        <w:rPr>
          <w:noProof/>
        </w:rPr>
        <w:t xml:space="preserve"> </w:t>
      </w:r>
    </w:p>
    <w:p w14:paraId="7E88FBE2" w14:textId="23301C5E" w:rsidR="00885D5D" w:rsidRPr="003B0CB8" w:rsidRDefault="00B57C0A" w:rsidP="003B0CB8">
      <w:pPr>
        <w:pStyle w:val="COMESnumberedpara"/>
        <w:rPr>
          <w:iCs/>
        </w:rPr>
      </w:pPr>
      <w:bookmarkStart w:id="48" w:name="_Ref213944891"/>
      <w:r w:rsidRPr="00D31B2F">
        <w:rPr>
          <w:iCs/>
        </w:rPr>
        <w:t xml:space="preserve">The resubmission claimed that patients discontinuing semaglutide treatment are assumed to return to placebo levels over 2.36 years following discontinuation. In response to an information request during the evaluation, the sponsor claimed that the apparent maintenance of the majority of weight loss in discontinued patients is due to the mixed cohort of patients, some of whom would have recently discontinued treatment and would still have the full weight loss effect, and others who have lost all their weight loss benefit. However, </w:t>
      </w:r>
      <w:r w:rsidR="00ED5B02" w:rsidRPr="00D31B2F">
        <w:rPr>
          <w:iCs/>
        </w:rPr>
        <w:t xml:space="preserve">the ESC agreed with the evaluation that </w:t>
      </w:r>
      <w:r w:rsidRPr="00D31B2F">
        <w:rPr>
          <w:iCs/>
        </w:rPr>
        <w:t>the traces show that</w:t>
      </w:r>
      <w:r w:rsidR="00895F05">
        <w:rPr>
          <w:iCs/>
        </w:rPr>
        <w:t>,</w:t>
      </w:r>
      <w:r w:rsidRPr="00D31B2F">
        <w:rPr>
          <w:iCs/>
        </w:rPr>
        <w:t xml:space="preserve"> even when </w:t>
      </w:r>
      <w:proofErr w:type="gramStart"/>
      <w:r w:rsidRPr="00D31B2F">
        <w:rPr>
          <w:iCs/>
        </w:rPr>
        <w:t>the majority of</w:t>
      </w:r>
      <w:proofErr w:type="gramEnd"/>
      <w:r w:rsidRPr="00D31B2F">
        <w:rPr>
          <w:iCs/>
        </w:rPr>
        <w:t xml:space="preserve"> patients have discontinued semaglutide for more than 2.36 years, </w:t>
      </w:r>
      <w:proofErr w:type="gramStart"/>
      <w:r w:rsidRPr="00D31B2F">
        <w:rPr>
          <w:iCs/>
        </w:rPr>
        <w:t>the vast majority of</w:t>
      </w:r>
      <w:proofErr w:type="gramEnd"/>
      <w:r w:rsidRPr="00D31B2F">
        <w:rPr>
          <w:iCs/>
        </w:rPr>
        <w:t xml:space="preserve"> the BMI treatment effect is maintained</w:t>
      </w:r>
      <w:r w:rsidR="00A7353C" w:rsidRPr="00D31B2F">
        <w:rPr>
          <w:iCs/>
        </w:rPr>
        <w:t>, which is implausible</w:t>
      </w:r>
      <w:r w:rsidRPr="00D31B2F">
        <w:rPr>
          <w:iCs/>
        </w:rPr>
        <w:t xml:space="preserve">. </w:t>
      </w:r>
      <w:bookmarkStart w:id="49" w:name="_Hlk215137113"/>
      <w:r w:rsidRPr="00D31B2F">
        <w:rPr>
          <w:iCs/>
        </w:rPr>
        <w:t xml:space="preserve">For example, at 15 years, the difference in BMI between semaglutide on-treatment patients and placebo patients is </w:t>
      </w:r>
      <w:r w:rsidR="00273F37">
        <w:rPr>
          <w:iCs/>
        </w:rPr>
        <w:t>1</w:t>
      </w:r>
      <w:r w:rsidRPr="00D31B2F">
        <w:rPr>
          <w:iCs/>
        </w:rPr>
        <w:t>.5 kg/m</w:t>
      </w:r>
      <w:r w:rsidRPr="00D31B2F">
        <w:rPr>
          <w:iCs/>
          <w:vertAlign w:val="superscript"/>
        </w:rPr>
        <w:t>2</w:t>
      </w:r>
      <w:r w:rsidRPr="00D31B2F">
        <w:rPr>
          <w:iCs/>
        </w:rPr>
        <w:t xml:space="preserve"> (29.9 versus 3</w:t>
      </w:r>
      <w:r w:rsidR="00273F37">
        <w:rPr>
          <w:iCs/>
        </w:rPr>
        <w:t>1</w:t>
      </w:r>
      <w:r w:rsidRPr="00D31B2F">
        <w:rPr>
          <w:iCs/>
        </w:rPr>
        <w:t>.4 kg/m</w:t>
      </w:r>
      <w:r w:rsidRPr="00D31B2F">
        <w:rPr>
          <w:iCs/>
          <w:vertAlign w:val="superscript"/>
        </w:rPr>
        <w:t>2</w:t>
      </w:r>
      <w:r w:rsidRPr="00D31B2F">
        <w:rPr>
          <w:iCs/>
        </w:rPr>
        <w:t xml:space="preserve">, respectively), and </w:t>
      </w:r>
      <w:r w:rsidR="005B2788">
        <w:rPr>
          <w:iCs/>
        </w:rPr>
        <w:t>1</w:t>
      </w:r>
      <w:r w:rsidR="004C43B7">
        <w:rPr>
          <w:iCs/>
        </w:rPr>
        <w:t>.3</w:t>
      </w:r>
      <w:r w:rsidRPr="00D31B2F">
        <w:rPr>
          <w:iCs/>
        </w:rPr>
        <w:t xml:space="preserve"> kg/m</w:t>
      </w:r>
      <w:r w:rsidRPr="00D31B2F">
        <w:rPr>
          <w:iCs/>
          <w:vertAlign w:val="superscript"/>
        </w:rPr>
        <w:t>2</w:t>
      </w:r>
      <w:r w:rsidRPr="00D31B2F">
        <w:rPr>
          <w:iCs/>
        </w:rPr>
        <w:t xml:space="preserve"> between semaglutide off-treatment patients and placebo patients (30.1 versus 3</w:t>
      </w:r>
      <w:r w:rsidR="005B2788">
        <w:rPr>
          <w:iCs/>
        </w:rPr>
        <w:t>1</w:t>
      </w:r>
      <w:r w:rsidRPr="00D31B2F">
        <w:rPr>
          <w:iCs/>
        </w:rPr>
        <w:t>.4 kg/m</w:t>
      </w:r>
      <w:r w:rsidRPr="00D31B2F">
        <w:rPr>
          <w:iCs/>
          <w:vertAlign w:val="superscript"/>
        </w:rPr>
        <w:t>2</w:t>
      </w:r>
      <w:r w:rsidRPr="00D31B2F">
        <w:rPr>
          <w:iCs/>
        </w:rPr>
        <w:t>, respectively)</w:t>
      </w:r>
      <w:r w:rsidR="00895F05">
        <w:rPr>
          <w:iCs/>
        </w:rPr>
        <w:t xml:space="preserve">.  This indicates </w:t>
      </w:r>
      <w:r w:rsidRPr="00D31B2F">
        <w:rPr>
          <w:iCs/>
        </w:rPr>
        <w:t xml:space="preserve">that, despite 62.6% of patients in the semaglutide arm having discontinued treatment at least 2.36 years ago (and who should have the BMI of placebo patients), </w:t>
      </w:r>
      <w:r w:rsidR="005B2788">
        <w:rPr>
          <w:iCs/>
        </w:rPr>
        <w:t>8</w:t>
      </w:r>
      <w:r w:rsidR="000B73D8">
        <w:rPr>
          <w:iCs/>
        </w:rPr>
        <w:t>6</w:t>
      </w:r>
      <w:r w:rsidR="005B2788">
        <w:rPr>
          <w:iCs/>
        </w:rPr>
        <w:t>.6</w:t>
      </w:r>
      <w:r w:rsidRPr="00D31B2F">
        <w:rPr>
          <w:iCs/>
        </w:rPr>
        <w:t>% of the weight loss benefit is maintained in semaglutide patients off treatment.</w:t>
      </w:r>
      <w:bookmarkEnd w:id="49"/>
      <w:r w:rsidR="002014E7" w:rsidRPr="00D31B2F">
        <w:rPr>
          <w:iCs/>
        </w:rPr>
        <w:t xml:space="preserve"> </w:t>
      </w:r>
      <w:r w:rsidR="009921F1" w:rsidRPr="00D31B2F">
        <w:rPr>
          <w:iCs/>
        </w:rPr>
        <w:t>The ESC agreed with the evaluation that o</w:t>
      </w:r>
      <w:r w:rsidRPr="00D31B2F">
        <w:rPr>
          <w:iCs/>
        </w:rPr>
        <w:t>verall, the attempt to implement time-dependent effects in a Markov cohort structure resulted in the model substantially overestimating ongoing BMI treatment effects in patients who have discontinued semaglutide treatment.</w:t>
      </w:r>
      <w:r w:rsidR="004E784A" w:rsidRPr="00D31B2F">
        <w:rPr>
          <w:iCs/>
        </w:rPr>
        <w:t xml:space="preserve"> </w:t>
      </w:r>
      <w:r w:rsidR="00B26FA3" w:rsidRPr="00D31B2F">
        <w:rPr>
          <w:iCs/>
        </w:rPr>
        <w:t xml:space="preserve">The ESC </w:t>
      </w:r>
      <w:r w:rsidR="009513C4" w:rsidRPr="00D31B2F">
        <w:rPr>
          <w:iCs/>
        </w:rPr>
        <w:t xml:space="preserve">considered </w:t>
      </w:r>
      <w:r w:rsidR="00B26FA3" w:rsidRPr="00D31B2F">
        <w:rPr>
          <w:iCs/>
        </w:rPr>
        <w:t>that</w:t>
      </w:r>
      <w:r w:rsidR="00D512AA" w:rsidRPr="00D31B2F">
        <w:rPr>
          <w:iCs/>
        </w:rPr>
        <w:t xml:space="preserve"> the </w:t>
      </w:r>
      <w:r w:rsidR="00E53EF4" w:rsidRPr="00D31B2F">
        <w:rPr>
          <w:iCs/>
        </w:rPr>
        <w:t xml:space="preserve">unexpected relationship between </w:t>
      </w:r>
      <w:r w:rsidR="00601F55" w:rsidRPr="00D31B2F">
        <w:rPr>
          <w:iCs/>
        </w:rPr>
        <w:t xml:space="preserve">discontinuation rates and the </w:t>
      </w:r>
      <w:r w:rsidR="00514C0F">
        <w:rPr>
          <w:iCs/>
        </w:rPr>
        <w:lastRenderedPageBreak/>
        <w:t>incremental cost effectiveness ratio (ICER)</w:t>
      </w:r>
      <w:r w:rsidR="00895F05">
        <w:rPr>
          <w:iCs/>
        </w:rPr>
        <w:t xml:space="preserve">, </w:t>
      </w:r>
      <w:r w:rsidR="00C061FC" w:rsidRPr="00D31B2F">
        <w:rPr>
          <w:iCs/>
        </w:rPr>
        <w:t>i.e. decreasing discontinuation rates increased the ICER and vice versa</w:t>
      </w:r>
      <w:r w:rsidR="00895F05">
        <w:rPr>
          <w:iCs/>
        </w:rPr>
        <w:t>,</w:t>
      </w:r>
      <w:r w:rsidR="00C061FC" w:rsidRPr="00D31B2F">
        <w:rPr>
          <w:iCs/>
        </w:rPr>
        <w:t xml:space="preserve"> </w:t>
      </w:r>
      <w:r w:rsidR="003259D4" w:rsidRPr="00D31B2F">
        <w:rPr>
          <w:iCs/>
        </w:rPr>
        <w:t>arose in part due to th</w:t>
      </w:r>
      <w:r w:rsidR="00304B44" w:rsidRPr="00D31B2F">
        <w:rPr>
          <w:iCs/>
        </w:rPr>
        <w:t>is disconnect in the model</w:t>
      </w:r>
      <w:r w:rsidR="00696F7E" w:rsidRPr="00D31B2F">
        <w:rPr>
          <w:iCs/>
        </w:rPr>
        <w:t xml:space="preserve"> (see </w:t>
      </w:r>
      <w:r w:rsidR="00696F7E" w:rsidRPr="00D31B2F">
        <w:rPr>
          <w:iCs/>
        </w:rPr>
        <w:fldChar w:fldCharType="begin"/>
      </w:r>
      <w:r w:rsidR="00696F7E" w:rsidRPr="00D31B2F">
        <w:rPr>
          <w:iCs/>
        </w:rPr>
        <w:instrText xml:space="preserve"> REF _Ref206945422 \h  \* MERGEFORMAT </w:instrText>
      </w:r>
      <w:r w:rsidR="00696F7E" w:rsidRPr="00D31B2F">
        <w:rPr>
          <w:iCs/>
        </w:rPr>
      </w:r>
      <w:r w:rsidR="00696F7E" w:rsidRPr="00D31B2F">
        <w:rPr>
          <w:iCs/>
        </w:rPr>
        <w:fldChar w:fldCharType="separate"/>
      </w:r>
      <w:r w:rsidR="004F1BBD" w:rsidRPr="004F1BBD">
        <w:rPr>
          <w:iCs/>
        </w:rPr>
        <w:t xml:space="preserve">Table </w:t>
      </w:r>
      <w:r w:rsidR="004F1BBD" w:rsidRPr="004F1BBD">
        <w:rPr>
          <w:iCs/>
          <w:noProof/>
        </w:rPr>
        <w:t>15</w:t>
      </w:r>
      <w:r w:rsidR="00696F7E" w:rsidRPr="00D31B2F">
        <w:rPr>
          <w:iCs/>
        </w:rPr>
        <w:fldChar w:fldCharType="end"/>
      </w:r>
      <w:r w:rsidR="00696F7E" w:rsidRPr="00D31B2F">
        <w:rPr>
          <w:iCs/>
        </w:rPr>
        <w:t>)</w:t>
      </w:r>
      <w:r w:rsidR="00304B44" w:rsidRPr="00D31B2F">
        <w:rPr>
          <w:iCs/>
        </w:rPr>
        <w:t xml:space="preserve">. </w:t>
      </w:r>
      <w:r w:rsidR="007D37D2">
        <w:rPr>
          <w:iCs/>
        </w:rPr>
        <w:t xml:space="preserve">The pre-PBAC </w:t>
      </w:r>
      <w:proofErr w:type="gramStart"/>
      <w:r w:rsidR="007D37D2">
        <w:rPr>
          <w:iCs/>
        </w:rPr>
        <w:t xml:space="preserve">response </w:t>
      </w:r>
      <w:r w:rsidR="00706361">
        <w:rPr>
          <w:iCs/>
        </w:rPr>
        <w:t xml:space="preserve"> </w:t>
      </w:r>
      <w:r w:rsidR="00A67D36">
        <w:rPr>
          <w:iCs/>
        </w:rPr>
        <w:t>stated</w:t>
      </w:r>
      <w:proofErr w:type="gramEnd"/>
      <w:r w:rsidR="007637E0">
        <w:rPr>
          <w:iCs/>
        </w:rPr>
        <w:t xml:space="preserve"> that the model had been misinterpreted </w:t>
      </w:r>
      <w:r w:rsidR="00A67D36">
        <w:rPr>
          <w:iCs/>
        </w:rPr>
        <w:t>arguing</w:t>
      </w:r>
      <w:r w:rsidR="0067003F">
        <w:rPr>
          <w:iCs/>
        </w:rPr>
        <w:t xml:space="preserve"> that when</w:t>
      </w:r>
      <w:r w:rsidR="009B0585">
        <w:rPr>
          <w:iCs/>
        </w:rPr>
        <w:t xml:space="preserve"> all patients di</w:t>
      </w:r>
      <w:r w:rsidR="001D3B93">
        <w:rPr>
          <w:iCs/>
        </w:rPr>
        <w:t xml:space="preserve">scontinue after 2 years the BMI of discontinuers displays an expected pattern (BMI returning to </w:t>
      </w:r>
      <w:r w:rsidR="004C6A29">
        <w:rPr>
          <w:iCs/>
        </w:rPr>
        <w:t xml:space="preserve">that of the placebo arm over 2.36 years). </w:t>
      </w:r>
      <w:r w:rsidR="008E4E48">
        <w:rPr>
          <w:iCs/>
        </w:rPr>
        <w:t xml:space="preserve">The PBAC noted that </w:t>
      </w:r>
      <w:r w:rsidR="00F10D77">
        <w:rPr>
          <w:iCs/>
        </w:rPr>
        <w:t xml:space="preserve">as </w:t>
      </w:r>
      <w:r w:rsidR="00AB1B8E" w:rsidRPr="00AB1B8E">
        <w:rPr>
          <w:iCs/>
        </w:rPr>
        <w:t>the Markov cohort model cannot track how long each patient has been off treatment, it cannot accurately reflect the cumulative increase in BMI of patients over time. Instead, the model estimates the average BMI of the off-treatment cohort in each cycle using the weighted average BMI of all semaglutide patients (both on and off treatment) from the previous cycle, plus a small increment</w:t>
      </w:r>
      <w:r w:rsidR="00A903AE">
        <w:rPr>
          <w:iCs/>
        </w:rPr>
        <w:t>. T</w:t>
      </w:r>
      <w:r w:rsidR="00AB1B8E" w:rsidRPr="00AB1B8E">
        <w:rPr>
          <w:iCs/>
        </w:rPr>
        <w:t>his increment decreases over time as it is based on the difference between the placebo arm’s BMI and the minimum BMI of patients on semaglutide treatment, and the placebo arm’s BMI decreases over time.</w:t>
      </w:r>
      <w:r w:rsidR="00AB1B8E">
        <w:rPr>
          <w:iCs/>
        </w:rPr>
        <w:t xml:space="preserve"> </w:t>
      </w:r>
      <w:r w:rsidR="00AB1B8E" w:rsidRPr="00AB1B8E">
        <w:rPr>
          <w:iCs/>
        </w:rPr>
        <w:t>T</w:t>
      </w:r>
      <w:r w:rsidR="00057AFB">
        <w:rPr>
          <w:iCs/>
        </w:rPr>
        <w:t>he PBAC noted t</w:t>
      </w:r>
      <w:r w:rsidR="00AB1B8E" w:rsidRPr="00AB1B8E">
        <w:rPr>
          <w:iCs/>
        </w:rPr>
        <w:t>his approach introduce</w:t>
      </w:r>
      <w:r w:rsidR="00DF32DD">
        <w:rPr>
          <w:iCs/>
        </w:rPr>
        <w:t>d</w:t>
      </w:r>
      <w:r w:rsidR="00AB1B8E" w:rsidRPr="00AB1B8E">
        <w:rPr>
          <w:iCs/>
        </w:rPr>
        <w:t xml:space="preserve"> a circular dependency: early in the model, the off-treatment cohort is small, and their estimated BMI is primarily driven by the larger on-treatment cohort, whose BMI remains lower due to semaglutide treatment effects. As a result, the estimated BMI of the off-treatment group remains artificially and persistently low, even though patients are expected to gain weight after treatment discontinuation. This underestimation persists due to the circular dependency, and the smaller BMI increment applied over time as the proportion of patients discontinuing treatment increases.</w:t>
      </w:r>
      <w:bookmarkEnd w:id="48"/>
      <w:r w:rsidR="003B0CB8">
        <w:rPr>
          <w:iCs/>
        </w:rPr>
        <w:t xml:space="preserve"> </w:t>
      </w:r>
    </w:p>
    <w:p w14:paraId="3C23F545" w14:textId="28E852D7" w:rsidR="00E3386D" w:rsidRDefault="00E3386D" w:rsidP="00641FB3">
      <w:pPr>
        <w:pStyle w:val="COMESnumberedpara"/>
      </w:pPr>
      <w:r w:rsidRPr="00E3386D">
        <w:t xml:space="preserve">The results of the </w:t>
      </w:r>
      <w:r w:rsidR="00334CB2">
        <w:t>modelled</w:t>
      </w:r>
      <w:r w:rsidRPr="00E3386D">
        <w:t xml:space="preserve"> economic evaluation are summarised in </w:t>
      </w:r>
      <w:r w:rsidR="00055136">
        <w:fldChar w:fldCharType="begin"/>
      </w:r>
      <w:r w:rsidR="00055136">
        <w:instrText xml:space="preserve"> REF _Ref206945399 \h </w:instrText>
      </w:r>
      <w:r w:rsidR="00055136">
        <w:fldChar w:fldCharType="separate"/>
      </w:r>
      <w:r w:rsidR="004F1BBD">
        <w:t xml:space="preserve">Table </w:t>
      </w:r>
      <w:r w:rsidR="004F1BBD">
        <w:rPr>
          <w:noProof/>
        </w:rPr>
        <w:t>11</w:t>
      </w:r>
      <w:r w:rsidR="00055136">
        <w:fldChar w:fldCharType="end"/>
      </w:r>
      <w:r w:rsidRPr="00E3386D" w:rsidDel="006D3070">
        <w:t>.</w:t>
      </w:r>
    </w:p>
    <w:p w14:paraId="46CB031D" w14:textId="73D4DDB2" w:rsidR="00334CB2" w:rsidRPr="00741BD4" w:rsidRDefault="00055136" w:rsidP="005F0DB1">
      <w:pPr>
        <w:pStyle w:val="Caption"/>
        <w:keepLines/>
      </w:pPr>
      <w:bookmarkStart w:id="50" w:name="_Ref206945399"/>
      <w:r>
        <w:lastRenderedPageBreak/>
        <w:t xml:space="preserve">Table </w:t>
      </w:r>
      <w:r w:rsidR="005448C5">
        <w:fldChar w:fldCharType="begin"/>
      </w:r>
      <w:r w:rsidR="005448C5">
        <w:instrText xml:space="preserve"> SEQ Table \* ARABIC </w:instrText>
      </w:r>
      <w:r w:rsidR="005448C5">
        <w:fldChar w:fldCharType="separate"/>
      </w:r>
      <w:r w:rsidR="004F1BBD">
        <w:rPr>
          <w:noProof/>
        </w:rPr>
        <w:t>11</w:t>
      </w:r>
      <w:r w:rsidR="005448C5">
        <w:rPr>
          <w:noProof/>
        </w:rPr>
        <w:fldChar w:fldCharType="end"/>
      </w:r>
      <w:bookmarkEnd w:id="50"/>
      <w:r w:rsidR="00334CB2" w:rsidRPr="00E5289C">
        <w:t>: Re</w:t>
      </w:r>
      <w:r w:rsidR="00334CB2" w:rsidRPr="00741BD4">
        <w:t xml:space="preserve">sults of the </w:t>
      </w:r>
      <w:r w:rsidR="00334CB2">
        <w:t>modelled</w:t>
      </w:r>
      <w:r w:rsidR="00334CB2" w:rsidRPr="00741BD4">
        <w:t xml:space="preserve"> economic evaluation</w:t>
      </w:r>
      <w:r w:rsidR="00334CB2">
        <w:t xml:space="preserve"> </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Results of the modelled economic evaluation "/>
      </w:tblPr>
      <w:tblGrid>
        <w:gridCol w:w="2832"/>
        <w:gridCol w:w="2083"/>
        <w:gridCol w:w="2085"/>
        <w:gridCol w:w="2049"/>
      </w:tblGrid>
      <w:tr w:rsidR="00334CB2" w:rsidRPr="00F034B6" w14:paraId="25927C40" w14:textId="77777777" w:rsidTr="0A99B0B1">
        <w:trPr>
          <w:tblHeader/>
        </w:trPr>
        <w:tc>
          <w:tcPr>
            <w:tcW w:w="1565" w:type="pct"/>
            <w:vAlign w:val="center"/>
          </w:tcPr>
          <w:p w14:paraId="754337FD" w14:textId="0329E2A1" w:rsidR="00334CB2" w:rsidRPr="00F034B6" w:rsidRDefault="00334CB2" w:rsidP="005F0DB1">
            <w:pPr>
              <w:pStyle w:val="COMTableheadingrow"/>
            </w:pPr>
          </w:p>
        </w:tc>
        <w:tc>
          <w:tcPr>
            <w:tcW w:w="1151" w:type="pct"/>
            <w:vAlign w:val="center"/>
          </w:tcPr>
          <w:p w14:paraId="2EC7D78D" w14:textId="77777777" w:rsidR="00334CB2" w:rsidRPr="00F034B6" w:rsidRDefault="00334CB2" w:rsidP="005F0DB1">
            <w:pPr>
              <w:pStyle w:val="COMTableheadingrow"/>
              <w:jc w:val="center"/>
            </w:pPr>
            <w:r>
              <w:t>Semaglutide</w:t>
            </w:r>
          </w:p>
        </w:tc>
        <w:tc>
          <w:tcPr>
            <w:tcW w:w="1152" w:type="pct"/>
            <w:vAlign w:val="center"/>
          </w:tcPr>
          <w:p w14:paraId="43A512C4" w14:textId="77777777" w:rsidR="00334CB2" w:rsidRPr="00F034B6" w:rsidRDefault="00334CB2" w:rsidP="005F0DB1">
            <w:pPr>
              <w:pStyle w:val="COMTableheadingrow"/>
              <w:jc w:val="center"/>
            </w:pPr>
            <w:r>
              <w:t>Placebo</w:t>
            </w:r>
          </w:p>
        </w:tc>
        <w:tc>
          <w:tcPr>
            <w:tcW w:w="1132" w:type="pct"/>
            <w:vAlign w:val="center"/>
          </w:tcPr>
          <w:p w14:paraId="2ECDBB2D" w14:textId="77777777" w:rsidR="00334CB2" w:rsidRPr="00F034B6" w:rsidRDefault="00334CB2" w:rsidP="005F0DB1">
            <w:pPr>
              <w:pStyle w:val="COMTableheadingrow"/>
              <w:jc w:val="center"/>
            </w:pPr>
            <w:r w:rsidRPr="00F034B6">
              <w:t>Increment</w:t>
            </w:r>
          </w:p>
        </w:tc>
      </w:tr>
      <w:tr w:rsidR="00334CB2" w:rsidRPr="00F034B6" w14:paraId="6C56BD86" w14:textId="77777777" w:rsidTr="0A99B0B1">
        <w:trPr>
          <w:trHeight w:val="70"/>
        </w:trPr>
        <w:tc>
          <w:tcPr>
            <w:tcW w:w="5000" w:type="pct"/>
            <w:gridSpan w:val="4"/>
            <w:vAlign w:val="center"/>
          </w:tcPr>
          <w:p w14:paraId="7FB560FD" w14:textId="402AE093" w:rsidR="00334CB2" w:rsidRPr="00F034B6" w:rsidRDefault="00334CB2" w:rsidP="005F0DB1">
            <w:pPr>
              <w:pStyle w:val="COMTabletext"/>
              <w:rPr>
                <w:b/>
                <w:bCs w:val="0"/>
                <w:szCs w:val="20"/>
              </w:rPr>
            </w:pPr>
            <w:r>
              <w:rPr>
                <w:b/>
                <w:bCs w:val="0"/>
                <w:szCs w:val="20"/>
              </w:rPr>
              <w:t xml:space="preserve">Established cardiovascular disease and BMI </w:t>
            </w:r>
            <w:r w:rsidR="00D01372">
              <w:rPr>
                <w:b/>
                <w:bCs w:val="0"/>
                <w:szCs w:val="20"/>
              </w:rPr>
              <w:t>≥</w:t>
            </w:r>
            <w:r>
              <w:rPr>
                <w:b/>
                <w:bCs w:val="0"/>
                <w:szCs w:val="20"/>
              </w:rPr>
              <w:t>27 kg/m</w:t>
            </w:r>
            <w:r w:rsidRPr="00561696">
              <w:rPr>
                <w:b/>
                <w:bCs w:val="0"/>
                <w:szCs w:val="20"/>
                <w:vertAlign w:val="superscript"/>
              </w:rPr>
              <w:t>2</w:t>
            </w:r>
          </w:p>
        </w:tc>
      </w:tr>
      <w:tr w:rsidR="007E4FB2" w:rsidRPr="00F034B6" w14:paraId="29AF5CF6" w14:textId="77777777" w:rsidTr="0A99B0B1">
        <w:tc>
          <w:tcPr>
            <w:tcW w:w="1565" w:type="pct"/>
            <w:vAlign w:val="center"/>
          </w:tcPr>
          <w:p w14:paraId="56B1A202" w14:textId="77777777" w:rsidR="007E4FB2" w:rsidRPr="00F034B6" w:rsidRDefault="007E4FB2" w:rsidP="005F0DB1">
            <w:pPr>
              <w:pStyle w:val="COMTabletext"/>
              <w:rPr>
                <w:szCs w:val="20"/>
              </w:rPr>
            </w:pPr>
            <w:r w:rsidRPr="00F034B6">
              <w:rPr>
                <w:szCs w:val="20"/>
              </w:rPr>
              <w:t>Costs</w:t>
            </w:r>
          </w:p>
        </w:tc>
        <w:tc>
          <w:tcPr>
            <w:tcW w:w="1151" w:type="pct"/>
            <w:vAlign w:val="center"/>
          </w:tcPr>
          <w:p w14:paraId="77A108F4" w14:textId="5D696D15" w:rsidR="007E4FB2" w:rsidRPr="00F034B6" w:rsidRDefault="007E4FB2" w:rsidP="005F0DB1">
            <w:pPr>
              <w:pStyle w:val="COMTabletext"/>
              <w:jc w:val="center"/>
              <w:rPr>
                <w:szCs w:val="20"/>
              </w:rPr>
            </w:pPr>
            <w:r w:rsidRPr="00BA3F81">
              <w:rPr>
                <w:szCs w:val="20"/>
              </w:rPr>
              <w:t>$</w:t>
            </w:r>
            <w:r w:rsidR="005E35AF" w:rsidRPr="005E35AF">
              <w:rPr>
                <w:szCs w:val="20"/>
                <w:highlight w:val="black"/>
              </w:rPr>
              <w:t>&amp;&amp;&amp;&amp;</w:t>
            </w:r>
            <w:r w:rsidR="00E30A9D">
              <w:rPr>
                <w:vertAlign w:val="superscript"/>
              </w:rPr>
              <w:t>3</w:t>
            </w:r>
          </w:p>
        </w:tc>
        <w:tc>
          <w:tcPr>
            <w:tcW w:w="1152" w:type="pct"/>
            <w:vAlign w:val="center"/>
          </w:tcPr>
          <w:p w14:paraId="77E17DDC" w14:textId="69A5F4CB" w:rsidR="007E4FB2" w:rsidRPr="00F034B6" w:rsidRDefault="007E4FB2" w:rsidP="005F0DB1">
            <w:pPr>
              <w:pStyle w:val="COMTabletext"/>
              <w:jc w:val="center"/>
              <w:rPr>
                <w:szCs w:val="20"/>
              </w:rPr>
            </w:pPr>
            <w:r w:rsidRPr="00BA3F81">
              <w:rPr>
                <w:szCs w:val="20"/>
              </w:rPr>
              <w:t>$96,461</w:t>
            </w:r>
          </w:p>
        </w:tc>
        <w:tc>
          <w:tcPr>
            <w:tcW w:w="1132" w:type="pct"/>
            <w:vAlign w:val="center"/>
          </w:tcPr>
          <w:p w14:paraId="20A65FA1" w14:textId="54BF4EF3" w:rsidR="007E4FB2" w:rsidRPr="00F034B6" w:rsidRDefault="007E4FB2" w:rsidP="005F0DB1">
            <w:pPr>
              <w:pStyle w:val="COMTabletext"/>
              <w:jc w:val="center"/>
              <w:rPr>
                <w:szCs w:val="20"/>
              </w:rPr>
            </w:pPr>
            <w:r w:rsidRPr="00BA3F81">
              <w:rPr>
                <w:szCs w:val="20"/>
              </w:rPr>
              <w:t>$</w:t>
            </w:r>
            <w:r w:rsidR="005E35AF" w:rsidRPr="005E35AF">
              <w:rPr>
                <w:szCs w:val="20"/>
                <w:highlight w:val="black"/>
              </w:rPr>
              <w:t>&amp;&amp;&amp;&amp;</w:t>
            </w:r>
            <w:r w:rsidR="00AF275E">
              <w:rPr>
                <w:vertAlign w:val="superscript"/>
              </w:rPr>
              <w:t>1</w:t>
            </w:r>
          </w:p>
        </w:tc>
      </w:tr>
      <w:tr w:rsidR="007E4FB2" w:rsidRPr="00F034B6" w14:paraId="2B63C444" w14:textId="77777777" w:rsidTr="0A99B0B1">
        <w:tc>
          <w:tcPr>
            <w:tcW w:w="1565" w:type="pct"/>
            <w:vAlign w:val="center"/>
          </w:tcPr>
          <w:p w14:paraId="478E090E" w14:textId="77777777" w:rsidR="007E4FB2" w:rsidRPr="00F034B6" w:rsidRDefault="007E4FB2" w:rsidP="005F0DB1">
            <w:pPr>
              <w:pStyle w:val="COMTabletext"/>
              <w:rPr>
                <w:szCs w:val="20"/>
              </w:rPr>
            </w:pPr>
            <w:r w:rsidRPr="00F034B6">
              <w:rPr>
                <w:szCs w:val="20"/>
              </w:rPr>
              <w:t>L</w:t>
            </w:r>
            <w:r>
              <w:rPr>
                <w:szCs w:val="20"/>
              </w:rPr>
              <w:t>ife years</w:t>
            </w:r>
          </w:p>
        </w:tc>
        <w:tc>
          <w:tcPr>
            <w:tcW w:w="1151" w:type="pct"/>
            <w:vAlign w:val="center"/>
          </w:tcPr>
          <w:p w14:paraId="2EFE4710" w14:textId="6DF0E9FA" w:rsidR="007E4FB2" w:rsidRPr="00F034B6" w:rsidRDefault="007E4FB2" w:rsidP="005F0DB1">
            <w:pPr>
              <w:pStyle w:val="COMTabletext"/>
              <w:jc w:val="center"/>
              <w:rPr>
                <w:szCs w:val="20"/>
              </w:rPr>
            </w:pPr>
            <w:r w:rsidRPr="00BA3F81">
              <w:rPr>
                <w:szCs w:val="20"/>
              </w:rPr>
              <w:t>11.6252</w:t>
            </w:r>
          </w:p>
        </w:tc>
        <w:tc>
          <w:tcPr>
            <w:tcW w:w="1152" w:type="pct"/>
            <w:vAlign w:val="center"/>
          </w:tcPr>
          <w:p w14:paraId="6BF8F6A5" w14:textId="4E4D0685" w:rsidR="007E4FB2" w:rsidRPr="00F034B6" w:rsidRDefault="007E4FB2" w:rsidP="005F0DB1">
            <w:pPr>
              <w:pStyle w:val="COMTabletext"/>
              <w:jc w:val="center"/>
              <w:rPr>
                <w:szCs w:val="20"/>
              </w:rPr>
            </w:pPr>
            <w:r w:rsidRPr="00BA3F81">
              <w:rPr>
                <w:szCs w:val="20"/>
              </w:rPr>
              <w:t>11.2920</w:t>
            </w:r>
          </w:p>
        </w:tc>
        <w:tc>
          <w:tcPr>
            <w:tcW w:w="1132" w:type="pct"/>
            <w:vAlign w:val="center"/>
          </w:tcPr>
          <w:p w14:paraId="491AFCDF" w14:textId="7BFFE8F7" w:rsidR="007E4FB2" w:rsidRPr="00F034B6" w:rsidRDefault="007E4FB2" w:rsidP="005F0DB1">
            <w:pPr>
              <w:pStyle w:val="COMTabletext"/>
              <w:jc w:val="center"/>
              <w:rPr>
                <w:szCs w:val="20"/>
              </w:rPr>
            </w:pPr>
            <w:r w:rsidRPr="00BA3F81">
              <w:rPr>
                <w:szCs w:val="20"/>
              </w:rPr>
              <w:t>0.3332</w:t>
            </w:r>
          </w:p>
        </w:tc>
      </w:tr>
      <w:tr w:rsidR="007E4FB2" w:rsidRPr="00F034B6" w14:paraId="21347E8C" w14:textId="77777777" w:rsidTr="0A99B0B1">
        <w:tc>
          <w:tcPr>
            <w:tcW w:w="1565" w:type="pct"/>
            <w:vAlign w:val="center"/>
          </w:tcPr>
          <w:p w14:paraId="2D6D2298" w14:textId="77777777" w:rsidR="007E4FB2" w:rsidRPr="00F034B6" w:rsidRDefault="007E4FB2" w:rsidP="005F0DB1">
            <w:pPr>
              <w:pStyle w:val="COMTabletext"/>
              <w:rPr>
                <w:szCs w:val="20"/>
              </w:rPr>
            </w:pPr>
            <w:r>
              <w:rPr>
                <w:szCs w:val="20"/>
              </w:rPr>
              <w:t>QALYs</w:t>
            </w:r>
          </w:p>
        </w:tc>
        <w:tc>
          <w:tcPr>
            <w:tcW w:w="1151" w:type="pct"/>
            <w:vAlign w:val="center"/>
          </w:tcPr>
          <w:p w14:paraId="4ED4FC68" w14:textId="239944F7" w:rsidR="007E4FB2" w:rsidRPr="00F034B6" w:rsidRDefault="007E4FB2" w:rsidP="005F0DB1">
            <w:pPr>
              <w:pStyle w:val="COMTabletext"/>
              <w:jc w:val="center"/>
              <w:rPr>
                <w:szCs w:val="20"/>
              </w:rPr>
            </w:pPr>
            <w:r w:rsidRPr="00BA3F81">
              <w:rPr>
                <w:szCs w:val="20"/>
              </w:rPr>
              <w:t>9.2340</w:t>
            </w:r>
          </w:p>
        </w:tc>
        <w:tc>
          <w:tcPr>
            <w:tcW w:w="1152" w:type="pct"/>
            <w:vAlign w:val="center"/>
          </w:tcPr>
          <w:p w14:paraId="5BE3FDCB" w14:textId="49F78DAC" w:rsidR="007E4FB2" w:rsidRPr="00F034B6" w:rsidRDefault="007E4FB2" w:rsidP="005F0DB1">
            <w:pPr>
              <w:pStyle w:val="COMTabletext"/>
              <w:jc w:val="center"/>
              <w:rPr>
                <w:szCs w:val="20"/>
              </w:rPr>
            </w:pPr>
            <w:r w:rsidRPr="00BA3F81">
              <w:rPr>
                <w:szCs w:val="20"/>
              </w:rPr>
              <w:t>8.7708</w:t>
            </w:r>
          </w:p>
        </w:tc>
        <w:tc>
          <w:tcPr>
            <w:tcW w:w="1132" w:type="pct"/>
            <w:vAlign w:val="center"/>
          </w:tcPr>
          <w:p w14:paraId="548C30AF" w14:textId="3902E670" w:rsidR="007E4FB2" w:rsidRPr="00F034B6" w:rsidRDefault="007E4FB2" w:rsidP="005F0DB1">
            <w:pPr>
              <w:pStyle w:val="COMTabletext"/>
              <w:jc w:val="center"/>
              <w:rPr>
                <w:szCs w:val="20"/>
              </w:rPr>
            </w:pPr>
            <w:r w:rsidRPr="00BA3F81">
              <w:rPr>
                <w:szCs w:val="20"/>
              </w:rPr>
              <w:t>0.4633</w:t>
            </w:r>
          </w:p>
        </w:tc>
      </w:tr>
      <w:tr w:rsidR="007E4FB2" w:rsidRPr="00F034B6" w14:paraId="74DC3F7D" w14:textId="77777777" w:rsidTr="0A99B0B1">
        <w:tc>
          <w:tcPr>
            <w:tcW w:w="3868" w:type="pct"/>
            <w:gridSpan w:val="3"/>
            <w:vAlign w:val="center"/>
          </w:tcPr>
          <w:p w14:paraId="75E77395" w14:textId="77777777" w:rsidR="007E4FB2" w:rsidRPr="00F6799A" w:rsidRDefault="007E4FB2" w:rsidP="005F0DB1">
            <w:pPr>
              <w:pStyle w:val="COMTabletext"/>
              <w:jc w:val="right"/>
              <w:rPr>
                <w:b/>
                <w:bCs w:val="0"/>
                <w:szCs w:val="20"/>
              </w:rPr>
            </w:pPr>
            <w:r w:rsidRPr="00F6799A">
              <w:rPr>
                <w:b/>
                <w:bCs w:val="0"/>
                <w:szCs w:val="20"/>
              </w:rPr>
              <w:t xml:space="preserve">Incremental cost per </w:t>
            </w:r>
            <w:r>
              <w:rPr>
                <w:b/>
                <w:bCs w:val="0"/>
                <w:szCs w:val="20"/>
              </w:rPr>
              <w:t>life year</w:t>
            </w:r>
            <w:r w:rsidRPr="00F6799A">
              <w:rPr>
                <w:b/>
                <w:bCs w:val="0"/>
                <w:szCs w:val="20"/>
              </w:rPr>
              <w:t xml:space="preserve"> gained</w:t>
            </w:r>
          </w:p>
        </w:tc>
        <w:tc>
          <w:tcPr>
            <w:tcW w:w="1132" w:type="pct"/>
            <w:vAlign w:val="center"/>
          </w:tcPr>
          <w:p w14:paraId="4B4A1A35" w14:textId="441B8B1B" w:rsidR="007E4FB2" w:rsidRPr="001711BE" w:rsidRDefault="007E4FB2" w:rsidP="005F0DB1">
            <w:pPr>
              <w:pStyle w:val="COMTabletext"/>
              <w:jc w:val="center"/>
              <w:rPr>
                <w:b/>
                <w:bCs w:val="0"/>
                <w:szCs w:val="20"/>
              </w:rPr>
            </w:pPr>
            <w:r w:rsidRPr="00AF43A4">
              <w:rPr>
                <w:b/>
                <w:bCs w:val="0"/>
                <w:szCs w:val="20"/>
              </w:rPr>
              <w:t>$</w:t>
            </w:r>
            <w:r w:rsidR="005E35AF" w:rsidRPr="005E35AF">
              <w:rPr>
                <w:b/>
                <w:bCs w:val="0"/>
                <w:szCs w:val="20"/>
                <w:highlight w:val="black"/>
              </w:rPr>
              <w:t>&amp;&amp;&amp;&amp;</w:t>
            </w:r>
          </w:p>
        </w:tc>
      </w:tr>
      <w:tr w:rsidR="007E4FB2" w:rsidRPr="00F034B6" w14:paraId="128CF34D" w14:textId="77777777" w:rsidTr="0A99B0B1">
        <w:tc>
          <w:tcPr>
            <w:tcW w:w="3868" w:type="pct"/>
            <w:gridSpan w:val="3"/>
            <w:vAlign w:val="center"/>
          </w:tcPr>
          <w:p w14:paraId="407C8F41" w14:textId="77777777" w:rsidR="007E4FB2" w:rsidRPr="00F6799A" w:rsidRDefault="007E4FB2" w:rsidP="005F0DB1">
            <w:pPr>
              <w:pStyle w:val="COMTabletext"/>
              <w:jc w:val="right"/>
              <w:rPr>
                <w:b/>
                <w:bCs w:val="0"/>
                <w:szCs w:val="20"/>
              </w:rPr>
            </w:pPr>
            <w:r>
              <w:rPr>
                <w:b/>
                <w:bCs w:val="0"/>
                <w:szCs w:val="20"/>
              </w:rPr>
              <w:t>Incremental cost per QALY gained</w:t>
            </w:r>
          </w:p>
        </w:tc>
        <w:tc>
          <w:tcPr>
            <w:tcW w:w="1132" w:type="pct"/>
            <w:vAlign w:val="center"/>
          </w:tcPr>
          <w:p w14:paraId="0590795F" w14:textId="76F900CD" w:rsidR="007E4FB2" w:rsidRPr="001711BE" w:rsidRDefault="007E4FB2" w:rsidP="005F0DB1">
            <w:pPr>
              <w:pStyle w:val="COMTabletext"/>
              <w:jc w:val="center"/>
              <w:rPr>
                <w:b/>
                <w:bCs w:val="0"/>
                <w:szCs w:val="20"/>
              </w:rPr>
            </w:pPr>
            <w:r w:rsidRPr="00BA3F81">
              <w:rPr>
                <w:b/>
                <w:bCs w:val="0"/>
                <w:szCs w:val="20"/>
              </w:rPr>
              <w:t>$</w:t>
            </w:r>
            <w:r w:rsidR="005E35AF" w:rsidRPr="005E35AF">
              <w:rPr>
                <w:b/>
                <w:bCs w:val="0"/>
                <w:szCs w:val="20"/>
                <w:highlight w:val="black"/>
              </w:rPr>
              <w:t>&amp;&amp;&amp;&amp;</w:t>
            </w:r>
            <w:r w:rsidR="00E30A9D">
              <w:rPr>
                <w:vertAlign w:val="superscript"/>
              </w:rPr>
              <w:t>2</w:t>
            </w:r>
          </w:p>
        </w:tc>
      </w:tr>
      <w:tr w:rsidR="007E4FB2" w:rsidRPr="00F034B6" w14:paraId="7BCF21A2" w14:textId="77777777" w:rsidTr="0A99B0B1">
        <w:tc>
          <w:tcPr>
            <w:tcW w:w="5000" w:type="pct"/>
            <w:gridSpan w:val="4"/>
            <w:vAlign w:val="center"/>
          </w:tcPr>
          <w:p w14:paraId="445E96E1" w14:textId="4AEA3373" w:rsidR="007E4FB2" w:rsidRPr="00E941D2" w:rsidRDefault="007E4FB2" w:rsidP="005F0DB1">
            <w:pPr>
              <w:pStyle w:val="COMTabletext"/>
              <w:rPr>
                <w:b/>
                <w:bCs w:val="0"/>
                <w:szCs w:val="20"/>
              </w:rPr>
            </w:pPr>
            <w:r>
              <w:rPr>
                <w:b/>
                <w:bCs w:val="0"/>
                <w:szCs w:val="20"/>
              </w:rPr>
              <w:t>Established cardiovascular disease and BMI ≥35 kg/m</w:t>
            </w:r>
            <w:r w:rsidRPr="00561696">
              <w:rPr>
                <w:b/>
                <w:bCs w:val="0"/>
                <w:szCs w:val="20"/>
                <w:vertAlign w:val="superscript"/>
              </w:rPr>
              <w:t>2</w:t>
            </w:r>
          </w:p>
        </w:tc>
      </w:tr>
      <w:tr w:rsidR="007E4FB2" w:rsidRPr="00F034B6" w14:paraId="61A75DAC" w14:textId="77777777" w:rsidTr="0A99B0B1">
        <w:tc>
          <w:tcPr>
            <w:tcW w:w="1565" w:type="pct"/>
            <w:vAlign w:val="center"/>
          </w:tcPr>
          <w:p w14:paraId="544A3345" w14:textId="77777777" w:rsidR="007E4FB2" w:rsidRPr="00F034B6" w:rsidRDefault="007E4FB2" w:rsidP="005F0DB1">
            <w:pPr>
              <w:pStyle w:val="COMTabletext"/>
              <w:rPr>
                <w:szCs w:val="20"/>
              </w:rPr>
            </w:pPr>
            <w:r w:rsidRPr="00F034B6">
              <w:rPr>
                <w:szCs w:val="20"/>
              </w:rPr>
              <w:t>Costs</w:t>
            </w:r>
          </w:p>
        </w:tc>
        <w:tc>
          <w:tcPr>
            <w:tcW w:w="1151" w:type="pct"/>
            <w:vAlign w:val="center"/>
          </w:tcPr>
          <w:p w14:paraId="3D9DBBCD" w14:textId="34192AC5" w:rsidR="007E4FB2" w:rsidRPr="00F034B6" w:rsidRDefault="007E4FB2" w:rsidP="005F0DB1">
            <w:pPr>
              <w:pStyle w:val="COMTabletext"/>
              <w:jc w:val="center"/>
              <w:rPr>
                <w:szCs w:val="20"/>
              </w:rPr>
            </w:pPr>
            <w:r w:rsidRPr="006310A2">
              <w:rPr>
                <w:szCs w:val="20"/>
              </w:rPr>
              <w:t>$</w:t>
            </w:r>
            <w:r w:rsidR="005E35AF" w:rsidRPr="005E35AF">
              <w:rPr>
                <w:szCs w:val="20"/>
                <w:highlight w:val="black"/>
              </w:rPr>
              <w:t>&amp;&amp;&amp;&amp;</w:t>
            </w:r>
            <w:r w:rsidR="00E30A9D">
              <w:rPr>
                <w:vertAlign w:val="superscript"/>
              </w:rPr>
              <w:t>3</w:t>
            </w:r>
          </w:p>
        </w:tc>
        <w:tc>
          <w:tcPr>
            <w:tcW w:w="1152" w:type="pct"/>
            <w:vAlign w:val="center"/>
          </w:tcPr>
          <w:p w14:paraId="673A8A3A" w14:textId="0F910ED3" w:rsidR="007E4FB2" w:rsidRPr="00F034B6" w:rsidRDefault="007E4FB2" w:rsidP="005F0DB1">
            <w:pPr>
              <w:pStyle w:val="COMTabletext"/>
              <w:jc w:val="center"/>
              <w:rPr>
                <w:szCs w:val="20"/>
              </w:rPr>
            </w:pPr>
            <w:r w:rsidRPr="006310A2">
              <w:rPr>
                <w:szCs w:val="20"/>
              </w:rPr>
              <w:t>$100,773</w:t>
            </w:r>
          </w:p>
        </w:tc>
        <w:tc>
          <w:tcPr>
            <w:tcW w:w="1132" w:type="pct"/>
            <w:vAlign w:val="center"/>
          </w:tcPr>
          <w:p w14:paraId="4BD5BC58" w14:textId="14F4893E" w:rsidR="007E4FB2" w:rsidRDefault="007E4FB2" w:rsidP="005F0DB1">
            <w:pPr>
              <w:pStyle w:val="COMTabletext"/>
              <w:jc w:val="center"/>
              <w:rPr>
                <w:szCs w:val="20"/>
              </w:rPr>
            </w:pPr>
            <w:r w:rsidRPr="006310A2">
              <w:rPr>
                <w:szCs w:val="20"/>
              </w:rPr>
              <w:t>$</w:t>
            </w:r>
            <w:r w:rsidR="005E35AF" w:rsidRPr="005E35AF">
              <w:rPr>
                <w:szCs w:val="20"/>
                <w:highlight w:val="black"/>
              </w:rPr>
              <w:t>&amp;&amp;&amp;&amp;</w:t>
            </w:r>
            <w:r w:rsidR="00E30A9D">
              <w:rPr>
                <w:vertAlign w:val="superscript"/>
              </w:rPr>
              <w:t>1</w:t>
            </w:r>
          </w:p>
        </w:tc>
      </w:tr>
      <w:tr w:rsidR="007E4FB2" w:rsidRPr="00F034B6" w14:paraId="187AAE9A" w14:textId="77777777" w:rsidTr="0A99B0B1">
        <w:tc>
          <w:tcPr>
            <w:tcW w:w="1565" w:type="pct"/>
            <w:vAlign w:val="center"/>
          </w:tcPr>
          <w:p w14:paraId="6CC18A4A" w14:textId="77777777" w:rsidR="007E4FB2" w:rsidRPr="00F034B6" w:rsidRDefault="007E4FB2" w:rsidP="005F0DB1">
            <w:pPr>
              <w:pStyle w:val="COMTabletext"/>
              <w:rPr>
                <w:szCs w:val="20"/>
              </w:rPr>
            </w:pPr>
            <w:r>
              <w:rPr>
                <w:szCs w:val="20"/>
              </w:rPr>
              <w:t>Life years</w:t>
            </w:r>
          </w:p>
        </w:tc>
        <w:tc>
          <w:tcPr>
            <w:tcW w:w="1151" w:type="pct"/>
            <w:vAlign w:val="center"/>
          </w:tcPr>
          <w:p w14:paraId="57E32DEB" w14:textId="5296F461" w:rsidR="007E4FB2" w:rsidRPr="00F034B6" w:rsidRDefault="007E4FB2" w:rsidP="005F0DB1">
            <w:pPr>
              <w:pStyle w:val="COMTabletext"/>
              <w:jc w:val="center"/>
              <w:rPr>
                <w:szCs w:val="20"/>
              </w:rPr>
            </w:pPr>
            <w:r w:rsidRPr="006310A2">
              <w:rPr>
                <w:szCs w:val="20"/>
              </w:rPr>
              <w:t>11.6244</w:t>
            </w:r>
          </w:p>
        </w:tc>
        <w:tc>
          <w:tcPr>
            <w:tcW w:w="1152" w:type="pct"/>
            <w:vAlign w:val="center"/>
          </w:tcPr>
          <w:p w14:paraId="41658615" w14:textId="042A201B" w:rsidR="007E4FB2" w:rsidRPr="00F034B6" w:rsidRDefault="007E4FB2" w:rsidP="005F0DB1">
            <w:pPr>
              <w:pStyle w:val="COMTabletext"/>
              <w:jc w:val="center"/>
              <w:rPr>
                <w:szCs w:val="20"/>
              </w:rPr>
            </w:pPr>
            <w:r w:rsidRPr="006310A2">
              <w:rPr>
                <w:szCs w:val="20"/>
              </w:rPr>
              <w:t>11.2707</w:t>
            </w:r>
          </w:p>
        </w:tc>
        <w:tc>
          <w:tcPr>
            <w:tcW w:w="1132" w:type="pct"/>
            <w:vAlign w:val="center"/>
          </w:tcPr>
          <w:p w14:paraId="6ED5BB2D" w14:textId="5F1E70BE" w:rsidR="007E4FB2" w:rsidRDefault="007E4FB2" w:rsidP="005F0DB1">
            <w:pPr>
              <w:pStyle w:val="COMTabletext"/>
              <w:jc w:val="center"/>
              <w:rPr>
                <w:szCs w:val="20"/>
              </w:rPr>
            </w:pPr>
            <w:r w:rsidRPr="006310A2">
              <w:rPr>
                <w:szCs w:val="20"/>
              </w:rPr>
              <w:t>0.3537</w:t>
            </w:r>
          </w:p>
        </w:tc>
      </w:tr>
      <w:tr w:rsidR="007E4FB2" w:rsidRPr="00F034B6" w14:paraId="5D70ACBF" w14:textId="77777777" w:rsidTr="0A99B0B1">
        <w:tc>
          <w:tcPr>
            <w:tcW w:w="1565" w:type="pct"/>
            <w:vAlign w:val="center"/>
          </w:tcPr>
          <w:p w14:paraId="35890A29" w14:textId="77777777" w:rsidR="007E4FB2" w:rsidRPr="00F034B6" w:rsidRDefault="007E4FB2" w:rsidP="005F0DB1">
            <w:pPr>
              <w:pStyle w:val="COMTabletext"/>
              <w:rPr>
                <w:szCs w:val="20"/>
              </w:rPr>
            </w:pPr>
            <w:r w:rsidRPr="00F034B6">
              <w:rPr>
                <w:szCs w:val="20"/>
              </w:rPr>
              <w:t>QALYs</w:t>
            </w:r>
          </w:p>
        </w:tc>
        <w:tc>
          <w:tcPr>
            <w:tcW w:w="1151" w:type="pct"/>
            <w:vAlign w:val="center"/>
          </w:tcPr>
          <w:p w14:paraId="655793EB" w14:textId="2DD8070F" w:rsidR="007E4FB2" w:rsidRPr="00F034B6" w:rsidRDefault="007E4FB2" w:rsidP="005F0DB1">
            <w:pPr>
              <w:pStyle w:val="COMTabletext"/>
              <w:jc w:val="center"/>
              <w:rPr>
                <w:szCs w:val="20"/>
              </w:rPr>
            </w:pPr>
            <w:r w:rsidRPr="006310A2">
              <w:rPr>
                <w:szCs w:val="20"/>
              </w:rPr>
              <w:t>8.8870</w:t>
            </w:r>
          </w:p>
        </w:tc>
        <w:tc>
          <w:tcPr>
            <w:tcW w:w="1152" w:type="pct"/>
            <w:vAlign w:val="center"/>
          </w:tcPr>
          <w:p w14:paraId="6BD29415" w14:textId="5393A2B7" w:rsidR="007E4FB2" w:rsidRPr="00F034B6" w:rsidRDefault="007E4FB2" w:rsidP="005F0DB1">
            <w:pPr>
              <w:pStyle w:val="COMTabletext"/>
              <w:jc w:val="center"/>
              <w:rPr>
                <w:szCs w:val="20"/>
              </w:rPr>
            </w:pPr>
            <w:r w:rsidRPr="006310A2">
              <w:rPr>
                <w:szCs w:val="20"/>
              </w:rPr>
              <w:t>8.3271</w:t>
            </w:r>
          </w:p>
        </w:tc>
        <w:tc>
          <w:tcPr>
            <w:tcW w:w="1132" w:type="pct"/>
            <w:vAlign w:val="center"/>
          </w:tcPr>
          <w:p w14:paraId="0887D12F" w14:textId="61D61F45" w:rsidR="007E4FB2" w:rsidRDefault="007E4FB2" w:rsidP="005F0DB1">
            <w:pPr>
              <w:pStyle w:val="COMTabletext"/>
              <w:jc w:val="center"/>
              <w:rPr>
                <w:szCs w:val="20"/>
              </w:rPr>
            </w:pPr>
            <w:r w:rsidRPr="006310A2">
              <w:rPr>
                <w:szCs w:val="20"/>
              </w:rPr>
              <w:t>0.5599</w:t>
            </w:r>
          </w:p>
        </w:tc>
      </w:tr>
      <w:tr w:rsidR="007E4FB2" w:rsidRPr="00F034B6" w14:paraId="6562C099" w14:textId="77777777" w:rsidTr="0A99B0B1">
        <w:tc>
          <w:tcPr>
            <w:tcW w:w="3868" w:type="pct"/>
            <w:gridSpan w:val="3"/>
            <w:vAlign w:val="center"/>
          </w:tcPr>
          <w:p w14:paraId="46A00FD3" w14:textId="77777777" w:rsidR="007E4FB2" w:rsidRPr="00797172" w:rsidRDefault="007E4FB2" w:rsidP="005F0DB1">
            <w:pPr>
              <w:pStyle w:val="COMTabletext"/>
              <w:jc w:val="right"/>
              <w:rPr>
                <w:b/>
                <w:bCs w:val="0"/>
                <w:szCs w:val="20"/>
              </w:rPr>
            </w:pPr>
            <w:r w:rsidRPr="00F6799A">
              <w:rPr>
                <w:b/>
                <w:bCs w:val="0"/>
                <w:szCs w:val="20"/>
              </w:rPr>
              <w:t xml:space="preserve">Incremental cost per </w:t>
            </w:r>
            <w:r>
              <w:rPr>
                <w:b/>
                <w:bCs w:val="0"/>
                <w:szCs w:val="20"/>
              </w:rPr>
              <w:t>life year</w:t>
            </w:r>
            <w:r w:rsidRPr="00F6799A">
              <w:rPr>
                <w:b/>
                <w:bCs w:val="0"/>
                <w:szCs w:val="20"/>
              </w:rPr>
              <w:t xml:space="preserve"> gained</w:t>
            </w:r>
          </w:p>
        </w:tc>
        <w:tc>
          <w:tcPr>
            <w:tcW w:w="1132" w:type="pct"/>
            <w:vAlign w:val="center"/>
          </w:tcPr>
          <w:p w14:paraId="058BF5D6" w14:textId="69AC0B20" w:rsidR="007E4FB2" w:rsidRPr="002664F6" w:rsidRDefault="007E4FB2" w:rsidP="005F0DB1">
            <w:pPr>
              <w:pStyle w:val="COMTabletext"/>
              <w:jc w:val="center"/>
              <w:rPr>
                <w:b/>
                <w:bCs w:val="0"/>
                <w:szCs w:val="20"/>
              </w:rPr>
            </w:pPr>
            <w:r w:rsidRPr="00AF43A4">
              <w:rPr>
                <w:b/>
                <w:bCs w:val="0"/>
                <w:szCs w:val="20"/>
              </w:rPr>
              <w:t>$</w:t>
            </w:r>
            <w:r w:rsidR="005E35AF" w:rsidRPr="005E35AF">
              <w:rPr>
                <w:b/>
                <w:bCs w:val="0"/>
                <w:szCs w:val="20"/>
                <w:highlight w:val="black"/>
              </w:rPr>
              <w:t>&amp;&amp;&amp;&amp;</w:t>
            </w:r>
          </w:p>
        </w:tc>
      </w:tr>
      <w:tr w:rsidR="007E4FB2" w:rsidRPr="00F034B6" w14:paraId="04C35B7E" w14:textId="77777777" w:rsidTr="0A99B0B1">
        <w:tc>
          <w:tcPr>
            <w:tcW w:w="3868" w:type="pct"/>
            <w:gridSpan w:val="3"/>
            <w:vAlign w:val="center"/>
          </w:tcPr>
          <w:p w14:paraId="18838DB8" w14:textId="77777777" w:rsidR="007E4FB2" w:rsidRPr="00797172" w:rsidRDefault="007E4FB2" w:rsidP="005F0DB1">
            <w:pPr>
              <w:pStyle w:val="COMTabletext"/>
              <w:jc w:val="right"/>
              <w:rPr>
                <w:b/>
                <w:bCs w:val="0"/>
                <w:szCs w:val="20"/>
              </w:rPr>
            </w:pPr>
            <w:r w:rsidRPr="00797172">
              <w:rPr>
                <w:b/>
                <w:bCs w:val="0"/>
                <w:szCs w:val="20"/>
              </w:rPr>
              <w:t>Incremental cost per QALY gained</w:t>
            </w:r>
          </w:p>
        </w:tc>
        <w:tc>
          <w:tcPr>
            <w:tcW w:w="1132" w:type="pct"/>
            <w:vAlign w:val="center"/>
          </w:tcPr>
          <w:p w14:paraId="09E0810C" w14:textId="462416BF" w:rsidR="007E4FB2" w:rsidRPr="002664F6" w:rsidRDefault="007E4FB2" w:rsidP="005F0DB1">
            <w:pPr>
              <w:pStyle w:val="COMTabletext"/>
              <w:jc w:val="center"/>
              <w:rPr>
                <w:b/>
                <w:bCs w:val="0"/>
                <w:szCs w:val="20"/>
              </w:rPr>
            </w:pPr>
            <w:r w:rsidRPr="006310A2">
              <w:rPr>
                <w:b/>
                <w:bCs w:val="0"/>
                <w:szCs w:val="20"/>
              </w:rPr>
              <w:t>$</w:t>
            </w:r>
            <w:r w:rsidR="005E35AF" w:rsidRPr="005E35AF">
              <w:rPr>
                <w:b/>
                <w:bCs w:val="0"/>
                <w:szCs w:val="20"/>
                <w:highlight w:val="black"/>
              </w:rPr>
              <w:t>&amp;&amp;&amp;&amp;</w:t>
            </w:r>
            <w:r w:rsidR="00E30A9D">
              <w:rPr>
                <w:vertAlign w:val="superscript"/>
              </w:rPr>
              <w:t>2</w:t>
            </w:r>
          </w:p>
        </w:tc>
      </w:tr>
      <w:tr w:rsidR="007E4FB2" w:rsidRPr="00F034B6" w14:paraId="7F78FCDD" w14:textId="77777777" w:rsidTr="0A99B0B1">
        <w:tc>
          <w:tcPr>
            <w:tcW w:w="5000" w:type="pct"/>
            <w:gridSpan w:val="4"/>
            <w:vAlign w:val="center"/>
          </w:tcPr>
          <w:p w14:paraId="559991BE" w14:textId="318B58A7" w:rsidR="007E4FB2" w:rsidRPr="00561696" w:rsidRDefault="007E4FB2" w:rsidP="005F0DB1">
            <w:pPr>
              <w:pStyle w:val="COMTableheadingrow"/>
            </w:pPr>
            <w:r w:rsidRPr="00561696">
              <w:t xml:space="preserve">Established cardiovascular disease and BMI </w:t>
            </w:r>
            <w:r>
              <w:t>≥40</w:t>
            </w:r>
            <w:r w:rsidRPr="00561696">
              <w:t xml:space="preserve"> kg/m</w:t>
            </w:r>
            <w:r w:rsidRPr="00561696">
              <w:rPr>
                <w:vertAlign w:val="superscript"/>
              </w:rPr>
              <w:t>2</w:t>
            </w:r>
          </w:p>
        </w:tc>
      </w:tr>
      <w:tr w:rsidR="007E4FB2" w:rsidRPr="00F034B6" w14:paraId="781B4CBF" w14:textId="77777777" w:rsidTr="0A99B0B1">
        <w:tc>
          <w:tcPr>
            <w:tcW w:w="1565" w:type="pct"/>
            <w:vAlign w:val="center"/>
          </w:tcPr>
          <w:p w14:paraId="5F899821" w14:textId="77777777" w:rsidR="007E4FB2" w:rsidRPr="00F034B6" w:rsidRDefault="007E4FB2" w:rsidP="005F0DB1">
            <w:pPr>
              <w:pStyle w:val="COMTabletext"/>
              <w:rPr>
                <w:szCs w:val="20"/>
              </w:rPr>
            </w:pPr>
            <w:r w:rsidRPr="00F034B6">
              <w:rPr>
                <w:szCs w:val="20"/>
              </w:rPr>
              <w:t>Costs</w:t>
            </w:r>
          </w:p>
        </w:tc>
        <w:tc>
          <w:tcPr>
            <w:tcW w:w="1151" w:type="pct"/>
            <w:vAlign w:val="center"/>
          </w:tcPr>
          <w:p w14:paraId="3C9E0EEB" w14:textId="43DA84C8" w:rsidR="007E4FB2" w:rsidRPr="00E30A9D" w:rsidRDefault="007E4FB2" w:rsidP="005F0DB1">
            <w:pPr>
              <w:pStyle w:val="COMTabletext"/>
              <w:jc w:val="center"/>
              <w:rPr>
                <w:szCs w:val="20"/>
                <w:vertAlign w:val="superscript"/>
              </w:rPr>
            </w:pPr>
            <w:r w:rsidRPr="00780BA5">
              <w:rPr>
                <w:szCs w:val="20"/>
              </w:rPr>
              <w:t>$</w:t>
            </w:r>
            <w:r w:rsidR="005E35AF" w:rsidRPr="005E35AF">
              <w:rPr>
                <w:szCs w:val="20"/>
                <w:highlight w:val="black"/>
              </w:rPr>
              <w:t>&amp;&amp;&amp;&amp;</w:t>
            </w:r>
            <w:r w:rsidR="00E30A9D">
              <w:rPr>
                <w:szCs w:val="20"/>
                <w:vertAlign w:val="superscript"/>
              </w:rPr>
              <w:t>4</w:t>
            </w:r>
          </w:p>
        </w:tc>
        <w:tc>
          <w:tcPr>
            <w:tcW w:w="1152" w:type="pct"/>
            <w:vAlign w:val="center"/>
          </w:tcPr>
          <w:p w14:paraId="16AF1A8D" w14:textId="7F49A73C" w:rsidR="007E4FB2" w:rsidRPr="00F034B6" w:rsidRDefault="007E4FB2" w:rsidP="005F0DB1">
            <w:pPr>
              <w:pStyle w:val="COMTabletext"/>
              <w:jc w:val="center"/>
              <w:rPr>
                <w:szCs w:val="20"/>
              </w:rPr>
            </w:pPr>
            <w:r w:rsidRPr="00780BA5">
              <w:rPr>
                <w:szCs w:val="20"/>
              </w:rPr>
              <w:t>$109,380</w:t>
            </w:r>
          </w:p>
        </w:tc>
        <w:tc>
          <w:tcPr>
            <w:tcW w:w="1132" w:type="pct"/>
            <w:vAlign w:val="center"/>
          </w:tcPr>
          <w:p w14:paraId="569A4A25" w14:textId="6C5B36BC" w:rsidR="007E4FB2" w:rsidRPr="00F034B6" w:rsidRDefault="007E4FB2" w:rsidP="005F0DB1">
            <w:pPr>
              <w:pStyle w:val="COMTabletext"/>
              <w:jc w:val="center"/>
              <w:rPr>
                <w:szCs w:val="20"/>
              </w:rPr>
            </w:pPr>
            <w:r w:rsidRPr="00780BA5">
              <w:rPr>
                <w:szCs w:val="20"/>
              </w:rPr>
              <w:t>$</w:t>
            </w:r>
            <w:r w:rsidR="005E35AF" w:rsidRPr="005E35AF">
              <w:rPr>
                <w:szCs w:val="20"/>
                <w:highlight w:val="black"/>
              </w:rPr>
              <w:t>&amp;&amp;&amp;&amp;</w:t>
            </w:r>
            <w:r w:rsidR="00E30A9D">
              <w:rPr>
                <w:vertAlign w:val="superscript"/>
              </w:rPr>
              <w:t>1</w:t>
            </w:r>
          </w:p>
        </w:tc>
      </w:tr>
      <w:tr w:rsidR="007E4FB2" w:rsidRPr="00F034B6" w14:paraId="7A5B3708" w14:textId="77777777" w:rsidTr="0A99B0B1">
        <w:tc>
          <w:tcPr>
            <w:tcW w:w="1565" w:type="pct"/>
            <w:vAlign w:val="center"/>
          </w:tcPr>
          <w:p w14:paraId="4A5C3D63" w14:textId="77777777" w:rsidR="007E4FB2" w:rsidRPr="00F034B6" w:rsidRDefault="007E4FB2" w:rsidP="005F0DB1">
            <w:pPr>
              <w:pStyle w:val="COMTabletext"/>
              <w:rPr>
                <w:szCs w:val="20"/>
              </w:rPr>
            </w:pPr>
            <w:r>
              <w:rPr>
                <w:szCs w:val="20"/>
              </w:rPr>
              <w:t>Life years</w:t>
            </w:r>
          </w:p>
        </w:tc>
        <w:tc>
          <w:tcPr>
            <w:tcW w:w="1151" w:type="pct"/>
            <w:vAlign w:val="center"/>
          </w:tcPr>
          <w:p w14:paraId="4FABDE7F" w14:textId="20DA2B5E" w:rsidR="007E4FB2" w:rsidRPr="00F034B6" w:rsidRDefault="007E4FB2" w:rsidP="005F0DB1">
            <w:pPr>
              <w:pStyle w:val="COMTabletext"/>
              <w:jc w:val="center"/>
              <w:rPr>
                <w:szCs w:val="20"/>
              </w:rPr>
            </w:pPr>
            <w:r w:rsidRPr="00780BA5">
              <w:rPr>
                <w:szCs w:val="20"/>
              </w:rPr>
              <w:t>10.8112</w:t>
            </w:r>
          </w:p>
        </w:tc>
        <w:tc>
          <w:tcPr>
            <w:tcW w:w="1152" w:type="pct"/>
            <w:vAlign w:val="center"/>
          </w:tcPr>
          <w:p w14:paraId="0F839EAF" w14:textId="6CBE841F" w:rsidR="007E4FB2" w:rsidRPr="00F034B6" w:rsidRDefault="007E4FB2" w:rsidP="005F0DB1">
            <w:pPr>
              <w:pStyle w:val="COMTabletext"/>
              <w:jc w:val="center"/>
              <w:rPr>
                <w:szCs w:val="20"/>
              </w:rPr>
            </w:pPr>
            <w:r w:rsidRPr="00780BA5">
              <w:rPr>
                <w:szCs w:val="20"/>
              </w:rPr>
              <w:t>10.4048</w:t>
            </w:r>
          </w:p>
        </w:tc>
        <w:tc>
          <w:tcPr>
            <w:tcW w:w="1132" w:type="pct"/>
            <w:vAlign w:val="center"/>
          </w:tcPr>
          <w:p w14:paraId="476B4C4E" w14:textId="63DF8455" w:rsidR="007E4FB2" w:rsidRPr="00F034B6" w:rsidRDefault="007E4FB2" w:rsidP="005F0DB1">
            <w:pPr>
              <w:pStyle w:val="COMTabletext"/>
              <w:jc w:val="center"/>
              <w:rPr>
                <w:szCs w:val="20"/>
              </w:rPr>
            </w:pPr>
            <w:r w:rsidRPr="00780BA5">
              <w:rPr>
                <w:szCs w:val="20"/>
              </w:rPr>
              <w:t>0.4064</w:t>
            </w:r>
          </w:p>
        </w:tc>
      </w:tr>
      <w:tr w:rsidR="007E4FB2" w:rsidRPr="00F034B6" w14:paraId="18903690" w14:textId="77777777" w:rsidTr="0A99B0B1">
        <w:tc>
          <w:tcPr>
            <w:tcW w:w="1565" w:type="pct"/>
            <w:vAlign w:val="center"/>
          </w:tcPr>
          <w:p w14:paraId="185B20ED" w14:textId="77777777" w:rsidR="007E4FB2" w:rsidRPr="00F034B6" w:rsidRDefault="007E4FB2" w:rsidP="005F0DB1">
            <w:pPr>
              <w:pStyle w:val="COMTabletext"/>
              <w:rPr>
                <w:szCs w:val="20"/>
              </w:rPr>
            </w:pPr>
            <w:r w:rsidRPr="00F034B6">
              <w:rPr>
                <w:szCs w:val="20"/>
              </w:rPr>
              <w:t>QALYs</w:t>
            </w:r>
          </w:p>
        </w:tc>
        <w:tc>
          <w:tcPr>
            <w:tcW w:w="1151" w:type="pct"/>
            <w:vAlign w:val="center"/>
          </w:tcPr>
          <w:p w14:paraId="7B0AD0AD" w14:textId="10E4A073" w:rsidR="007E4FB2" w:rsidRPr="00F034B6" w:rsidRDefault="007E4FB2" w:rsidP="005F0DB1">
            <w:pPr>
              <w:pStyle w:val="COMTabletext"/>
              <w:jc w:val="center"/>
              <w:rPr>
                <w:szCs w:val="20"/>
              </w:rPr>
            </w:pPr>
            <w:r w:rsidRPr="00780BA5">
              <w:rPr>
                <w:szCs w:val="20"/>
              </w:rPr>
              <w:t>7.9007</w:t>
            </w:r>
          </w:p>
        </w:tc>
        <w:tc>
          <w:tcPr>
            <w:tcW w:w="1152" w:type="pct"/>
            <w:vAlign w:val="center"/>
          </w:tcPr>
          <w:p w14:paraId="68F47FF8" w14:textId="2DEC2103" w:rsidR="007E4FB2" w:rsidRPr="00F034B6" w:rsidRDefault="007E4FB2" w:rsidP="005F0DB1">
            <w:pPr>
              <w:pStyle w:val="COMTabletext"/>
              <w:jc w:val="center"/>
              <w:rPr>
                <w:szCs w:val="20"/>
              </w:rPr>
            </w:pPr>
            <w:r w:rsidRPr="00780BA5">
              <w:rPr>
                <w:szCs w:val="20"/>
              </w:rPr>
              <w:t>7.3100</w:t>
            </w:r>
          </w:p>
        </w:tc>
        <w:tc>
          <w:tcPr>
            <w:tcW w:w="1132" w:type="pct"/>
            <w:vAlign w:val="center"/>
          </w:tcPr>
          <w:p w14:paraId="06DE4881" w14:textId="56BB43A2" w:rsidR="007E4FB2" w:rsidRPr="00F034B6" w:rsidRDefault="007E4FB2" w:rsidP="005F0DB1">
            <w:pPr>
              <w:pStyle w:val="COMTabletext"/>
              <w:jc w:val="center"/>
              <w:rPr>
                <w:szCs w:val="20"/>
              </w:rPr>
            </w:pPr>
            <w:r w:rsidRPr="00780BA5">
              <w:rPr>
                <w:szCs w:val="20"/>
              </w:rPr>
              <w:t>0.5907</w:t>
            </w:r>
          </w:p>
        </w:tc>
      </w:tr>
      <w:tr w:rsidR="007E4FB2" w:rsidRPr="00F034B6" w14:paraId="74352620" w14:textId="77777777" w:rsidTr="0A99B0B1">
        <w:tc>
          <w:tcPr>
            <w:tcW w:w="3868" w:type="pct"/>
            <w:gridSpan w:val="3"/>
            <w:vAlign w:val="center"/>
          </w:tcPr>
          <w:p w14:paraId="6F89E08A" w14:textId="77777777" w:rsidR="007E4FB2" w:rsidRPr="00797172" w:rsidRDefault="007E4FB2" w:rsidP="005F0DB1">
            <w:pPr>
              <w:pStyle w:val="COMTabletext"/>
              <w:jc w:val="right"/>
              <w:rPr>
                <w:b/>
                <w:bCs w:val="0"/>
                <w:szCs w:val="20"/>
              </w:rPr>
            </w:pPr>
            <w:r w:rsidRPr="00797172">
              <w:rPr>
                <w:b/>
                <w:bCs w:val="0"/>
                <w:szCs w:val="20"/>
              </w:rPr>
              <w:t xml:space="preserve">Incremental cost per </w:t>
            </w:r>
            <w:r>
              <w:rPr>
                <w:b/>
                <w:bCs w:val="0"/>
                <w:szCs w:val="20"/>
              </w:rPr>
              <w:t>life year</w:t>
            </w:r>
            <w:r w:rsidRPr="00797172">
              <w:rPr>
                <w:b/>
                <w:bCs w:val="0"/>
                <w:szCs w:val="20"/>
              </w:rPr>
              <w:t xml:space="preserve"> gained</w:t>
            </w:r>
          </w:p>
        </w:tc>
        <w:tc>
          <w:tcPr>
            <w:tcW w:w="1132" w:type="pct"/>
            <w:vAlign w:val="center"/>
          </w:tcPr>
          <w:p w14:paraId="1778111C" w14:textId="48FEAEEC" w:rsidR="007E4FB2" w:rsidRPr="00C37D2B" w:rsidRDefault="007E4FB2" w:rsidP="005F0DB1">
            <w:pPr>
              <w:pStyle w:val="COMTabletext"/>
              <w:jc w:val="center"/>
              <w:rPr>
                <w:b/>
                <w:bCs w:val="0"/>
                <w:szCs w:val="20"/>
              </w:rPr>
            </w:pPr>
            <w:r w:rsidRPr="00780BA5">
              <w:rPr>
                <w:b/>
                <w:bCs w:val="0"/>
                <w:szCs w:val="20"/>
              </w:rPr>
              <w:t>$</w:t>
            </w:r>
            <w:r w:rsidR="005E35AF" w:rsidRPr="005E35AF">
              <w:rPr>
                <w:b/>
                <w:bCs w:val="0"/>
                <w:szCs w:val="20"/>
                <w:highlight w:val="black"/>
              </w:rPr>
              <w:t>&amp;&amp;&amp;&amp;</w:t>
            </w:r>
            <w:r w:rsidR="00E30A9D">
              <w:rPr>
                <w:vertAlign w:val="superscript"/>
              </w:rPr>
              <w:t>2</w:t>
            </w:r>
          </w:p>
        </w:tc>
      </w:tr>
      <w:tr w:rsidR="007E4FB2" w:rsidRPr="00F034B6" w14:paraId="12217D4E" w14:textId="77777777" w:rsidTr="0A99B0B1">
        <w:tc>
          <w:tcPr>
            <w:tcW w:w="3868" w:type="pct"/>
            <w:gridSpan w:val="3"/>
            <w:vAlign w:val="center"/>
          </w:tcPr>
          <w:p w14:paraId="36049A5A" w14:textId="77777777" w:rsidR="007E4FB2" w:rsidRPr="00797172" w:rsidRDefault="007E4FB2" w:rsidP="005F0DB1">
            <w:pPr>
              <w:pStyle w:val="COMTabletext"/>
              <w:jc w:val="right"/>
              <w:rPr>
                <w:b/>
                <w:bCs w:val="0"/>
                <w:szCs w:val="20"/>
              </w:rPr>
            </w:pPr>
            <w:r w:rsidRPr="00797172">
              <w:rPr>
                <w:b/>
                <w:bCs w:val="0"/>
                <w:szCs w:val="20"/>
              </w:rPr>
              <w:t>Incremental cost per QALY gained</w:t>
            </w:r>
          </w:p>
        </w:tc>
        <w:tc>
          <w:tcPr>
            <w:tcW w:w="1132" w:type="pct"/>
            <w:vAlign w:val="center"/>
          </w:tcPr>
          <w:p w14:paraId="69A24AEE" w14:textId="4A7FFD1F" w:rsidR="007E4FB2" w:rsidRPr="00E30A9D" w:rsidRDefault="79273A9E" w:rsidP="005F0DB1">
            <w:pPr>
              <w:pStyle w:val="COMTabletext"/>
              <w:jc w:val="center"/>
              <w:rPr>
                <w:b/>
                <w:vertAlign w:val="superscript"/>
              </w:rPr>
            </w:pPr>
            <w:r w:rsidRPr="0A99B0B1">
              <w:rPr>
                <w:b/>
              </w:rPr>
              <w:t>$</w:t>
            </w:r>
            <w:r w:rsidR="005E35AF" w:rsidRPr="005E35AF">
              <w:rPr>
                <w:b/>
                <w:highlight w:val="black"/>
              </w:rPr>
              <w:t>&amp;&amp;&amp;&amp;</w:t>
            </w:r>
            <w:r w:rsidR="00E30A9D">
              <w:rPr>
                <w:b/>
                <w:vertAlign w:val="superscript"/>
              </w:rPr>
              <w:t>1</w:t>
            </w:r>
          </w:p>
        </w:tc>
      </w:tr>
      <w:tr w:rsidR="00B8164E" w:rsidRPr="00F034B6" w14:paraId="65FAEE96" w14:textId="77777777" w:rsidTr="0A99B0B1">
        <w:tc>
          <w:tcPr>
            <w:tcW w:w="3868" w:type="pct"/>
            <w:gridSpan w:val="3"/>
            <w:vAlign w:val="center"/>
          </w:tcPr>
          <w:p w14:paraId="78EC5099" w14:textId="37698E6E" w:rsidR="00B8164E" w:rsidRPr="00797172" w:rsidRDefault="00B8164E" w:rsidP="005F0DB1">
            <w:pPr>
              <w:pStyle w:val="COMTabletext"/>
              <w:jc w:val="right"/>
              <w:rPr>
                <w:b/>
                <w:bCs w:val="0"/>
                <w:szCs w:val="20"/>
              </w:rPr>
            </w:pPr>
            <w:r w:rsidRPr="00797172">
              <w:rPr>
                <w:b/>
                <w:bCs w:val="0"/>
                <w:szCs w:val="20"/>
              </w:rPr>
              <w:t>Incremental cost per QALY gained</w:t>
            </w:r>
            <w:r w:rsidR="008C629F">
              <w:rPr>
                <w:b/>
                <w:bCs w:val="0"/>
                <w:szCs w:val="20"/>
              </w:rPr>
              <w:t>,</w:t>
            </w:r>
            <w:r w:rsidR="00197D3A">
              <w:rPr>
                <w:b/>
                <w:bCs w:val="0"/>
                <w:szCs w:val="20"/>
              </w:rPr>
              <w:t xml:space="preserve"> </w:t>
            </w:r>
            <w:r w:rsidR="008C629F" w:rsidRPr="008C629F">
              <w:rPr>
                <w:b/>
                <w:bCs w:val="0"/>
                <w:szCs w:val="20"/>
              </w:rPr>
              <w:t>CKD treatment effects limited to early-stage disease</w:t>
            </w:r>
            <w:r w:rsidR="0024453D">
              <w:rPr>
                <w:b/>
                <w:bCs w:val="0"/>
                <w:szCs w:val="20"/>
              </w:rPr>
              <w:t>*</w:t>
            </w:r>
          </w:p>
        </w:tc>
        <w:tc>
          <w:tcPr>
            <w:tcW w:w="1132" w:type="pct"/>
            <w:vAlign w:val="center"/>
          </w:tcPr>
          <w:p w14:paraId="1CDD044E" w14:textId="4AE26438" w:rsidR="00B8164E" w:rsidRPr="00E30A9D" w:rsidRDefault="00F14516" w:rsidP="005F0DB1">
            <w:pPr>
              <w:pStyle w:val="COMTabletext"/>
              <w:jc w:val="center"/>
              <w:rPr>
                <w:b/>
                <w:vertAlign w:val="superscript"/>
              </w:rPr>
            </w:pPr>
            <w:r w:rsidRPr="00F14516">
              <w:rPr>
                <w:b/>
              </w:rPr>
              <w:t>$</w:t>
            </w:r>
            <w:r w:rsidR="005E35AF" w:rsidRPr="005E35AF">
              <w:rPr>
                <w:b/>
                <w:highlight w:val="black"/>
              </w:rPr>
              <w:t>&amp;&amp;&amp;&amp;</w:t>
            </w:r>
            <w:r w:rsidR="00E30A9D">
              <w:rPr>
                <w:b/>
                <w:vertAlign w:val="superscript"/>
              </w:rPr>
              <w:t>1</w:t>
            </w:r>
          </w:p>
        </w:tc>
      </w:tr>
    </w:tbl>
    <w:p w14:paraId="29D0E1F1" w14:textId="77777777" w:rsidR="00334CB2" w:rsidRPr="00741BD4" w:rsidRDefault="00334CB2" w:rsidP="005F0DB1">
      <w:pPr>
        <w:pStyle w:val="TableFooter"/>
        <w:keepNext/>
        <w:keepLines/>
      </w:pPr>
      <w:r w:rsidRPr="00741BD4">
        <w:t xml:space="preserve">Source: </w:t>
      </w:r>
      <w:r>
        <w:t>Table 3-95, p203 of the resubmission; ‘Section 3 Workbook’ provided with the resubmission</w:t>
      </w:r>
      <w:r w:rsidRPr="00741BD4">
        <w:t xml:space="preserve">. </w:t>
      </w:r>
    </w:p>
    <w:p w14:paraId="4D78B4C4" w14:textId="77777777" w:rsidR="00334CB2" w:rsidRDefault="00334CB2" w:rsidP="005F0DB1">
      <w:pPr>
        <w:pStyle w:val="TableFooter"/>
        <w:keepNext/>
        <w:keepLines/>
      </w:pPr>
      <w:r>
        <w:t>Abbreviations: BMI, body mass index; CVD, cardiovascular disease; QALY, quality adjusted life year</w:t>
      </w:r>
    </w:p>
    <w:p w14:paraId="6B4375B5" w14:textId="35AEFA50" w:rsidR="0024453D" w:rsidRDefault="000A106F" w:rsidP="005F0DB1">
      <w:pPr>
        <w:pStyle w:val="TableFooter"/>
        <w:keepNext/>
        <w:keepLines/>
      </w:pPr>
      <w:r>
        <w:t>*</w:t>
      </w:r>
      <w:r w:rsidR="00FD16E6">
        <w:t xml:space="preserve">PSCR - </w:t>
      </w:r>
      <w:r w:rsidR="00FD16E6" w:rsidRPr="00FD16E6">
        <w:t xml:space="preserve">Differences in CKD progression were maintained for transitions between CKD 1 to CKD 2 and CKD 2 to CKD 3, the risk of CKD progression for later stages in both treatment arms was set to be identical based on estimates from the semaglutide arm; BMI risk multiplier </w:t>
      </w:r>
      <w:proofErr w:type="gramStart"/>
      <w:r w:rsidR="00FD16E6" w:rsidRPr="00FD16E6">
        <w:t>were</w:t>
      </w:r>
      <w:proofErr w:type="gramEnd"/>
      <w:r w:rsidR="00FD16E6" w:rsidRPr="00FD16E6">
        <w:t xml:space="preserve"> included in this analysis</w:t>
      </w:r>
    </w:p>
    <w:p w14:paraId="034F8FCA" w14:textId="1F63173B" w:rsidR="00CC7218" w:rsidRPr="00E166B6" w:rsidRDefault="00CC7218" w:rsidP="005F0DB1">
      <w:pPr>
        <w:pStyle w:val="TableFooter"/>
        <w:keepNext/>
        <w:keepLines/>
      </w:pPr>
      <w:r w:rsidRPr="00473F11">
        <w:t xml:space="preserve">Note: The effective DPMQs estimated for semaglutide in the resubmission were calculated using a non-standard methodology. During the evaluation, the sponsor confirmed the calculation of revised effective DPMQs estimated using standard </w:t>
      </w:r>
      <w:r w:rsidRPr="00E166B6">
        <w:t xml:space="preserve">methods. These revised prices were used in the </w:t>
      </w:r>
      <w:r w:rsidR="00E166B6" w:rsidRPr="00E166B6">
        <w:t>evaluation</w:t>
      </w:r>
      <w:r w:rsidRPr="00E166B6">
        <w:t>.</w:t>
      </w:r>
    </w:p>
    <w:p w14:paraId="53F15160" w14:textId="27656F10" w:rsidR="001C5718" w:rsidRDefault="007E4FB2" w:rsidP="005F0DB1">
      <w:pPr>
        <w:pStyle w:val="TableFooter"/>
        <w:keepNext/>
        <w:keepLines/>
      </w:pPr>
      <w:r w:rsidRPr="00E166B6">
        <w:t xml:space="preserve">Note: </w:t>
      </w:r>
      <w:r w:rsidR="00C66F01" w:rsidRPr="00E166B6">
        <w:t>C</w:t>
      </w:r>
      <w:r w:rsidRPr="00E166B6">
        <w:t>alculation errors re</w:t>
      </w:r>
      <w:r w:rsidR="00650C09" w:rsidRPr="00E166B6">
        <w:t>lat</w:t>
      </w:r>
      <w:r w:rsidR="00C66F01" w:rsidRPr="00E166B6">
        <w:t>ed</w:t>
      </w:r>
      <w:r w:rsidRPr="00E166B6">
        <w:t xml:space="preserve"> to the application of discontinuation rates and QALY losses in patients with history of multiple events</w:t>
      </w:r>
      <w:r w:rsidR="00C66F01" w:rsidRPr="00E166B6">
        <w:t xml:space="preserve"> were identified during the evaluation</w:t>
      </w:r>
      <w:r w:rsidRPr="00E166B6">
        <w:t xml:space="preserve">. These errors were acknowledged by the sponsor and corrected in the </w:t>
      </w:r>
      <w:r w:rsidR="00E166B6" w:rsidRPr="00E166B6">
        <w:t>evaluation</w:t>
      </w:r>
      <w:r w:rsidRPr="00E166B6">
        <w:t>.</w:t>
      </w:r>
      <w:r w:rsidR="00D13A21" w:rsidRPr="00D13A21">
        <w:t xml:space="preserve"> </w:t>
      </w:r>
    </w:p>
    <w:p w14:paraId="513A3EE9" w14:textId="6BDC2096" w:rsidR="00D13A21" w:rsidRPr="007F593A" w:rsidRDefault="007F593A" w:rsidP="005F0DB1">
      <w:pPr>
        <w:pStyle w:val="TableFooter"/>
        <w:keepNext/>
        <w:keepLines/>
        <w:rPr>
          <w:i/>
          <w:iCs/>
        </w:rPr>
      </w:pPr>
      <w:r w:rsidRPr="007F593A">
        <w:rPr>
          <w:i/>
          <w:iCs/>
        </w:rPr>
        <w:t>The redacted values correspond to the following ranges:</w:t>
      </w:r>
    </w:p>
    <w:p w14:paraId="428C61DD" w14:textId="5A4CE140" w:rsidR="00D13A21" w:rsidRPr="007F593A" w:rsidRDefault="00AF275E" w:rsidP="005F0DB1">
      <w:pPr>
        <w:pStyle w:val="TableFooter"/>
        <w:keepNext/>
        <w:keepLines/>
        <w:rPr>
          <w:i/>
          <w:iCs/>
        </w:rPr>
      </w:pPr>
      <w:r w:rsidRPr="007F593A">
        <w:rPr>
          <w:i/>
          <w:iCs/>
          <w:vertAlign w:val="superscript"/>
        </w:rPr>
        <w:t>1</w:t>
      </w:r>
      <w:r w:rsidR="00D13A21" w:rsidRPr="007F593A">
        <w:rPr>
          <w:i/>
          <w:iCs/>
        </w:rPr>
        <w:t>$15,000 to &lt; $25,000</w:t>
      </w:r>
    </w:p>
    <w:p w14:paraId="1E93205F" w14:textId="43FC9297" w:rsidR="00D13A21" w:rsidRPr="007F593A" w:rsidRDefault="00E30A9D" w:rsidP="005F0DB1">
      <w:pPr>
        <w:pStyle w:val="TableFooter"/>
        <w:keepNext/>
        <w:keepLines/>
        <w:rPr>
          <w:i/>
          <w:iCs/>
        </w:rPr>
      </w:pPr>
      <w:r w:rsidRPr="007F593A">
        <w:rPr>
          <w:i/>
          <w:iCs/>
          <w:vertAlign w:val="superscript"/>
        </w:rPr>
        <w:t>2</w:t>
      </w:r>
      <w:r w:rsidR="00D13A21" w:rsidRPr="007F593A">
        <w:rPr>
          <w:i/>
          <w:iCs/>
        </w:rPr>
        <w:t>$25,000 to &lt; $35,000</w:t>
      </w:r>
    </w:p>
    <w:p w14:paraId="2BC41E6B" w14:textId="21915003" w:rsidR="00D13A21" w:rsidRPr="007F593A" w:rsidRDefault="00E30A9D" w:rsidP="005F0DB1">
      <w:pPr>
        <w:pStyle w:val="TableFooter"/>
        <w:keepNext/>
        <w:keepLines/>
        <w:rPr>
          <w:i/>
          <w:iCs/>
        </w:rPr>
      </w:pPr>
      <w:r w:rsidRPr="007F593A">
        <w:rPr>
          <w:i/>
          <w:iCs/>
          <w:vertAlign w:val="superscript"/>
        </w:rPr>
        <w:t>3</w:t>
      </w:r>
      <w:r w:rsidR="00D13A21" w:rsidRPr="007F593A">
        <w:rPr>
          <w:i/>
          <w:iCs/>
        </w:rPr>
        <w:t xml:space="preserve">$95,000 to &lt; $115,000 </w:t>
      </w:r>
    </w:p>
    <w:p w14:paraId="1DCFB77B" w14:textId="15987CD8" w:rsidR="00D13A21" w:rsidRPr="007F593A" w:rsidRDefault="00E30A9D" w:rsidP="005F0DB1">
      <w:pPr>
        <w:pStyle w:val="TableFooter"/>
        <w:keepNext/>
        <w:keepLines/>
        <w:rPr>
          <w:i/>
          <w:iCs/>
        </w:rPr>
      </w:pPr>
      <w:r w:rsidRPr="007F593A">
        <w:rPr>
          <w:i/>
          <w:iCs/>
          <w:vertAlign w:val="superscript"/>
        </w:rPr>
        <w:t>4</w:t>
      </w:r>
      <w:r w:rsidR="00D13A21" w:rsidRPr="007F593A">
        <w:rPr>
          <w:i/>
          <w:iCs/>
        </w:rPr>
        <w:t>$115,000 to &lt; $135,000</w:t>
      </w:r>
    </w:p>
    <w:p w14:paraId="291BBCA1" w14:textId="7D7406EA" w:rsidR="00063E54" w:rsidRPr="00473F11" w:rsidRDefault="00063E54" w:rsidP="00063E54">
      <w:pPr>
        <w:pStyle w:val="COMESnumberedpara"/>
      </w:pPr>
      <w:bookmarkStart w:id="51" w:name="_Ref214276771"/>
      <w:r w:rsidRPr="00473F11">
        <w:t xml:space="preserve">The PBAC has previously suggested </w:t>
      </w:r>
      <w:r w:rsidR="008E3BB1" w:rsidRPr="00473F11">
        <w:t>acceptable ICERs</w:t>
      </w:r>
      <w:r w:rsidRPr="00473F11">
        <w:t xml:space="preserve"> for other related conditions including $</w:t>
      </w:r>
      <w:r w:rsidR="00C868DD" w:rsidRPr="00473F11">
        <w:t>15</w:t>
      </w:r>
      <w:r w:rsidRPr="00473F11">
        <w:t>,000</w:t>
      </w:r>
      <w:r w:rsidR="00855B32">
        <w:rPr>
          <w:rFonts w:cstheme="minorHAnsi"/>
        </w:rPr>
        <w:t>‒</w:t>
      </w:r>
      <w:r w:rsidR="00C868DD" w:rsidRPr="00473F11">
        <w:t>$25,000</w:t>
      </w:r>
      <w:r w:rsidRPr="00473F11">
        <w:t xml:space="preserve"> per QALY gained for icosapent ethyl for established cardiovascular disease with elevated triglycerides (icosapent ethyl P</w:t>
      </w:r>
      <w:r w:rsidR="00153CA7" w:rsidRPr="00473F11">
        <w:t>SD</w:t>
      </w:r>
      <w:r w:rsidRPr="00473F11">
        <w:t xml:space="preserve">, </w:t>
      </w:r>
      <w:r w:rsidR="009772A3" w:rsidRPr="00473F11">
        <w:t>March 2024</w:t>
      </w:r>
      <w:r w:rsidRPr="00473F11">
        <w:t xml:space="preserve"> PBAC meeting), </w:t>
      </w:r>
      <w:bookmarkStart w:id="52" w:name="_Hlk214875261"/>
      <w:r w:rsidR="001E5B49" w:rsidRPr="001E5B49">
        <w:t>less than $25,000 to &lt; $35,000</w:t>
      </w:r>
      <w:r w:rsidR="005E0B88">
        <w:t xml:space="preserve"> </w:t>
      </w:r>
      <w:r w:rsidRPr="00473F11">
        <w:t xml:space="preserve">per QALY gained </w:t>
      </w:r>
      <w:bookmarkEnd w:id="52"/>
      <w:r w:rsidRPr="00473F11">
        <w:t xml:space="preserve">for </w:t>
      </w:r>
      <w:proofErr w:type="spellStart"/>
      <w:r w:rsidRPr="00473F11">
        <w:t>evolocumab</w:t>
      </w:r>
      <w:proofErr w:type="spellEnd"/>
      <w:r w:rsidRPr="00473F11">
        <w:t xml:space="preserve"> for established cardiovascular disease with elevated cholesterol levels and additional cardiovascular risk factors (</w:t>
      </w:r>
      <w:proofErr w:type="spellStart"/>
      <w:r w:rsidRPr="00473F11">
        <w:t>evolocumab</w:t>
      </w:r>
      <w:proofErr w:type="spellEnd"/>
      <w:r w:rsidRPr="00473F11">
        <w:t xml:space="preserve"> P</w:t>
      </w:r>
      <w:r w:rsidR="00153CA7" w:rsidRPr="00473F11">
        <w:t>SD</w:t>
      </w:r>
      <w:r w:rsidRPr="00473F11">
        <w:t xml:space="preserve"> July 2022 PBAC meeting); </w:t>
      </w:r>
      <w:r w:rsidR="00B403C9" w:rsidRPr="00473F11">
        <w:t xml:space="preserve">and </w:t>
      </w:r>
      <w:r w:rsidRPr="00473F11">
        <w:t xml:space="preserve">$30,000 per QALY gained for tirzepatide for </w:t>
      </w:r>
      <w:r w:rsidR="00D31C32" w:rsidRPr="00473F11">
        <w:t>type 2</w:t>
      </w:r>
      <w:r w:rsidRPr="00473F11">
        <w:t xml:space="preserve"> diabetes (tirzepatide P</w:t>
      </w:r>
      <w:r w:rsidR="00153CA7" w:rsidRPr="00473F11">
        <w:t>SD</w:t>
      </w:r>
      <w:r w:rsidRPr="00473F11">
        <w:t>; November 2024 PBAC meeting).</w:t>
      </w:r>
      <w:bookmarkEnd w:id="51"/>
    </w:p>
    <w:p w14:paraId="0269A31F" w14:textId="7404478E" w:rsidR="00063E54" w:rsidRPr="00473F11" w:rsidRDefault="00063E54" w:rsidP="00063E54">
      <w:pPr>
        <w:pStyle w:val="COMESnumberedpara"/>
      </w:pPr>
      <w:r w:rsidRPr="00473F11">
        <w:t xml:space="preserve">Based on the economic model, treatment with semaglutide was associated with an incremental cost per QALY gained of </w:t>
      </w:r>
      <w:r w:rsidR="00B37F47" w:rsidRPr="00B37F47">
        <w:t>$35,000 to &lt; $45,000</w:t>
      </w:r>
      <w:r w:rsidRPr="00473F11">
        <w:t xml:space="preserve">compared to placebo for the management of cardiovascular disease in patients who were overweight or obese (BMI </w:t>
      </w:r>
      <w:r w:rsidR="00D01372" w:rsidRPr="00473F11">
        <w:t>≥</w:t>
      </w:r>
      <w:r w:rsidRPr="00473F11">
        <w:t>27 kg/m</w:t>
      </w:r>
      <w:r w:rsidRPr="00473F11">
        <w:rPr>
          <w:vertAlign w:val="superscript"/>
        </w:rPr>
        <w:t>2</w:t>
      </w:r>
      <w:r w:rsidRPr="00473F11">
        <w:t>).</w:t>
      </w:r>
    </w:p>
    <w:p w14:paraId="29A38014" w14:textId="77777777" w:rsidR="00063E54" w:rsidRPr="00473F11" w:rsidRDefault="00063E54" w:rsidP="00063E54">
      <w:pPr>
        <w:pStyle w:val="COMESnumberedpara"/>
      </w:pPr>
      <w:r w:rsidRPr="00473F11">
        <w:t>For every 1,000 overweight/obese patients with established cardiovascular disease who are treated with semaglutide versus placebo and followed up for 25 years, the economic evaluation (based on undiscounted values) estimated that there would be:</w:t>
      </w:r>
    </w:p>
    <w:p w14:paraId="0075525E" w14:textId="211AA766" w:rsidR="00063E54" w:rsidRPr="00473F11" w:rsidRDefault="004F236B" w:rsidP="00D129C3">
      <w:pPr>
        <w:pStyle w:val="COMESnumberedpara"/>
        <w:numPr>
          <w:ilvl w:val="0"/>
          <w:numId w:val="12"/>
        </w:numPr>
      </w:pPr>
      <w:r w:rsidRPr="00473F11">
        <w:lastRenderedPageBreak/>
        <w:t>162</w:t>
      </w:r>
      <w:r w:rsidR="00063E54" w:rsidRPr="00473F11">
        <w:t xml:space="preserve"> fewer non-fatal cardiovascular events (primarily myocardial infarction and coronary revascularisation procedure).</w:t>
      </w:r>
    </w:p>
    <w:p w14:paraId="2FE59520" w14:textId="1BACD4B9" w:rsidR="00063E54" w:rsidRPr="00473F11" w:rsidRDefault="00063E54" w:rsidP="00D129C3">
      <w:pPr>
        <w:pStyle w:val="COMESnumberedpara"/>
        <w:numPr>
          <w:ilvl w:val="0"/>
          <w:numId w:val="12"/>
        </w:numPr>
      </w:pPr>
      <w:r w:rsidRPr="00473F11">
        <w:t xml:space="preserve">An average increase in survival of </w:t>
      </w:r>
      <w:r w:rsidR="004F236B" w:rsidRPr="00473F11">
        <w:t>8</w:t>
      </w:r>
      <w:r w:rsidRPr="00473F11">
        <w:t xml:space="preserve"> months per patient due to a reduced risk of cardiovascular and non-cardiovascular death.</w:t>
      </w:r>
    </w:p>
    <w:p w14:paraId="1596B037" w14:textId="161A5039" w:rsidR="00063E54" w:rsidRPr="00473F11" w:rsidRDefault="00063E54" w:rsidP="00D129C3">
      <w:pPr>
        <w:pStyle w:val="COMESnumberedpara"/>
        <w:numPr>
          <w:ilvl w:val="0"/>
          <w:numId w:val="12"/>
        </w:numPr>
      </w:pPr>
      <w:r w:rsidRPr="00473F11">
        <w:t xml:space="preserve">Improved quality of life associated with weight loss and delayed progression of diabetes and chronic kidney disease (average increase of </w:t>
      </w:r>
      <w:r w:rsidR="004F236B" w:rsidRPr="00473F11">
        <w:t>0.2352</w:t>
      </w:r>
      <w:r w:rsidRPr="00473F11">
        <w:t xml:space="preserve"> quality-adjusted life years per patient).</w:t>
      </w:r>
    </w:p>
    <w:p w14:paraId="7A508AF9" w14:textId="7DE6180A" w:rsidR="004F236B" w:rsidRPr="00473F11" w:rsidRDefault="00063E54" w:rsidP="00D129C3">
      <w:pPr>
        <w:pStyle w:val="COMESnumberedpara"/>
        <w:numPr>
          <w:ilvl w:val="0"/>
          <w:numId w:val="12"/>
        </w:numPr>
      </w:pPr>
      <w:r w:rsidRPr="00473F11">
        <w:t>Additional treatment (</w:t>
      </w:r>
      <w:r w:rsidR="00486804" w:rsidRPr="00473F11">
        <w:t>$</w:t>
      </w:r>
      <w:r w:rsidR="004C0DFD" w:rsidRPr="004C0DFD">
        <w:t>20 million to &lt; $30 million</w:t>
      </w:r>
      <w:r w:rsidRPr="00473F11">
        <w:t>) and cardiovascular disease management costs (</w:t>
      </w:r>
      <w:r w:rsidR="00984CA3" w:rsidRPr="00984CA3">
        <w:t>$0 to &lt; $10 million</w:t>
      </w:r>
      <w:r w:rsidRPr="00473F11">
        <w:t xml:space="preserve">) which were partially offset by decreased non-fatal cardiovascular events costs </w:t>
      </w:r>
      <w:r w:rsidRPr="00AF43A4">
        <w:t>(</w:t>
      </w:r>
      <w:r w:rsidR="00984CA3" w:rsidRPr="00AF43A4">
        <w:t>$0 to &lt; $10</w:t>
      </w:r>
      <w:r w:rsidR="00984CA3" w:rsidRPr="00984CA3">
        <w:t xml:space="preserve"> million</w:t>
      </w:r>
      <w:r w:rsidRPr="00473F11">
        <w:t xml:space="preserve">; primarily coronary revascularisation procedures) and chronic kidney disease management </w:t>
      </w:r>
      <w:r w:rsidRPr="00AF43A4">
        <w:t>costs (</w:t>
      </w:r>
      <w:r w:rsidR="00984CA3" w:rsidRPr="00AF43A4">
        <w:t>$0 t</w:t>
      </w:r>
      <w:r w:rsidR="00984CA3" w:rsidRPr="00984CA3">
        <w:t>o &lt; $10 million</w:t>
      </w:r>
      <w:r w:rsidRPr="00473F11">
        <w:t>; primarily kidney failure).</w:t>
      </w:r>
    </w:p>
    <w:p w14:paraId="285AD5B9" w14:textId="3F83F29E" w:rsidR="00D95824" w:rsidRPr="00473F11" w:rsidRDefault="00D95824" w:rsidP="00D95824">
      <w:pPr>
        <w:pStyle w:val="COMESnumberedpara"/>
      </w:pPr>
      <w:r w:rsidRPr="00473F11">
        <w:t>Based on the economic model, treatment with semaglutide was associated with an incremental cost per QALY gained of $</w:t>
      </w:r>
      <w:r w:rsidR="00740DDC" w:rsidRPr="00740DDC">
        <w:t>25,000 to &lt; $35,000</w:t>
      </w:r>
      <w:r w:rsidR="005A6385">
        <w:t xml:space="preserve"> </w:t>
      </w:r>
      <w:r w:rsidRPr="00473F11">
        <w:t xml:space="preserve">compared to placebo for the management of cardiovascular disease in patients with Class 2/Class 3 obesity (BMI </w:t>
      </w:r>
      <w:r w:rsidR="00D01372" w:rsidRPr="00473F11">
        <w:t>≥</w:t>
      </w:r>
      <w:r w:rsidRPr="00473F11">
        <w:t>35 kg/m</w:t>
      </w:r>
      <w:r w:rsidRPr="00473F11">
        <w:rPr>
          <w:vertAlign w:val="superscript"/>
        </w:rPr>
        <w:t>2</w:t>
      </w:r>
      <w:r w:rsidRPr="00473F11">
        <w:t>).</w:t>
      </w:r>
    </w:p>
    <w:p w14:paraId="3FC5DF11" w14:textId="77777777" w:rsidR="00D95824" w:rsidRPr="00473F11" w:rsidRDefault="00D95824" w:rsidP="00D95824">
      <w:pPr>
        <w:pStyle w:val="COMESnumberedpara"/>
      </w:pPr>
      <w:r w:rsidRPr="00473F11">
        <w:t>For every 1,000 patients with Class 2/Class 3 obesity and established cardiovascular disease who are treated with semaglutide versus placebo and followed up for 25 years, the economic evaluation (based on undiscounted values) estimated that there would be:</w:t>
      </w:r>
    </w:p>
    <w:p w14:paraId="250B663F" w14:textId="52AF9D71" w:rsidR="00D95824" w:rsidRPr="00473F11" w:rsidRDefault="009E4477" w:rsidP="00D129C3">
      <w:pPr>
        <w:pStyle w:val="COMESnumberedpara"/>
        <w:numPr>
          <w:ilvl w:val="0"/>
          <w:numId w:val="13"/>
        </w:numPr>
      </w:pPr>
      <w:r w:rsidRPr="00473F11">
        <w:t>188</w:t>
      </w:r>
      <w:r w:rsidR="00D95824" w:rsidRPr="00473F11">
        <w:t xml:space="preserve"> fewer non-fatal cardiovascular events (primarily myocardial infarction and coronary revascularisation procedure).</w:t>
      </w:r>
    </w:p>
    <w:p w14:paraId="415E34E9" w14:textId="52DB0624" w:rsidR="00D95824" w:rsidRPr="00473F11" w:rsidRDefault="00D95824" w:rsidP="00D129C3">
      <w:pPr>
        <w:pStyle w:val="COMESnumberedpara"/>
        <w:numPr>
          <w:ilvl w:val="0"/>
          <w:numId w:val="13"/>
        </w:numPr>
      </w:pPr>
      <w:r w:rsidRPr="00473F11">
        <w:t xml:space="preserve">An average increase in survival of </w:t>
      </w:r>
      <w:r w:rsidR="009E4477" w:rsidRPr="00473F11">
        <w:t>8</w:t>
      </w:r>
      <w:r w:rsidRPr="00473F11">
        <w:t xml:space="preserve"> months per patient due to a reduced risk of cardiovascular and non-cardiovascular death.</w:t>
      </w:r>
    </w:p>
    <w:p w14:paraId="5620A70F" w14:textId="035A05C2" w:rsidR="00D95824" w:rsidRPr="00473F11" w:rsidRDefault="00D95824" w:rsidP="00D129C3">
      <w:pPr>
        <w:pStyle w:val="COMESnumberedpara"/>
        <w:numPr>
          <w:ilvl w:val="0"/>
          <w:numId w:val="13"/>
        </w:numPr>
      </w:pPr>
      <w:r w:rsidRPr="00473F11">
        <w:t xml:space="preserve">Improved quality of life associated with weight loss and delayed progression of diabetes and chronic kidney disease (average increase of </w:t>
      </w:r>
      <w:r w:rsidR="009E4477" w:rsidRPr="00473F11">
        <w:t>0.3425</w:t>
      </w:r>
      <w:r w:rsidRPr="00473F11">
        <w:t xml:space="preserve"> quality-adjusted life years per patient).</w:t>
      </w:r>
    </w:p>
    <w:p w14:paraId="78FC4B0E" w14:textId="38AFF43E" w:rsidR="009E4477" w:rsidRPr="00473F11" w:rsidRDefault="00D95824" w:rsidP="00D129C3">
      <w:pPr>
        <w:pStyle w:val="COMESnumberedpara"/>
        <w:numPr>
          <w:ilvl w:val="0"/>
          <w:numId w:val="13"/>
        </w:numPr>
      </w:pPr>
      <w:r w:rsidRPr="00473F11">
        <w:t>Additional treatment (</w:t>
      </w:r>
      <w:r w:rsidR="0067008D" w:rsidRPr="0067008D">
        <w:t>$20 million to &lt; $30 million</w:t>
      </w:r>
      <w:r w:rsidRPr="00473F11">
        <w:t>) and cardiovascular disease management costs (</w:t>
      </w:r>
      <w:r w:rsidR="00763F76" w:rsidRPr="00763F76">
        <w:t>$0 to &lt; $10 million</w:t>
      </w:r>
      <w:r w:rsidRPr="00473F11">
        <w:t>) which were partially offset by decreased non-fatal cardiovascular events costs (</w:t>
      </w:r>
      <w:r w:rsidR="00763F76" w:rsidRPr="00763F76">
        <w:t>$0 to &lt; $10 million</w:t>
      </w:r>
      <w:r w:rsidRPr="00473F11">
        <w:t>; primarily coronary revascularisation procedures) and chronic kidney disease management costs (</w:t>
      </w:r>
      <w:r w:rsidR="00763F76" w:rsidRPr="00763F76">
        <w:t>$0 to &lt; $10 million</w:t>
      </w:r>
      <w:r w:rsidRPr="00473F11">
        <w:t>; primarily kidney failure).</w:t>
      </w:r>
    </w:p>
    <w:p w14:paraId="3A74F4C1" w14:textId="49469E69" w:rsidR="00D95824" w:rsidRPr="00473F11" w:rsidRDefault="00D95824" w:rsidP="00D95824">
      <w:pPr>
        <w:pStyle w:val="COMESnumberedpara"/>
      </w:pPr>
      <w:r w:rsidRPr="00473F11">
        <w:t xml:space="preserve">Based on the economic model, treatment with semaglutide was associated with an incremental cost per QALY gained of </w:t>
      </w:r>
      <w:r w:rsidR="00CC3B6B" w:rsidRPr="00CC3B6B">
        <w:t>$15,000 to &lt; $25,000</w:t>
      </w:r>
      <w:r w:rsidRPr="00473F11">
        <w:t xml:space="preserve"> compared to placebo for the management of cardiovascular disease in patients with Class 3 obesity (BMI </w:t>
      </w:r>
      <w:r w:rsidR="00D01372" w:rsidRPr="00473F11">
        <w:t>≥</w:t>
      </w:r>
      <w:r w:rsidRPr="00473F11">
        <w:t>40 kg/m</w:t>
      </w:r>
      <w:r w:rsidRPr="00473F11">
        <w:rPr>
          <w:vertAlign w:val="superscript"/>
        </w:rPr>
        <w:t>2</w:t>
      </w:r>
      <w:r w:rsidRPr="00473F11">
        <w:t>).</w:t>
      </w:r>
    </w:p>
    <w:p w14:paraId="33DE75CB" w14:textId="77777777" w:rsidR="00D95824" w:rsidRPr="00473F11" w:rsidRDefault="00D95824" w:rsidP="00D95824">
      <w:pPr>
        <w:pStyle w:val="COMESnumberedpara"/>
      </w:pPr>
      <w:r w:rsidRPr="00473F11">
        <w:t xml:space="preserve">For every 1,000 patients with Class 3 obesity and established cardiovascular disease who are treated with semaglutide versus placebo and followed up for 25 years, the economic evaluation (based on undiscounted values) estimated that there would be: </w:t>
      </w:r>
    </w:p>
    <w:p w14:paraId="7859B2E0" w14:textId="0677C81A" w:rsidR="00D95824" w:rsidRPr="00473F11" w:rsidRDefault="00FF54DE" w:rsidP="00D129C3">
      <w:pPr>
        <w:pStyle w:val="COMESnumberedpara"/>
        <w:numPr>
          <w:ilvl w:val="0"/>
          <w:numId w:val="14"/>
        </w:numPr>
      </w:pPr>
      <w:r w:rsidRPr="00473F11">
        <w:lastRenderedPageBreak/>
        <w:t>226</w:t>
      </w:r>
      <w:r w:rsidR="00D95824" w:rsidRPr="00473F11">
        <w:t xml:space="preserve"> fewer non-fatal cardiovascular events (primarily myocardial infarction and coronary revascularisation procedure).</w:t>
      </w:r>
    </w:p>
    <w:p w14:paraId="24303C2E" w14:textId="33F9DCF7" w:rsidR="00D95824" w:rsidRPr="00473F11" w:rsidRDefault="00D95824" w:rsidP="00D129C3">
      <w:pPr>
        <w:pStyle w:val="COMESnumberedpara"/>
        <w:numPr>
          <w:ilvl w:val="0"/>
          <w:numId w:val="14"/>
        </w:numPr>
      </w:pPr>
      <w:r w:rsidRPr="00473F11">
        <w:t xml:space="preserve">An average increase in survival of </w:t>
      </w:r>
      <w:r w:rsidR="00FF54DE" w:rsidRPr="00473F11">
        <w:t>9</w:t>
      </w:r>
      <w:r w:rsidRPr="00473F11">
        <w:t xml:space="preserve"> months per patient due to a reduced risk of cardiovascular and non-cardiovascular death.</w:t>
      </w:r>
    </w:p>
    <w:p w14:paraId="69816D7A" w14:textId="76ED76AC" w:rsidR="00D95824" w:rsidRPr="00473F11" w:rsidRDefault="00D95824" w:rsidP="00D129C3">
      <w:pPr>
        <w:pStyle w:val="COMESnumberedpara"/>
        <w:numPr>
          <w:ilvl w:val="0"/>
          <w:numId w:val="14"/>
        </w:numPr>
      </w:pPr>
      <w:r w:rsidRPr="00473F11">
        <w:t xml:space="preserve">Improved quality of life associated with weight loss and delayed progression of diabetes and chronic kidney disease (average increase of </w:t>
      </w:r>
      <w:r w:rsidR="00FF54DE" w:rsidRPr="00473F11">
        <w:t>0.3129</w:t>
      </w:r>
      <w:r w:rsidRPr="00473F11">
        <w:t xml:space="preserve"> quality-adjusted life years per patient).</w:t>
      </w:r>
    </w:p>
    <w:p w14:paraId="7F7B87D4" w14:textId="7F7E6C53" w:rsidR="00FF54DE" w:rsidRPr="00473F11" w:rsidRDefault="00D95824" w:rsidP="00D129C3">
      <w:pPr>
        <w:pStyle w:val="COMESnumberedpara"/>
        <w:numPr>
          <w:ilvl w:val="0"/>
          <w:numId w:val="14"/>
        </w:numPr>
      </w:pPr>
      <w:r w:rsidRPr="00473F11">
        <w:t xml:space="preserve">Additional treatment </w:t>
      </w:r>
      <w:r w:rsidR="00F67035">
        <w:t>(</w:t>
      </w:r>
      <w:r w:rsidR="00F67035" w:rsidRPr="00F67035">
        <w:t>$20 million to &lt; $30 million</w:t>
      </w:r>
      <w:r w:rsidRPr="00473F11">
        <w:t>) and cardiovascular disease management costs (</w:t>
      </w:r>
      <w:r w:rsidR="00826A08" w:rsidRPr="00826A08">
        <w:t>$0 to &lt; $10 million</w:t>
      </w:r>
      <w:r w:rsidRPr="00473F11">
        <w:t>) which were partially offset by decreased non-fatal cardiovascular events costs (</w:t>
      </w:r>
      <w:r w:rsidR="00826A08" w:rsidRPr="00826A08">
        <w:t>$0 to &lt; $10 million</w:t>
      </w:r>
      <w:r w:rsidRPr="00473F11">
        <w:t>; primarily coronary revascularisation procedures) and chronic kidney disease management costs (</w:t>
      </w:r>
      <w:r w:rsidR="00BC6C3F" w:rsidRPr="00BC6C3F">
        <w:t>$0 to &lt; $10 million</w:t>
      </w:r>
      <w:r w:rsidRPr="00473F11">
        <w:t>; primarily kidney failure).</w:t>
      </w:r>
    </w:p>
    <w:p w14:paraId="21FFB5C7" w14:textId="5D12490F" w:rsidR="00AD0214" w:rsidRPr="00AD0214" w:rsidRDefault="004D1767" w:rsidP="00D129C3">
      <w:pPr>
        <w:pStyle w:val="COMexecsummnumbered"/>
        <w:numPr>
          <w:ilvl w:val="1"/>
          <w:numId w:val="5"/>
        </w:numPr>
      </w:pPr>
      <w:r w:rsidRPr="00D31B2F">
        <w:rPr>
          <w:iCs/>
        </w:rPr>
        <w:t>The ESC not</w:t>
      </w:r>
      <w:r w:rsidR="00BF3165" w:rsidRPr="00D31B2F">
        <w:rPr>
          <w:iCs/>
        </w:rPr>
        <w:t>e</w:t>
      </w:r>
      <w:r w:rsidRPr="00D31B2F">
        <w:rPr>
          <w:iCs/>
        </w:rPr>
        <w:t>d that</w:t>
      </w:r>
      <w:r w:rsidR="00BF3165" w:rsidRPr="00D31B2F">
        <w:rPr>
          <w:iCs/>
        </w:rPr>
        <w:t xml:space="preserve"> the differences between trial- and model-based estimates </w:t>
      </w:r>
      <w:r w:rsidR="006D097C" w:rsidRPr="00D31B2F">
        <w:rPr>
          <w:iCs/>
        </w:rPr>
        <w:t>o</w:t>
      </w:r>
      <w:r w:rsidR="006315BC" w:rsidRPr="00D31B2F">
        <w:rPr>
          <w:iCs/>
        </w:rPr>
        <w:t>v</w:t>
      </w:r>
      <w:r w:rsidR="006D097C" w:rsidRPr="00D31B2F">
        <w:rPr>
          <w:iCs/>
        </w:rPr>
        <w:t xml:space="preserve">er the trial follow-up period </w:t>
      </w:r>
      <w:r w:rsidR="00BF3165" w:rsidRPr="00D31B2F">
        <w:rPr>
          <w:iCs/>
        </w:rPr>
        <w:t>were limited</w:t>
      </w:r>
      <w:r w:rsidR="009152CC" w:rsidRPr="00D31B2F">
        <w:rPr>
          <w:iCs/>
        </w:rPr>
        <w:t xml:space="preserve"> as the compounding effect of multiple risk multipliers primarily affects the later extrapolated period (e.g. age-based multipliers are not active during the first 3.5 years). However, when external BMI risk multipliers are introduced for the ≥35 and ≥40 kg/m</w:t>
      </w:r>
      <w:r w:rsidR="009152CC" w:rsidRPr="00D31B2F">
        <w:rPr>
          <w:iCs/>
          <w:vertAlign w:val="superscript"/>
        </w:rPr>
        <w:t>2</w:t>
      </w:r>
      <w:r w:rsidR="009152CC" w:rsidRPr="00D31B2F">
        <w:rPr>
          <w:iCs/>
        </w:rPr>
        <w:t xml:space="preserve"> populations, the modelled estimates generally switched to being higher than the trial-based estimates, particularly for coronary revascularisation events, cardiovascular death and non-cardiovascular death, as the external risk multipliers were not reflective of the SELECT trial data.</w:t>
      </w:r>
      <w:r w:rsidR="006315BC" w:rsidRPr="00D31B2F">
        <w:rPr>
          <w:iCs/>
        </w:rPr>
        <w:t xml:space="preserve"> </w:t>
      </w:r>
      <w:r w:rsidR="00FD4E97" w:rsidRPr="00D31B2F">
        <w:rPr>
          <w:iCs/>
        </w:rPr>
        <w:t xml:space="preserve"> See Tables 12</w:t>
      </w:r>
      <w:r w:rsidR="006B20CA" w:rsidRPr="00D31B2F">
        <w:rPr>
          <w:rFonts w:cstheme="minorHAnsi"/>
          <w:iCs/>
        </w:rPr>
        <w:t>‒</w:t>
      </w:r>
      <w:r w:rsidR="00AD0214" w:rsidRPr="00D31B2F">
        <w:rPr>
          <w:iCs/>
        </w:rPr>
        <w:t xml:space="preserve">14 below. </w:t>
      </w:r>
      <w:r w:rsidR="006315BC" w:rsidRPr="00D31B2F">
        <w:rPr>
          <w:iCs/>
        </w:rPr>
        <w:t>The ESC considered the</w:t>
      </w:r>
      <w:r w:rsidR="00276065" w:rsidRPr="00D31B2F">
        <w:rPr>
          <w:iCs/>
        </w:rPr>
        <w:t xml:space="preserve"> disconnect between the trial outcomes and the </w:t>
      </w:r>
      <w:r w:rsidR="0035506F" w:rsidRPr="00D31B2F">
        <w:rPr>
          <w:iCs/>
        </w:rPr>
        <w:t>modelled cardiovascular outcomes</w:t>
      </w:r>
      <w:r w:rsidR="006769F5" w:rsidRPr="00D31B2F">
        <w:rPr>
          <w:iCs/>
        </w:rPr>
        <w:t xml:space="preserve"> were not well justified, as there</w:t>
      </w:r>
      <w:r w:rsidR="00276065" w:rsidRPr="00D31B2F">
        <w:rPr>
          <w:iCs/>
        </w:rPr>
        <w:t xml:space="preserve"> w</w:t>
      </w:r>
      <w:r w:rsidR="006769F5" w:rsidRPr="00D31B2F">
        <w:rPr>
          <w:iCs/>
        </w:rPr>
        <w:t>as</w:t>
      </w:r>
      <w:r w:rsidR="006315BC" w:rsidRPr="00D31B2F">
        <w:rPr>
          <w:iCs/>
        </w:rPr>
        <w:t xml:space="preserve"> no trend </w:t>
      </w:r>
      <w:r w:rsidR="00961C85" w:rsidRPr="00D31B2F">
        <w:rPr>
          <w:iCs/>
        </w:rPr>
        <w:t xml:space="preserve">for more events avoided </w:t>
      </w:r>
      <w:r w:rsidR="006315BC" w:rsidRPr="00D31B2F">
        <w:rPr>
          <w:iCs/>
        </w:rPr>
        <w:t xml:space="preserve">in the SELECT subgroups by </w:t>
      </w:r>
      <w:r w:rsidR="00961C85" w:rsidRPr="00D31B2F">
        <w:rPr>
          <w:iCs/>
        </w:rPr>
        <w:t xml:space="preserve">higher </w:t>
      </w:r>
      <w:r w:rsidR="006315BC" w:rsidRPr="00D31B2F">
        <w:rPr>
          <w:iCs/>
        </w:rPr>
        <w:t>BMI</w:t>
      </w:r>
      <w:r w:rsidR="00961C85" w:rsidRPr="00D31B2F">
        <w:rPr>
          <w:iCs/>
        </w:rPr>
        <w:t>.</w:t>
      </w:r>
    </w:p>
    <w:p w14:paraId="7CF78A89" w14:textId="213BE49A" w:rsidR="00AD0214" w:rsidRPr="00D31B2F" w:rsidRDefault="00AD0214" w:rsidP="00D25190">
      <w:pPr>
        <w:pStyle w:val="Caption"/>
        <w:rPr>
          <w:iCs/>
        </w:rPr>
      </w:pPr>
      <w:r w:rsidRPr="00D31B2F">
        <w:rPr>
          <w:iCs/>
        </w:rPr>
        <w:t xml:space="preserve">Table </w:t>
      </w:r>
      <w:r w:rsidRPr="00D31B2F">
        <w:rPr>
          <w:iCs/>
        </w:rPr>
        <w:fldChar w:fldCharType="begin"/>
      </w:r>
      <w:r w:rsidRPr="00D31B2F">
        <w:rPr>
          <w:iCs/>
        </w:rPr>
        <w:instrText xml:space="preserve"> SEQ Table \* ARABIC </w:instrText>
      </w:r>
      <w:r w:rsidRPr="00D31B2F">
        <w:rPr>
          <w:iCs/>
        </w:rPr>
        <w:fldChar w:fldCharType="separate"/>
      </w:r>
      <w:r w:rsidR="004F1BBD">
        <w:rPr>
          <w:iCs/>
          <w:noProof/>
        </w:rPr>
        <w:t>12</w:t>
      </w:r>
      <w:r w:rsidRPr="00D31B2F">
        <w:rPr>
          <w:iCs/>
        </w:rPr>
        <w:fldChar w:fldCharType="end"/>
      </w:r>
      <w:r w:rsidR="00D25190" w:rsidRPr="00D31B2F">
        <w:rPr>
          <w:iCs/>
        </w:rPr>
        <w:t>:</w:t>
      </w:r>
      <w:r w:rsidRPr="00D31B2F">
        <w:rPr>
          <w:iCs/>
        </w:rPr>
        <w:t xml:space="preserve"> Comparison of trial-based and modelled cardiovascular events in patients with a BMI ≥27 kg/m</w:t>
      </w:r>
      <w:r w:rsidRPr="00D31B2F">
        <w:rPr>
          <w:iCs/>
          <w:vertAlign w:val="superscript"/>
        </w:rPr>
        <w:t>2</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Comparison of trial-based and modelled cardiovascular events in patients with a BMI ≥27 kg/m2"/>
      </w:tblPr>
      <w:tblGrid>
        <w:gridCol w:w="2600"/>
        <w:gridCol w:w="1066"/>
        <w:gridCol w:w="1068"/>
        <w:gridCol w:w="1068"/>
        <w:gridCol w:w="1068"/>
        <w:gridCol w:w="1068"/>
        <w:gridCol w:w="1068"/>
      </w:tblGrid>
      <w:tr w:rsidR="00AD0214" w:rsidRPr="00D31B2F" w14:paraId="46A10B24" w14:textId="77777777" w:rsidTr="00AD0214">
        <w:trPr>
          <w:trHeight w:val="131"/>
        </w:trPr>
        <w:tc>
          <w:tcPr>
            <w:tcW w:w="1443" w:type="pct"/>
            <w:vMerge w:val="restart"/>
            <w:tcBorders>
              <w:top w:val="single" w:sz="4" w:space="0" w:color="auto"/>
              <w:left w:val="single" w:sz="4" w:space="0" w:color="auto"/>
              <w:bottom w:val="single" w:sz="4" w:space="0" w:color="auto"/>
              <w:right w:val="single" w:sz="4" w:space="0" w:color="auto"/>
            </w:tcBorders>
            <w:vAlign w:val="center"/>
            <w:hideMark/>
          </w:tcPr>
          <w:p w14:paraId="3F8A9DE9" w14:textId="77777777" w:rsidR="00AD0214" w:rsidRPr="00D31B2F" w:rsidRDefault="00AD0214">
            <w:pPr>
              <w:pStyle w:val="COMTableheadingrow"/>
              <w:spacing w:line="276" w:lineRule="auto"/>
              <w:rPr>
                <w:kern w:val="2"/>
                <w:lang w:eastAsia="en-US"/>
                <w14:ligatures w14:val="standardContextual"/>
              </w:rPr>
            </w:pPr>
            <w:r w:rsidRPr="00D31B2F">
              <w:rPr>
                <w:kern w:val="2"/>
                <w:lang w:eastAsia="en-US"/>
                <w14:ligatures w14:val="standardContextual"/>
              </w:rPr>
              <w:t>Health outcomes</w:t>
            </w:r>
          </w:p>
        </w:tc>
        <w:tc>
          <w:tcPr>
            <w:tcW w:w="1778" w:type="pct"/>
            <w:gridSpan w:val="3"/>
            <w:tcBorders>
              <w:top w:val="single" w:sz="4" w:space="0" w:color="auto"/>
              <w:left w:val="single" w:sz="4" w:space="0" w:color="auto"/>
              <w:bottom w:val="single" w:sz="4" w:space="0" w:color="auto"/>
              <w:right w:val="double" w:sz="4" w:space="0" w:color="auto"/>
            </w:tcBorders>
            <w:vAlign w:val="center"/>
            <w:hideMark/>
          </w:tcPr>
          <w:p w14:paraId="43D8D307" w14:textId="77777777" w:rsidR="00AD0214" w:rsidRPr="00D31B2F" w:rsidRDefault="00AD0214">
            <w:pPr>
              <w:pStyle w:val="COMTableheadingrow"/>
              <w:keepLines w:val="0"/>
              <w:spacing w:line="276" w:lineRule="auto"/>
              <w:jc w:val="center"/>
              <w:rPr>
                <w:kern w:val="2"/>
                <w:vertAlign w:val="superscript"/>
                <w:lang w:eastAsia="en-US"/>
                <w14:ligatures w14:val="standardContextual"/>
              </w:rPr>
            </w:pPr>
            <w:r w:rsidRPr="00D31B2F">
              <w:rPr>
                <w:kern w:val="2"/>
                <w:lang w:eastAsia="en-US"/>
                <w14:ligatures w14:val="standardContextual"/>
              </w:rPr>
              <w:t xml:space="preserve">Trial-based </w:t>
            </w:r>
            <w:proofErr w:type="spellStart"/>
            <w:r w:rsidRPr="00D31B2F">
              <w:rPr>
                <w:kern w:val="2"/>
                <w:lang w:eastAsia="en-US"/>
                <w14:ligatures w14:val="standardContextual"/>
              </w:rPr>
              <w:t>estimates</w:t>
            </w:r>
            <w:r w:rsidRPr="00D31B2F">
              <w:rPr>
                <w:kern w:val="2"/>
                <w:vertAlign w:val="superscript"/>
                <w:lang w:eastAsia="en-US"/>
                <w14:ligatures w14:val="standardContextual"/>
              </w:rPr>
              <w:t>a</w:t>
            </w:r>
            <w:proofErr w:type="spellEnd"/>
          </w:p>
        </w:tc>
        <w:tc>
          <w:tcPr>
            <w:tcW w:w="1779" w:type="pct"/>
            <w:gridSpan w:val="3"/>
            <w:tcBorders>
              <w:top w:val="single" w:sz="4" w:space="0" w:color="auto"/>
              <w:left w:val="double" w:sz="4" w:space="0" w:color="auto"/>
              <w:bottom w:val="single" w:sz="4" w:space="0" w:color="auto"/>
              <w:right w:val="single" w:sz="4" w:space="0" w:color="auto"/>
            </w:tcBorders>
            <w:vAlign w:val="center"/>
            <w:hideMark/>
          </w:tcPr>
          <w:p w14:paraId="70249625" w14:textId="77777777" w:rsidR="00AD0214" w:rsidRPr="00D31B2F" w:rsidRDefault="00AD0214">
            <w:pPr>
              <w:pStyle w:val="COMTableheadingrow"/>
              <w:keepLines w:val="0"/>
              <w:spacing w:line="276" w:lineRule="auto"/>
              <w:jc w:val="center"/>
              <w:rPr>
                <w:kern w:val="2"/>
                <w:lang w:eastAsia="en-US"/>
                <w14:ligatures w14:val="standardContextual"/>
              </w:rPr>
            </w:pPr>
            <w:r w:rsidRPr="00D31B2F">
              <w:rPr>
                <w:kern w:val="2"/>
                <w:lang w:eastAsia="en-US"/>
                <w14:ligatures w14:val="standardContextual"/>
              </w:rPr>
              <w:t xml:space="preserve">Modelled </w:t>
            </w:r>
            <w:proofErr w:type="spellStart"/>
            <w:r w:rsidRPr="00D31B2F">
              <w:rPr>
                <w:kern w:val="2"/>
                <w:lang w:eastAsia="en-US"/>
                <w14:ligatures w14:val="standardContextual"/>
              </w:rPr>
              <w:t>estimates</w:t>
            </w:r>
            <w:r w:rsidRPr="00D31B2F">
              <w:rPr>
                <w:kern w:val="2"/>
                <w:vertAlign w:val="superscript"/>
                <w:lang w:eastAsia="en-US"/>
                <w14:ligatures w14:val="standardContextual"/>
              </w:rPr>
              <w:t>b</w:t>
            </w:r>
            <w:proofErr w:type="spellEnd"/>
          </w:p>
        </w:tc>
      </w:tr>
      <w:tr w:rsidR="00AD0214" w:rsidRPr="00D31B2F" w14:paraId="4123AE13" w14:textId="77777777" w:rsidTr="00AD0214">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354E1A" w14:textId="77777777" w:rsidR="00AD0214" w:rsidRPr="00D31B2F" w:rsidRDefault="00AD0214">
            <w:pPr>
              <w:spacing w:line="276" w:lineRule="auto"/>
              <w:jc w:val="left"/>
              <w:rPr>
                <w:rFonts w:ascii="Arial Narrow" w:hAnsi="Arial Narrow"/>
                <w:b/>
                <w:bCs/>
                <w:kern w:val="2"/>
                <w:sz w:val="20"/>
                <w:szCs w:val="20"/>
                <w:lang w:eastAsia="en-US"/>
                <w14:ligatures w14:val="standardContextual"/>
              </w:rPr>
            </w:pPr>
          </w:p>
        </w:tc>
        <w:tc>
          <w:tcPr>
            <w:tcW w:w="592" w:type="pct"/>
            <w:tcBorders>
              <w:top w:val="single" w:sz="4" w:space="0" w:color="auto"/>
              <w:left w:val="single" w:sz="4" w:space="0" w:color="auto"/>
              <w:bottom w:val="single" w:sz="4" w:space="0" w:color="auto"/>
              <w:right w:val="single" w:sz="4" w:space="0" w:color="auto"/>
            </w:tcBorders>
            <w:vAlign w:val="center"/>
            <w:hideMark/>
          </w:tcPr>
          <w:p w14:paraId="3702161C" w14:textId="77777777" w:rsidR="00AD0214" w:rsidRPr="00D31B2F" w:rsidRDefault="00AD0214">
            <w:pPr>
              <w:pStyle w:val="COMTableheadingrow"/>
              <w:keepLines w:val="0"/>
              <w:spacing w:line="276" w:lineRule="auto"/>
              <w:jc w:val="center"/>
              <w:rPr>
                <w:kern w:val="2"/>
                <w:lang w:eastAsia="en-US"/>
                <w14:ligatures w14:val="standardContextual"/>
              </w:rPr>
            </w:pPr>
            <w:r w:rsidRPr="00D31B2F">
              <w:rPr>
                <w:kern w:val="2"/>
                <w:lang w:eastAsia="en-US"/>
                <w14:ligatures w14:val="standardContextual"/>
              </w:rPr>
              <w:t>Semaglutide</w:t>
            </w:r>
          </w:p>
        </w:tc>
        <w:tc>
          <w:tcPr>
            <w:tcW w:w="593" w:type="pct"/>
            <w:tcBorders>
              <w:top w:val="single" w:sz="4" w:space="0" w:color="auto"/>
              <w:left w:val="single" w:sz="4" w:space="0" w:color="auto"/>
              <w:bottom w:val="single" w:sz="4" w:space="0" w:color="auto"/>
              <w:right w:val="single" w:sz="4" w:space="0" w:color="auto"/>
            </w:tcBorders>
            <w:vAlign w:val="center"/>
            <w:hideMark/>
          </w:tcPr>
          <w:p w14:paraId="661701C4" w14:textId="77777777" w:rsidR="00AD0214" w:rsidRPr="00D31B2F" w:rsidRDefault="00AD0214">
            <w:pPr>
              <w:pStyle w:val="COMTableheadingrow"/>
              <w:keepLines w:val="0"/>
              <w:spacing w:line="276" w:lineRule="auto"/>
              <w:jc w:val="center"/>
              <w:rPr>
                <w:kern w:val="2"/>
                <w:lang w:eastAsia="en-US"/>
                <w14:ligatures w14:val="standardContextual"/>
              </w:rPr>
            </w:pPr>
            <w:r w:rsidRPr="00D31B2F">
              <w:rPr>
                <w:kern w:val="2"/>
                <w:lang w:eastAsia="en-US"/>
                <w14:ligatures w14:val="standardContextual"/>
              </w:rPr>
              <w:t>Placebo</w:t>
            </w:r>
          </w:p>
        </w:tc>
        <w:tc>
          <w:tcPr>
            <w:tcW w:w="593" w:type="pct"/>
            <w:tcBorders>
              <w:top w:val="single" w:sz="4" w:space="0" w:color="auto"/>
              <w:left w:val="single" w:sz="4" w:space="0" w:color="auto"/>
              <w:bottom w:val="single" w:sz="4" w:space="0" w:color="auto"/>
              <w:right w:val="double" w:sz="4" w:space="0" w:color="auto"/>
            </w:tcBorders>
            <w:vAlign w:val="center"/>
            <w:hideMark/>
          </w:tcPr>
          <w:p w14:paraId="1BABB4FD" w14:textId="77777777" w:rsidR="00AD0214" w:rsidRPr="00D31B2F" w:rsidRDefault="00AD0214">
            <w:pPr>
              <w:pStyle w:val="COMTableheadingrow"/>
              <w:keepLines w:val="0"/>
              <w:spacing w:line="276" w:lineRule="auto"/>
              <w:jc w:val="center"/>
              <w:rPr>
                <w:kern w:val="2"/>
                <w:lang w:eastAsia="en-US"/>
                <w14:ligatures w14:val="standardContextual"/>
              </w:rPr>
            </w:pPr>
            <w:r w:rsidRPr="00D31B2F">
              <w:rPr>
                <w:kern w:val="2"/>
                <w:lang w:eastAsia="en-US"/>
                <w14:ligatures w14:val="standardContextual"/>
              </w:rPr>
              <w:t>Increment</w:t>
            </w:r>
          </w:p>
        </w:tc>
        <w:tc>
          <w:tcPr>
            <w:tcW w:w="593" w:type="pct"/>
            <w:tcBorders>
              <w:top w:val="single" w:sz="4" w:space="0" w:color="auto"/>
              <w:left w:val="double" w:sz="4" w:space="0" w:color="auto"/>
              <w:bottom w:val="single" w:sz="4" w:space="0" w:color="auto"/>
              <w:right w:val="single" w:sz="4" w:space="0" w:color="auto"/>
            </w:tcBorders>
            <w:vAlign w:val="center"/>
            <w:hideMark/>
          </w:tcPr>
          <w:p w14:paraId="254B2042" w14:textId="77777777" w:rsidR="00AD0214" w:rsidRPr="00D31B2F" w:rsidRDefault="00AD0214">
            <w:pPr>
              <w:pStyle w:val="COMTableheadingrow"/>
              <w:keepLines w:val="0"/>
              <w:spacing w:line="276" w:lineRule="auto"/>
              <w:jc w:val="center"/>
              <w:rPr>
                <w:kern w:val="2"/>
                <w:lang w:eastAsia="en-US"/>
                <w14:ligatures w14:val="standardContextual"/>
              </w:rPr>
            </w:pPr>
            <w:r w:rsidRPr="00D31B2F">
              <w:rPr>
                <w:kern w:val="2"/>
                <w:lang w:eastAsia="en-US"/>
                <w14:ligatures w14:val="standardContextual"/>
              </w:rPr>
              <w:t>Semaglutide</w:t>
            </w:r>
          </w:p>
        </w:tc>
        <w:tc>
          <w:tcPr>
            <w:tcW w:w="593" w:type="pct"/>
            <w:tcBorders>
              <w:top w:val="single" w:sz="4" w:space="0" w:color="auto"/>
              <w:left w:val="single" w:sz="4" w:space="0" w:color="auto"/>
              <w:bottom w:val="single" w:sz="4" w:space="0" w:color="auto"/>
              <w:right w:val="single" w:sz="4" w:space="0" w:color="auto"/>
            </w:tcBorders>
            <w:vAlign w:val="center"/>
            <w:hideMark/>
          </w:tcPr>
          <w:p w14:paraId="4E214F5B" w14:textId="77777777" w:rsidR="00AD0214" w:rsidRPr="00D31B2F" w:rsidRDefault="00AD0214">
            <w:pPr>
              <w:pStyle w:val="COMTableheadingrow"/>
              <w:keepLines w:val="0"/>
              <w:spacing w:line="276" w:lineRule="auto"/>
              <w:jc w:val="center"/>
              <w:rPr>
                <w:kern w:val="2"/>
                <w:lang w:eastAsia="en-US"/>
                <w14:ligatures w14:val="standardContextual"/>
              </w:rPr>
            </w:pPr>
            <w:r w:rsidRPr="00D31B2F">
              <w:rPr>
                <w:kern w:val="2"/>
                <w:lang w:eastAsia="en-US"/>
                <w14:ligatures w14:val="standardContextual"/>
              </w:rPr>
              <w:t>Placebo</w:t>
            </w:r>
          </w:p>
        </w:tc>
        <w:tc>
          <w:tcPr>
            <w:tcW w:w="593" w:type="pct"/>
            <w:tcBorders>
              <w:top w:val="single" w:sz="4" w:space="0" w:color="auto"/>
              <w:left w:val="single" w:sz="4" w:space="0" w:color="auto"/>
              <w:bottom w:val="single" w:sz="4" w:space="0" w:color="auto"/>
              <w:right w:val="single" w:sz="4" w:space="0" w:color="auto"/>
            </w:tcBorders>
            <w:vAlign w:val="center"/>
            <w:hideMark/>
          </w:tcPr>
          <w:p w14:paraId="6EEE258E" w14:textId="77777777" w:rsidR="00AD0214" w:rsidRPr="00D31B2F" w:rsidRDefault="00AD0214">
            <w:pPr>
              <w:pStyle w:val="COMTableheadingrow"/>
              <w:keepLines w:val="0"/>
              <w:spacing w:line="276" w:lineRule="auto"/>
              <w:jc w:val="center"/>
              <w:rPr>
                <w:kern w:val="2"/>
                <w:lang w:eastAsia="en-US"/>
                <w14:ligatures w14:val="standardContextual"/>
              </w:rPr>
            </w:pPr>
            <w:r w:rsidRPr="00D31B2F">
              <w:rPr>
                <w:kern w:val="2"/>
                <w:lang w:eastAsia="en-US"/>
                <w14:ligatures w14:val="standardContextual"/>
              </w:rPr>
              <w:t>Increment</w:t>
            </w:r>
          </w:p>
        </w:tc>
      </w:tr>
      <w:tr w:rsidR="00AD0214" w:rsidRPr="00D31B2F" w14:paraId="11AE9F1D" w14:textId="77777777" w:rsidTr="00AD0214">
        <w:tc>
          <w:tcPr>
            <w:tcW w:w="5000" w:type="pct"/>
            <w:gridSpan w:val="7"/>
            <w:tcBorders>
              <w:top w:val="single" w:sz="4" w:space="0" w:color="auto"/>
              <w:left w:val="single" w:sz="4" w:space="0" w:color="auto"/>
              <w:bottom w:val="single" w:sz="4" w:space="0" w:color="auto"/>
              <w:right w:val="single" w:sz="4" w:space="0" w:color="auto"/>
            </w:tcBorders>
            <w:hideMark/>
          </w:tcPr>
          <w:p w14:paraId="10D9E18D" w14:textId="77777777" w:rsidR="00AD0214" w:rsidRPr="00D31B2F" w:rsidRDefault="00AD0214">
            <w:pPr>
              <w:pStyle w:val="COMTableheadingrow"/>
              <w:keepLines w:val="0"/>
              <w:spacing w:line="276" w:lineRule="auto"/>
              <w:rPr>
                <w:kern w:val="2"/>
                <w:lang w:eastAsia="en-US"/>
                <w14:ligatures w14:val="standardContextual"/>
              </w:rPr>
            </w:pPr>
            <w:r w:rsidRPr="00D31B2F">
              <w:rPr>
                <w:kern w:val="2"/>
                <w:lang w:eastAsia="en-US"/>
                <w14:ligatures w14:val="standardContextual"/>
              </w:rPr>
              <w:t>Cardiovascular events per 1,000 patients over 3.5 years</w:t>
            </w:r>
          </w:p>
        </w:tc>
      </w:tr>
      <w:tr w:rsidR="00AD0214" w:rsidRPr="00D31B2F" w14:paraId="34F31BD0"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731ADA8C" w14:textId="77777777" w:rsidR="00AD0214" w:rsidRPr="00D31B2F" w:rsidRDefault="00AD0214">
            <w:pPr>
              <w:pStyle w:val="COMTabletext"/>
              <w:keepLines w:val="0"/>
              <w:spacing w:line="276" w:lineRule="auto"/>
              <w:rPr>
                <w:kern w:val="2"/>
                <w:lang w:eastAsia="en-US"/>
                <w14:ligatures w14:val="standardContextual"/>
              </w:rPr>
            </w:pPr>
            <w:r w:rsidRPr="00D31B2F">
              <w:rPr>
                <w:kern w:val="2"/>
                <w:lang w:eastAsia="en-US"/>
                <w14:ligatures w14:val="standardContextual"/>
              </w:rPr>
              <w:t>Non-fatal myocardial infarction</w:t>
            </w:r>
          </w:p>
        </w:tc>
        <w:tc>
          <w:tcPr>
            <w:tcW w:w="592" w:type="pct"/>
            <w:tcBorders>
              <w:top w:val="single" w:sz="4" w:space="0" w:color="auto"/>
              <w:left w:val="single" w:sz="4" w:space="0" w:color="auto"/>
              <w:bottom w:val="single" w:sz="4" w:space="0" w:color="auto"/>
              <w:right w:val="single" w:sz="4" w:space="0" w:color="auto"/>
            </w:tcBorders>
            <w:vAlign w:val="center"/>
            <w:hideMark/>
          </w:tcPr>
          <w:p w14:paraId="683F23D8"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30</w:t>
            </w:r>
          </w:p>
        </w:tc>
        <w:tc>
          <w:tcPr>
            <w:tcW w:w="593" w:type="pct"/>
            <w:tcBorders>
              <w:top w:val="single" w:sz="4" w:space="0" w:color="auto"/>
              <w:left w:val="single" w:sz="4" w:space="0" w:color="auto"/>
              <w:bottom w:val="single" w:sz="4" w:space="0" w:color="auto"/>
              <w:right w:val="single" w:sz="4" w:space="0" w:color="auto"/>
            </w:tcBorders>
            <w:vAlign w:val="center"/>
            <w:hideMark/>
          </w:tcPr>
          <w:p w14:paraId="594F0064"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44</w:t>
            </w:r>
          </w:p>
        </w:tc>
        <w:tc>
          <w:tcPr>
            <w:tcW w:w="593" w:type="pct"/>
            <w:tcBorders>
              <w:top w:val="single" w:sz="4" w:space="0" w:color="auto"/>
              <w:left w:val="single" w:sz="4" w:space="0" w:color="auto"/>
              <w:bottom w:val="single" w:sz="4" w:space="0" w:color="auto"/>
              <w:right w:val="double" w:sz="4" w:space="0" w:color="auto"/>
            </w:tcBorders>
            <w:vAlign w:val="center"/>
            <w:hideMark/>
          </w:tcPr>
          <w:p w14:paraId="46CEDDE2"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-14</w:t>
            </w:r>
          </w:p>
        </w:tc>
        <w:tc>
          <w:tcPr>
            <w:tcW w:w="593" w:type="pct"/>
            <w:tcBorders>
              <w:top w:val="single" w:sz="4" w:space="0" w:color="auto"/>
              <w:left w:val="double" w:sz="4" w:space="0" w:color="auto"/>
              <w:bottom w:val="single" w:sz="4" w:space="0" w:color="auto"/>
              <w:right w:val="single" w:sz="4" w:space="0" w:color="auto"/>
            </w:tcBorders>
            <w:vAlign w:val="center"/>
            <w:hideMark/>
          </w:tcPr>
          <w:p w14:paraId="092313FA"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27</w:t>
            </w:r>
          </w:p>
        </w:tc>
        <w:tc>
          <w:tcPr>
            <w:tcW w:w="593" w:type="pct"/>
            <w:tcBorders>
              <w:top w:val="single" w:sz="4" w:space="0" w:color="auto"/>
              <w:left w:val="single" w:sz="4" w:space="0" w:color="auto"/>
              <w:bottom w:val="single" w:sz="4" w:space="0" w:color="auto"/>
              <w:right w:val="single" w:sz="4" w:space="0" w:color="auto"/>
            </w:tcBorders>
            <w:vAlign w:val="center"/>
            <w:hideMark/>
          </w:tcPr>
          <w:p w14:paraId="21C20E60"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38</w:t>
            </w:r>
          </w:p>
        </w:tc>
        <w:tc>
          <w:tcPr>
            <w:tcW w:w="593" w:type="pct"/>
            <w:tcBorders>
              <w:top w:val="single" w:sz="4" w:space="0" w:color="auto"/>
              <w:left w:val="single" w:sz="4" w:space="0" w:color="auto"/>
              <w:bottom w:val="single" w:sz="4" w:space="0" w:color="auto"/>
              <w:right w:val="single" w:sz="4" w:space="0" w:color="auto"/>
            </w:tcBorders>
            <w:vAlign w:val="center"/>
            <w:hideMark/>
          </w:tcPr>
          <w:p w14:paraId="2CAE4754"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-10</w:t>
            </w:r>
          </w:p>
        </w:tc>
      </w:tr>
      <w:tr w:rsidR="00AD0214" w:rsidRPr="00D31B2F" w14:paraId="7A3B61A8"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6D7EBA2D" w14:textId="77777777" w:rsidR="00AD0214" w:rsidRPr="00D31B2F" w:rsidRDefault="00AD0214">
            <w:pPr>
              <w:pStyle w:val="COMTabletext"/>
              <w:keepLines w:val="0"/>
              <w:spacing w:line="276" w:lineRule="auto"/>
              <w:rPr>
                <w:kern w:val="2"/>
                <w:lang w:eastAsia="en-US"/>
                <w14:ligatures w14:val="standardContextual"/>
              </w:rPr>
            </w:pPr>
            <w:r w:rsidRPr="00D31B2F">
              <w:rPr>
                <w:kern w:val="2"/>
                <w:lang w:eastAsia="en-US"/>
                <w14:ligatures w14:val="standardContextual"/>
              </w:rPr>
              <w:t>Non-fatal stroke</w:t>
            </w:r>
          </w:p>
        </w:tc>
        <w:tc>
          <w:tcPr>
            <w:tcW w:w="592" w:type="pct"/>
            <w:tcBorders>
              <w:top w:val="single" w:sz="4" w:space="0" w:color="auto"/>
              <w:left w:val="single" w:sz="4" w:space="0" w:color="auto"/>
              <w:bottom w:val="single" w:sz="4" w:space="0" w:color="auto"/>
              <w:right w:val="single" w:sz="4" w:space="0" w:color="auto"/>
            </w:tcBorders>
            <w:vAlign w:val="center"/>
            <w:hideMark/>
          </w:tcPr>
          <w:p w14:paraId="31B9325B"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20</w:t>
            </w:r>
          </w:p>
        </w:tc>
        <w:tc>
          <w:tcPr>
            <w:tcW w:w="593" w:type="pct"/>
            <w:tcBorders>
              <w:top w:val="single" w:sz="4" w:space="0" w:color="auto"/>
              <w:left w:val="single" w:sz="4" w:space="0" w:color="auto"/>
              <w:bottom w:val="single" w:sz="4" w:space="0" w:color="auto"/>
              <w:right w:val="single" w:sz="4" w:space="0" w:color="auto"/>
            </w:tcBorders>
            <w:vAlign w:val="center"/>
            <w:hideMark/>
          </w:tcPr>
          <w:p w14:paraId="28CD9704"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21</w:t>
            </w:r>
          </w:p>
        </w:tc>
        <w:tc>
          <w:tcPr>
            <w:tcW w:w="593" w:type="pct"/>
            <w:tcBorders>
              <w:top w:val="single" w:sz="4" w:space="0" w:color="auto"/>
              <w:left w:val="single" w:sz="4" w:space="0" w:color="auto"/>
              <w:bottom w:val="single" w:sz="4" w:space="0" w:color="auto"/>
              <w:right w:val="double" w:sz="4" w:space="0" w:color="auto"/>
            </w:tcBorders>
            <w:vAlign w:val="center"/>
            <w:hideMark/>
          </w:tcPr>
          <w:p w14:paraId="722732A4"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w:t>
            </w:r>
          </w:p>
        </w:tc>
        <w:tc>
          <w:tcPr>
            <w:tcW w:w="593" w:type="pct"/>
            <w:tcBorders>
              <w:top w:val="single" w:sz="4" w:space="0" w:color="auto"/>
              <w:left w:val="double" w:sz="4" w:space="0" w:color="auto"/>
              <w:bottom w:val="single" w:sz="4" w:space="0" w:color="auto"/>
              <w:right w:val="single" w:sz="4" w:space="0" w:color="auto"/>
            </w:tcBorders>
            <w:vAlign w:val="center"/>
            <w:hideMark/>
          </w:tcPr>
          <w:p w14:paraId="64CEB4A3"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18</w:t>
            </w:r>
          </w:p>
        </w:tc>
        <w:tc>
          <w:tcPr>
            <w:tcW w:w="593" w:type="pct"/>
            <w:tcBorders>
              <w:top w:val="single" w:sz="4" w:space="0" w:color="auto"/>
              <w:left w:val="single" w:sz="4" w:space="0" w:color="auto"/>
              <w:bottom w:val="single" w:sz="4" w:space="0" w:color="auto"/>
              <w:right w:val="single" w:sz="4" w:space="0" w:color="auto"/>
            </w:tcBorders>
            <w:vAlign w:val="center"/>
            <w:hideMark/>
          </w:tcPr>
          <w:p w14:paraId="68F4C32E"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19</w:t>
            </w:r>
          </w:p>
        </w:tc>
        <w:tc>
          <w:tcPr>
            <w:tcW w:w="593" w:type="pct"/>
            <w:tcBorders>
              <w:top w:val="single" w:sz="4" w:space="0" w:color="auto"/>
              <w:left w:val="single" w:sz="4" w:space="0" w:color="auto"/>
              <w:bottom w:val="single" w:sz="4" w:space="0" w:color="auto"/>
              <w:right w:val="single" w:sz="4" w:space="0" w:color="auto"/>
            </w:tcBorders>
            <w:vAlign w:val="center"/>
            <w:hideMark/>
          </w:tcPr>
          <w:p w14:paraId="10F0A01E"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w:t>
            </w:r>
          </w:p>
        </w:tc>
      </w:tr>
      <w:tr w:rsidR="00AD0214" w:rsidRPr="00D31B2F" w14:paraId="7E6B31DD"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531E642A" w14:textId="77777777" w:rsidR="00AD0214" w:rsidRPr="00D31B2F" w:rsidRDefault="00AD0214">
            <w:pPr>
              <w:pStyle w:val="COMTabletext"/>
              <w:keepLines w:val="0"/>
              <w:spacing w:line="276" w:lineRule="auto"/>
              <w:rPr>
                <w:kern w:val="2"/>
                <w:lang w:eastAsia="en-US"/>
                <w14:ligatures w14:val="standardContextual"/>
              </w:rPr>
            </w:pPr>
            <w:r w:rsidRPr="00D31B2F">
              <w:rPr>
                <w:kern w:val="2"/>
                <w:lang w:eastAsia="en-US"/>
                <w14:ligatures w14:val="standardContextual"/>
              </w:rPr>
              <w:t>Hospitalisation/urgent care for heart failure</w:t>
            </w:r>
          </w:p>
        </w:tc>
        <w:tc>
          <w:tcPr>
            <w:tcW w:w="592" w:type="pct"/>
            <w:tcBorders>
              <w:top w:val="single" w:sz="4" w:space="0" w:color="auto"/>
              <w:left w:val="single" w:sz="4" w:space="0" w:color="auto"/>
              <w:bottom w:val="single" w:sz="4" w:space="0" w:color="auto"/>
              <w:right w:val="single" w:sz="4" w:space="0" w:color="auto"/>
            </w:tcBorders>
            <w:vAlign w:val="center"/>
            <w:hideMark/>
          </w:tcPr>
          <w:p w14:paraId="4FF57C18"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18</w:t>
            </w:r>
          </w:p>
        </w:tc>
        <w:tc>
          <w:tcPr>
            <w:tcW w:w="593" w:type="pct"/>
            <w:tcBorders>
              <w:top w:val="single" w:sz="4" w:space="0" w:color="auto"/>
              <w:left w:val="single" w:sz="4" w:space="0" w:color="auto"/>
              <w:bottom w:val="single" w:sz="4" w:space="0" w:color="auto"/>
              <w:right w:val="single" w:sz="4" w:space="0" w:color="auto"/>
            </w:tcBorders>
            <w:vAlign w:val="center"/>
            <w:hideMark/>
          </w:tcPr>
          <w:p w14:paraId="17A68095"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21</w:t>
            </w:r>
          </w:p>
        </w:tc>
        <w:tc>
          <w:tcPr>
            <w:tcW w:w="593" w:type="pct"/>
            <w:tcBorders>
              <w:top w:val="single" w:sz="4" w:space="0" w:color="auto"/>
              <w:left w:val="single" w:sz="4" w:space="0" w:color="auto"/>
              <w:bottom w:val="single" w:sz="4" w:space="0" w:color="auto"/>
              <w:right w:val="double" w:sz="4" w:space="0" w:color="auto"/>
            </w:tcBorders>
            <w:vAlign w:val="center"/>
            <w:hideMark/>
          </w:tcPr>
          <w:p w14:paraId="699FA221"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-3</w:t>
            </w:r>
          </w:p>
        </w:tc>
        <w:tc>
          <w:tcPr>
            <w:tcW w:w="593" w:type="pct"/>
            <w:tcBorders>
              <w:top w:val="single" w:sz="4" w:space="0" w:color="auto"/>
              <w:left w:val="double" w:sz="4" w:space="0" w:color="auto"/>
              <w:bottom w:val="single" w:sz="4" w:space="0" w:color="auto"/>
              <w:right w:val="single" w:sz="4" w:space="0" w:color="auto"/>
            </w:tcBorders>
            <w:vAlign w:val="center"/>
            <w:hideMark/>
          </w:tcPr>
          <w:p w14:paraId="2C1BA933"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11</w:t>
            </w:r>
          </w:p>
        </w:tc>
        <w:tc>
          <w:tcPr>
            <w:tcW w:w="593" w:type="pct"/>
            <w:tcBorders>
              <w:top w:val="single" w:sz="4" w:space="0" w:color="auto"/>
              <w:left w:val="single" w:sz="4" w:space="0" w:color="auto"/>
              <w:bottom w:val="single" w:sz="4" w:space="0" w:color="auto"/>
              <w:right w:val="single" w:sz="4" w:space="0" w:color="auto"/>
            </w:tcBorders>
            <w:vAlign w:val="center"/>
            <w:hideMark/>
          </w:tcPr>
          <w:p w14:paraId="3C36E1DE"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14</w:t>
            </w:r>
          </w:p>
        </w:tc>
        <w:tc>
          <w:tcPr>
            <w:tcW w:w="593" w:type="pct"/>
            <w:tcBorders>
              <w:top w:val="single" w:sz="4" w:space="0" w:color="auto"/>
              <w:left w:val="single" w:sz="4" w:space="0" w:color="auto"/>
              <w:bottom w:val="single" w:sz="4" w:space="0" w:color="auto"/>
              <w:right w:val="single" w:sz="4" w:space="0" w:color="auto"/>
            </w:tcBorders>
            <w:vAlign w:val="center"/>
            <w:hideMark/>
          </w:tcPr>
          <w:p w14:paraId="2083E169"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-3</w:t>
            </w:r>
          </w:p>
        </w:tc>
      </w:tr>
      <w:tr w:rsidR="00AD0214" w:rsidRPr="00D31B2F" w14:paraId="132C152E"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7164D861" w14:textId="77777777" w:rsidR="00AD0214" w:rsidRPr="00D31B2F" w:rsidRDefault="00AD0214">
            <w:pPr>
              <w:pStyle w:val="COMTabletext"/>
              <w:keepLines w:val="0"/>
              <w:spacing w:line="276" w:lineRule="auto"/>
              <w:rPr>
                <w:kern w:val="2"/>
                <w:lang w:eastAsia="en-US"/>
                <w14:ligatures w14:val="standardContextual"/>
              </w:rPr>
            </w:pPr>
            <w:r w:rsidRPr="00D31B2F">
              <w:rPr>
                <w:kern w:val="2"/>
                <w:lang w:eastAsia="en-US"/>
                <w14:ligatures w14:val="standardContextual"/>
              </w:rPr>
              <w:t>Hospitalisation for unstable angina</w:t>
            </w:r>
          </w:p>
        </w:tc>
        <w:tc>
          <w:tcPr>
            <w:tcW w:w="592" w:type="pct"/>
            <w:tcBorders>
              <w:top w:val="single" w:sz="4" w:space="0" w:color="auto"/>
              <w:left w:val="single" w:sz="4" w:space="0" w:color="auto"/>
              <w:bottom w:val="single" w:sz="4" w:space="0" w:color="auto"/>
              <w:right w:val="single" w:sz="4" w:space="0" w:color="auto"/>
            </w:tcBorders>
            <w:vAlign w:val="center"/>
            <w:hideMark/>
          </w:tcPr>
          <w:p w14:paraId="44CDED0F"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14</w:t>
            </w:r>
          </w:p>
        </w:tc>
        <w:tc>
          <w:tcPr>
            <w:tcW w:w="593" w:type="pct"/>
            <w:tcBorders>
              <w:top w:val="single" w:sz="4" w:space="0" w:color="auto"/>
              <w:left w:val="single" w:sz="4" w:space="0" w:color="auto"/>
              <w:bottom w:val="single" w:sz="4" w:space="0" w:color="auto"/>
              <w:right w:val="single" w:sz="4" w:space="0" w:color="auto"/>
            </w:tcBorders>
            <w:vAlign w:val="center"/>
            <w:hideMark/>
          </w:tcPr>
          <w:p w14:paraId="2B0C40FA"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16</w:t>
            </w:r>
          </w:p>
        </w:tc>
        <w:tc>
          <w:tcPr>
            <w:tcW w:w="593" w:type="pct"/>
            <w:tcBorders>
              <w:top w:val="single" w:sz="4" w:space="0" w:color="auto"/>
              <w:left w:val="single" w:sz="4" w:space="0" w:color="auto"/>
              <w:bottom w:val="single" w:sz="4" w:space="0" w:color="auto"/>
              <w:right w:val="double" w:sz="4" w:space="0" w:color="auto"/>
            </w:tcBorders>
            <w:vAlign w:val="center"/>
            <w:hideMark/>
          </w:tcPr>
          <w:p w14:paraId="10257936"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w:t>
            </w:r>
          </w:p>
        </w:tc>
        <w:tc>
          <w:tcPr>
            <w:tcW w:w="593" w:type="pct"/>
            <w:tcBorders>
              <w:top w:val="single" w:sz="4" w:space="0" w:color="auto"/>
              <w:left w:val="double" w:sz="4" w:space="0" w:color="auto"/>
              <w:bottom w:val="single" w:sz="4" w:space="0" w:color="auto"/>
              <w:right w:val="single" w:sz="4" w:space="0" w:color="auto"/>
            </w:tcBorders>
            <w:vAlign w:val="center"/>
            <w:hideMark/>
          </w:tcPr>
          <w:p w14:paraId="08A7BD8D"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13</w:t>
            </w:r>
          </w:p>
        </w:tc>
        <w:tc>
          <w:tcPr>
            <w:tcW w:w="593" w:type="pct"/>
            <w:tcBorders>
              <w:top w:val="single" w:sz="4" w:space="0" w:color="auto"/>
              <w:left w:val="single" w:sz="4" w:space="0" w:color="auto"/>
              <w:bottom w:val="single" w:sz="4" w:space="0" w:color="auto"/>
              <w:right w:val="single" w:sz="4" w:space="0" w:color="auto"/>
            </w:tcBorders>
            <w:vAlign w:val="center"/>
            <w:hideMark/>
          </w:tcPr>
          <w:p w14:paraId="261F6ECA"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14</w:t>
            </w:r>
          </w:p>
        </w:tc>
        <w:tc>
          <w:tcPr>
            <w:tcW w:w="593" w:type="pct"/>
            <w:tcBorders>
              <w:top w:val="single" w:sz="4" w:space="0" w:color="auto"/>
              <w:left w:val="single" w:sz="4" w:space="0" w:color="auto"/>
              <w:bottom w:val="single" w:sz="4" w:space="0" w:color="auto"/>
              <w:right w:val="single" w:sz="4" w:space="0" w:color="auto"/>
            </w:tcBorders>
            <w:vAlign w:val="center"/>
            <w:hideMark/>
          </w:tcPr>
          <w:p w14:paraId="1EEA0770"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w:t>
            </w:r>
          </w:p>
        </w:tc>
      </w:tr>
      <w:tr w:rsidR="00AD0214" w:rsidRPr="00D31B2F" w14:paraId="023C9209"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1D352FC0" w14:textId="77777777" w:rsidR="00AD0214" w:rsidRPr="00D31B2F" w:rsidRDefault="00AD0214">
            <w:pPr>
              <w:pStyle w:val="COMTabletext"/>
              <w:keepLines w:val="0"/>
              <w:spacing w:line="276" w:lineRule="auto"/>
              <w:rPr>
                <w:kern w:val="2"/>
                <w:lang w:eastAsia="en-US"/>
                <w14:ligatures w14:val="standardContextual"/>
              </w:rPr>
            </w:pPr>
            <w:r w:rsidRPr="00D31B2F">
              <w:rPr>
                <w:kern w:val="2"/>
                <w:lang w:eastAsia="en-US"/>
                <w14:ligatures w14:val="standardContextual"/>
              </w:rPr>
              <w:t>Coronary revascularisation</w:t>
            </w:r>
          </w:p>
        </w:tc>
        <w:tc>
          <w:tcPr>
            <w:tcW w:w="592" w:type="pct"/>
            <w:tcBorders>
              <w:top w:val="single" w:sz="4" w:space="0" w:color="auto"/>
              <w:left w:val="single" w:sz="4" w:space="0" w:color="auto"/>
              <w:bottom w:val="single" w:sz="4" w:space="0" w:color="auto"/>
              <w:right w:val="single" w:sz="4" w:space="0" w:color="auto"/>
            </w:tcBorders>
            <w:vAlign w:val="center"/>
            <w:hideMark/>
          </w:tcPr>
          <w:p w14:paraId="1C758868"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67</w:t>
            </w:r>
          </w:p>
        </w:tc>
        <w:tc>
          <w:tcPr>
            <w:tcW w:w="593" w:type="pct"/>
            <w:tcBorders>
              <w:top w:val="single" w:sz="4" w:space="0" w:color="auto"/>
              <w:left w:val="single" w:sz="4" w:space="0" w:color="auto"/>
              <w:bottom w:val="single" w:sz="4" w:space="0" w:color="auto"/>
              <w:right w:val="single" w:sz="4" w:space="0" w:color="auto"/>
            </w:tcBorders>
            <w:vAlign w:val="center"/>
            <w:hideMark/>
          </w:tcPr>
          <w:p w14:paraId="63FEC556"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91</w:t>
            </w:r>
          </w:p>
        </w:tc>
        <w:tc>
          <w:tcPr>
            <w:tcW w:w="593" w:type="pct"/>
            <w:tcBorders>
              <w:top w:val="single" w:sz="4" w:space="0" w:color="auto"/>
              <w:left w:val="single" w:sz="4" w:space="0" w:color="auto"/>
              <w:bottom w:val="single" w:sz="4" w:space="0" w:color="auto"/>
              <w:right w:val="double" w:sz="4" w:space="0" w:color="auto"/>
            </w:tcBorders>
            <w:vAlign w:val="center"/>
            <w:hideMark/>
          </w:tcPr>
          <w:p w14:paraId="3FE55FFD"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-24</w:t>
            </w:r>
          </w:p>
        </w:tc>
        <w:tc>
          <w:tcPr>
            <w:tcW w:w="593" w:type="pct"/>
            <w:tcBorders>
              <w:top w:val="single" w:sz="4" w:space="0" w:color="auto"/>
              <w:left w:val="double" w:sz="4" w:space="0" w:color="auto"/>
              <w:bottom w:val="single" w:sz="4" w:space="0" w:color="auto"/>
              <w:right w:val="single" w:sz="4" w:space="0" w:color="auto"/>
            </w:tcBorders>
            <w:vAlign w:val="center"/>
            <w:hideMark/>
          </w:tcPr>
          <w:p w14:paraId="5DA04E64"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56</w:t>
            </w:r>
          </w:p>
        </w:tc>
        <w:tc>
          <w:tcPr>
            <w:tcW w:w="593" w:type="pct"/>
            <w:tcBorders>
              <w:top w:val="single" w:sz="4" w:space="0" w:color="auto"/>
              <w:left w:val="single" w:sz="4" w:space="0" w:color="auto"/>
              <w:bottom w:val="single" w:sz="4" w:space="0" w:color="auto"/>
              <w:right w:val="single" w:sz="4" w:space="0" w:color="auto"/>
            </w:tcBorders>
            <w:vAlign w:val="center"/>
            <w:hideMark/>
          </w:tcPr>
          <w:p w14:paraId="69EC383A"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73</w:t>
            </w:r>
          </w:p>
        </w:tc>
        <w:tc>
          <w:tcPr>
            <w:tcW w:w="593" w:type="pct"/>
            <w:tcBorders>
              <w:top w:val="single" w:sz="4" w:space="0" w:color="auto"/>
              <w:left w:val="single" w:sz="4" w:space="0" w:color="auto"/>
              <w:bottom w:val="single" w:sz="4" w:space="0" w:color="auto"/>
              <w:right w:val="single" w:sz="4" w:space="0" w:color="auto"/>
            </w:tcBorders>
            <w:vAlign w:val="center"/>
            <w:hideMark/>
          </w:tcPr>
          <w:p w14:paraId="26360A79"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-17</w:t>
            </w:r>
          </w:p>
        </w:tc>
      </w:tr>
      <w:tr w:rsidR="00AD0214" w:rsidRPr="00D31B2F" w14:paraId="7A251E79"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68BB2115" w14:textId="77777777" w:rsidR="00AD0214" w:rsidRPr="00D31B2F" w:rsidRDefault="00AD0214">
            <w:pPr>
              <w:pStyle w:val="COMTabletext"/>
              <w:keepLines w:val="0"/>
              <w:spacing w:line="276" w:lineRule="auto"/>
              <w:rPr>
                <w:kern w:val="2"/>
                <w:lang w:eastAsia="en-US"/>
                <w14:ligatures w14:val="standardContextual"/>
              </w:rPr>
            </w:pPr>
            <w:r w:rsidRPr="00D31B2F">
              <w:rPr>
                <w:kern w:val="2"/>
                <w:lang w:eastAsia="en-US"/>
                <w14:ligatures w14:val="standardContextual"/>
              </w:rPr>
              <w:t>Cardiovascular death</w:t>
            </w:r>
          </w:p>
        </w:tc>
        <w:tc>
          <w:tcPr>
            <w:tcW w:w="592" w:type="pct"/>
            <w:tcBorders>
              <w:top w:val="single" w:sz="4" w:space="0" w:color="auto"/>
              <w:left w:val="single" w:sz="4" w:space="0" w:color="auto"/>
              <w:bottom w:val="single" w:sz="4" w:space="0" w:color="auto"/>
              <w:right w:val="single" w:sz="4" w:space="0" w:color="auto"/>
            </w:tcBorders>
            <w:vAlign w:val="center"/>
            <w:hideMark/>
          </w:tcPr>
          <w:p w14:paraId="6DF11D36"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27</w:t>
            </w:r>
          </w:p>
        </w:tc>
        <w:tc>
          <w:tcPr>
            <w:tcW w:w="593" w:type="pct"/>
            <w:tcBorders>
              <w:top w:val="single" w:sz="4" w:space="0" w:color="auto"/>
              <w:left w:val="single" w:sz="4" w:space="0" w:color="auto"/>
              <w:bottom w:val="single" w:sz="4" w:space="0" w:color="auto"/>
              <w:right w:val="single" w:sz="4" w:space="0" w:color="auto"/>
            </w:tcBorders>
            <w:vAlign w:val="center"/>
            <w:hideMark/>
          </w:tcPr>
          <w:p w14:paraId="55FA97C1"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31</w:t>
            </w:r>
          </w:p>
        </w:tc>
        <w:tc>
          <w:tcPr>
            <w:tcW w:w="593" w:type="pct"/>
            <w:tcBorders>
              <w:top w:val="single" w:sz="4" w:space="0" w:color="auto"/>
              <w:left w:val="single" w:sz="4" w:space="0" w:color="auto"/>
              <w:bottom w:val="single" w:sz="4" w:space="0" w:color="auto"/>
              <w:right w:val="double" w:sz="4" w:space="0" w:color="auto"/>
            </w:tcBorders>
            <w:vAlign w:val="center"/>
            <w:hideMark/>
          </w:tcPr>
          <w:p w14:paraId="099C99C3"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-4</w:t>
            </w:r>
          </w:p>
        </w:tc>
        <w:tc>
          <w:tcPr>
            <w:tcW w:w="593" w:type="pct"/>
            <w:tcBorders>
              <w:top w:val="single" w:sz="4" w:space="0" w:color="auto"/>
              <w:left w:val="double" w:sz="4" w:space="0" w:color="auto"/>
              <w:bottom w:val="single" w:sz="4" w:space="0" w:color="auto"/>
              <w:right w:val="single" w:sz="4" w:space="0" w:color="auto"/>
            </w:tcBorders>
            <w:vAlign w:val="center"/>
            <w:hideMark/>
          </w:tcPr>
          <w:p w14:paraId="57C38EBA"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25</w:t>
            </w:r>
          </w:p>
        </w:tc>
        <w:tc>
          <w:tcPr>
            <w:tcW w:w="593" w:type="pct"/>
            <w:tcBorders>
              <w:top w:val="single" w:sz="4" w:space="0" w:color="auto"/>
              <w:left w:val="single" w:sz="4" w:space="0" w:color="auto"/>
              <w:bottom w:val="single" w:sz="4" w:space="0" w:color="auto"/>
              <w:right w:val="single" w:sz="4" w:space="0" w:color="auto"/>
            </w:tcBorders>
            <w:vAlign w:val="center"/>
            <w:hideMark/>
          </w:tcPr>
          <w:p w14:paraId="04475AF4"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30</w:t>
            </w:r>
          </w:p>
        </w:tc>
        <w:tc>
          <w:tcPr>
            <w:tcW w:w="593" w:type="pct"/>
            <w:tcBorders>
              <w:top w:val="single" w:sz="4" w:space="0" w:color="auto"/>
              <w:left w:val="single" w:sz="4" w:space="0" w:color="auto"/>
              <w:bottom w:val="single" w:sz="4" w:space="0" w:color="auto"/>
              <w:right w:val="single" w:sz="4" w:space="0" w:color="auto"/>
            </w:tcBorders>
            <w:vAlign w:val="center"/>
            <w:hideMark/>
          </w:tcPr>
          <w:p w14:paraId="4078ECE7"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-5</w:t>
            </w:r>
          </w:p>
        </w:tc>
      </w:tr>
      <w:tr w:rsidR="00AD0214" w:rsidRPr="00D31B2F" w14:paraId="570ED610"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7D0F0FE0" w14:textId="77777777" w:rsidR="00AD0214" w:rsidRPr="00D31B2F" w:rsidRDefault="00AD0214">
            <w:pPr>
              <w:pStyle w:val="COMTabletext"/>
              <w:keepLines w:val="0"/>
              <w:spacing w:line="276" w:lineRule="auto"/>
              <w:rPr>
                <w:kern w:val="2"/>
                <w:lang w:eastAsia="en-US"/>
                <w14:ligatures w14:val="standardContextual"/>
              </w:rPr>
            </w:pPr>
            <w:r w:rsidRPr="00D31B2F">
              <w:rPr>
                <w:kern w:val="2"/>
                <w:lang w:eastAsia="en-US"/>
                <w14:ligatures w14:val="standardContextual"/>
              </w:rPr>
              <w:t>Non-cardiovascular death</w:t>
            </w:r>
          </w:p>
        </w:tc>
        <w:tc>
          <w:tcPr>
            <w:tcW w:w="592" w:type="pct"/>
            <w:tcBorders>
              <w:top w:val="single" w:sz="4" w:space="0" w:color="auto"/>
              <w:left w:val="single" w:sz="4" w:space="0" w:color="auto"/>
              <w:bottom w:val="single" w:sz="4" w:space="0" w:color="auto"/>
              <w:right w:val="single" w:sz="4" w:space="0" w:color="auto"/>
            </w:tcBorders>
            <w:vAlign w:val="center"/>
            <w:hideMark/>
          </w:tcPr>
          <w:p w14:paraId="45E0F165"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18</w:t>
            </w:r>
          </w:p>
        </w:tc>
        <w:tc>
          <w:tcPr>
            <w:tcW w:w="593" w:type="pct"/>
            <w:tcBorders>
              <w:top w:val="single" w:sz="4" w:space="0" w:color="auto"/>
              <w:left w:val="single" w:sz="4" w:space="0" w:color="auto"/>
              <w:bottom w:val="single" w:sz="4" w:space="0" w:color="auto"/>
              <w:right w:val="single" w:sz="4" w:space="0" w:color="auto"/>
            </w:tcBorders>
            <w:vAlign w:val="center"/>
            <w:hideMark/>
          </w:tcPr>
          <w:p w14:paraId="6199949E"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24</w:t>
            </w:r>
          </w:p>
        </w:tc>
        <w:tc>
          <w:tcPr>
            <w:tcW w:w="593" w:type="pct"/>
            <w:tcBorders>
              <w:top w:val="single" w:sz="4" w:space="0" w:color="auto"/>
              <w:left w:val="single" w:sz="4" w:space="0" w:color="auto"/>
              <w:bottom w:val="single" w:sz="4" w:space="0" w:color="auto"/>
              <w:right w:val="double" w:sz="4" w:space="0" w:color="auto"/>
            </w:tcBorders>
            <w:vAlign w:val="center"/>
            <w:hideMark/>
          </w:tcPr>
          <w:p w14:paraId="5BE764F0"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-6</w:t>
            </w:r>
          </w:p>
        </w:tc>
        <w:tc>
          <w:tcPr>
            <w:tcW w:w="593" w:type="pct"/>
            <w:tcBorders>
              <w:top w:val="single" w:sz="4" w:space="0" w:color="auto"/>
              <w:left w:val="double" w:sz="4" w:space="0" w:color="auto"/>
              <w:bottom w:val="single" w:sz="4" w:space="0" w:color="auto"/>
              <w:right w:val="single" w:sz="4" w:space="0" w:color="auto"/>
            </w:tcBorders>
            <w:vAlign w:val="center"/>
            <w:hideMark/>
          </w:tcPr>
          <w:p w14:paraId="57182879"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17</w:t>
            </w:r>
          </w:p>
        </w:tc>
        <w:tc>
          <w:tcPr>
            <w:tcW w:w="593" w:type="pct"/>
            <w:tcBorders>
              <w:top w:val="single" w:sz="4" w:space="0" w:color="auto"/>
              <w:left w:val="single" w:sz="4" w:space="0" w:color="auto"/>
              <w:bottom w:val="single" w:sz="4" w:space="0" w:color="auto"/>
              <w:right w:val="single" w:sz="4" w:space="0" w:color="auto"/>
            </w:tcBorders>
            <w:vAlign w:val="center"/>
            <w:hideMark/>
          </w:tcPr>
          <w:p w14:paraId="54D58944"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22</w:t>
            </w:r>
          </w:p>
        </w:tc>
        <w:tc>
          <w:tcPr>
            <w:tcW w:w="593" w:type="pct"/>
            <w:tcBorders>
              <w:top w:val="single" w:sz="4" w:space="0" w:color="auto"/>
              <w:left w:val="single" w:sz="4" w:space="0" w:color="auto"/>
              <w:bottom w:val="single" w:sz="4" w:space="0" w:color="auto"/>
              <w:right w:val="single" w:sz="4" w:space="0" w:color="auto"/>
            </w:tcBorders>
            <w:vAlign w:val="center"/>
            <w:hideMark/>
          </w:tcPr>
          <w:p w14:paraId="1EFFD158" w14:textId="77777777" w:rsidR="00AD0214" w:rsidRPr="00D31B2F" w:rsidRDefault="00AD0214">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-5</w:t>
            </w:r>
          </w:p>
        </w:tc>
      </w:tr>
    </w:tbl>
    <w:p w14:paraId="6F370D62" w14:textId="77777777" w:rsidR="00AD0214" w:rsidRPr="00D31B2F" w:rsidRDefault="00AD0214" w:rsidP="00AD0214">
      <w:pPr>
        <w:pStyle w:val="COMTablefooter"/>
        <w:rPr>
          <w:iCs/>
        </w:rPr>
      </w:pPr>
      <w:r w:rsidRPr="00D31B2F">
        <w:rPr>
          <w:iCs/>
        </w:rPr>
        <w:t>Source: ‘Section 3 Workbook’ provided with the resubmission</w:t>
      </w:r>
    </w:p>
    <w:p w14:paraId="2E09662F" w14:textId="77777777" w:rsidR="00AD0214" w:rsidRPr="00D31B2F" w:rsidRDefault="00AD0214" w:rsidP="00AD0214">
      <w:pPr>
        <w:pStyle w:val="COMTablefooter"/>
        <w:rPr>
          <w:iCs/>
        </w:rPr>
      </w:pPr>
      <w:r w:rsidRPr="00D31B2F">
        <w:rPr>
          <w:iCs/>
        </w:rPr>
        <w:t xml:space="preserve">a Calculated based on reported trial-based event rates for total events (includes initial and subsequent events) for the ITT population × 3,500 years of observation time (1,000 patients with 3.5 years follow-up) </w:t>
      </w:r>
    </w:p>
    <w:p w14:paraId="39A1DD09" w14:textId="77777777" w:rsidR="00AD0214" w:rsidRPr="00D31B2F" w:rsidRDefault="00AD0214" w:rsidP="00AD0214">
      <w:pPr>
        <w:pStyle w:val="COMTablefooter"/>
        <w:rPr>
          <w:iCs/>
        </w:rPr>
      </w:pPr>
      <w:r w:rsidRPr="00D31B2F">
        <w:rPr>
          <w:iCs/>
        </w:rPr>
        <w:t>b Calculated based on 1,000 modelled patients and a time horizon of 3.5 years. The model used direct estimates from the SELECT trial during this period based on the reported incidence rates (initial event only) with an additional risk multiplier for diabetes (age multipliers do not affect the first 3.5 years of the model and no BMI multipliers are applied to ITT population)</w:t>
      </w:r>
    </w:p>
    <w:p w14:paraId="11A97272" w14:textId="25067EAF" w:rsidR="00AD0214" w:rsidRPr="00D31B2F" w:rsidRDefault="00D25190" w:rsidP="00CF440B">
      <w:pPr>
        <w:pStyle w:val="Caption"/>
        <w:keepLines/>
        <w:widowControl w:val="0"/>
      </w:pPr>
      <w:r w:rsidRPr="00D31B2F">
        <w:lastRenderedPageBreak/>
        <w:t xml:space="preserve">Table </w:t>
      </w:r>
      <w:r w:rsidR="005448C5">
        <w:fldChar w:fldCharType="begin"/>
      </w:r>
      <w:r w:rsidR="005448C5">
        <w:instrText xml:space="preserve"> SEQ Table \* ARABIC </w:instrText>
      </w:r>
      <w:r w:rsidR="005448C5">
        <w:fldChar w:fldCharType="separate"/>
      </w:r>
      <w:r w:rsidR="004F1BBD">
        <w:rPr>
          <w:noProof/>
        </w:rPr>
        <w:t>13</w:t>
      </w:r>
      <w:r w:rsidR="005448C5">
        <w:rPr>
          <w:noProof/>
        </w:rPr>
        <w:fldChar w:fldCharType="end"/>
      </w:r>
      <w:r w:rsidRPr="00D31B2F">
        <w:t>:</w:t>
      </w:r>
      <w:r w:rsidR="00AD0214" w:rsidRPr="00D31B2F">
        <w:t xml:space="preserve"> Comparison of trial-based and modelled cardiovascular events in patients with a BMI ≥35 kg/m</w:t>
      </w:r>
      <w:r w:rsidR="00AD0214" w:rsidRPr="00D31B2F">
        <w:rPr>
          <w:vertAlign w:val="superscript"/>
        </w:rPr>
        <w:t>2</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Comparison of trial-based and modelled cardiovascular events in patients with a BMI ≥35 kg/m2"/>
      </w:tblPr>
      <w:tblGrid>
        <w:gridCol w:w="2600"/>
        <w:gridCol w:w="1066"/>
        <w:gridCol w:w="1068"/>
        <w:gridCol w:w="1068"/>
        <w:gridCol w:w="1068"/>
        <w:gridCol w:w="1068"/>
        <w:gridCol w:w="1068"/>
      </w:tblGrid>
      <w:tr w:rsidR="00AD0214" w:rsidRPr="00D31B2F" w14:paraId="17155EF6" w14:textId="77777777" w:rsidTr="00AD0214">
        <w:trPr>
          <w:trHeight w:val="131"/>
        </w:trPr>
        <w:tc>
          <w:tcPr>
            <w:tcW w:w="1443" w:type="pct"/>
            <w:vMerge w:val="restart"/>
            <w:tcBorders>
              <w:top w:val="single" w:sz="4" w:space="0" w:color="auto"/>
              <w:left w:val="single" w:sz="4" w:space="0" w:color="auto"/>
              <w:bottom w:val="single" w:sz="4" w:space="0" w:color="auto"/>
              <w:right w:val="single" w:sz="4" w:space="0" w:color="auto"/>
            </w:tcBorders>
            <w:vAlign w:val="center"/>
            <w:hideMark/>
          </w:tcPr>
          <w:p w14:paraId="2C984087" w14:textId="77777777" w:rsidR="00AD0214" w:rsidRPr="00D31B2F" w:rsidRDefault="00AD0214" w:rsidP="00CF440B">
            <w:pPr>
              <w:pStyle w:val="COMTableheadingrow"/>
              <w:widowControl w:val="0"/>
              <w:spacing w:line="276" w:lineRule="auto"/>
              <w:rPr>
                <w:kern w:val="2"/>
                <w:lang w:eastAsia="en-US"/>
                <w14:ligatures w14:val="standardContextual"/>
              </w:rPr>
            </w:pPr>
            <w:r w:rsidRPr="00D31B2F">
              <w:rPr>
                <w:kern w:val="2"/>
                <w:lang w:eastAsia="en-US"/>
                <w14:ligatures w14:val="standardContextual"/>
              </w:rPr>
              <w:t>Health outcomes</w:t>
            </w:r>
          </w:p>
        </w:tc>
        <w:tc>
          <w:tcPr>
            <w:tcW w:w="1778" w:type="pct"/>
            <w:gridSpan w:val="3"/>
            <w:tcBorders>
              <w:top w:val="single" w:sz="4" w:space="0" w:color="auto"/>
              <w:left w:val="single" w:sz="4" w:space="0" w:color="auto"/>
              <w:bottom w:val="single" w:sz="4" w:space="0" w:color="auto"/>
              <w:right w:val="double" w:sz="4" w:space="0" w:color="auto"/>
            </w:tcBorders>
            <w:vAlign w:val="center"/>
            <w:hideMark/>
          </w:tcPr>
          <w:p w14:paraId="67F04EF6" w14:textId="77777777" w:rsidR="00AD0214" w:rsidRPr="00D31B2F" w:rsidRDefault="00AD0214" w:rsidP="00CF440B">
            <w:pPr>
              <w:pStyle w:val="COMTableheadingrow"/>
              <w:widowControl w:val="0"/>
              <w:spacing w:line="276" w:lineRule="auto"/>
              <w:jc w:val="center"/>
              <w:rPr>
                <w:kern w:val="2"/>
                <w:vertAlign w:val="superscript"/>
                <w:lang w:eastAsia="en-US"/>
                <w14:ligatures w14:val="standardContextual"/>
              </w:rPr>
            </w:pPr>
            <w:r w:rsidRPr="00D31B2F">
              <w:rPr>
                <w:kern w:val="2"/>
                <w:lang w:eastAsia="en-US"/>
                <w14:ligatures w14:val="standardContextual"/>
              </w:rPr>
              <w:t xml:space="preserve">Trial-based </w:t>
            </w:r>
            <w:proofErr w:type="spellStart"/>
            <w:r w:rsidRPr="00D31B2F">
              <w:rPr>
                <w:kern w:val="2"/>
                <w:lang w:eastAsia="en-US"/>
                <w14:ligatures w14:val="standardContextual"/>
              </w:rPr>
              <w:t>estimates</w:t>
            </w:r>
            <w:r w:rsidRPr="00D31B2F">
              <w:rPr>
                <w:kern w:val="2"/>
                <w:vertAlign w:val="superscript"/>
                <w:lang w:eastAsia="en-US"/>
                <w14:ligatures w14:val="standardContextual"/>
              </w:rPr>
              <w:t>a</w:t>
            </w:r>
            <w:proofErr w:type="spellEnd"/>
          </w:p>
        </w:tc>
        <w:tc>
          <w:tcPr>
            <w:tcW w:w="1779" w:type="pct"/>
            <w:gridSpan w:val="3"/>
            <w:tcBorders>
              <w:top w:val="single" w:sz="4" w:space="0" w:color="auto"/>
              <w:left w:val="double" w:sz="4" w:space="0" w:color="auto"/>
              <w:bottom w:val="single" w:sz="4" w:space="0" w:color="auto"/>
              <w:right w:val="single" w:sz="4" w:space="0" w:color="auto"/>
            </w:tcBorders>
            <w:vAlign w:val="center"/>
            <w:hideMark/>
          </w:tcPr>
          <w:p w14:paraId="09121DFE" w14:textId="77777777" w:rsidR="00AD0214" w:rsidRPr="00D31B2F" w:rsidRDefault="00AD0214" w:rsidP="00CF440B">
            <w:pPr>
              <w:pStyle w:val="COMTableheadingrow"/>
              <w:widowControl w:val="0"/>
              <w:spacing w:line="276" w:lineRule="auto"/>
              <w:jc w:val="center"/>
              <w:rPr>
                <w:kern w:val="2"/>
                <w:lang w:eastAsia="en-US"/>
                <w14:ligatures w14:val="standardContextual"/>
              </w:rPr>
            </w:pPr>
            <w:r w:rsidRPr="00D31B2F">
              <w:rPr>
                <w:kern w:val="2"/>
                <w:lang w:eastAsia="en-US"/>
                <w14:ligatures w14:val="standardContextual"/>
              </w:rPr>
              <w:t xml:space="preserve">Modelled </w:t>
            </w:r>
            <w:proofErr w:type="spellStart"/>
            <w:r w:rsidRPr="00D31B2F">
              <w:rPr>
                <w:kern w:val="2"/>
                <w:lang w:eastAsia="en-US"/>
                <w14:ligatures w14:val="standardContextual"/>
              </w:rPr>
              <w:t>estimates</w:t>
            </w:r>
            <w:r w:rsidRPr="00D31B2F">
              <w:rPr>
                <w:kern w:val="2"/>
                <w:vertAlign w:val="superscript"/>
                <w:lang w:eastAsia="en-US"/>
                <w14:ligatures w14:val="standardContextual"/>
              </w:rPr>
              <w:t>b</w:t>
            </w:r>
            <w:proofErr w:type="spellEnd"/>
          </w:p>
        </w:tc>
      </w:tr>
      <w:tr w:rsidR="00AD0214" w:rsidRPr="00D31B2F" w14:paraId="7A202A1E" w14:textId="77777777" w:rsidTr="00AD0214">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8B3FF" w14:textId="77777777" w:rsidR="00AD0214" w:rsidRPr="00D31B2F" w:rsidRDefault="00AD0214" w:rsidP="00CF440B">
            <w:pPr>
              <w:keepNext/>
              <w:keepLines/>
              <w:widowControl w:val="0"/>
              <w:spacing w:line="276" w:lineRule="auto"/>
              <w:jc w:val="left"/>
              <w:rPr>
                <w:rFonts w:ascii="Arial Narrow" w:hAnsi="Arial Narrow"/>
                <w:b/>
                <w:bCs/>
                <w:kern w:val="2"/>
                <w:sz w:val="20"/>
                <w:szCs w:val="20"/>
                <w:lang w:eastAsia="en-US"/>
                <w14:ligatures w14:val="standardContextual"/>
              </w:rPr>
            </w:pPr>
          </w:p>
        </w:tc>
        <w:tc>
          <w:tcPr>
            <w:tcW w:w="592" w:type="pct"/>
            <w:tcBorders>
              <w:top w:val="single" w:sz="4" w:space="0" w:color="auto"/>
              <w:left w:val="single" w:sz="4" w:space="0" w:color="auto"/>
              <w:bottom w:val="single" w:sz="4" w:space="0" w:color="auto"/>
              <w:right w:val="single" w:sz="4" w:space="0" w:color="auto"/>
            </w:tcBorders>
            <w:vAlign w:val="center"/>
            <w:hideMark/>
          </w:tcPr>
          <w:p w14:paraId="5F4E130E" w14:textId="77777777" w:rsidR="00AD0214" w:rsidRPr="00D31B2F" w:rsidRDefault="00AD0214" w:rsidP="00CF440B">
            <w:pPr>
              <w:pStyle w:val="COMTableheadingrow"/>
              <w:widowControl w:val="0"/>
              <w:spacing w:line="276" w:lineRule="auto"/>
              <w:jc w:val="center"/>
              <w:rPr>
                <w:kern w:val="2"/>
                <w:lang w:eastAsia="en-US"/>
                <w14:ligatures w14:val="standardContextual"/>
              </w:rPr>
            </w:pPr>
            <w:r w:rsidRPr="00D31B2F">
              <w:rPr>
                <w:kern w:val="2"/>
                <w:lang w:eastAsia="en-US"/>
                <w14:ligatures w14:val="standardContextual"/>
              </w:rPr>
              <w:t>Semaglutide</w:t>
            </w:r>
          </w:p>
        </w:tc>
        <w:tc>
          <w:tcPr>
            <w:tcW w:w="593" w:type="pct"/>
            <w:tcBorders>
              <w:top w:val="single" w:sz="4" w:space="0" w:color="auto"/>
              <w:left w:val="single" w:sz="4" w:space="0" w:color="auto"/>
              <w:bottom w:val="single" w:sz="4" w:space="0" w:color="auto"/>
              <w:right w:val="single" w:sz="4" w:space="0" w:color="auto"/>
            </w:tcBorders>
            <w:vAlign w:val="center"/>
            <w:hideMark/>
          </w:tcPr>
          <w:p w14:paraId="513DDC9F" w14:textId="77777777" w:rsidR="00AD0214" w:rsidRPr="00D31B2F" w:rsidRDefault="00AD0214" w:rsidP="00CF440B">
            <w:pPr>
              <w:pStyle w:val="COMTableheadingrow"/>
              <w:widowControl w:val="0"/>
              <w:spacing w:line="276" w:lineRule="auto"/>
              <w:jc w:val="center"/>
              <w:rPr>
                <w:kern w:val="2"/>
                <w:lang w:eastAsia="en-US"/>
                <w14:ligatures w14:val="standardContextual"/>
              </w:rPr>
            </w:pPr>
            <w:r w:rsidRPr="00D31B2F">
              <w:rPr>
                <w:kern w:val="2"/>
                <w:lang w:eastAsia="en-US"/>
                <w14:ligatures w14:val="standardContextual"/>
              </w:rPr>
              <w:t>Placebo</w:t>
            </w:r>
          </w:p>
        </w:tc>
        <w:tc>
          <w:tcPr>
            <w:tcW w:w="593" w:type="pct"/>
            <w:tcBorders>
              <w:top w:val="single" w:sz="4" w:space="0" w:color="auto"/>
              <w:left w:val="single" w:sz="4" w:space="0" w:color="auto"/>
              <w:bottom w:val="single" w:sz="4" w:space="0" w:color="auto"/>
              <w:right w:val="double" w:sz="4" w:space="0" w:color="auto"/>
            </w:tcBorders>
            <w:vAlign w:val="center"/>
            <w:hideMark/>
          </w:tcPr>
          <w:p w14:paraId="4D45A61D" w14:textId="77777777" w:rsidR="00AD0214" w:rsidRPr="00D31B2F" w:rsidRDefault="00AD0214" w:rsidP="00CF440B">
            <w:pPr>
              <w:pStyle w:val="COMTableheadingrow"/>
              <w:widowControl w:val="0"/>
              <w:spacing w:line="276" w:lineRule="auto"/>
              <w:jc w:val="center"/>
              <w:rPr>
                <w:kern w:val="2"/>
                <w:lang w:eastAsia="en-US"/>
                <w14:ligatures w14:val="standardContextual"/>
              </w:rPr>
            </w:pPr>
            <w:r w:rsidRPr="00D31B2F">
              <w:rPr>
                <w:kern w:val="2"/>
                <w:lang w:eastAsia="en-US"/>
                <w14:ligatures w14:val="standardContextual"/>
              </w:rPr>
              <w:t>Increment</w:t>
            </w:r>
          </w:p>
        </w:tc>
        <w:tc>
          <w:tcPr>
            <w:tcW w:w="593" w:type="pct"/>
            <w:tcBorders>
              <w:top w:val="single" w:sz="4" w:space="0" w:color="auto"/>
              <w:left w:val="double" w:sz="4" w:space="0" w:color="auto"/>
              <w:bottom w:val="single" w:sz="4" w:space="0" w:color="auto"/>
              <w:right w:val="single" w:sz="4" w:space="0" w:color="auto"/>
            </w:tcBorders>
            <w:vAlign w:val="center"/>
            <w:hideMark/>
          </w:tcPr>
          <w:p w14:paraId="04028506" w14:textId="77777777" w:rsidR="00AD0214" w:rsidRPr="00D31B2F" w:rsidRDefault="00AD0214" w:rsidP="00CF440B">
            <w:pPr>
              <w:pStyle w:val="COMTableheadingrow"/>
              <w:widowControl w:val="0"/>
              <w:spacing w:line="276" w:lineRule="auto"/>
              <w:jc w:val="center"/>
              <w:rPr>
                <w:kern w:val="2"/>
                <w:lang w:eastAsia="en-US"/>
                <w14:ligatures w14:val="standardContextual"/>
              </w:rPr>
            </w:pPr>
            <w:r w:rsidRPr="00D31B2F">
              <w:rPr>
                <w:kern w:val="2"/>
                <w:lang w:eastAsia="en-US"/>
                <w14:ligatures w14:val="standardContextual"/>
              </w:rPr>
              <w:t>Semaglutide</w:t>
            </w:r>
          </w:p>
        </w:tc>
        <w:tc>
          <w:tcPr>
            <w:tcW w:w="593" w:type="pct"/>
            <w:tcBorders>
              <w:top w:val="single" w:sz="4" w:space="0" w:color="auto"/>
              <w:left w:val="single" w:sz="4" w:space="0" w:color="auto"/>
              <w:bottom w:val="single" w:sz="4" w:space="0" w:color="auto"/>
              <w:right w:val="single" w:sz="4" w:space="0" w:color="auto"/>
            </w:tcBorders>
            <w:vAlign w:val="center"/>
            <w:hideMark/>
          </w:tcPr>
          <w:p w14:paraId="6FB5EC87" w14:textId="77777777" w:rsidR="00AD0214" w:rsidRPr="00D31B2F" w:rsidRDefault="00AD0214" w:rsidP="00CF440B">
            <w:pPr>
              <w:pStyle w:val="COMTableheadingrow"/>
              <w:widowControl w:val="0"/>
              <w:spacing w:line="276" w:lineRule="auto"/>
              <w:jc w:val="center"/>
              <w:rPr>
                <w:kern w:val="2"/>
                <w:lang w:eastAsia="en-US"/>
                <w14:ligatures w14:val="standardContextual"/>
              </w:rPr>
            </w:pPr>
            <w:r w:rsidRPr="00D31B2F">
              <w:rPr>
                <w:kern w:val="2"/>
                <w:lang w:eastAsia="en-US"/>
                <w14:ligatures w14:val="standardContextual"/>
              </w:rPr>
              <w:t>Placebo</w:t>
            </w:r>
          </w:p>
        </w:tc>
        <w:tc>
          <w:tcPr>
            <w:tcW w:w="593" w:type="pct"/>
            <w:tcBorders>
              <w:top w:val="single" w:sz="4" w:space="0" w:color="auto"/>
              <w:left w:val="single" w:sz="4" w:space="0" w:color="auto"/>
              <w:bottom w:val="single" w:sz="4" w:space="0" w:color="auto"/>
              <w:right w:val="single" w:sz="4" w:space="0" w:color="auto"/>
            </w:tcBorders>
            <w:vAlign w:val="center"/>
            <w:hideMark/>
          </w:tcPr>
          <w:p w14:paraId="313FDD79" w14:textId="77777777" w:rsidR="00AD0214" w:rsidRPr="00D31B2F" w:rsidRDefault="00AD0214" w:rsidP="00CF440B">
            <w:pPr>
              <w:pStyle w:val="COMTableheadingrow"/>
              <w:widowControl w:val="0"/>
              <w:spacing w:line="276" w:lineRule="auto"/>
              <w:jc w:val="center"/>
              <w:rPr>
                <w:kern w:val="2"/>
                <w:lang w:eastAsia="en-US"/>
                <w14:ligatures w14:val="standardContextual"/>
              </w:rPr>
            </w:pPr>
            <w:r w:rsidRPr="00D31B2F">
              <w:rPr>
                <w:kern w:val="2"/>
                <w:lang w:eastAsia="en-US"/>
                <w14:ligatures w14:val="standardContextual"/>
              </w:rPr>
              <w:t>Increment</w:t>
            </w:r>
          </w:p>
        </w:tc>
      </w:tr>
      <w:tr w:rsidR="00AD0214" w:rsidRPr="00D31B2F" w14:paraId="023DEC20" w14:textId="77777777" w:rsidTr="00AD0214">
        <w:tc>
          <w:tcPr>
            <w:tcW w:w="5000" w:type="pct"/>
            <w:gridSpan w:val="7"/>
            <w:tcBorders>
              <w:top w:val="single" w:sz="4" w:space="0" w:color="auto"/>
              <w:left w:val="single" w:sz="4" w:space="0" w:color="auto"/>
              <w:bottom w:val="single" w:sz="4" w:space="0" w:color="auto"/>
              <w:right w:val="single" w:sz="4" w:space="0" w:color="auto"/>
            </w:tcBorders>
            <w:hideMark/>
          </w:tcPr>
          <w:p w14:paraId="3EFCC5D2" w14:textId="77777777" w:rsidR="00AD0214" w:rsidRPr="00D31B2F" w:rsidRDefault="00AD0214" w:rsidP="00CF440B">
            <w:pPr>
              <w:pStyle w:val="COMTableheadingrow"/>
              <w:widowControl w:val="0"/>
              <w:spacing w:line="276" w:lineRule="auto"/>
              <w:rPr>
                <w:kern w:val="2"/>
                <w:lang w:eastAsia="en-US"/>
                <w14:ligatures w14:val="standardContextual"/>
              </w:rPr>
            </w:pPr>
            <w:r w:rsidRPr="00D31B2F">
              <w:rPr>
                <w:kern w:val="2"/>
                <w:lang w:eastAsia="en-US"/>
                <w14:ligatures w14:val="standardContextual"/>
              </w:rPr>
              <w:t>Cardiovascular events per 1,000 patients over 3.5 years</w:t>
            </w:r>
          </w:p>
        </w:tc>
      </w:tr>
      <w:tr w:rsidR="00AD0214" w:rsidRPr="00D31B2F" w14:paraId="42416832"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1C982B25" w14:textId="77777777" w:rsidR="00AD0214" w:rsidRPr="00D31B2F" w:rsidRDefault="00AD0214" w:rsidP="00CF440B">
            <w:pPr>
              <w:pStyle w:val="COMTabletext"/>
              <w:widowControl w:val="0"/>
              <w:spacing w:line="276" w:lineRule="auto"/>
              <w:rPr>
                <w:kern w:val="2"/>
                <w:lang w:eastAsia="en-US"/>
                <w14:ligatures w14:val="standardContextual"/>
              </w:rPr>
            </w:pPr>
            <w:r w:rsidRPr="00D31B2F">
              <w:rPr>
                <w:kern w:val="2"/>
                <w:lang w:eastAsia="en-US"/>
                <w14:ligatures w14:val="standardContextual"/>
              </w:rPr>
              <w:t>Non-fatal myocardial infarction</w:t>
            </w:r>
          </w:p>
        </w:tc>
        <w:tc>
          <w:tcPr>
            <w:tcW w:w="592" w:type="pct"/>
            <w:tcBorders>
              <w:top w:val="single" w:sz="4" w:space="0" w:color="auto"/>
              <w:left w:val="single" w:sz="4" w:space="0" w:color="auto"/>
              <w:bottom w:val="single" w:sz="4" w:space="0" w:color="auto"/>
              <w:right w:val="single" w:sz="4" w:space="0" w:color="auto"/>
            </w:tcBorders>
            <w:vAlign w:val="center"/>
            <w:hideMark/>
          </w:tcPr>
          <w:p w14:paraId="14BBE1AB"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34</w:t>
            </w:r>
          </w:p>
        </w:tc>
        <w:tc>
          <w:tcPr>
            <w:tcW w:w="593" w:type="pct"/>
            <w:tcBorders>
              <w:top w:val="single" w:sz="4" w:space="0" w:color="auto"/>
              <w:left w:val="single" w:sz="4" w:space="0" w:color="auto"/>
              <w:bottom w:val="single" w:sz="4" w:space="0" w:color="auto"/>
              <w:right w:val="single" w:sz="4" w:space="0" w:color="auto"/>
            </w:tcBorders>
            <w:vAlign w:val="center"/>
            <w:hideMark/>
          </w:tcPr>
          <w:p w14:paraId="06CD2295"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46</w:t>
            </w:r>
          </w:p>
        </w:tc>
        <w:tc>
          <w:tcPr>
            <w:tcW w:w="593" w:type="pct"/>
            <w:tcBorders>
              <w:top w:val="single" w:sz="4" w:space="0" w:color="auto"/>
              <w:left w:val="single" w:sz="4" w:space="0" w:color="auto"/>
              <w:bottom w:val="single" w:sz="4" w:space="0" w:color="auto"/>
              <w:right w:val="double" w:sz="4" w:space="0" w:color="auto"/>
            </w:tcBorders>
            <w:vAlign w:val="center"/>
            <w:hideMark/>
          </w:tcPr>
          <w:p w14:paraId="06B47038"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-12</w:t>
            </w:r>
          </w:p>
        </w:tc>
        <w:tc>
          <w:tcPr>
            <w:tcW w:w="593" w:type="pct"/>
            <w:tcBorders>
              <w:top w:val="single" w:sz="4" w:space="0" w:color="auto"/>
              <w:left w:val="double" w:sz="4" w:space="0" w:color="auto"/>
              <w:bottom w:val="single" w:sz="4" w:space="0" w:color="auto"/>
              <w:right w:val="single" w:sz="4" w:space="0" w:color="auto"/>
            </w:tcBorders>
            <w:vAlign w:val="center"/>
            <w:hideMark/>
          </w:tcPr>
          <w:p w14:paraId="5341CFC3"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30</w:t>
            </w:r>
          </w:p>
        </w:tc>
        <w:tc>
          <w:tcPr>
            <w:tcW w:w="593" w:type="pct"/>
            <w:tcBorders>
              <w:top w:val="single" w:sz="4" w:space="0" w:color="auto"/>
              <w:left w:val="single" w:sz="4" w:space="0" w:color="auto"/>
              <w:bottom w:val="single" w:sz="4" w:space="0" w:color="auto"/>
              <w:right w:val="single" w:sz="4" w:space="0" w:color="auto"/>
            </w:tcBorders>
            <w:vAlign w:val="center"/>
            <w:hideMark/>
          </w:tcPr>
          <w:p w14:paraId="1ECC4741"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42</w:t>
            </w:r>
          </w:p>
        </w:tc>
        <w:tc>
          <w:tcPr>
            <w:tcW w:w="593" w:type="pct"/>
            <w:tcBorders>
              <w:top w:val="single" w:sz="4" w:space="0" w:color="auto"/>
              <w:left w:val="single" w:sz="4" w:space="0" w:color="auto"/>
              <w:bottom w:val="single" w:sz="4" w:space="0" w:color="auto"/>
              <w:right w:val="single" w:sz="4" w:space="0" w:color="auto"/>
            </w:tcBorders>
            <w:vAlign w:val="center"/>
            <w:hideMark/>
          </w:tcPr>
          <w:p w14:paraId="1DD6532B"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-12</w:t>
            </w:r>
          </w:p>
        </w:tc>
      </w:tr>
      <w:tr w:rsidR="00AD0214" w:rsidRPr="00D31B2F" w14:paraId="5D165668"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62471C41" w14:textId="77777777" w:rsidR="00AD0214" w:rsidRPr="00D31B2F" w:rsidRDefault="00AD0214" w:rsidP="00CF440B">
            <w:pPr>
              <w:pStyle w:val="COMTabletext"/>
              <w:widowControl w:val="0"/>
              <w:spacing w:line="276" w:lineRule="auto"/>
              <w:rPr>
                <w:kern w:val="2"/>
                <w:lang w:eastAsia="en-US"/>
                <w14:ligatures w14:val="standardContextual"/>
              </w:rPr>
            </w:pPr>
            <w:r w:rsidRPr="00D31B2F">
              <w:rPr>
                <w:kern w:val="2"/>
                <w:lang w:eastAsia="en-US"/>
                <w14:ligatures w14:val="standardContextual"/>
              </w:rPr>
              <w:t>Non-fatal stroke</w:t>
            </w:r>
          </w:p>
        </w:tc>
        <w:tc>
          <w:tcPr>
            <w:tcW w:w="592" w:type="pct"/>
            <w:tcBorders>
              <w:top w:val="single" w:sz="4" w:space="0" w:color="auto"/>
              <w:left w:val="single" w:sz="4" w:space="0" w:color="auto"/>
              <w:bottom w:val="single" w:sz="4" w:space="0" w:color="auto"/>
              <w:right w:val="single" w:sz="4" w:space="0" w:color="auto"/>
            </w:tcBorders>
            <w:vAlign w:val="center"/>
            <w:hideMark/>
          </w:tcPr>
          <w:p w14:paraId="5D13DE80"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24</w:t>
            </w:r>
          </w:p>
        </w:tc>
        <w:tc>
          <w:tcPr>
            <w:tcW w:w="593" w:type="pct"/>
            <w:tcBorders>
              <w:top w:val="single" w:sz="4" w:space="0" w:color="auto"/>
              <w:left w:val="single" w:sz="4" w:space="0" w:color="auto"/>
              <w:bottom w:val="single" w:sz="4" w:space="0" w:color="auto"/>
              <w:right w:val="single" w:sz="4" w:space="0" w:color="auto"/>
            </w:tcBorders>
            <w:vAlign w:val="center"/>
            <w:hideMark/>
          </w:tcPr>
          <w:p w14:paraId="5E4BBC20"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24</w:t>
            </w:r>
          </w:p>
        </w:tc>
        <w:tc>
          <w:tcPr>
            <w:tcW w:w="593" w:type="pct"/>
            <w:tcBorders>
              <w:top w:val="single" w:sz="4" w:space="0" w:color="auto"/>
              <w:left w:val="single" w:sz="4" w:space="0" w:color="auto"/>
              <w:bottom w:val="single" w:sz="4" w:space="0" w:color="auto"/>
              <w:right w:val="double" w:sz="4" w:space="0" w:color="auto"/>
            </w:tcBorders>
            <w:vAlign w:val="center"/>
            <w:hideMark/>
          </w:tcPr>
          <w:p w14:paraId="1A7CF97C"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0</w:t>
            </w:r>
          </w:p>
        </w:tc>
        <w:tc>
          <w:tcPr>
            <w:tcW w:w="593" w:type="pct"/>
            <w:tcBorders>
              <w:top w:val="single" w:sz="4" w:space="0" w:color="auto"/>
              <w:left w:val="double" w:sz="4" w:space="0" w:color="auto"/>
              <w:bottom w:val="single" w:sz="4" w:space="0" w:color="auto"/>
              <w:right w:val="single" w:sz="4" w:space="0" w:color="auto"/>
            </w:tcBorders>
            <w:vAlign w:val="center"/>
            <w:hideMark/>
          </w:tcPr>
          <w:p w14:paraId="477BC610"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20</w:t>
            </w:r>
          </w:p>
        </w:tc>
        <w:tc>
          <w:tcPr>
            <w:tcW w:w="593" w:type="pct"/>
            <w:tcBorders>
              <w:top w:val="single" w:sz="4" w:space="0" w:color="auto"/>
              <w:left w:val="single" w:sz="4" w:space="0" w:color="auto"/>
              <w:bottom w:val="single" w:sz="4" w:space="0" w:color="auto"/>
              <w:right w:val="single" w:sz="4" w:space="0" w:color="auto"/>
            </w:tcBorders>
            <w:vAlign w:val="center"/>
            <w:hideMark/>
          </w:tcPr>
          <w:p w14:paraId="726A409B"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21</w:t>
            </w:r>
          </w:p>
        </w:tc>
        <w:tc>
          <w:tcPr>
            <w:tcW w:w="593" w:type="pct"/>
            <w:tcBorders>
              <w:top w:val="single" w:sz="4" w:space="0" w:color="auto"/>
              <w:left w:val="single" w:sz="4" w:space="0" w:color="auto"/>
              <w:bottom w:val="single" w:sz="4" w:space="0" w:color="auto"/>
              <w:right w:val="single" w:sz="4" w:space="0" w:color="auto"/>
            </w:tcBorders>
            <w:vAlign w:val="center"/>
            <w:hideMark/>
          </w:tcPr>
          <w:p w14:paraId="713D709E"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-1</w:t>
            </w:r>
          </w:p>
        </w:tc>
      </w:tr>
      <w:tr w:rsidR="00AD0214" w:rsidRPr="00D31B2F" w14:paraId="3779E9FA"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3CFDBB1C" w14:textId="77777777" w:rsidR="00AD0214" w:rsidRPr="00D31B2F" w:rsidRDefault="00AD0214" w:rsidP="00CF440B">
            <w:pPr>
              <w:pStyle w:val="COMTabletext"/>
              <w:widowControl w:val="0"/>
              <w:spacing w:line="276" w:lineRule="auto"/>
              <w:rPr>
                <w:kern w:val="2"/>
                <w:lang w:eastAsia="en-US"/>
                <w14:ligatures w14:val="standardContextual"/>
              </w:rPr>
            </w:pPr>
            <w:r w:rsidRPr="00D31B2F">
              <w:rPr>
                <w:kern w:val="2"/>
                <w:lang w:eastAsia="en-US"/>
                <w14:ligatures w14:val="standardContextual"/>
              </w:rPr>
              <w:t>Hospitalisation/urgent care for heart failure</w:t>
            </w:r>
          </w:p>
        </w:tc>
        <w:tc>
          <w:tcPr>
            <w:tcW w:w="592" w:type="pct"/>
            <w:tcBorders>
              <w:top w:val="single" w:sz="4" w:space="0" w:color="auto"/>
              <w:left w:val="single" w:sz="4" w:space="0" w:color="auto"/>
              <w:bottom w:val="single" w:sz="4" w:space="0" w:color="auto"/>
              <w:right w:val="single" w:sz="4" w:space="0" w:color="auto"/>
            </w:tcBorders>
            <w:vAlign w:val="center"/>
            <w:hideMark/>
          </w:tcPr>
          <w:p w14:paraId="6CFFE727"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24</w:t>
            </w:r>
          </w:p>
        </w:tc>
        <w:tc>
          <w:tcPr>
            <w:tcW w:w="593" w:type="pct"/>
            <w:tcBorders>
              <w:top w:val="single" w:sz="4" w:space="0" w:color="auto"/>
              <w:left w:val="single" w:sz="4" w:space="0" w:color="auto"/>
              <w:bottom w:val="single" w:sz="4" w:space="0" w:color="auto"/>
              <w:right w:val="single" w:sz="4" w:space="0" w:color="auto"/>
            </w:tcBorders>
            <w:vAlign w:val="center"/>
            <w:hideMark/>
          </w:tcPr>
          <w:p w14:paraId="3053B609"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30</w:t>
            </w:r>
          </w:p>
        </w:tc>
        <w:tc>
          <w:tcPr>
            <w:tcW w:w="593" w:type="pct"/>
            <w:tcBorders>
              <w:top w:val="single" w:sz="4" w:space="0" w:color="auto"/>
              <w:left w:val="single" w:sz="4" w:space="0" w:color="auto"/>
              <w:bottom w:val="single" w:sz="4" w:space="0" w:color="auto"/>
              <w:right w:val="double" w:sz="4" w:space="0" w:color="auto"/>
            </w:tcBorders>
            <w:vAlign w:val="center"/>
            <w:hideMark/>
          </w:tcPr>
          <w:p w14:paraId="167B3C48"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-6</w:t>
            </w:r>
          </w:p>
        </w:tc>
        <w:tc>
          <w:tcPr>
            <w:tcW w:w="593" w:type="pct"/>
            <w:tcBorders>
              <w:top w:val="single" w:sz="4" w:space="0" w:color="auto"/>
              <w:left w:val="double" w:sz="4" w:space="0" w:color="auto"/>
              <w:bottom w:val="single" w:sz="4" w:space="0" w:color="auto"/>
              <w:right w:val="single" w:sz="4" w:space="0" w:color="auto"/>
            </w:tcBorders>
            <w:vAlign w:val="center"/>
            <w:hideMark/>
          </w:tcPr>
          <w:p w14:paraId="10C454CD"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12</w:t>
            </w:r>
          </w:p>
        </w:tc>
        <w:tc>
          <w:tcPr>
            <w:tcW w:w="593" w:type="pct"/>
            <w:tcBorders>
              <w:top w:val="single" w:sz="4" w:space="0" w:color="auto"/>
              <w:left w:val="single" w:sz="4" w:space="0" w:color="auto"/>
              <w:bottom w:val="single" w:sz="4" w:space="0" w:color="auto"/>
              <w:right w:val="single" w:sz="4" w:space="0" w:color="auto"/>
            </w:tcBorders>
            <w:vAlign w:val="center"/>
            <w:hideMark/>
          </w:tcPr>
          <w:p w14:paraId="56F5EA41"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15</w:t>
            </w:r>
          </w:p>
        </w:tc>
        <w:tc>
          <w:tcPr>
            <w:tcW w:w="593" w:type="pct"/>
            <w:tcBorders>
              <w:top w:val="single" w:sz="4" w:space="0" w:color="auto"/>
              <w:left w:val="single" w:sz="4" w:space="0" w:color="auto"/>
              <w:bottom w:val="single" w:sz="4" w:space="0" w:color="auto"/>
              <w:right w:val="single" w:sz="4" w:space="0" w:color="auto"/>
            </w:tcBorders>
            <w:vAlign w:val="center"/>
            <w:hideMark/>
          </w:tcPr>
          <w:p w14:paraId="332898C7"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-3</w:t>
            </w:r>
          </w:p>
        </w:tc>
      </w:tr>
      <w:tr w:rsidR="00AD0214" w:rsidRPr="00D31B2F" w14:paraId="0452D1EA"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5B11F3EF" w14:textId="77777777" w:rsidR="00AD0214" w:rsidRPr="00D31B2F" w:rsidRDefault="00AD0214" w:rsidP="00CF440B">
            <w:pPr>
              <w:pStyle w:val="COMTabletext"/>
              <w:widowControl w:val="0"/>
              <w:spacing w:line="276" w:lineRule="auto"/>
              <w:rPr>
                <w:kern w:val="2"/>
                <w:lang w:eastAsia="en-US"/>
                <w14:ligatures w14:val="standardContextual"/>
              </w:rPr>
            </w:pPr>
            <w:r w:rsidRPr="00D31B2F">
              <w:rPr>
                <w:kern w:val="2"/>
                <w:lang w:eastAsia="en-US"/>
                <w14:ligatures w14:val="standardContextual"/>
              </w:rPr>
              <w:t>Hospitalisation for unstable angina</w:t>
            </w:r>
          </w:p>
        </w:tc>
        <w:tc>
          <w:tcPr>
            <w:tcW w:w="592" w:type="pct"/>
            <w:tcBorders>
              <w:top w:val="single" w:sz="4" w:space="0" w:color="auto"/>
              <w:left w:val="single" w:sz="4" w:space="0" w:color="auto"/>
              <w:bottom w:val="single" w:sz="4" w:space="0" w:color="auto"/>
              <w:right w:val="single" w:sz="4" w:space="0" w:color="auto"/>
            </w:tcBorders>
            <w:vAlign w:val="center"/>
            <w:hideMark/>
          </w:tcPr>
          <w:p w14:paraId="5AC8090A"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10</w:t>
            </w:r>
          </w:p>
        </w:tc>
        <w:tc>
          <w:tcPr>
            <w:tcW w:w="593" w:type="pct"/>
            <w:tcBorders>
              <w:top w:val="single" w:sz="4" w:space="0" w:color="auto"/>
              <w:left w:val="single" w:sz="4" w:space="0" w:color="auto"/>
              <w:bottom w:val="single" w:sz="4" w:space="0" w:color="auto"/>
              <w:right w:val="single" w:sz="4" w:space="0" w:color="auto"/>
            </w:tcBorders>
            <w:vAlign w:val="center"/>
            <w:hideMark/>
          </w:tcPr>
          <w:p w14:paraId="470FB014"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10</w:t>
            </w:r>
          </w:p>
        </w:tc>
        <w:tc>
          <w:tcPr>
            <w:tcW w:w="593" w:type="pct"/>
            <w:tcBorders>
              <w:top w:val="single" w:sz="4" w:space="0" w:color="auto"/>
              <w:left w:val="single" w:sz="4" w:space="0" w:color="auto"/>
              <w:bottom w:val="single" w:sz="4" w:space="0" w:color="auto"/>
              <w:right w:val="double" w:sz="4" w:space="0" w:color="auto"/>
            </w:tcBorders>
            <w:vAlign w:val="center"/>
            <w:hideMark/>
          </w:tcPr>
          <w:p w14:paraId="3FE2DB3D"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0</w:t>
            </w:r>
          </w:p>
        </w:tc>
        <w:tc>
          <w:tcPr>
            <w:tcW w:w="593" w:type="pct"/>
            <w:tcBorders>
              <w:top w:val="single" w:sz="4" w:space="0" w:color="auto"/>
              <w:left w:val="double" w:sz="4" w:space="0" w:color="auto"/>
              <w:bottom w:val="single" w:sz="4" w:space="0" w:color="auto"/>
              <w:right w:val="single" w:sz="4" w:space="0" w:color="auto"/>
            </w:tcBorders>
            <w:vAlign w:val="center"/>
            <w:hideMark/>
          </w:tcPr>
          <w:p w14:paraId="7D01832E"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15</w:t>
            </w:r>
          </w:p>
        </w:tc>
        <w:tc>
          <w:tcPr>
            <w:tcW w:w="593" w:type="pct"/>
            <w:tcBorders>
              <w:top w:val="single" w:sz="4" w:space="0" w:color="auto"/>
              <w:left w:val="single" w:sz="4" w:space="0" w:color="auto"/>
              <w:bottom w:val="single" w:sz="4" w:space="0" w:color="auto"/>
              <w:right w:val="single" w:sz="4" w:space="0" w:color="auto"/>
            </w:tcBorders>
            <w:vAlign w:val="center"/>
            <w:hideMark/>
          </w:tcPr>
          <w:p w14:paraId="3E127B9D"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16</w:t>
            </w:r>
          </w:p>
        </w:tc>
        <w:tc>
          <w:tcPr>
            <w:tcW w:w="593" w:type="pct"/>
            <w:tcBorders>
              <w:top w:val="single" w:sz="4" w:space="0" w:color="auto"/>
              <w:left w:val="single" w:sz="4" w:space="0" w:color="auto"/>
              <w:bottom w:val="single" w:sz="4" w:space="0" w:color="auto"/>
              <w:right w:val="single" w:sz="4" w:space="0" w:color="auto"/>
            </w:tcBorders>
            <w:vAlign w:val="center"/>
            <w:hideMark/>
          </w:tcPr>
          <w:p w14:paraId="661D1245"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-1</w:t>
            </w:r>
          </w:p>
        </w:tc>
      </w:tr>
      <w:tr w:rsidR="00AD0214" w:rsidRPr="00D31B2F" w14:paraId="32B4AE90"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784BA03F" w14:textId="77777777" w:rsidR="00AD0214" w:rsidRPr="00D31B2F" w:rsidRDefault="00AD0214" w:rsidP="00CF440B">
            <w:pPr>
              <w:pStyle w:val="COMTabletext"/>
              <w:widowControl w:val="0"/>
              <w:spacing w:line="276" w:lineRule="auto"/>
              <w:rPr>
                <w:kern w:val="2"/>
                <w:lang w:eastAsia="en-US"/>
                <w14:ligatures w14:val="standardContextual"/>
              </w:rPr>
            </w:pPr>
            <w:r w:rsidRPr="00D31B2F">
              <w:rPr>
                <w:kern w:val="2"/>
                <w:lang w:eastAsia="en-US"/>
                <w14:ligatures w14:val="standardContextual"/>
              </w:rPr>
              <w:t>Coronary revascularisation</w:t>
            </w:r>
          </w:p>
        </w:tc>
        <w:tc>
          <w:tcPr>
            <w:tcW w:w="592" w:type="pct"/>
            <w:tcBorders>
              <w:top w:val="single" w:sz="4" w:space="0" w:color="auto"/>
              <w:left w:val="single" w:sz="4" w:space="0" w:color="auto"/>
              <w:bottom w:val="single" w:sz="4" w:space="0" w:color="auto"/>
              <w:right w:val="single" w:sz="4" w:space="0" w:color="auto"/>
            </w:tcBorders>
            <w:vAlign w:val="center"/>
            <w:hideMark/>
          </w:tcPr>
          <w:p w14:paraId="084F9178"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67</w:t>
            </w:r>
          </w:p>
        </w:tc>
        <w:tc>
          <w:tcPr>
            <w:tcW w:w="593" w:type="pct"/>
            <w:tcBorders>
              <w:top w:val="single" w:sz="4" w:space="0" w:color="auto"/>
              <w:left w:val="single" w:sz="4" w:space="0" w:color="auto"/>
              <w:bottom w:val="single" w:sz="4" w:space="0" w:color="auto"/>
              <w:right w:val="single" w:sz="4" w:space="0" w:color="auto"/>
            </w:tcBorders>
            <w:vAlign w:val="center"/>
            <w:hideMark/>
          </w:tcPr>
          <w:p w14:paraId="6F8C5061"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82</w:t>
            </w:r>
          </w:p>
        </w:tc>
        <w:tc>
          <w:tcPr>
            <w:tcW w:w="593" w:type="pct"/>
            <w:tcBorders>
              <w:top w:val="single" w:sz="4" w:space="0" w:color="auto"/>
              <w:left w:val="single" w:sz="4" w:space="0" w:color="auto"/>
              <w:bottom w:val="single" w:sz="4" w:space="0" w:color="auto"/>
              <w:right w:val="double" w:sz="4" w:space="0" w:color="auto"/>
            </w:tcBorders>
            <w:vAlign w:val="center"/>
            <w:hideMark/>
          </w:tcPr>
          <w:p w14:paraId="74F48462"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-15</w:t>
            </w:r>
          </w:p>
        </w:tc>
        <w:tc>
          <w:tcPr>
            <w:tcW w:w="593" w:type="pct"/>
            <w:tcBorders>
              <w:top w:val="single" w:sz="4" w:space="0" w:color="auto"/>
              <w:left w:val="double" w:sz="4" w:space="0" w:color="auto"/>
              <w:bottom w:val="single" w:sz="4" w:space="0" w:color="auto"/>
              <w:right w:val="single" w:sz="4" w:space="0" w:color="auto"/>
            </w:tcBorders>
            <w:vAlign w:val="center"/>
            <w:hideMark/>
          </w:tcPr>
          <w:p w14:paraId="63879A36"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62</w:t>
            </w:r>
          </w:p>
        </w:tc>
        <w:tc>
          <w:tcPr>
            <w:tcW w:w="593" w:type="pct"/>
            <w:tcBorders>
              <w:top w:val="single" w:sz="4" w:space="0" w:color="auto"/>
              <w:left w:val="single" w:sz="4" w:space="0" w:color="auto"/>
              <w:bottom w:val="single" w:sz="4" w:space="0" w:color="auto"/>
              <w:right w:val="single" w:sz="4" w:space="0" w:color="auto"/>
            </w:tcBorders>
            <w:vAlign w:val="center"/>
            <w:hideMark/>
          </w:tcPr>
          <w:p w14:paraId="6433F822"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81</w:t>
            </w:r>
          </w:p>
        </w:tc>
        <w:tc>
          <w:tcPr>
            <w:tcW w:w="593" w:type="pct"/>
            <w:tcBorders>
              <w:top w:val="single" w:sz="4" w:space="0" w:color="auto"/>
              <w:left w:val="single" w:sz="4" w:space="0" w:color="auto"/>
              <w:bottom w:val="single" w:sz="4" w:space="0" w:color="auto"/>
              <w:right w:val="single" w:sz="4" w:space="0" w:color="auto"/>
            </w:tcBorders>
            <w:vAlign w:val="center"/>
            <w:hideMark/>
          </w:tcPr>
          <w:p w14:paraId="38C32D7C"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-19</w:t>
            </w:r>
          </w:p>
        </w:tc>
      </w:tr>
      <w:tr w:rsidR="00AD0214" w:rsidRPr="00D31B2F" w14:paraId="2AAA7A64"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58998CD9" w14:textId="77777777" w:rsidR="00AD0214" w:rsidRPr="00D31B2F" w:rsidRDefault="00AD0214" w:rsidP="00CF440B">
            <w:pPr>
              <w:pStyle w:val="COMTabletext"/>
              <w:widowControl w:val="0"/>
              <w:spacing w:line="276" w:lineRule="auto"/>
              <w:rPr>
                <w:kern w:val="2"/>
                <w:lang w:eastAsia="en-US"/>
                <w14:ligatures w14:val="standardContextual"/>
              </w:rPr>
            </w:pPr>
            <w:r w:rsidRPr="00D31B2F">
              <w:rPr>
                <w:kern w:val="2"/>
                <w:lang w:eastAsia="en-US"/>
                <w14:ligatures w14:val="standardContextual"/>
              </w:rPr>
              <w:t>Cardiovascular death</w:t>
            </w:r>
          </w:p>
        </w:tc>
        <w:tc>
          <w:tcPr>
            <w:tcW w:w="592" w:type="pct"/>
            <w:tcBorders>
              <w:top w:val="single" w:sz="4" w:space="0" w:color="auto"/>
              <w:left w:val="single" w:sz="4" w:space="0" w:color="auto"/>
              <w:bottom w:val="single" w:sz="4" w:space="0" w:color="auto"/>
              <w:right w:val="single" w:sz="4" w:space="0" w:color="auto"/>
            </w:tcBorders>
            <w:vAlign w:val="center"/>
            <w:hideMark/>
          </w:tcPr>
          <w:p w14:paraId="15BD4610"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34</w:t>
            </w:r>
          </w:p>
        </w:tc>
        <w:tc>
          <w:tcPr>
            <w:tcW w:w="593" w:type="pct"/>
            <w:tcBorders>
              <w:top w:val="single" w:sz="4" w:space="0" w:color="auto"/>
              <w:left w:val="single" w:sz="4" w:space="0" w:color="auto"/>
              <w:bottom w:val="single" w:sz="4" w:space="0" w:color="auto"/>
              <w:right w:val="single" w:sz="4" w:space="0" w:color="auto"/>
            </w:tcBorders>
            <w:vAlign w:val="center"/>
            <w:hideMark/>
          </w:tcPr>
          <w:p w14:paraId="19359680"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34</w:t>
            </w:r>
          </w:p>
        </w:tc>
        <w:tc>
          <w:tcPr>
            <w:tcW w:w="593" w:type="pct"/>
            <w:tcBorders>
              <w:top w:val="single" w:sz="4" w:space="0" w:color="auto"/>
              <w:left w:val="single" w:sz="4" w:space="0" w:color="auto"/>
              <w:bottom w:val="single" w:sz="4" w:space="0" w:color="auto"/>
              <w:right w:val="double" w:sz="4" w:space="0" w:color="auto"/>
            </w:tcBorders>
            <w:vAlign w:val="center"/>
            <w:hideMark/>
          </w:tcPr>
          <w:p w14:paraId="37DB794D"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0</w:t>
            </w:r>
          </w:p>
        </w:tc>
        <w:tc>
          <w:tcPr>
            <w:tcW w:w="593" w:type="pct"/>
            <w:tcBorders>
              <w:top w:val="single" w:sz="4" w:space="0" w:color="auto"/>
              <w:left w:val="double" w:sz="4" w:space="0" w:color="auto"/>
              <w:bottom w:val="single" w:sz="4" w:space="0" w:color="auto"/>
              <w:right w:val="single" w:sz="4" w:space="0" w:color="auto"/>
            </w:tcBorders>
            <w:vAlign w:val="center"/>
            <w:hideMark/>
          </w:tcPr>
          <w:p w14:paraId="79C95FC7"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27</w:t>
            </w:r>
          </w:p>
        </w:tc>
        <w:tc>
          <w:tcPr>
            <w:tcW w:w="593" w:type="pct"/>
            <w:tcBorders>
              <w:top w:val="single" w:sz="4" w:space="0" w:color="auto"/>
              <w:left w:val="single" w:sz="4" w:space="0" w:color="auto"/>
              <w:bottom w:val="single" w:sz="4" w:space="0" w:color="auto"/>
              <w:right w:val="single" w:sz="4" w:space="0" w:color="auto"/>
            </w:tcBorders>
            <w:vAlign w:val="center"/>
            <w:hideMark/>
          </w:tcPr>
          <w:p w14:paraId="3D6C4935"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33</w:t>
            </w:r>
          </w:p>
        </w:tc>
        <w:tc>
          <w:tcPr>
            <w:tcW w:w="593" w:type="pct"/>
            <w:tcBorders>
              <w:top w:val="single" w:sz="4" w:space="0" w:color="auto"/>
              <w:left w:val="single" w:sz="4" w:space="0" w:color="auto"/>
              <w:bottom w:val="single" w:sz="4" w:space="0" w:color="auto"/>
              <w:right w:val="single" w:sz="4" w:space="0" w:color="auto"/>
            </w:tcBorders>
            <w:vAlign w:val="center"/>
            <w:hideMark/>
          </w:tcPr>
          <w:p w14:paraId="7E415017"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-6</w:t>
            </w:r>
          </w:p>
        </w:tc>
      </w:tr>
      <w:tr w:rsidR="00AD0214" w:rsidRPr="00D31B2F" w14:paraId="1358E19D"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692627DE" w14:textId="77777777" w:rsidR="00AD0214" w:rsidRPr="00D31B2F" w:rsidRDefault="00AD0214" w:rsidP="00CF440B">
            <w:pPr>
              <w:pStyle w:val="COMTabletext"/>
              <w:widowControl w:val="0"/>
              <w:spacing w:line="276" w:lineRule="auto"/>
              <w:rPr>
                <w:kern w:val="2"/>
                <w:lang w:eastAsia="en-US"/>
                <w14:ligatures w14:val="standardContextual"/>
              </w:rPr>
            </w:pPr>
            <w:r w:rsidRPr="00D31B2F">
              <w:rPr>
                <w:kern w:val="2"/>
                <w:lang w:eastAsia="en-US"/>
                <w14:ligatures w14:val="standardContextual"/>
              </w:rPr>
              <w:t>Non-cardiovascular death</w:t>
            </w:r>
          </w:p>
        </w:tc>
        <w:tc>
          <w:tcPr>
            <w:tcW w:w="592" w:type="pct"/>
            <w:tcBorders>
              <w:top w:val="single" w:sz="4" w:space="0" w:color="auto"/>
              <w:left w:val="single" w:sz="4" w:space="0" w:color="auto"/>
              <w:bottom w:val="single" w:sz="4" w:space="0" w:color="auto"/>
              <w:right w:val="single" w:sz="4" w:space="0" w:color="auto"/>
            </w:tcBorders>
            <w:vAlign w:val="center"/>
            <w:hideMark/>
          </w:tcPr>
          <w:p w14:paraId="77D44BCF"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22</w:t>
            </w:r>
          </w:p>
        </w:tc>
        <w:tc>
          <w:tcPr>
            <w:tcW w:w="593" w:type="pct"/>
            <w:tcBorders>
              <w:top w:val="single" w:sz="4" w:space="0" w:color="auto"/>
              <w:left w:val="single" w:sz="4" w:space="0" w:color="auto"/>
              <w:bottom w:val="single" w:sz="4" w:space="0" w:color="auto"/>
              <w:right w:val="single" w:sz="4" w:space="0" w:color="auto"/>
            </w:tcBorders>
            <w:vAlign w:val="center"/>
            <w:hideMark/>
          </w:tcPr>
          <w:p w14:paraId="266D2E13"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24</w:t>
            </w:r>
          </w:p>
        </w:tc>
        <w:tc>
          <w:tcPr>
            <w:tcW w:w="593" w:type="pct"/>
            <w:tcBorders>
              <w:top w:val="single" w:sz="4" w:space="0" w:color="auto"/>
              <w:left w:val="single" w:sz="4" w:space="0" w:color="auto"/>
              <w:bottom w:val="single" w:sz="4" w:space="0" w:color="auto"/>
              <w:right w:val="double" w:sz="4" w:space="0" w:color="auto"/>
            </w:tcBorders>
            <w:vAlign w:val="center"/>
            <w:hideMark/>
          </w:tcPr>
          <w:p w14:paraId="458D5BB4"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-2</w:t>
            </w:r>
          </w:p>
        </w:tc>
        <w:tc>
          <w:tcPr>
            <w:tcW w:w="593" w:type="pct"/>
            <w:tcBorders>
              <w:top w:val="single" w:sz="4" w:space="0" w:color="auto"/>
              <w:left w:val="double" w:sz="4" w:space="0" w:color="auto"/>
              <w:bottom w:val="single" w:sz="4" w:space="0" w:color="auto"/>
              <w:right w:val="single" w:sz="4" w:space="0" w:color="auto"/>
            </w:tcBorders>
            <w:vAlign w:val="center"/>
            <w:hideMark/>
          </w:tcPr>
          <w:p w14:paraId="5B03E932"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16</w:t>
            </w:r>
          </w:p>
        </w:tc>
        <w:tc>
          <w:tcPr>
            <w:tcW w:w="593" w:type="pct"/>
            <w:tcBorders>
              <w:top w:val="single" w:sz="4" w:space="0" w:color="auto"/>
              <w:left w:val="single" w:sz="4" w:space="0" w:color="auto"/>
              <w:bottom w:val="single" w:sz="4" w:space="0" w:color="auto"/>
              <w:right w:val="single" w:sz="4" w:space="0" w:color="auto"/>
            </w:tcBorders>
            <w:vAlign w:val="center"/>
            <w:hideMark/>
          </w:tcPr>
          <w:p w14:paraId="40161714"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22</w:t>
            </w:r>
          </w:p>
        </w:tc>
        <w:tc>
          <w:tcPr>
            <w:tcW w:w="593" w:type="pct"/>
            <w:tcBorders>
              <w:top w:val="single" w:sz="4" w:space="0" w:color="auto"/>
              <w:left w:val="single" w:sz="4" w:space="0" w:color="auto"/>
              <w:bottom w:val="single" w:sz="4" w:space="0" w:color="auto"/>
              <w:right w:val="single" w:sz="4" w:space="0" w:color="auto"/>
            </w:tcBorders>
            <w:vAlign w:val="center"/>
            <w:hideMark/>
          </w:tcPr>
          <w:p w14:paraId="2A803408" w14:textId="77777777" w:rsidR="00AD0214" w:rsidRPr="00D31B2F" w:rsidRDefault="00AD0214" w:rsidP="00CF440B">
            <w:pPr>
              <w:pStyle w:val="COMTabletext"/>
              <w:widowControl w:val="0"/>
              <w:spacing w:line="276" w:lineRule="auto"/>
              <w:jc w:val="center"/>
              <w:rPr>
                <w:kern w:val="2"/>
                <w:lang w:eastAsia="en-US"/>
                <w14:ligatures w14:val="standardContextual"/>
              </w:rPr>
            </w:pPr>
            <w:r w:rsidRPr="00D31B2F">
              <w:rPr>
                <w:kern w:val="2"/>
                <w:lang w:eastAsia="en-US"/>
                <w14:ligatures w14:val="standardContextual"/>
              </w:rPr>
              <w:t>-6</w:t>
            </w:r>
          </w:p>
        </w:tc>
      </w:tr>
    </w:tbl>
    <w:p w14:paraId="53D3FB2E" w14:textId="77777777" w:rsidR="00AD0214" w:rsidRPr="00D31B2F" w:rsidRDefault="00AD0214" w:rsidP="00AD0214">
      <w:pPr>
        <w:pStyle w:val="COMTablefooter"/>
      </w:pPr>
      <w:r w:rsidRPr="00D31B2F">
        <w:t>Source: ‘Section 3 Workbook’ provided with the resubmission</w:t>
      </w:r>
    </w:p>
    <w:p w14:paraId="065807EE" w14:textId="77777777" w:rsidR="00AD0214" w:rsidRPr="00D31B2F" w:rsidRDefault="00AD0214" w:rsidP="00AD0214">
      <w:pPr>
        <w:pStyle w:val="COMTablefooter"/>
      </w:pPr>
      <w:r w:rsidRPr="00D31B2F">
        <w:t xml:space="preserve">a Calculated based on reported trial-based event rates for total events (includes initial and subsequent events) for the BMI ≥35 kg/m2 subgroup population × 3,500 years of observation time (1,000 patients with 3.5 years follow-up) </w:t>
      </w:r>
    </w:p>
    <w:p w14:paraId="74F8CF31" w14:textId="2654C4A6" w:rsidR="00183B6C" w:rsidRPr="00D31B2F" w:rsidRDefault="00AD0214" w:rsidP="00454942">
      <w:pPr>
        <w:pStyle w:val="COMTablefooter"/>
      </w:pPr>
      <w:r w:rsidRPr="00D31B2F">
        <w:t>b Calculated based on 1,000 modelled patients and a time horizon of 3.5 years. The model used direct estimates from the SELECT trial ITT population during this period based on the reported incidence rates (initial event only) with additional risk multipliers for diabetes and BMI (age multipliers do not affect the first 3.5 years of the model)</w:t>
      </w:r>
    </w:p>
    <w:p w14:paraId="5943C318" w14:textId="086D648E" w:rsidR="00AD0214" w:rsidRPr="00D31B2F" w:rsidRDefault="00D25190" w:rsidP="00BC6C3F">
      <w:pPr>
        <w:pStyle w:val="Caption"/>
      </w:pPr>
      <w:r w:rsidRPr="00D31B2F">
        <w:t xml:space="preserve">Table </w:t>
      </w:r>
      <w:r w:rsidR="005448C5">
        <w:fldChar w:fldCharType="begin"/>
      </w:r>
      <w:r w:rsidR="005448C5">
        <w:instrText xml:space="preserve"> SEQ Table \* ARABIC </w:instrText>
      </w:r>
      <w:r w:rsidR="005448C5">
        <w:fldChar w:fldCharType="separate"/>
      </w:r>
      <w:r w:rsidR="004F1BBD">
        <w:rPr>
          <w:noProof/>
        </w:rPr>
        <w:t>14</w:t>
      </w:r>
      <w:r w:rsidR="005448C5">
        <w:rPr>
          <w:noProof/>
        </w:rPr>
        <w:fldChar w:fldCharType="end"/>
      </w:r>
      <w:r w:rsidRPr="00D31B2F">
        <w:t>:</w:t>
      </w:r>
      <w:r w:rsidR="00AD0214" w:rsidRPr="00D31B2F">
        <w:t xml:space="preserve"> Comparison of trial-based and modelled cardiovascular events in patients with a BMI ≥40 kg/m</w:t>
      </w:r>
      <w:r w:rsidR="00AD0214" w:rsidRPr="00D31B2F">
        <w:rPr>
          <w:vertAlign w:val="superscript"/>
        </w:rPr>
        <w:t>2</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Comparison of trial-based and modelled cardiovascular events in patients with a BMI ≥40 kg/m2"/>
      </w:tblPr>
      <w:tblGrid>
        <w:gridCol w:w="2600"/>
        <w:gridCol w:w="1066"/>
        <w:gridCol w:w="1068"/>
        <w:gridCol w:w="1068"/>
        <w:gridCol w:w="1068"/>
        <w:gridCol w:w="1068"/>
        <w:gridCol w:w="1068"/>
      </w:tblGrid>
      <w:tr w:rsidR="00AD0214" w:rsidRPr="00D31B2F" w14:paraId="418151A9" w14:textId="77777777" w:rsidTr="00AD0214">
        <w:trPr>
          <w:trHeight w:val="131"/>
        </w:trPr>
        <w:tc>
          <w:tcPr>
            <w:tcW w:w="1443" w:type="pct"/>
            <w:vMerge w:val="restart"/>
            <w:tcBorders>
              <w:top w:val="single" w:sz="4" w:space="0" w:color="auto"/>
              <w:left w:val="single" w:sz="4" w:space="0" w:color="auto"/>
              <w:bottom w:val="single" w:sz="4" w:space="0" w:color="auto"/>
              <w:right w:val="single" w:sz="4" w:space="0" w:color="auto"/>
            </w:tcBorders>
            <w:vAlign w:val="center"/>
            <w:hideMark/>
          </w:tcPr>
          <w:p w14:paraId="17A04ECE" w14:textId="77777777" w:rsidR="00AD0214" w:rsidRPr="00D31B2F" w:rsidRDefault="00AD0214" w:rsidP="00BC6C3F">
            <w:pPr>
              <w:pStyle w:val="COMTableheadingrow"/>
              <w:spacing w:line="276" w:lineRule="auto"/>
              <w:rPr>
                <w:kern w:val="2"/>
                <w:lang w:eastAsia="en-US"/>
                <w14:ligatures w14:val="standardContextual"/>
              </w:rPr>
            </w:pPr>
            <w:r w:rsidRPr="00D31B2F">
              <w:rPr>
                <w:kern w:val="2"/>
                <w:lang w:eastAsia="en-US"/>
                <w14:ligatures w14:val="standardContextual"/>
              </w:rPr>
              <w:t>Health outcomes</w:t>
            </w:r>
          </w:p>
        </w:tc>
        <w:tc>
          <w:tcPr>
            <w:tcW w:w="1778" w:type="pct"/>
            <w:gridSpan w:val="3"/>
            <w:tcBorders>
              <w:top w:val="single" w:sz="4" w:space="0" w:color="auto"/>
              <w:left w:val="single" w:sz="4" w:space="0" w:color="auto"/>
              <w:bottom w:val="single" w:sz="4" w:space="0" w:color="auto"/>
              <w:right w:val="double" w:sz="4" w:space="0" w:color="auto"/>
            </w:tcBorders>
            <w:vAlign w:val="center"/>
            <w:hideMark/>
          </w:tcPr>
          <w:p w14:paraId="7BFBFB91" w14:textId="77777777" w:rsidR="00AD0214" w:rsidRPr="00D31B2F" w:rsidRDefault="00AD0214" w:rsidP="00BC6C3F">
            <w:pPr>
              <w:pStyle w:val="COMTableheadingrow"/>
              <w:keepLines w:val="0"/>
              <w:spacing w:line="276" w:lineRule="auto"/>
              <w:jc w:val="center"/>
              <w:rPr>
                <w:kern w:val="2"/>
                <w:vertAlign w:val="superscript"/>
                <w:lang w:eastAsia="en-US"/>
                <w14:ligatures w14:val="standardContextual"/>
              </w:rPr>
            </w:pPr>
            <w:r w:rsidRPr="00D31B2F">
              <w:rPr>
                <w:kern w:val="2"/>
                <w:lang w:eastAsia="en-US"/>
                <w14:ligatures w14:val="standardContextual"/>
              </w:rPr>
              <w:t xml:space="preserve">Trial-based </w:t>
            </w:r>
            <w:proofErr w:type="spellStart"/>
            <w:r w:rsidRPr="00D31B2F">
              <w:rPr>
                <w:kern w:val="2"/>
                <w:lang w:eastAsia="en-US"/>
                <w14:ligatures w14:val="standardContextual"/>
              </w:rPr>
              <w:t>estimates</w:t>
            </w:r>
            <w:r w:rsidRPr="00D31B2F">
              <w:rPr>
                <w:kern w:val="2"/>
                <w:vertAlign w:val="superscript"/>
                <w:lang w:eastAsia="en-US"/>
                <w14:ligatures w14:val="standardContextual"/>
              </w:rPr>
              <w:t>a</w:t>
            </w:r>
            <w:proofErr w:type="spellEnd"/>
          </w:p>
        </w:tc>
        <w:tc>
          <w:tcPr>
            <w:tcW w:w="1779" w:type="pct"/>
            <w:gridSpan w:val="3"/>
            <w:tcBorders>
              <w:top w:val="single" w:sz="4" w:space="0" w:color="auto"/>
              <w:left w:val="double" w:sz="4" w:space="0" w:color="auto"/>
              <w:bottom w:val="single" w:sz="4" w:space="0" w:color="auto"/>
              <w:right w:val="single" w:sz="4" w:space="0" w:color="auto"/>
            </w:tcBorders>
            <w:vAlign w:val="center"/>
            <w:hideMark/>
          </w:tcPr>
          <w:p w14:paraId="0CEED580" w14:textId="77777777" w:rsidR="00AD0214" w:rsidRPr="00D31B2F" w:rsidRDefault="00AD0214" w:rsidP="00BC6C3F">
            <w:pPr>
              <w:pStyle w:val="COMTableheadingrow"/>
              <w:keepLines w:val="0"/>
              <w:spacing w:line="276" w:lineRule="auto"/>
              <w:jc w:val="center"/>
              <w:rPr>
                <w:kern w:val="2"/>
                <w:lang w:eastAsia="en-US"/>
                <w14:ligatures w14:val="standardContextual"/>
              </w:rPr>
            </w:pPr>
            <w:r w:rsidRPr="00D31B2F">
              <w:rPr>
                <w:kern w:val="2"/>
                <w:lang w:eastAsia="en-US"/>
                <w14:ligatures w14:val="standardContextual"/>
              </w:rPr>
              <w:t xml:space="preserve">Modelled </w:t>
            </w:r>
            <w:proofErr w:type="spellStart"/>
            <w:r w:rsidRPr="00D31B2F">
              <w:rPr>
                <w:kern w:val="2"/>
                <w:lang w:eastAsia="en-US"/>
                <w14:ligatures w14:val="standardContextual"/>
              </w:rPr>
              <w:t>estimates</w:t>
            </w:r>
            <w:r w:rsidRPr="00D31B2F">
              <w:rPr>
                <w:kern w:val="2"/>
                <w:vertAlign w:val="superscript"/>
                <w:lang w:eastAsia="en-US"/>
                <w14:ligatures w14:val="standardContextual"/>
              </w:rPr>
              <w:t>b</w:t>
            </w:r>
            <w:proofErr w:type="spellEnd"/>
          </w:p>
        </w:tc>
      </w:tr>
      <w:tr w:rsidR="00AD0214" w:rsidRPr="00D31B2F" w14:paraId="436F97CF" w14:textId="77777777" w:rsidTr="00AD0214">
        <w:trPr>
          <w:trHeight w:val="4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6A926" w14:textId="77777777" w:rsidR="00AD0214" w:rsidRPr="00D31B2F" w:rsidRDefault="00AD0214" w:rsidP="00BC6C3F">
            <w:pPr>
              <w:keepNext/>
              <w:spacing w:line="276" w:lineRule="auto"/>
              <w:jc w:val="left"/>
              <w:rPr>
                <w:rFonts w:ascii="Arial Narrow" w:hAnsi="Arial Narrow"/>
                <w:b/>
                <w:bCs/>
                <w:kern w:val="2"/>
                <w:sz w:val="20"/>
                <w:szCs w:val="20"/>
                <w:lang w:eastAsia="en-US"/>
                <w14:ligatures w14:val="standardContextual"/>
              </w:rPr>
            </w:pPr>
          </w:p>
        </w:tc>
        <w:tc>
          <w:tcPr>
            <w:tcW w:w="592" w:type="pct"/>
            <w:tcBorders>
              <w:top w:val="single" w:sz="4" w:space="0" w:color="auto"/>
              <w:left w:val="single" w:sz="4" w:space="0" w:color="auto"/>
              <w:bottom w:val="single" w:sz="4" w:space="0" w:color="auto"/>
              <w:right w:val="single" w:sz="4" w:space="0" w:color="auto"/>
            </w:tcBorders>
            <w:vAlign w:val="center"/>
            <w:hideMark/>
          </w:tcPr>
          <w:p w14:paraId="7B33C7BB" w14:textId="77777777" w:rsidR="00AD0214" w:rsidRPr="00D31B2F" w:rsidRDefault="00AD0214" w:rsidP="00BC6C3F">
            <w:pPr>
              <w:pStyle w:val="COMTableheadingrow"/>
              <w:keepLines w:val="0"/>
              <w:spacing w:line="276" w:lineRule="auto"/>
              <w:jc w:val="center"/>
              <w:rPr>
                <w:kern w:val="2"/>
                <w:lang w:eastAsia="en-US"/>
                <w14:ligatures w14:val="standardContextual"/>
              </w:rPr>
            </w:pPr>
            <w:r w:rsidRPr="00D31B2F">
              <w:rPr>
                <w:kern w:val="2"/>
                <w:lang w:eastAsia="en-US"/>
                <w14:ligatures w14:val="standardContextual"/>
              </w:rPr>
              <w:t>Semaglutide</w:t>
            </w:r>
          </w:p>
        </w:tc>
        <w:tc>
          <w:tcPr>
            <w:tcW w:w="593" w:type="pct"/>
            <w:tcBorders>
              <w:top w:val="single" w:sz="4" w:space="0" w:color="auto"/>
              <w:left w:val="single" w:sz="4" w:space="0" w:color="auto"/>
              <w:bottom w:val="single" w:sz="4" w:space="0" w:color="auto"/>
              <w:right w:val="single" w:sz="4" w:space="0" w:color="auto"/>
            </w:tcBorders>
            <w:vAlign w:val="center"/>
            <w:hideMark/>
          </w:tcPr>
          <w:p w14:paraId="0C82423B" w14:textId="77777777" w:rsidR="00AD0214" w:rsidRPr="00D31B2F" w:rsidRDefault="00AD0214" w:rsidP="00BC6C3F">
            <w:pPr>
              <w:pStyle w:val="COMTableheadingrow"/>
              <w:keepLines w:val="0"/>
              <w:spacing w:line="276" w:lineRule="auto"/>
              <w:jc w:val="center"/>
              <w:rPr>
                <w:kern w:val="2"/>
                <w:lang w:eastAsia="en-US"/>
                <w14:ligatures w14:val="standardContextual"/>
              </w:rPr>
            </w:pPr>
            <w:r w:rsidRPr="00D31B2F">
              <w:rPr>
                <w:kern w:val="2"/>
                <w:lang w:eastAsia="en-US"/>
                <w14:ligatures w14:val="standardContextual"/>
              </w:rPr>
              <w:t>Placebo</w:t>
            </w:r>
          </w:p>
        </w:tc>
        <w:tc>
          <w:tcPr>
            <w:tcW w:w="593" w:type="pct"/>
            <w:tcBorders>
              <w:top w:val="single" w:sz="4" w:space="0" w:color="auto"/>
              <w:left w:val="single" w:sz="4" w:space="0" w:color="auto"/>
              <w:bottom w:val="single" w:sz="4" w:space="0" w:color="auto"/>
              <w:right w:val="double" w:sz="4" w:space="0" w:color="auto"/>
            </w:tcBorders>
            <w:vAlign w:val="center"/>
            <w:hideMark/>
          </w:tcPr>
          <w:p w14:paraId="7C33771F" w14:textId="77777777" w:rsidR="00AD0214" w:rsidRPr="00D31B2F" w:rsidRDefault="00AD0214" w:rsidP="00BC6C3F">
            <w:pPr>
              <w:pStyle w:val="COMTableheadingrow"/>
              <w:keepLines w:val="0"/>
              <w:spacing w:line="276" w:lineRule="auto"/>
              <w:jc w:val="center"/>
              <w:rPr>
                <w:kern w:val="2"/>
                <w:lang w:eastAsia="en-US"/>
                <w14:ligatures w14:val="standardContextual"/>
              </w:rPr>
            </w:pPr>
            <w:r w:rsidRPr="00D31B2F">
              <w:rPr>
                <w:kern w:val="2"/>
                <w:lang w:eastAsia="en-US"/>
                <w14:ligatures w14:val="standardContextual"/>
              </w:rPr>
              <w:t>Increment</w:t>
            </w:r>
          </w:p>
        </w:tc>
        <w:tc>
          <w:tcPr>
            <w:tcW w:w="593" w:type="pct"/>
            <w:tcBorders>
              <w:top w:val="single" w:sz="4" w:space="0" w:color="auto"/>
              <w:left w:val="double" w:sz="4" w:space="0" w:color="auto"/>
              <w:bottom w:val="single" w:sz="4" w:space="0" w:color="auto"/>
              <w:right w:val="single" w:sz="4" w:space="0" w:color="auto"/>
            </w:tcBorders>
            <w:vAlign w:val="center"/>
            <w:hideMark/>
          </w:tcPr>
          <w:p w14:paraId="5D6DC81C" w14:textId="77777777" w:rsidR="00AD0214" w:rsidRPr="00D31B2F" w:rsidRDefault="00AD0214" w:rsidP="00BC6C3F">
            <w:pPr>
              <w:pStyle w:val="COMTableheadingrow"/>
              <w:keepLines w:val="0"/>
              <w:spacing w:line="276" w:lineRule="auto"/>
              <w:jc w:val="center"/>
              <w:rPr>
                <w:kern w:val="2"/>
                <w:lang w:eastAsia="en-US"/>
                <w14:ligatures w14:val="standardContextual"/>
              </w:rPr>
            </w:pPr>
            <w:r w:rsidRPr="00D31B2F">
              <w:rPr>
                <w:kern w:val="2"/>
                <w:lang w:eastAsia="en-US"/>
                <w14:ligatures w14:val="standardContextual"/>
              </w:rPr>
              <w:t>Semaglutide</w:t>
            </w:r>
          </w:p>
        </w:tc>
        <w:tc>
          <w:tcPr>
            <w:tcW w:w="593" w:type="pct"/>
            <w:tcBorders>
              <w:top w:val="single" w:sz="4" w:space="0" w:color="auto"/>
              <w:left w:val="single" w:sz="4" w:space="0" w:color="auto"/>
              <w:bottom w:val="single" w:sz="4" w:space="0" w:color="auto"/>
              <w:right w:val="single" w:sz="4" w:space="0" w:color="auto"/>
            </w:tcBorders>
            <w:vAlign w:val="center"/>
            <w:hideMark/>
          </w:tcPr>
          <w:p w14:paraId="57A2D115" w14:textId="77777777" w:rsidR="00AD0214" w:rsidRPr="00D31B2F" w:rsidRDefault="00AD0214" w:rsidP="00BC6C3F">
            <w:pPr>
              <w:pStyle w:val="COMTableheadingrow"/>
              <w:keepLines w:val="0"/>
              <w:spacing w:line="276" w:lineRule="auto"/>
              <w:jc w:val="center"/>
              <w:rPr>
                <w:kern w:val="2"/>
                <w:lang w:eastAsia="en-US"/>
                <w14:ligatures w14:val="standardContextual"/>
              </w:rPr>
            </w:pPr>
            <w:r w:rsidRPr="00D31B2F">
              <w:rPr>
                <w:kern w:val="2"/>
                <w:lang w:eastAsia="en-US"/>
                <w14:ligatures w14:val="standardContextual"/>
              </w:rPr>
              <w:t>Placebo</w:t>
            </w:r>
          </w:p>
        </w:tc>
        <w:tc>
          <w:tcPr>
            <w:tcW w:w="593" w:type="pct"/>
            <w:tcBorders>
              <w:top w:val="single" w:sz="4" w:space="0" w:color="auto"/>
              <w:left w:val="single" w:sz="4" w:space="0" w:color="auto"/>
              <w:bottom w:val="single" w:sz="4" w:space="0" w:color="auto"/>
              <w:right w:val="single" w:sz="4" w:space="0" w:color="auto"/>
            </w:tcBorders>
            <w:vAlign w:val="center"/>
            <w:hideMark/>
          </w:tcPr>
          <w:p w14:paraId="1C3BF696" w14:textId="77777777" w:rsidR="00AD0214" w:rsidRPr="00D31B2F" w:rsidRDefault="00AD0214" w:rsidP="00BC6C3F">
            <w:pPr>
              <w:pStyle w:val="COMTableheadingrow"/>
              <w:keepLines w:val="0"/>
              <w:spacing w:line="276" w:lineRule="auto"/>
              <w:jc w:val="center"/>
              <w:rPr>
                <w:kern w:val="2"/>
                <w:lang w:eastAsia="en-US"/>
                <w14:ligatures w14:val="standardContextual"/>
              </w:rPr>
            </w:pPr>
            <w:r w:rsidRPr="00D31B2F">
              <w:rPr>
                <w:kern w:val="2"/>
                <w:lang w:eastAsia="en-US"/>
                <w14:ligatures w14:val="standardContextual"/>
              </w:rPr>
              <w:t>Increment</w:t>
            </w:r>
          </w:p>
        </w:tc>
      </w:tr>
      <w:tr w:rsidR="00AD0214" w:rsidRPr="00D31B2F" w14:paraId="783CE550" w14:textId="77777777" w:rsidTr="00AD0214">
        <w:tc>
          <w:tcPr>
            <w:tcW w:w="5000" w:type="pct"/>
            <w:gridSpan w:val="7"/>
            <w:tcBorders>
              <w:top w:val="single" w:sz="4" w:space="0" w:color="auto"/>
              <w:left w:val="single" w:sz="4" w:space="0" w:color="auto"/>
              <w:bottom w:val="single" w:sz="4" w:space="0" w:color="auto"/>
              <w:right w:val="single" w:sz="4" w:space="0" w:color="auto"/>
            </w:tcBorders>
            <w:hideMark/>
          </w:tcPr>
          <w:p w14:paraId="2B1FA655" w14:textId="77777777" w:rsidR="00AD0214" w:rsidRPr="00D31B2F" w:rsidRDefault="00AD0214" w:rsidP="00BC6C3F">
            <w:pPr>
              <w:pStyle w:val="COMTableheadingrow"/>
              <w:keepLines w:val="0"/>
              <w:spacing w:line="276" w:lineRule="auto"/>
              <w:rPr>
                <w:kern w:val="2"/>
                <w:lang w:eastAsia="en-US"/>
                <w14:ligatures w14:val="standardContextual"/>
              </w:rPr>
            </w:pPr>
            <w:r w:rsidRPr="00D31B2F">
              <w:rPr>
                <w:kern w:val="2"/>
                <w:lang w:eastAsia="en-US"/>
                <w14:ligatures w14:val="standardContextual"/>
              </w:rPr>
              <w:t>Cardiovascular events per 1,000 patients over 3.5 years</w:t>
            </w:r>
          </w:p>
        </w:tc>
      </w:tr>
      <w:tr w:rsidR="00AD0214" w:rsidRPr="00D31B2F" w14:paraId="0B991357"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5336377B" w14:textId="77777777" w:rsidR="00AD0214" w:rsidRPr="00D31B2F" w:rsidRDefault="00AD0214" w:rsidP="00BC6C3F">
            <w:pPr>
              <w:pStyle w:val="COMTabletext"/>
              <w:keepLines w:val="0"/>
              <w:spacing w:line="276" w:lineRule="auto"/>
              <w:rPr>
                <w:kern w:val="2"/>
                <w:lang w:eastAsia="en-US"/>
                <w14:ligatures w14:val="standardContextual"/>
              </w:rPr>
            </w:pPr>
            <w:r w:rsidRPr="00D31B2F">
              <w:rPr>
                <w:kern w:val="2"/>
                <w:lang w:eastAsia="en-US"/>
                <w14:ligatures w14:val="standardContextual"/>
              </w:rPr>
              <w:t>Non-fatal myocardial infarction</w:t>
            </w:r>
          </w:p>
        </w:tc>
        <w:tc>
          <w:tcPr>
            <w:tcW w:w="592" w:type="pct"/>
            <w:tcBorders>
              <w:top w:val="single" w:sz="4" w:space="0" w:color="auto"/>
              <w:left w:val="single" w:sz="4" w:space="0" w:color="auto"/>
              <w:bottom w:val="single" w:sz="4" w:space="0" w:color="auto"/>
              <w:right w:val="single" w:sz="4" w:space="0" w:color="auto"/>
            </w:tcBorders>
            <w:vAlign w:val="center"/>
            <w:hideMark/>
          </w:tcPr>
          <w:p w14:paraId="61FB489E"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27</w:t>
            </w:r>
          </w:p>
        </w:tc>
        <w:tc>
          <w:tcPr>
            <w:tcW w:w="593" w:type="pct"/>
            <w:tcBorders>
              <w:top w:val="single" w:sz="4" w:space="0" w:color="auto"/>
              <w:left w:val="single" w:sz="4" w:space="0" w:color="auto"/>
              <w:bottom w:val="single" w:sz="4" w:space="0" w:color="auto"/>
              <w:right w:val="single" w:sz="4" w:space="0" w:color="auto"/>
            </w:tcBorders>
            <w:vAlign w:val="center"/>
            <w:hideMark/>
          </w:tcPr>
          <w:p w14:paraId="001DB490"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41</w:t>
            </w:r>
          </w:p>
        </w:tc>
        <w:tc>
          <w:tcPr>
            <w:tcW w:w="593" w:type="pct"/>
            <w:tcBorders>
              <w:top w:val="single" w:sz="4" w:space="0" w:color="auto"/>
              <w:left w:val="single" w:sz="4" w:space="0" w:color="auto"/>
              <w:bottom w:val="single" w:sz="4" w:space="0" w:color="auto"/>
              <w:right w:val="double" w:sz="4" w:space="0" w:color="auto"/>
            </w:tcBorders>
            <w:vAlign w:val="center"/>
            <w:hideMark/>
          </w:tcPr>
          <w:p w14:paraId="0EA49FA7"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-14</w:t>
            </w:r>
          </w:p>
        </w:tc>
        <w:tc>
          <w:tcPr>
            <w:tcW w:w="593" w:type="pct"/>
            <w:tcBorders>
              <w:top w:val="single" w:sz="4" w:space="0" w:color="auto"/>
              <w:left w:val="double" w:sz="4" w:space="0" w:color="auto"/>
              <w:bottom w:val="single" w:sz="4" w:space="0" w:color="auto"/>
              <w:right w:val="single" w:sz="4" w:space="0" w:color="auto"/>
            </w:tcBorders>
            <w:vAlign w:val="center"/>
            <w:hideMark/>
          </w:tcPr>
          <w:p w14:paraId="5C8D8B01"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47</w:t>
            </w:r>
          </w:p>
        </w:tc>
        <w:tc>
          <w:tcPr>
            <w:tcW w:w="593" w:type="pct"/>
            <w:tcBorders>
              <w:top w:val="single" w:sz="4" w:space="0" w:color="auto"/>
              <w:left w:val="single" w:sz="4" w:space="0" w:color="auto"/>
              <w:bottom w:val="single" w:sz="4" w:space="0" w:color="auto"/>
              <w:right w:val="single" w:sz="4" w:space="0" w:color="auto"/>
            </w:tcBorders>
            <w:vAlign w:val="center"/>
            <w:hideMark/>
          </w:tcPr>
          <w:p w14:paraId="3D1A9C8E"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65</w:t>
            </w:r>
          </w:p>
        </w:tc>
        <w:tc>
          <w:tcPr>
            <w:tcW w:w="593" w:type="pct"/>
            <w:tcBorders>
              <w:top w:val="single" w:sz="4" w:space="0" w:color="auto"/>
              <w:left w:val="single" w:sz="4" w:space="0" w:color="auto"/>
              <w:bottom w:val="single" w:sz="4" w:space="0" w:color="auto"/>
              <w:right w:val="single" w:sz="4" w:space="0" w:color="auto"/>
            </w:tcBorders>
            <w:vAlign w:val="center"/>
            <w:hideMark/>
          </w:tcPr>
          <w:p w14:paraId="40F4D4EB"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-18</w:t>
            </w:r>
          </w:p>
        </w:tc>
      </w:tr>
      <w:tr w:rsidR="00AD0214" w:rsidRPr="00D31B2F" w14:paraId="6BEA3A70"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0A87AD87" w14:textId="77777777" w:rsidR="00AD0214" w:rsidRPr="00D31B2F" w:rsidRDefault="00AD0214" w:rsidP="00BC6C3F">
            <w:pPr>
              <w:pStyle w:val="COMTabletext"/>
              <w:keepLines w:val="0"/>
              <w:spacing w:line="276" w:lineRule="auto"/>
              <w:rPr>
                <w:kern w:val="2"/>
                <w:lang w:eastAsia="en-US"/>
                <w14:ligatures w14:val="standardContextual"/>
              </w:rPr>
            </w:pPr>
            <w:r w:rsidRPr="00D31B2F">
              <w:rPr>
                <w:kern w:val="2"/>
                <w:lang w:eastAsia="en-US"/>
                <w14:ligatures w14:val="standardContextual"/>
              </w:rPr>
              <w:t>Non-fatal stroke</w:t>
            </w:r>
          </w:p>
        </w:tc>
        <w:tc>
          <w:tcPr>
            <w:tcW w:w="592" w:type="pct"/>
            <w:tcBorders>
              <w:top w:val="single" w:sz="4" w:space="0" w:color="auto"/>
              <w:left w:val="single" w:sz="4" w:space="0" w:color="auto"/>
              <w:bottom w:val="single" w:sz="4" w:space="0" w:color="auto"/>
              <w:right w:val="single" w:sz="4" w:space="0" w:color="auto"/>
            </w:tcBorders>
            <w:vAlign w:val="center"/>
            <w:hideMark/>
          </w:tcPr>
          <w:p w14:paraId="1218BB02"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24</w:t>
            </w:r>
          </w:p>
        </w:tc>
        <w:tc>
          <w:tcPr>
            <w:tcW w:w="593" w:type="pct"/>
            <w:tcBorders>
              <w:top w:val="single" w:sz="4" w:space="0" w:color="auto"/>
              <w:left w:val="single" w:sz="4" w:space="0" w:color="auto"/>
              <w:bottom w:val="single" w:sz="4" w:space="0" w:color="auto"/>
              <w:right w:val="single" w:sz="4" w:space="0" w:color="auto"/>
            </w:tcBorders>
            <w:vAlign w:val="center"/>
            <w:hideMark/>
          </w:tcPr>
          <w:p w14:paraId="59CB0096"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27</w:t>
            </w:r>
          </w:p>
        </w:tc>
        <w:tc>
          <w:tcPr>
            <w:tcW w:w="593" w:type="pct"/>
            <w:tcBorders>
              <w:top w:val="single" w:sz="4" w:space="0" w:color="auto"/>
              <w:left w:val="single" w:sz="4" w:space="0" w:color="auto"/>
              <w:bottom w:val="single" w:sz="4" w:space="0" w:color="auto"/>
              <w:right w:val="double" w:sz="4" w:space="0" w:color="auto"/>
            </w:tcBorders>
            <w:vAlign w:val="center"/>
            <w:hideMark/>
          </w:tcPr>
          <w:p w14:paraId="5BE2518F"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-3</w:t>
            </w:r>
          </w:p>
        </w:tc>
        <w:tc>
          <w:tcPr>
            <w:tcW w:w="593" w:type="pct"/>
            <w:tcBorders>
              <w:top w:val="single" w:sz="4" w:space="0" w:color="auto"/>
              <w:left w:val="double" w:sz="4" w:space="0" w:color="auto"/>
              <w:bottom w:val="single" w:sz="4" w:space="0" w:color="auto"/>
              <w:right w:val="single" w:sz="4" w:space="0" w:color="auto"/>
            </w:tcBorders>
            <w:vAlign w:val="center"/>
            <w:hideMark/>
          </w:tcPr>
          <w:p w14:paraId="145FB757"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31</w:t>
            </w:r>
          </w:p>
        </w:tc>
        <w:tc>
          <w:tcPr>
            <w:tcW w:w="593" w:type="pct"/>
            <w:tcBorders>
              <w:top w:val="single" w:sz="4" w:space="0" w:color="auto"/>
              <w:left w:val="single" w:sz="4" w:space="0" w:color="auto"/>
              <w:bottom w:val="single" w:sz="4" w:space="0" w:color="auto"/>
              <w:right w:val="single" w:sz="4" w:space="0" w:color="auto"/>
            </w:tcBorders>
            <w:vAlign w:val="center"/>
            <w:hideMark/>
          </w:tcPr>
          <w:p w14:paraId="370936A9"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33</w:t>
            </w:r>
          </w:p>
        </w:tc>
        <w:tc>
          <w:tcPr>
            <w:tcW w:w="593" w:type="pct"/>
            <w:tcBorders>
              <w:top w:val="single" w:sz="4" w:space="0" w:color="auto"/>
              <w:left w:val="single" w:sz="4" w:space="0" w:color="auto"/>
              <w:bottom w:val="single" w:sz="4" w:space="0" w:color="auto"/>
              <w:right w:val="single" w:sz="4" w:space="0" w:color="auto"/>
            </w:tcBorders>
            <w:vAlign w:val="center"/>
            <w:hideMark/>
          </w:tcPr>
          <w:p w14:paraId="7782B1C1"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w:t>
            </w:r>
          </w:p>
        </w:tc>
      </w:tr>
      <w:tr w:rsidR="00AD0214" w:rsidRPr="00D31B2F" w14:paraId="2783B956"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13D0C850" w14:textId="77777777" w:rsidR="00AD0214" w:rsidRPr="00D31B2F" w:rsidRDefault="00AD0214" w:rsidP="00BC6C3F">
            <w:pPr>
              <w:pStyle w:val="COMTabletext"/>
              <w:keepLines w:val="0"/>
              <w:spacing w:line="276" w:lineRule="auto"/>
              <w:rPr>
                <w:kern w:val="2"/>
                <w:lang w:eastAsia="en-US"/>
                <w14:ligatures w14:val="standardContextual"/>
              </w:rPr>
            </w:pPr>
            <w:r w:rsidRPr="00D31B2F">
              <w:rPr>
                <w:kern w:val="2"/>
                <w:lang w:eastAsia="en-US"/>
                <w14:ligatures w14:val="standardContextual"/>
              </w:rPr>
              <w:t>Hospitalisation/urgent care for heart failure</w:t>
            </w:r>
          </w:p>
        </w:tc>
        <w:tc>
          <w:tcPr>
            <w:tcW w:w="592" w:type="pct"/>
            <w:tcBorders>
              <w:top w:val="single" w:sz="4" w:space="0" w:color="auto"/>
              <w:left w:val="single" w:sz="4" w:space="0" w:color="auto"/>
              <w:bottom w:val="single" w:sz="4" w:space="0" w:color="auto"/>
              <w:right w:val="single" w:sz="4" w:space="0" w:color="auto"/>
            </w:tcBorders>
            <w:vAlign w:val="center"/>
            <w:hideMark/>
          </w:tcPr>
          <w:p w14:paraId="4BA14EA6"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22</w:t>
            </w:r>
          </w:p>
        </w:tc>
        <w:tc>
          <w:tcPr>
            <w:tcW w:w="593" w:type="pct"/>
            <w:tcBorders>
              <w:top w:val="single" w:sz="4" w:space="0" w:color="auto"/>
              <w:left w:val="single" w:sz="4" w:space="0" w:color="auto"/>
              <w:bottom w:val="single" w:sz="4" w:space="0" w:color="auto"/>
              <w:right w:val="single" w:sz="4" w:space="0" w:color="auto"/>
            </w:tcBorders>
            <w:vAlign w:val="center"/>
            <w:hideMark/>
          </w:tcPr>
          <w:p w14:paraId="065308E1"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28</w:t>
            </w:r>
          </w:p>
        </w:tc>
        <w:tc>
          <w:tcPr>
            <w:tcW w:w="593" w:type="pct"/>
            <w:tcBorders>
              <w:top w:val="single" w:sz="4" w:space="0" w:color="auto"/>
              <w:left w:val="single" w:sz="4" w:space="0" w:color="auto"/>
              <w:bottom w:val="single" w:sz="4" w:space="0" w:color="auto"/>
              <w:right w:val="double" w:sz="4" w:space="0" w:color="auto"/>
            </w:tcBorders>
            <w:vAlign w:val="center"/>
            <w:hideMark/>
          </w:tcPr>
          <w:p w14:paraId="3A8859A9"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-6</w:t>
            </w:r>
          </w:p>
        </w:tc>
        <w:tc>
          <w:tcPr>
            <w:tcW w:w="593" w:type="pct"/>
            <w:tcBorders>
              <w:top w:val="single" w:sz="4" w:space="0" w:color="auto"/>
              <w:left w:val="double" w:sz="4" w:space="0" w:color="auto"/>
              <w:bottom w:val="single" w:sz="4" w:space="0" w:color="auto"/>
              <w:right w:val="single" w:sz="4" w:space="0" w:color="auto"/>
            </w:tcBorders>
            <w:vAlign w:val="center"/>
            <w:hideMark/>
          </w:tcPr>
          <w:p w14:paraId="1BE46B88"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19</w:t>
            </w:r>
          </w:p>
        </w:tc>
        <w:tc>
          <w:tcPr>
            <w:tcW w:w="593" w:type="pct"/>
            <w:tcBorders>
              <w:top w:val="single" w:sz="4" w:space="0" w:color="auto"/>
              <w:left w:val="single" w:sz="4" w:space="0" w:color="auto"/>
              <w:bottom w:val="single" w:sz="4" w:space="0" w:color="auto"/>
              <w:right w:val="single" w:sz="4" w:space="0" w:color="auto"/>
            </w:tcBorders>
            <w:vAlign w:val="center"/>
            <w:hideMark/>
          </w:tcPr>
          <w:p w14:paraId="24FE10A8"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24</w:t>
            </w:r>
          </w:p>
        </w:tc>
        <w:tc>
          <w:tcPr>
            <w:tcW w:w="593" w:type="pct"/>
            <w:tcBorders>
              <w:top w:val="single" w:sz="4" w:space="0" w:color="auto"/>
              <w:left w:val="single" w:sz="4" w:space="0" w:color="auto"/>
              <w:bottom w:val="single" w:sz="4" w:space="0" w:color="auto"/>
              <w:right w:val="single" w:sz="4" w:space="0" w:color="auto"/>
            </w:tcBorders>
            <w:vAlign w:val="center"/>
            <w:hideMark/>
          </w:tcPr>
          <w:p w14:paraId="41D1C51D"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-5</w:t>
            </w:r>
          </w:p>
        </w:tc>
      </w:tr>
      <w:tr w:rsidR="00AD0214" w:rsidRPr="00D31B2F" w14:paraId="40843AC3"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0369DCE1" w14:textId="77777777" w:rsidR="00AD0214" w:rsidRPr="00D31B2F" w:rsidRDefault="00AD0214" w:rsidP="00BC6C3F">
            <w:pPr>
              <w:pStyle w:val="COMTabletext"/>
              <w:keepLines w:val="0"/>
              <w:spacing w:line="276" w:lineRule="auto"/>
              <w:rPr>
                <w:kern w:val="2"/>
                <w:lang w:eastAsia="en-US"/>
                <w14:ligatures w14:val="standardContextual"/>
              </w:rPr>
            </w:pPr>
            <w:r w:rsidRPr="00D31B2F">
              <w:rPr>
                <w:kern w:val="2"/>
                <w:lang w:eastAsia="en-US"/>
                <w14:ligatures w14:val="standardContextual"/>
              </w:rPr>
              <w:t>Hospitalisation for unstable angina</w:t>
            </w:r>
          </w:p>
        </w:tc>
        <w:tc>
          <w:tcPr>
            <w:tcW w:w="592" w:type="pct"/>
            <w:tcBorders>
              <w:top w:val="single" w:sz="4" w:space="0" w:color="auto"/>
              <w:left w:val="single" w:sz="4" w:space="0" w:color="auto"/>
              <w:bottom w:val="single" w:sz="4" w:space="0" w:color="auto"/>
              <w:right w:val="single" w:sz="4" w:space="0" w:color="auto"/>
            </w:tcBorders>
            <w:vAlign w:val="center"/>
            <w:hideMark/>
          </w:tcPr>
          <w:p w14:paraId="0F4B65E7"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w:t>
            </w:r>
          </w:p>
        </w:tc>
        <w:tc>
          <w:tcPr>
            <w:tcW w:w="593" w:type="pct"/>
            <w:tcBorders>
              <w:top w:val="single" w:sz="4" w:space="0" w:color="auto"/>
              <w:left w:val="single" w:sz="4" w:space="0" w:color="auto"/>
              <w:bottom w:val="single" w:sz="4" w:space="0" w:color="auto"/>
              <w:right w:val="single" w:sz="4" w:space="0" w:color="auto"/>
            </w:tcBorders>
            <w:vAlign w:val="center"/>
            <w:hideMark/>
          </w:tcPr>
          <w:p w14:paraId="5A91114E"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10</w:t>
            </w:r>
          </w:p>
        </w:tc>
        <w:tc>
          <w:tcPr>
            <w:tcW w:w="593" w:type="pct"/>
            <w:tcBorders>
              <w:top w:val="single" w:sz="4" w:space="0" w:color="auto"/>
              <w:left w:val="single" w:sz="4" w:space="0" w:color="auto"/>
              <w:bottom w:val="single" w:sz="4" w:space="0" w:color="auto"/>
              <w:right w:val="double" w:sz="4" w:space="0" w:color="auto"/>
            </w:tcBorders>
            <w:vAlign w:val="center"/>
            <w:hideMark/>
          </w:tcPr>
          <w:p w14:paraId="0A51B4A2"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-8</w:t>
            </w:r>
          </w:p>
        </w:tc>
        <w:tc>
          <w:tcPr>
            <w:tcW w:w="593" w:type="pct"/>
            <w:tcBorders>
              <w:top w:val="single" w:sz="4" w:space="0" w:color="auto"/>
              <w:left w:val="double" w:sz="4" w:space="0" w:color="auto"/>
              <w:bottom w:val="single" w:sz="4" w:space="0" w:color="auto"/>
              <w:right w:val="single" w:sz="4" w:space="0" w:color="auto"/>
            </w:tcBorders>
            <w:vAlign w:val="center"/>
            <w:hideMark/>
          </w:tcPr>
          <w:p w14:paraId="7B8B4F6A"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23</w:t>
            </w:r>
          </w:p>
        </w:tc>
        <w:tc>
          <w:tcPr>
            <w:tcW w:w="593" w:type="pct"/>
            <w:tcBorders>
              <w:top w:val="single" w:sz="4" w:space="0" w:color="auto"/>
              <w:left w:val="single" w:sz="4" w:space="0" w:color="auto"/>
              <w:bottom w:val="single" w:sz="4" w:space="0" w:color="auto"/>
              <w:right w:val="single" w:sz="4" w:space="0" w:color="auto"/>
            </w:tcBorders>
            <w:vAlign w:val="center"/>
            <w:hideMark/>
          </w:tcPr>
          <w:p w14:paraId="2A7287ED"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25</w:t>
            </w:r>
          </w:p>
        </w:tc>
        <w:tc>
          <w:tcPr>
            <w:tcW w:w="593" w:type="pct"/>
            <w:tcBorders>
              <w:top w:val="single" w:sz="4" w:space="0" w:color="auto"/>
              <w:left w:val="single" w:sz="4" w:space="0" w:color="auto"/>
              <w:bottom w:val="single" w:sz="4" w:space="0" w:color="auto"/>
              <w:right w:val="single" w:sz="4" w:space="0" w:color="auto"/>
            </w:tcBorders>
            <w:vAlign w:val="center"/>
            <w:hideMark/>
          </w:tcPr>
          <w:p w14:paraId="06D550AA"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w:t>
            </w:r>
          </w:p>
        </w:tc>
      </w:tr>
      <w:tr w:rsidR="00AD0214" w:rsidRPr="00D31B2F" w14:paraId="7EC247D4"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2BCF1CBD" w14:textId="77777777" w:rsidR="00AD0214" w:rsidRPr="00D31B2F" w:rsidRDefault="00AD0214" w:rsidP="00BC6C3F">
            <w:pPr>
              <w:pStyle w:val="COMTabletext"/>
              <w:keepLines w:val="0"/>
              <w:spacing w:line="276" w:lineRule="auto"/>
              <w:rPr>
                <w:kern w:val="2"/>
                <w:lang w:eastAsia="en-US"/>
                <w14:ligatures w14:val="standardContextual"/>
              </w:rPr>
            </w:pPr>
            <w:r w:rsidRPr="00D31B2F">
              <w:rPr>
                <w:kern w:val="2"/>
                <w:lang w:eastAsia="en-US"/>
                <w14:ligatures w14:val="standardContextual"/>
              </w:rPr>
              <w:t>Coronary revascularisation</w:t>
            </w:r>
          </w:p>
        </w:tc>
        <w:tc>
          <w:tcPr>
            <w:tcW w:w="592" w:type="pct"/>
            <w:tcBorders>
              <w:top w:val="single" w:sz="4" w:space="0" w:color="auto"/>
              <w:left w:val="single" w:sz="4" w:space="0" w:color="auto"/>
              <w:bottom w:val="single" w:sz="4" w:space="0" w:color="auto"/>
              <w:right w:val="single" w:sz="4" w:space="0" w:color="auto"/>
            </w:tcBorders>
            <w:vAlign w:val="center"/>
            <w:hideMark/>
          </w:tcPr>
          <w:p w14:paraId="438E4697"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53</w:t>
            </w:r>
          </w:p>
        </w:tc>
        <w:tc>
          <w:tcPr>
            <w:tcW w:w="593" w:type="pct"/>
            <w:tcBorders>
              <w:top w:val="single" w:sz="4" w:space="0" w:color="auto"/>
              <w:left w:val="single" w:sz="4" w:space="0" w:color="auto"/>
              <w:bottom w:val="single" w:sz="4" w:space="0" w:color="auto"/>
              <w:right w:val="single" w:sz="4" w:space="0" w:color="auto"/>
            </w:tcBorders>
            <w:vAlign w:val="center"/>
            <w:hideMark/>
          </w:tcPr>
          <w:p w14:paraId="4436F715"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68</w:t>
            </w:r>
          </w:p>
        </w:tc>
        <w:tc>
          <w:tcPr>
            <w:tcW w:w="593" w:type="pct"/>
            <w:tcBorders>
              <w:top w:val="single" w:sz="4" w:space="0" w:color="auto"/>
              <w:left w:val="single" w:sz="4" w:space="0" w:color="auto"/>
              <w:bottom w:val="single" w:sz="4" w:space="0" w:color="auto"/>
              <w:right w:val="double" w:sz="4" w:space="0" w:color="auto"/>
            </w:tcBorders>
            <w:vAlign w:val="center"/>
            <w:hideMark/>
          </w:tcPr>
          <w:p w14:paraId="0BB1AD82"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-15</w:t>
            </w:r>
          </w:p>
        </w:tc>
        <w:tc>
          <w:tcPr>
            <w:tcW w:w="593" w:type="pct"/>
            <w:tcBorders>
              <w:top w:val="single" w:sz="4" w:space="0" w:color="auto"/>
              <w:left w:val="double" w:sz="4" w:space="0" w:color="auto"/>
              <w:bottom w:val="single" w:sz="4" w:space="0" w:color="auto"/>
              <w:right w:val="single" w:sz="4" w:space="0" w:color="auto"/>
            </w:tcBorders>
            <w:vAlign w:val="center"/>
            <w:hideMark/>
          </w:tcPr>
          <w:p w14:paraId="3A5A15A4"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97</w:t>
            </w:r>
          </w:p>
        </w:tc>
        <w:tc>
          <w:tcPr>
            <w:tcW w:w="593" w:type="pct"/>
            <w:tcBorders>
              <w:top w:val="single" w:sz="4" w:space="0" w:color="auto"/>
              <w:left w:val="single" w:sz="4" w:space="0" w:color="auto"/>
              <w:bottom w:val="single" w:sz="4" w:space="0" w:color="auto"/>
              <w:right w:val="single" w:sz="4" w:space="0" w:color="auto"/>
            </w:tcBorders>
            <w:vAlign w:val="center"/>
            <w:hideMark/>
          </w:tcPr>
          <w:p w14:paraId="2CFCFE02"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125</w:t>
            </w:r>
          </w:p>
        </w:tc>
        <w:tc>
          <w:tcPr>
            <w:tcW w:w="593" w:type="pct"/>
            <w:tcBorders>
              <w:top w:val="single" w:sz="4" w:space="0" w:color="auto"/>
              <w:left w:val="single" w:sz="4" w:space="0" w:color="auto"/>
              <w:bottom w:val="single" w:sz="4" w:space="0" w:color="auto"/>
              <w:right w:val="single" w:sz="4" w:space="0" w:color="auto"/>
            </w:tcBorders>
            <w:vAlign w:val="center"/>
            <w:hideMark/>
          </w:tcPr>
          <w:p w14:paraId="00A96CDF"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-28</w:t>
            </w:r>
          </w:p>
        </w:tc>
      </w:tr>
      <w:tr w:rsidR="00AD0214" w:rsidRPr="00D31B2F" w14:paraId="56AF3C39"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7E4A7F48" w14:textId="77777777" w:rsidR="00AD0214" w:rsidRPr="00D31B2F" w:rsidRDefault="00AD0214" w:rsidP="00BC6C3F">
            <w:pPr>
              <w:pStyle w:val="COMTabletext"/>
              <w:keepLines w:val="0"/>
              <w:spacing w:line="276" w:lineRule="auto"/>
              <w:rPr>
                <w:kern w:val="2"/>
                <w:lang w:eastAsia="en-US"/>
                <w14:ligatures w14:val="standardContextual"/>
              </w:rPr>
            </w:pPr>
            <w:r w:rsidRPr="00D31B2F">
              <w:rPr>
                <w:kern w:val="2"/>
                <w:lang w:eastAsia="en-US"/>
                <w14:ligatures w14:val="standardContextual"/>
              </w:rPr>
              <w:t>Cardiovascular death</w:t>
            </w:r>
          </w:p>
        </w:tc>
        <w:tc>
          <w:tcPr>
            <w:tcW w:w="592" w:type="pct"/>
            <w:tcBorders>
              <w:top w:val="single" w:sz="4" w:space="0" w:color="auto"/>
              <w:left w:val="single" w:sz="4" w:space="0" w:color="auto"/>
              <w:bottom w:val="single" w:sz="4" w:space="0" w:color="auto"/>
              <w:right w:val="single" w:sz="4" w:space="0" w:color="auto"/>
            </w:tcBorders>
            <w:vAlign w:val="center"/>
            <w:hideMark/>
          </w:tcPr>
          <w:p w14:paraId="0B01EEDC"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35</w:t>
            </w:r>
          </w:p>
        </w:tc>
        <w:tc>
          <w:tcPr>
            <w:tcW w:w="593" w:type="pct"/>
            <w:tcBorders>
              <w:top w:val="single" w:sz="4" w:space="0" w:color="auto"/>
              <w:left w:val="single" w:sz="4" w:space="0" w:color="auto"/>
              <w:bottom w:val="single" w:sz="4" w:space="0" w:color="auto"/>
              <w:right w:val="single" w:sz="4" w:space="0" w:color="auto"/>
            </w:tcBorders>
            <w:vAlign w:val="center"/>
            <w:hideMark/>
          </w:tcPr>
          <w:p w14:paraId="64353195"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37</w:t>
            </w:r>
          </w:p>
        </w:tc>
        <w:tc>
          <w:tcPr>
            <w:tcW w:w="593" w:type="pct"/>
            <w:tcBorders>
              <w:top w:val="single" w:sz="4" w:space="0" w:color="auto"/>
              <w:left w:val="single" w:sz="4" w:space="0" w:color="auto"/>
              <w:bottom w:val="single" w:sz="4" w:space="0" w:color="auto"/>
              <w:right w:val="double" w:sz="4" w:space="0" w:color="auto"/>
            </w:tcBorders>
            <w:vAlign w:val="center"/>
            <w:hideMark/>
          </w:tcPr>
          <w:p w14:paraId="67BBFBCA"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w:t>
            </w:r>
          </w:p>
        </w:tc>
        <w:tc>
          <w:tcPr>
            <w:tcW w:w="593" w:type="pct"/>
            <w:tcBorders>
              <w:top w:val="single" w:sz="4" w:space="0" w:color="auto"/>
              <w:left w:val="double" w:sz="4" w:space="0" w:color="auto"/>
              <w:bottom w:val="single" w:sz="4" w:space="0" w:color="auto"/>
              <w:right w:val="single" w:sz="4" w:space="0" w:color="auto"/>
            </w:tcBorders>
            <w:vAlign w:val="center"/>
            <w:hideMark/>
          </w:tcPr>
          <w:p w14:paraId="31B76C58"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43</w:t>
            </w:r>
          </w:p>
        </w:tc>
        <w:tc>
          <w:tcPr>
            <w:tcW w:w="593" w:type="pct"/>
            <w:tcBorders>
              <w:top w:val="single" w:sz="4" w:space="0" w:color="auto"/>
              <w:left w:val="single" w:sz="4" w:space="0" w:color="auto"/>
              <w:bottom w:val="single" w:sz="4" w:space="0" w:color="auto"/>
              <w:right w:val="single" w:sz="4" w:space="0" w:color="auto"/>
            </w:tcBorders>
            <w:vAlign w:val="center"/>
            <w:hideMark/>
          </w:tcPr>
          <w:p w14:paraId="64C43E63"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51</w:t>
            </w:r>
          </w:p>
        </w:tc>
        <w:tc>
          <w:tcPr>
            <w:tcW w:w="593" w:type="pct"/>
            <w:tcBorders>
              <w:top w:val="single" w:sz="4" w:space="0" w:color="auto"/>
              <w:left w:val="single" w:sz="4" w:space="0" w:color="auto"/>
              <w:bottom w:val="single" w:sz="4" w:space="0" w:color="auto"/>
              <w:right w:val="single" w:sz="4" w:space="0" w:color="auto"/>
            </w:tcBorders>
            <w:vAlign w:val="center"/>
            <w:hideMark/>
          </w:tcPr>
          <w:p w14:paraId="579A54AC"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-8</w:t>
            </w:r>
          </w:p>
        </w:tc>
      </w:tr>
      <w:tr w:rsidR="00AD0214" w:rsidRPr="00D31B2F" w14:paraId="4273FE22" w14:textId="77777777" w:rsidTr="00AD0214">
        <w:tc>
          <w:tcPr>
            <w:tcW w:w="1443" w:type="pct"/>
            <w:tcBorders>
              <w:top w:val="single" w:sz="4" w:space="0" w:color="auto"/>
              <w:left w:val="single" w:sz="4" w:space="0" w:color="auto"/>
              <w:bottom w:val="single" w:sz="4" w:space="0" w:color="auto"/>
              <w:right w:val="single" w:sz="4" w:space="0" w:color="auto"/>
            </w:tcBorders>
            <w:hideMark/>
          </w:tcPr>
          <w:p w14:paraId="1BA64C92" w14:textId="77777777" w:rsidR="00AD0214" w:rsidRPr="00D31B2F" w:rsidRDefault="00AD0214" w:rsidP="00BC6C3F">
            <w:pPr>
              <w:pStyle w:val="COMTabletext"/>
              <w:keepLines w:val="0"/>
              <w:spacing w:line="276" w:lineRule="auto"/>
              <w:rPr>
                <w:kern w:val="2"/>
                <w:lang w:eastAsia="en-US"/>
                <w14:ligatures w14:val="standardContextual"/>
              </w:rPr>
            </w:pPr>
            <w:r w:rsidRPr="00D31B2F">
              <w:rPr>
                <w:kern w:val="2"/>
                <w:lang w:eastAsia="en-US"/>
                <w14:ligatures w14:val="standardContextual"/>
              </w:rPr>
              <w:t>Non-cardiovascular death</w:t>
            </w:r>
          </w:p>
        </w:tc>
        <w:tc>
          <w:tcPr>
            <w:tcW w:w="592" w:type="pct"/>
            <w:tcBorders>
              <w:top w:val="single" w:sz="4" w:space="0" w:color="auto"/>
              <w:left w:val="single" w:sz="4" w:space="0" w:color="auto"/>
              <w:bottom w:val="single" w:sz="4" w:space="0" w:color="auto"/>
              <w:right w:val="single" w:sz="4" w:space="0" w:color="auto"/>
            </w:tcBorders>
            <w:vAlign w:val="center"/>
            <w:hideMark/>
          </w:tcPr>
          <w:p w14:paraId="55D44C2A"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26</w:t>
            </w:r>
          </w:p>
        </w:tc>
        <w:tc>
          <w:tcPr>
            <w:tcW w:w="593" w:type="pct"/>
            <w:tcBorders>
              <w:top w:val="single" w:sz="4" w:space="0" w:color="auto"/>
              <w:left w:val="single" w:sz="4" w:space="0" w:color="auto"/>
              <w:bottom w:val="single" w:sz="4" w:space="0" w:color="auto"/>
              <w:right w:val="single" w:sz="4" w:space="0" w:color="auto"/>
            </w:tcBorders>
            <w:vAlign w:val="center"/>
            <w:hideMark/>
          </w:tcPr>
          <w:p w14:paraId="4C7AB9E7"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28</w:t>
            </w:r>
          </w:p>
        </w:tc>
        <w:tc>
          <w:tcPr>
            <w:tcW w:w="593" w:type="pct"/>
            <w:tcBorders>
              <w:top w:val="single" w:sz="4" w:space="0" w:color="auto"/>
              <w:left w:val="single" w:sz="4" w:space="0" w:color="auto"/>
              <w:bottom w:val="single" w:sz="4" w:space="0" w:color="auto"/>
              <w:right w:val="double" w:sz="4" w:space="0" w:color="auto"/>
            </w:tcBorders>
            <w:vAlign w:val="center"/>
            <w:hideMark/>
          </w:tcPr>
          <w:p w14:paraId="1B3ABA2C"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w:t>
            </w:r>
          </w:p>
        </w:tc>
        <w:tc>
          <w:tcPr>
            <w:tcW w:w="593" w:type="pct"/>
            <w:tcBorders>
              <w:top w:val="single" w:sz="4" w:space="0" w:color="auto"/>
              <w:left w:val="double" w:sz="4" w:space="0" w:color="auto"/>
              <w:bottom w:val="single" w:sz="4" w:space="0" w:color="auto"/>
              <w:right w:val="single" w:sz="4" w:space="0" w:color="auto"/>
            </w:tcBorders>
            <w:vAlign w:val="center"/>
            <w:hideMark/>
          </w:tcPr>
          <w:p w14:paraId="3704E900"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16</w:t>
            </w:r>
          </w:p>
        </w:tc>
        <w:tc>
          <w:tcPr>
            <w:tcW w:w="593" w:type="pct"/>
            <w:tcBorders>
              <w:top w:val="single" w:sz="4" w:space="0" w:color="auto"/>
              <w:left w:val="single" w:sz="4" w:space="0" w:color="auto"/>
              <w:bottom w:val="single" w:sz="4" w:space="0" w:color="auto"/>
              <w:right w:val="single" w:sz="4" w:space="0" w:color="auto"/>
            </w:tcBorders>
            <w:vAlign w:val="center"/>
            <w:hideMark/>
          </w:tcPr>
          <w:p w14:paraId="526B759F"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21</w:t>
            </w:r>
          </w:p>
        </w:tc>
        <w:tc>
          <w:tcPr>
            <w:tcW w:w="593" w:type="pct"/>
            <w:tcBorders>
              <w:top w:val="single" w:sz="4" w:space="0" w:color="auto"/>
              <w:left w:val="single" w:sz="4" w:space="0" w:color="auto"/>
              <w:bottom w:val="single" w:sz="4" w:space="0" w:color="auto"/>
              <w:right w:val="single" w:sz="4" w:space="0" w:color="auto"/>
            </w:tcBorders>
            <w:vAlign w:val="center"/>
            <w:hideMark/>
          </w:tcPr>
          <w:p w14:paraId="7F8C3FAE" w14:textId="77777777" w:rsidR="00AD0214" w:rsidRPr="00D31B2F" w:rsidRDefault="00AD0214" w:rsidP="00BC6C3F">
            <w:pPr>
              <w:pStyle w:val="COMTabletext"/>
              <w:keepLines w:val="0"/>
              <w:spacing w:line="276" w:lineRule="auto"/>
              <w:jc w:val="center"/>
              <w:rPr>
                <w:kern w:val="2"/>
                <w:lang w:eastAsia="en-US"/>
                <w14:ligatures w14:val="standardContextual"/>
              </w:rPr>
            </w:pPr>
            <w:r w:rsidRPr="00D31B2F">
              <w:rPr>
                <w:kern w:val="2"/>
                <w:lang w:eastAsia="en-US"/>
                <w14:ligatures w14:val="standardContextual"/>
              </w:rPr>
              <w:t>-5</w:t>
            </w:r>
          </w:p>
        </w:tc>
      </w:tr>
    </w:tbl>
    <w:p w14:paraId="76E92502" w14:textId="77777777" w:rsidR="00AD0214" w:rsidRPr="00D31B2F" w:rsidRDefault="00AD0214" w:rsidP="00BC6C3F">
      <w:pPr>
        <w:pStyle w:val="COMTablefooter"/>
        <w:keepNext/>
      </w:pPr>
      <w:r w:rsidRPr="00D31B2F">
        <w:t>Source: ‘Section 3 Workbook’ provided with the resubmission</w:t>
      </w:r>
    </w:p>
    <w:p w14:paraId="693DA294" w14:textId="77777777" w:rsidR="00AD0214" w:rsidRPr="00D31B2F" w:rsidRDefault="00AD0214" w:rsidP="00BC6C3F">
      <w:pPr>
        <w:pStyle w:val="COMTablefooter"/>
        <w:keepNext/>
      </w:pPr>
      <w:r w:rsidRPr="00D31B2F">
        <w:t xml:space="preserve">a Calculated based on reported trial-based event rates for total events (includes initial and subsequent events) for the BMI ≥40 kg/m2 subgroup population × 3,500 years of observation time (1,000 patients with 3.5 years follow-up) </w:t>
      </w:r>
    </w:p>
    <w:p w14:paraId="7C92F47C" w14:textId="77777777" w:rsidR="00AD0214" w:rsidRPr="00D31B2F" w:rsidRDefault="00AD0214" w:rsidP="00AD0214">
      <w:pPr>
        <w:pStyle w:val="COMTablefooter"/>
      </w:pPr>
      <w:r w:rsidRPr="00D31B2F">
        <w:t>b Calculated based on 1,000 modelled patients and a time horizon of 3.5 years. The model used direct estimates from the SELECT trial ITT population during this period based on the reported incidence rates (initial event only) with additional risk multipliers for diabetes and BMI (age multipliers do not affect the first 3.5 years of the model)</w:t>
      </w:r>
    </w:p>
    <w:p w14:paraId="494938E4" w14:textId="64E7ADF2" w:rsidR="00E133EA" w:rsidRPr="00473F11" w:rsidRDefault="00E133EA" w:rsidP="00D129C3">
      <w:pPr>
        <w:pStyle w:val="COMexecsummnumbered"/>
        <w:numPr>
          <w:ilvl w:val="1"/>
          <w:numId w:val="5"/>
        </w:numPr>
      </w:pPr>
      <w:r w:rsidRPr="00473F11">
        <w:t xml:space="preserve">The results of key sensitivity analyses presented in the resubmission and conducted during the evaluation are summarised in </w:t>
      </w:r>
      <w:r w:rsidR="00055136" w:rsidRPr="00473F11">
        <w:fldChar w:fldCharType="begin"/>
      </w:r>
      <w:r w:rsidR="00055136" w:rsidRPr="00473F11">
        <w:instrText xml:space="preserve"> REF _Ref206945422 \h </w:instrText>
      </w:r>
      <w:r w:rsidR="00473F11">
        <w:instrText xml:space="preserve"> \* MERGEFORMAT </w:instrText>
      </w:r>
      <w:r w:rsidR="00055136" w:rsidRPr="00473F11">
        <w:fldChar w:fldCharType="separate"/>
      </w:r>
      <w:r w:rsidR="004F1BBD">
        <w:t xml:space="preserve">Table </w:t>
      </w:r>
      <w:r w:rsidR="004F1BBD">
        <w:rPr>
          <w:noProof/>
        </w:rPr>
        <w:t>15</w:t>
      </w:r>
      <w:r w:rsidR="00055136" w:rsidRPr="00473F11">
        <w:fldChar w:fldCharType="end"/>
      </w:r>
      <w:r w:rsidRPr="00473F11">
        <w:t>.</w:t>
      </w:r>
    </w:p>
    <w:p w14:paraId="57B9A681" w14:textId="0FE18853" w:rsidR="00462AA5" w:rsidRDefault="00462AA5" w:rsidP="00462AA5">
      <w:pPr>
        <w:pStyle w:val="COMtablefigcaption"/>
      </w:pPr>
      <w:bookmarkStart w:id="53" w:name="_Ref206945422"/>
      <w:bookmarkStart w:id="54" w:name="_Ref176339423"/>
      <w:r>
        <w:t xml:space="preserve">Table </w:t>
      </w:r>
      <w:r w:rsidR="005448C5">
        <w:fldChar w:fldCharType="begin"/>
      </w:r>
      <w:r w:rsidR="005448C5">
        <w:instrText xml:space="preserve"> SEQ Table \* ARABIC </w:instrText>
      </w:r>
      <w:r w:rsidR="005448C5">
        <w:fldChar w:fldCharType="separate"/>
      </w:r>
      <w:r w:rsidR="004F1BBD">
        <w:rPr>
          <w:noProof/>
        </w:rPr>
        <w:t>15</w:t>
      </w:r>
      <w:r w:rsidR="005448C5">
        <w:rPr>
          <w:noProof/>
        </w:rPr>
        <w:fldChar w:fldCharType="end"/>
      </w:r>
      <w:bookmarkEnd w:id="53"/>
      <w:r w:rsidRPr="00741BD4">
        <w:t xml:space="preserve">: </w:t>
      </w:r>
      <w:r>
        <w:t>Results of key s</w:t>
      </w:r>
      <w:r w:rsidRPr="00741BD4">
        <w:t>ensitivity analyses</w:t>
      </w:r>
      <w:bookmarkEnd w:id="54"/>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Results of key sensitivity analyses"/>
      </w:tblPr>
      <w:tblGrid>
        <w:gridCol w:w="3970"/>
        <w:gridCol w:w="1682"/>
        <w:gridCol w:w="1682"/>
        <w:gridCol w:w="1683"/>
      </w:tblGrid>
      <w:tr w:rsidR="00462AA5" w:rsidRPr="00A60A39" w14:paraId="1C1CB3D0" w14:textId="77777777" w:rsidTr="0A99B0B1">
        <w:trPr>
          <w:tblHeader/>
        </w:trPr>
        <w:tc>
          <w:tcPr>
            <w:tcW w:w="3970" w:type="dxa"/>
            <w:vMerge w:val="restart"/>
            <w:tcMar>
              <w:top w:w="0" w:type="dxa"/>
              <w:left w:w="28" w:type="dxa"/>
              <w:bottom w:w="0" w:type="dxa"/>
              <w:right w:w="28" w:type="dxa"/>
            </w:tcMar>
            <w:vAlign w:val="center"/>
          </w:tcPr>
          <w:p w14:paraId="08357A3C" w14:textId="77777777" w:rsidR="00462AA5" w:rsidRPr="00A60A39" w:rsidRDefault="00462AA5">
            <w:pPr>
              <w:pStyle w:val="Tabletext0"/>
              <w:keepNext/>
              <w:rPr>
                <w:b/>
                <w:bCs/>
                <w:szCs w:val="20"/>
              </w:rPr>
            </w:pPr>
            <w:r w:rsidRPr="00A60A39">
              <w:rPr>
                <w:b/>
                <w:bCs/>
                <w:szCs w:val="20"/>
              </w:rPr>
              <w:t>Analyses</w:t>
            </w:r>
          </w:p>
        </w:tc>
        <w:tc>
          <w:tcPr>
            <w:tcW w:w="5047" w:type="dxa"/>
            <w:gridSpan w:val="3"/>
            <w:tcMar>
              <w:top w:w="0" w:type="dxa"/>
              <w:left w:w="28" w:type="dxa"/>
              <w:bottom w:w="0" w:type="dxa"/>
              <w:right w:w="28" w:type="dxa"/>
            </w:tcMar>
            <w:vAlign w:val="center"/>
          </w:tcPr>
          <w:p w14:paraId="069EFB56" w14:textId="77777777" w:rsidR="00462AA5" w:rsidRPr="00A60A39" w:rsidRDefault="00462AA5">
            <w:pPr>
              <w:pStyle w:val="Tabletext0"/>
              <w:keepNext/>
              <w:jc w:val="center"/>
              <w:rPr>
                <w:b/>
                <w:bCs/>
                <w:szCs w:val="20"/>
              </w:rPr>
            </w:pPr>
            <w:r w:rsidRPr="00A60A39">
              <w:rPr>
                <w:b/>
                <w:bCs/>
                <w:szCs w:val="20"/>
              </w:rPr>
              <w:t>ICER (% change from base case)</w:t>
            </w:r>
          </w:p>
        </w:tc>
      </w:tr>
      <w:tr w:rsidR="00462AA5" w:rsidRPr="00A60A39" w14:paraId="2933D377" w14:textId="77777777" w:rsidTr="0A99B0B1">
        <w:trPr>
          <w:tblHeader/>
        </w:trPr>
        <w:tc>
          <w:tcPr>
            <w:tcW w:w="3970" w:type="dxa"/>
            <w:vMerge/>
            <w:tcMar>
              <w:top w:w="0" w:type="dxa"/>
              <w:left w:w="28" w:type="dxa"/>
              <w:bottom w:w="0" w:type="dxa"/>
              <w:right w:w="28" w:type="dxa"/>
            </w:tcMar>
            <w:vAlign w:val="center"/>
            <w:hideMark/>
          </w:tcPr>
          <w:p w14:paraId="142AF46D" w14:textId="77777777" w:rsidR="00462AA5" w:rsidRPr="00A60A39" w:rsidRDefault="00462AA5">
            <w:pPr>
              <w:pStyle w:val="Tabletext0"/>
              <w:keepNext/>
              <w:rPr>
                <w:szCs w:val="20"/>
              </w:rPr>
            </w:pPr>
          </w:p>
        </w:tc>
        <w:tc>
          <w:tcPr>
            <w:tcW w:w="1682" w:type="dxa"/>
            <w:tcMar>
              <w:top w:w="0" w:type="dxa"/>
              <w:left w:w="28" w:type="dxa"/>
              <w:bottom w:w="0" w:type="dxa"/>
              <w:right w:w="28" w:type="dxa"/>
            </w:tcMar>
            <w:vAlign w:val="center"/>
            <w:hideMark/>
          </w:tcPr>
          <w:p w14:paraId="4EEFC679" w14:textId="77777777" w:rsidR="00462AA5" w:rsidRDefault="00462AA5">
            <w:pPr>
              <w:pStyle w:val="Tabletext0"/>
              <w:keepNext/>
              <w:jc w:val="center"/>
              <w:rPr>
                <w:b/>
                <w:bCs/>
                <w:szCs w:val="20"/>
              </w:rPr>
            </w:pPr>
            <w:r>
              <w:rPr>
                <w:b/>
                <w:bCs/>
                <w:szCs w:val="20"/>
              </w:rPr>
              <w:t xml:space="preserve">CVD and BMI </w:t>
            </w:r>
          </w:p>
          <w:p w14:paraId="5F9DF7BB" w14:textId="77777777" w:rsidR="00462AA5" w:rsidRPr="00A60A39" w:rsidRDefault="00462AA5">
            <w:pPr>
              <w:pStyle w:val="Tabletext0"/>
              <w:keepNext/>
              <w:jc w:val="center"/>
              <w:rPr>
                <w:b/>
                <w:bCs/>
                <w:szCs w:val="20"/>
              </w:rPr>
            </w:pPr>
            <w:r>
              <w:rPr>
                <w:b/>
                <w:bCs/>
                <w:szCs w:val="20"/>
              </w:rPr>
              <w:t>≥27 kg/m</w:t>
            </w:r>
            <w:r w:rsidRPr="00223441">
              <w:rPr>
                <w:b/>
                <w:bCs/>
                <w:szCs w:val="20"/>
                <w:vertAlign w:val="superscript"/>
              </w:rPr>
              <w:t>2</w:t>
            </w:r>
          </w:p>
        </w:tc>
        <w:tc>
          <w:tcPr>
            <w:tcW w:w="1682" w:type="dxa"/>
            <w:tcMar>
              <w:top w:w="0" w:type="dxa"/>
              <w:left w:w="28" w:type="dxa"/>
              <w:bottom w:w="0" w:type="dxa"/>
              <w:right w:w="28" w:type="dxa"/>
            </w:tcMar>
            <w:vAlign w:val="center"/>
          </w:tcPr>
          <w:p w14:paraId="4A35B0BA" w14:textId="77777777" w:rsidR="00462AA5" w:rsidRDefault="00462AA5">
            <w:pPr>
              <w:pStyle w:val="Tabletext0"/>
              <w:keepNext/>
              <w:jc w:val="center"/>
              <w:rPr>
                <w:b/>
                <w:bCs/>
                <w:szCs w:val="20"/>
              </w:rPr>
            </w:pPr>
            <w:r>
              <w:rPr>
                <w:b/>
                <w:bCs/>
                <w:szCs w:val="20"/>
              </w:rPr>
              <w:t xml:space="preserve">CVD and BMI </w:t>
            </w:r>
          </w:p>
          <w:p w14:paraId="08C9A9B6" w14:textId="77777777" w:rsidR="00462AA5" w:rsidRPr="00A60A39" w:rsidRDefault="00462AA5">
            <w:pPr>
              <w:pStyle w:val="Tabletext0"/>
              <w:keepNext/>
              <w:jc w:val="center"/>
              <w:rPr>
                <w:b/>
                <w:bCs/>
                <w:szCs w:val="20"/>
              </w:rPr>
            </w:pPr>
            <w:r>
              <w:rPr>
                <w:b/>
                <w:bCs/>
                <w:szCs w:val="20"/>
              </w:rPr>
              <w:t>≥35 kg/m</w:t>
            </w:r>
            <w:r w:rsidRPr="00223441">
              <w:rPr>
                <w:b/>
                <w:bCs/>
                <w:szCs w:val="20"/>
                <w:vertAlign w:val="superscript"/>
              </w:rPr>
              <w:t>2</w:t>
            </w:r>
          </w:p>
        </w:tc>
        <w:tc>
          <w:tcPr>
            <w:tcW w:w="1683" w:type="dxa"/>
            <w:tcMar>
              <w:top w:w="0" w:type="dxa"/>
              <w:left w:w="28" w:type="dxa"/>
              <w:bottom w:w="0" w:type="dxa"/>
              <w:right w:w="28" w:type="dxa"/>
            </w:tcMar>
            <w:vAlign w:val="center"/>
          </w:tcPr>
          <w:p w14:paraId="3B80724D" w14:textId="77777777" w:rsidR="00462AA5" w:rsidRDefault="00462AA5">
            <w:pPr>
              <w:pStyle w:val="Tabletext0"/>
              <w:keepNext/>
              <w:jc w:val="center"/>
              <w:rPr>
                <w:b/>
                <w:bCs/>
                <w:szCs w:val="20"/>
              </w:rPr>
            </w:pPr>
            <w:r>
              <w:rPr>
                <w:b/>
                <w:bCs/>
                <w:szCs w:val="20"/>
              </w:rPr>
              <w:t xml:space="preserve">CVD and BMI </w:t>
            </w:r>
          </w:p>
          <w:p w14:paraId="49ADBCE1" w14:textId="77777777" w:rsidR="00462AA5" w:rsidRPr="00A60A39" w:rsidRDefault="00462AA5">
            <w:pPr>
              <w:pStyle w:val="Tabletext0"/>
              <w:keepNext/>
              <w:jc w:val="center"/>
              <w:rPr>
                <w:b/>
                <w:bCs/>
                <w:szCs w:val="20"/>
              </w:rPr>
            </w:pPr>
            <w:r>
              <w:rPr>
                <w:b/>
                <w:bCs/>
                <w:szCs w:val="20"/>
              </w:rPr>
              <w:t>≥40 kg/m</w:t>
            </w:r>
            <w:r w:rsidRPr="00223441">
              <w:rPr>
                <w:b/>
                <w:bCs/>
                <w:szCs w:val="20"/>
                <w:vertAlign w:val="superscript"/>
              </w:rPr>
              <w:t>2</w:t>
            </w:r>
          </w:p>
        </w:tc>
      </w:tr>
      <w:tr w:rsidR="00462AA5" w:rsidRPr="00A60A39" w14:paraId="19C37EA7" w14:textId="77777777" w:rsidTr="0A99B0B1">
        <w:trPr>
          <w:tblHeader/>
        </w:trPr>
        <w:tc>
          <w:tcPr>
            <w:tcW w:w="3970" w:type="dxa"/>
            <w:tcMar>
              <w:top w:w="0" w:type="dxa"/>
              <w:left w:w="28" w:type="dxa"/>
              <w:bottom w:w="0" w:type="dxa"/>
              <w:right w:w="28" w:type="dxa"/>
            </w:tcMar>
            <w:hideMark/>
          </w:tcPr>
          <w:p w14:paraId="444439E6" w14:textId="77777777" w:rsidR="00462AA5" w:rsidRPr="00A60A39" w:rsidRDefault="670D5849" w:rsidP="0A99B0B1">
            <w:pPr>
              <w:pStyle w:val="Tabletext0"/>
              <w:keepNext/>
              <w:rPr>
                <w:b/>
                <w:bCs/>
                <w:vertAlign w:val="superscript"/>
              </w:rPr>
            </w:pPr>
            <w:r w:rsidRPr="0A99B0B1">
              <w:rPr>
                <w:b/>
                <w:bCs/>
              </w:rPr>
              <w:t>Base case</w:t>
            </w:r>
          </w:p>
        </w:tc>
        <w:tc>
          <w:tcPr>
            <w:tcW w:w="1682" w:type="dxa"/>
            <w:tcMar>
              <w:top w:w="0" w:type="dxa"/>
              <w:left w:w="28" w:type="dxa"/>
              <w:bottom w:w="0" w:type="dxa"/>
              <w:right w:w="28" w:type="dxa"/>
            </w:tcMar>
          </w:tcPr>
          <w:p w14:paraId="086DF2D7" w14:textId="2288BE49" w:rsidR="00462AA5" w:rsidRPr="00A60A39" w:rsidRDefault="00462AA5">
            <w:pPr>
              <w:pStyle w:val="Tabletext0"/>
              <w:keepNext/>
              <w:jc w:val="center"/>
              <w:rPr>
                <w:b/>
                <w:bCs/>
                <w:szCs w:val="20"/>
              </w:rPr>
            </w:pPr>
            <w:r w:rsidRPr="00E96684">
              <w:rPr>
                <w:b/>
                <w:bCs/>
                <w:szCs w:val="20"/>
              </w:rPr>
              <w:t>$</w:t>
            </w:r>
            <w:r w:rsidR="005E35AF" w:rsidRPr="005E35AF">
              <w:rPr>
                <w:b/>
                <w:bCs/>
                <w:szCs w:val="20"/>
                <w:highlight w:val="black"/>
              </w:rPr>
              <w:t>&amp;&amp;&amp;&amp;</w:t>
            </w:r>
            <w:r w:rsidR="00840700">
              <w:rPr>
                <w:iCs/>
                <w:vertAlign w:val="superscript"/>
              </w:rPr>
              <w:t>4</w:t>
            </w:r>
          </w:p>
        </w:tc>
        <w:tc>
          <w:tcPr>
            <w:tcW w:w="1682" w:type="dxa"/>
            <w:tcMar>
              <w:top w:w="0" w:type="dxa"/>
              <w:left w:w="28" w:type="dxa"/>
              <w:bottom w:w="0" w:type="dxa"/>
              <w:right w:w="28" w:type="dxa"/>
            </w:tcMar>
          </w:tcPr>
          <w:p w14:paraId="7D09E41D" w14:textId="4BB7C99D" w:rsidR="00462AA5" w:rsidRPr="00A60A39" w:rsidRDefault="00462AA5">
            <w:pPr>
              <w:pStyle w:val="Tabletext0"/>
              <w:keepNext/>
              <w:jc w:val="center"/>
              <w:rPr>
                <w:b/>
                <w:bCs/>
                <w:szCs w:val="20"/>
              </w:rPr>
            </w:pPr>
            <w:r w:rsidRPr="00657574">
              <w:rPr>
                <w:b/>
                <w:bCs/>
                <w:szCs w:val="20"/>
              </w:rPr>
              <w:t>$</w:t>
            </w:r>
            <w:r w:rsidR="005E35AF" w:rsidRPr="005E35AF">
              <w:rPr>
                <w:b/>
                <w:bCs/>
                <w:szCs w:val="20"/>
                <w:highlight w:val="black"/>
              </w:rPr>
              <w:t>&amp;&amp;&amp;&amp;</w:t>
            </w:r>
            <w:r w:rsidR="00840700">
              <w:rPr>
                <w:iCs/>
                <w:vertAlign w:val="superscript"/>
              </w:rPr>
              <w:t>4</w:t>
            </w:r>
          </w:p>
        </w:tc>
        <w:tc>
          <w:tcPr>
            <w:tcW w:w="1683" w:type="dxa"/>
            <w:tcMar>
              <w:top w:w="0" w:type="dxa"/>
              <w:left w:w="28" w:type="dxa"/>
              <w:bottom w:w="0" w:type="dxa"/>
              <w:right w:w="28" w:type="dxa"/>
            </w:tcMar>
          </w:tcPr>
          <w:p w14:paraId="7F812DB5" w14:textId="7950FD48" w:rsidR="00462AA5" w:rsidRPr="00A60A39" w:rsidRDefault="670D5849" w:rsidP="0A99B0B1">
            <w:pPr>
              <w:pStyle w:val="Tabletext0"/>
              <w:keepNext/>
              <w:jc w:val="center"/>
              <w:rPr>
                <w:b/>
                <w:bCs/>
              </w:rPr>
            </w:pPr>
            <w:r w:rsidRPr="0A99B0B1">
              <w:rPr>
                <w:b/>
                <w:bCs/>
              </w:rPr>
              <w:t>$</w:t>
            </w:r>
            <w:r w:rsidR="005E35AF" w:rsidRPr="005E35AF">
              <w:rPr>
                <w:b/>
                <w:bCs/>
                <w:highlight w:val="black"/>
              </w:rPr>
              <w:t>&amp;&amp;&amp;&amp;</w:t>
            </w:r>
            <w:r w:rsidR="00840700">
              <w:rPr>
                <w:b/>
                <w:bCs/>
                <w:vertAlign w:val="superscript"/>
              </w:rPr>
              <w:t>3</w:t>
            </w:r>
            <w:r w:rsidR="00BD75EC">
              <w:rPr>
                <w:b/>
                <w:bCs/>
              </w:rPr>
              <w:t>*</w:t>
            </w:r>
          </w:p>
        </w:tc>
      </w:tr>
      <w:tr w:rsidR="00462AA5" w:rsidRPr="00A60A39" w14:paraId="2550B5CD" w14:textId="77777777" w:rsidTr="0A99B0B1">
        <w:tc>
          <w:tcPr>
            <w:tcW w:w="9017" w:type="dxa"/>
            <w:gridSpan w:val="4"/>
            <w:tcMar>
              <w:top w:w="0" w:type="dxa"/>
              <w:left w:w="28" w:type="dxa"/>
              <w:bottom w:w="0" w:type="dxa"/>
              <w:right w:w="28" w:type="dxa"/>
            </w:tcMar>
            <w:hideMark/>
          </w:tcPr>
          <w:p w14:paraId="7BDE96EB" w14:textId="77777777" w:rsidR="00462AA5" w:rsidRPr="00A60A39" w:rsidRDefault="00462AA5">
            <w:pPr>
              <w:pStyle w:val="Tabletext0"/>
              <w:keepNext/>
              <w:rPr>
                <w:szCs w:val="20"/>
              </w:rPr>
            </w:pPr>
            <w:r w:rsidRPr="00A60A39">
              <w:rPr>
                <w:b/>
                <w:bCs/>
                <w:szCs w:val="20"/>
              </w:rPr>
              <w:t>Discount rate (base case: 5% for benefits and costs)</w:t>
            </w:r>
          </w:p>
        </w:tc>
      </w:tr>
      <w:tr w:rsidR="00462AA5" w:rsidRPr="00A60A39" w14:paraId="51CA798D" w14:textId="77777777" w:rsidTr="0A99B0B1">
        <w:tc>
          <w:tcPr>
            <w:tcW w:w="3970" w:type="dxa"/>
            <w:tcMar>
              <w:top w:w="0" w:type="dxa"/>
              <w:left w:w="28" w:type="dxa"/>
              <w:bottom w:w="0" w:type="dxa"/>
              <w:right w:w="28" w:type="dxa"/>
            </w:tcMar>
          </w:tcPr>
          <w:p w14:paraId="245B39D7" w14:textId="77777777" w:rsidR="00462AA5" w:rsidRPr="00A60A39" w:rsidRDefault="00462AA5">
            <w:pPr>
              <w:pStyle w:val="Tabletext0"/>
              <w:rPr>
                <w:szCs w:val="20"/>
              </w:rPr>
            </w:pPr>
            <w:r w:rsidRPr="00A60A39">
              <w:rPr>
                <w:szCs w:val="20"/>
              </w:rPr>
              <w:t>3.5% discount rate</w:t>
            </w:r>
          </w:p>
        </w:tc>
        <w:tc>
          <w:tcPr>
            <w:tcW w:w="1682" w:type="dxa"/>
            <w:tcMar>
              <w:top w:w="0" w:type="dxa"/>
              <w:left w:w="28" w:type="dxa"/>
              <w:bottom w:w="0" w:type="dxa"/>
              <w:right w:w="28" w:type="dxa"/>
            </w:tcMar>
          </w:tcPr>
          <w:p w14:paraId="5AC6A1B4" w14:textId="47452ECE" w:rsidR="00462AA5" w:rsidRPr="00656B9B" w:rsidRDefault="00462AA5">
            <w:pPr>
              <w:pStyle w:val="Tabletext0"/>
              <w:jc w:val="center"/>
              <w:rPr>
                <w:szCs w:val="20"/>
              </w:rPr>
            </w:pPr>
            <w:r w:rsidRPr="00E96684">
              <w:rPr>
                <w:iCs/>
                <w:szCs w:val="20"/>
              </w:rPr>
              <w:t>$</w:t>
            </w:r>
            <w:r w:rsidR="005E35AF" w:rsidRPr="005E35AF">
              <w:rPr>
                <w:iCs/>
                <w:szCs w:val="20"/>
                <w:highlight w:val="black"/>
              </w:rPr>
              <w:t>&amp;&amp;&amp;&amp;</w:t>
            </w:r>
            <w:r w:rsidR="00214AC5">
              <w:rPr>
                <w:iCs/>
                <w:vertAlign w:val="superscript"/>
              </w:rPr>
              <w:t>4</w:t>
            </w:r>
            <w:r>
              <w:rPr>
                <w:iCs/>
                <w:szCs w:val="20"/>
              </w:rPr>
              <w:t xml:space="preserve"> (</w:t>
            </w:r>
            <w:r w:rsidR="005E35AF" w:rsidRPr="005E35AF">
              <w:rPr>
                <w:iCs/>
                <w:szCs w:val="20"/>
                <w:highlight w:val="black"/>
              </w:rPr>
              <w:t>&amp;&amp;&amp;&amp;</w:t>
            </w:r>
            <w:r w:rsidRPr="00E96684">
              <w:rPr>
                <w:iCs/>
                <w:szCs w:val="20"/>
              </w:rPr>
              <w:t>%</w:t>
            </w:r>
            <w:r>
              <w:rPr>
                <w:iCs/>
                <w:szCs w:val="20"/>
              </w:rPr>
              <w:t>)</w:t>
            </w:r>
          </w:p>
        </w:tc>
        <w:tc>
          <w:tcPr>
            <w:tcW w:w="1682" w:type="dxa"/>
            <w:tcMar>
              <w:top w:w="0" w:type="dxa"/>
              <w:left w:w="28" w:type="dxa"/>
              <w:bottom w:w="0" w:type="dxa"/>
              <w:right w:w="28" w:type="dxa"/>
            </w:tcMar>
          </w:tcPr>
          <w:p w14:paraId="113663DD" w14:textId="366466E1" w:rsidR="00462AA5" w:rsidRPr="00656B9B" w:rsidRDefault="00462AA5">
            <w:pPr>
              <w:pStyle w:val="Tabletext0"/>
              <w:jc w:val="center"/>
              <w:rPr>
                <w:szCs w:val="20"/>
              </w:rPr>
            </w:pPr>
            <w:r w:rsidRPr="001F7206">
              <w:rPr>
                <w:iCs/>
                <w:szCs w:val="20"/>
              </w:rPr>
              <w:t>$</w:t>
            </w:r>
            <w:r w:rsidR="005E35AF" w:rsidRPr="005E35AF">
              <w:rPr>
                <w:iCs/>
                <w:szCs w:val="20"/>
                <w:highlight w:val="black"/>
              </w:rPr>
              <w:t>&amp;&amp;&amp;&amp;</w:t>
            </w:r>
            <w:r w:rsidR="002F4E9A">
              <w:rPr>
                <w:iCs/>
                <w:vertAlign w:val="superscript"/>
              </w:rPr>
              <w:t>3</w:t>
            </w:r>
            <w:r>
              <w:rPr>
                <w:iCs/>
                <w:szCs w:val="20"/>
              </w:rPr>
              <w:t xml:space="preserve"> (</w:t>
            </w:r>
            <w:r w:rsidR="005E35AF" w:rsidRPr="005E35AF">
              <w:rPr>
                <w:iCs/>
                <w:szCs w:val="20"/>
                <w:highlight w:val="black"/>
              </w:rPr>
              <w:t>&amp;&amp;&amp;&amp;</w:t>
            </w:r>
            <w:r w:rsidRPr="001F7206">
              <w:rPr>
                <w:iCs/>
                <w:szCs w:val="20"/>
              </w:rPr>
              <w:t>%</w:t>
            </w:r>
            <w:r>
              <w:rPr>
                <w:iCs/>
                <w:szCs w:val="20"/>
              </w:rPr>
              <w:t>)</w:t>
            </w:r>
          </w:p>
        </w:tc>
        <w:tc>
          <w:tcPr>
            <w:tcW w:w="1683" w:type="dxa"/>
            <w:tcMar>
              <w:top w:w="0" w:type="dxa"/>
              <w:left w:w="28" w:type="dxa"/>
              <w:bottom w:w="0" w:type="dxa"/>
              <w:right w:w="28" w:type="dxa"/>
            </w:tcMar>
          </w:tcPr>
          <w:p w14:paraId="6EA1D738" w14:textId="161A006A" w:rsidR="00462AA5" w:rsidRPr="00656B9B" w:rsidRDefault="00462AA5">
            <w:pPr>
              <w:pStyle w:val="Tabletext0"/>
              <w:jc w:val="center"/>
              <w:rPr>
                <w:szCs w:val="20"/>
              </w:rPr>
            </w:pPr>
            <w:r w:rsidRPr="00B53A43">
              <w:rPr>
                <w:szCs w:val="20"/>
              </w:rPr>
              <w:t>$</w:t>
            </w:r>
            <w:r w:rsidR="005E35AF" w:rsidRPr="005E35AF">
              <w:rPr>
                <w:szCs w:val="20"/>
                <w:highlight w:val="black"/>
              </w:rPr>
              <w:t>&amp;&amp;&amp;&amp;</w:t>
            </w:r>
            <w:r w:rsidR="002F4E9A">
              <w:rPr>
                <w:iCs/>
                <w:vertAlign w:val="superscript"/>
              </w:rPr>
              <w:t>3</w:t>
            </w:r>
            <w:r>
              <w:rPr>
                <w:szCs w:val="20"/>
              </w:rPr>
              <w:t xml:space="preserve"> (</w:t>
            </w:r>
            <w:r w:rsidR="005E35AF" w:rsidRPr="005E35AF">
              <w:rPr>
                <w:szCs w:val="20"/>
                <w:highlight w:val="black"/>
              </w:rPr>
              <w:t>&amp;&amp;&amp;&amp;</w:t>
            </w:r>
            <w:r w:rsidRPr="00B53A43">
              <w:rPr>
                <w:szCs w:val="20"/>
              </w:rPr>
              <w:t>%</w:t>
            </w:r>
            <w:r>
              <w:rPr>
                <w:szCs w:val="20"/>
              </w:rPr>
              <w:t>)</w:t>
            </w:r>
          </w:p>
        </w:tc>
      </w:tr>
      <w:tr w:rsidR="00462AA5" w:rsidRPr="00A60A39" w14:paraId="6F55A856" w14:textId="77777777" w:rsidTr="0A99B0B1">
        <w:tc>
          <w:tcPr>
            <w:tcW w:w="3970" w:type="dxa"/>
            <w:tcMar>
              <w:top w:w="0" w:type="dxa"/>
              <w:left w:w="28" w:type="dxa"/>
              <w:bottom w:w="0" w:type="dxa"/>
              <w:right w:w="28" w:type="dxa"/>
            </w:tcMar>
            <w:hideMark/>
          </w:tcPr>
          <w:p w14:paraId="5FA5F9F3" w14:textId="159ABC7C" w:rsidR="00462AA5" w:rsidRPr="00A60A39" w:rsidRDefault="00462AA5">
            <w:pPr>
              <w:pStyle w:val="Tabletext0"/>
              <w:rPr>
                <w:szCs w:val="20"/>
              </w:rPr>
            </w:pPr>
            <w:r w:rsidRPr="00A60A39">
              <w:rPr>
                <w:szCs w:val="20"/>
              </w:rPr>
              <w:t>0% discount rate</w:t>
            </w:r>
          </w:p>
        </w:tc>
        <w:tc>
          <w:tcPr>
            <w:tcW w:w="1682" w:type="dxa"/>
            <w:tcMar>
              <w:top w:w="0" w:type="dxa"/>
              <w:left w:w="28" w:type="dxa"/>
              <w:bottom w:w="0" w:type="dxa"/>
              <w:right w:w="28" w:type="dxa"/>
            </w:tcMar>
            <w:vAlign w:val="center"/>
          </w:tcPr>
          <w:p w14:paraId="7D72D669" w14:textId="350FC957" w:rsidR="00462AA5" w:rsidRPr="00656B9B" w:rsidRDefault="00462AA5">
            <w:pPr>
              <w:pStyle w:val="Tabletext0"/>
              <w:jc w:val="center"/>
              <w:rPr>
                <w:szCs w:val="20"/>
              </w:rPr>
            </w:pPr>
            <w:r w:rsidRPr="00E96684">
              <w:rPr>
                <w:iCs/>
                <w:szCs w:val="20"/>
              </w:rPr>
              <w:t>$</w:t>
            </w:r>
            <w:r w:rsidR="005E35AF" w:rsidRPr="005E35AF">
              <w:rPr>
                <w:iCs/>
                <w:szCs w:val="20"/>
                <w:highlight w:val="black"/>
              </w:rPr>
              <w:t>&amp;&amp;&amp;&amp;</w:t>
            </w:r>
            <w:r w:rsidR="002F4E9A">
              <w:rPr>
                <w:iCs/>
                <w:vertAlign w:val="superscript"/>
              </w:rPr>
              <w:t>3</w:t>
            </w:r>
            <w:r>
              <w:rPr>
                <w:iCs/>
                <w:szCs w:val="20"/>
              </w:rPr>
              <w:t xml:space="preserve"> (</w:t>
            </w:r>
            <w:r w:rsidR="005E35AF" w:rsidRPr="005E35AF">
              <w:rPr>
                <w:iCs/>
                <w:szCs w:val="20"/>
                <w:highlight w:val="black"/>
              </w:rPr>
              <w:t>&amp;&amp;&amp;&amp;</w:t>
            </w:r>
            <w:r w:rsidRPr="00E96684">
              <w:rPr>
                <w:iCs/>
                <w:szCs w:val="20"/>
              </w:rPr>
              <w:t>%</w:t>
            </w:r>
            <w:r>
              <w:rPr>
                <w:iCs/>
                <w:szCs w:val="20"/>
              </w:rPr>
              <w:t>)</w:t>
            </w:r>
          </w:p>
        </w:tc>
        <w:tc>
          <w:tcPr>
            <w:tcW w:w="1682" w:type="dxa"/>
            <w:tcMar>
              <w:top w:w="0" w:type="dxa"/>
              <w:left w:w="28" w:type="dxa"/>
              <w:bottom w:w="0" w:type="dxa"/>
              <w:right w:w="28" w:type="dxa"/>
            </w:tcMar>
            <w:vAlign w:val="center"/>
          </w:tcPr>
          <w:p w14:paraId="39987301" w14:textId="4E113897" w:rsidR="00462AA5" w:rsidRPr="00656B9B" w:rsidRDefault="00462AA5">
            <w:pPr>
              <w:pStyle w:val="Tabletext0"/>
              <w:jc w:val="center"/>
              <w:rPr>
                <w:szCs w:val="20"/>
              </w:rPr>
            </w:pPr>
            <w:r w:rsidRPr="001F7206">
              <w:rPr>
                <w:iCs/>
                <w:szCs w:val="20"/>
              </w:rPr>
              <w:t>$</w:t>
            </w:r>
            <w:r w:rsidR="005E35AF" w:rsidRPr="005E35AF">
              <w:rPr>
                <w:iCs/>
                <w:szCs w:val="20"/>
                <w:highlight w:val="black"/>
              </w:rPr>
              <w:t>&amp;&amp;&amp;&amp;</w:t>
            </w:r>
            <w:r w:rsidR="002F4E9A">
              <w:rPr>
                <w:iCs/>
                <w:vertAlign w:val="superscript"/>
              </w:rPr>
              <w:t>3</w:t>
            </w:r>
            <w:r>
              <w:rPr>
                <w:iCs/>
                <w:szCs w:val="20"/>
              </w:rPr>
              <w:t xml:space="preserve"> (</w:t>
            </w:r>
            <w:r w:rsidR="005E35AF" w:rsidRPr="005E35AF">
              <w:rPr>
                <w:iCs/>
                <w:szCs w:val="20"/>
                <w:highlight w:val="black"/>
              </w:rPr>
              <w:t>&amp;&amp;&amp;&amp;</w:t>
            </w:r>
            <w:r w:rsidRPr="001F7206">
              <w:rPr>
                <w:iCs/>
                <w:szCs w:val="20"/>
              </w:rPr>
              <w:t>%</w:t>
            </w:r>
            <w:r>
              <w:rPr>
                <w:iCs/>
                <w:szCs w:val="20"/>
              </w:rPr>
              <w:t>)</w:t>
            </w:r>
          </w:p>
        </w:tc>
        <w:tc>
          <w:tcPr>
            <w:tcW w:w="1683" w:type="dxa"/>
            <w:tcMar>
              <w:top w:w="0" w:type="dxa"/>
              <w:left w:w="28" w:type="dxa"/>
              <w:bottom w:w="0" w:type="dxa"/>
              <w:right w:w="28" w:type="dxa"/>
            </w:tcMar>
            <w:vAlign w:val="center"/>
          </w:tcPr>
          <w:p w14:paraId="2880C6C1" w14:textId="10476DFC" w:rsidR="00462AA5" w:rsidRPr="00656B9B" w:rsidRDefault="00462AA5">
            <w:pPr>
              <w:pStyle w:val="Tabletext0"/>
              <w:jc w:val="center"/>
              <w:rPr>
                <w:szCs w:val="20"/>
              </w:rPr>
            </w:pPr>
            <w:r w:rsidRPr="00B53A43">
              <w:rPr>
                <w:szCs w:val="20"/>
              </w:rPr>
              <w:t>$</w:t>
            </w:r>
            <w:r w:rsidR="005E35AF" w:rsidRPr="005E35AF">
              <w:rPr>
                <w:szCs w:val="20"/>
                <w:highlight w:val="black"/>
              </w:rPr>
              <w:t>&amp;&amp;&amp;&amp;</w:t>
            </w:r>
            <w:r w:rsidR="002F4E9A">
              <w:rPr>
                <w:iCs/>
                <w:vertAlign w:val="superscript"/>
              </w:rPr>
              <w:t>3</w:t>
            </w:r>
            <w:r>
              <w:rPr>
                <w:szCs w:val="20"/>
              </w:rPr>
              <w:t xml:space="preserve"> (</w:t>
            </w:r>
            <w:r w:rsidR="005E35AF" w:rsidRPr="005E35AF">
              <w:rPr>
                <w:szCs w:val="20"/>
                <w:highlight w:val="black"/>
              </w:rPr>
              <w:t>&amp;&amp;&amp;&amp;</w:t>
            </w:r>
            <w:r w:rsidRPr="00B53A43">
              <w:rPr>
                <w:szCs w:val="20"/>
              </w:rPr>
              <w:t>%</w:t>
            </w:r>
            <w:r>
              <w:rPr>
                <w:szCs w:val="20"/>
              </w:rPr>
              <w:t>)</w:t>
            </w:r>
          </w:p>
        </w:tc>
      </w:tr>
      <w:tr w:rsidR="00462AA5" w:rsidRPr="00A60A39" w14:paraId="4863DE79" w14:textId="77777777" w:rsidTr="0A99B0B1">
        <w:tc>
          <w:tcPr>
            <w:tcW w:w="9017" w:type="dxa"/>
            <w:gridSpan w:val="4"/>
            <w:tcMar>
              <w:top w:w="0" w:type="dxa"/>
              <w:left w:w="28" w:type="dxa"/>
              <w:bottom w:w="0" w:type="dxa"/>
              <w:right w:w="28" w:type="dxa"/>
            </w:tcMar>
            <w:vAlign w:val="center"/>
          </w:tcPr>
          <w:p w14:paraId="4427DD5C" w14:textId="77777777" w:rsidR="00462AA5" w:rsidRPr="00A60A39" w:rsidRDefault="00462AA5">
            <w:pPr>
              <w:pStyle w:val="Tabletext0"/>
              <w:jc w:val="both"/>
              <w:rPr>
                <w:szCs w:val="20"/>
              </w:rPr>
            </w:pPr>
            <w:r w:rsidRPr="00741BD4">
              <w:rPr>
                <w:b/>
                <w:bCs/>
                <w:szCs w:val="20"/>
              </w:rPr>
              <w:t xml:space="preserve">Time horizon (base case: </w:t>
            </w:r>
            <w:r>
              <w:rPr>
                <w:b/>
                <w:bCs/>
                <w:szCs w:val="20"/>
              </w:rPr>
              <w:t>25</w:t>
            </w:r>
            <w:r w:rsidRPr="00741BD4">
              <w:rPr>
                <w:b/>
                <w:bCs/>
                <w:szCs w:val="20"/>
              </w:rPr>
              <w:t xml:space="preserve"> years)</w:t>
            </w:r>
          </w:p>
        </w:tc>
      </w:tr>
      <w:tr w:rsidR="00462AA5" w:rsidRPr="00A60A39" w14:paraId="5268CC3F" w14:textId="77777777" w:rsidTr="0A99B0B1">
        <w:tc>
          <w:tcPr>
            <w:tcW w:w="3970" w:type="dxa"/>
            <w:tcMar>
              <w:top w:w="0" w:type="dxa"/>
              <w:left w:w="28" w:type="dxa"/>
              <w:bottom w:w="0" w:type="dxa"/>
              <w:right w:w="28" w:type="dxa"/>
            </w:tcMar>
            <w:vAlign w:val="center"/>
          </w:tcPr>
          <w:p w14:paraId="3A5AAFCF" w14:textId="77777777" w:rsidR="00462AA5" w:rsidRPr="00072F29" w:rsidRDefault="00462AA5">
            <w:pPr>
              <w:pStyle w:val="Tabletext0"/>
              <w:rPr>
                <w:szCs w:val="20"/>
              </w:rPr>
            </w:pPr>
            <w:r w:rsidRPr="008209E5">
              <w:rPr>
                <w:iCs/>
                <w:szCs w:val="20"/>
              </w:rPr>
              <w:t>Lifetime (100 - baseline age)</w:t>
            </w:r>
          </w:p>
        </w:tc>
        <w:tc>
          <w:tcPr>
            <w:tcW w:w="1682" w:type="dxa"/>
            <w:tcMar>
              <w:top w:w="0" w:type="dxa"/>
              <w:left w:w="28" w:type="dxa"/>
              <w:bottom w:w="0" w:type="dxa"/>
              <w:right w:w="28" w:type="dxa"/>
            </w:tcMar>
            <w:vAlign w:val="center"/>
          </w:tcPr>
          <w:p w14:paraId="44176899" w14:textId="56EF5403" w:rsidR="00462AA5" w:rsidRPr="00BC3BBD" w:rsidRDefault="00462AA5">
            <w:pPr>
              <w:pStyle w:val="Tabletext0"/>
              <w:jc w:val="center"/>
              <w:rPr>
                <w:szCs w:val="20"/>
              </w:rPr>
            </w:pPr>
            <w:r w:rsidRPr="00E96684">
              <w:rPr>
                <w:iCs/>
                <w:szCs w:val="20"/>
              </w:rPr>
              <w:t>$</w:t>
            </w:r>
            <w:r w:rsidR="005E35AF" w:rsidRPr="005E35AF">
              <w:rPr>
                <w:iCs/>
                <w:szCs w:val="20"/>
                <w:highlight w:val="black"/>
              </w:rPr>
              <w:t>&amp;&amp;&amp;&amp;</w:t>
            </w:r>
            <w:r w:rsidR="00214AC5">
              <w:rPr>
                <w:iCs/>
                <w:vertAlign w:val="superscript"/>
              </w:rPr>
              <w:t>4</w:t>
            </w:r>
            <w:r>
              <w:rPr>
                <w:iCs/>
                <w:szCs w:val="20"/>
              </w:rPr>
              <w:t xml:space="preserve"> (</w:t>
            </w:r>
            <w:r w:rsidR="005E35AF" w:rsidRPr="005E35AF">
              <w:rPr>
                <w:iCs/>
                <w:szCs w:val="20"/>
                <w:highlight w:val="black"/>
              </w:rPr>
              <w:t>&amp;&amp;&amp;&amp;</w:t>
            </w:r>
            <w:r w:rsidRPr="00E96684">
              <w:rPr>
                <w:iCs/>
                <w:szCs w:val="20"/>
              </w:rPr>
              <w:t>%</w:t>
            </w:r>
            <w:r>
              <w:rPr>
                <w:iCs/>
                <w:szCs w:val="20"/>
              </w:rPr>
              <w:t>)</w:t>
            </w:r>
          </w:p>
        </w:tc>
        <w:tc>
          <w:tcPr>
            <w:tcW w:w="1682" w:type="dxa"/>
            <w:tcMar>
              <w:top w:w="0" w:type="dxa"/>
              <w:left w:w="28" w:type="dxa"/>
              <w:bottom w:w="0" w:type="dxa"/>
              <w:right w:w="28" w:type="dxa"/>
            </w:tcMar>
            <w:vAlign w:val="center"/>
          </w:tcPr>
          <w:p w14:paraId="51148B99" w14:textId="68F74D39" w:rsidR="00462AA5" w:rsidRPr="00BC3BBD" w:rsidRDefault="00462AA5">
            <w:pPr>
              <w:pStyle w:val="Tabletext0"/>
              <w:jc w:val="center"/>
              <w:rPr>
                <w:szCs w:val="20"/>
              </w:rPr>
            </w:pPr>
            <w:r w:rsidRPr="000832F5">
              <w:rPr>
                <w:iCs/>
                <w:szCs w:val="20"/>
              </w:rPr>
              <w:t>$</w:t>
            </w:r>
            <w:r w:rsidR="005E35AF" w:rsidRPr="005E35AF">
              <w:rPr>
                <w:iCs/>
                <w:szCs w:val="20"/>
                <w:highlight w:val="black"/>
              </w:rPr>
              <w:t>&amp;&amp;&amp;&amp;</w:t>
            </w:r>
            <w:r>
              <w:rPr>
                <w:iCs/>
                <w:szCs w:val="20"/>
              </w:rPr>
              <w:t xml:space="preserve"> (</w:t>
            </w:r>
            <w:r w:rsidR="005E35AF" w:rsidRPr="005E35AF">
              <w:rPr>
                <w:iCs/>
                <w:szCs w:val="20"/>
                <w:highlight w:val="black"/>
              </w:rPr>
              <w:t>&amp;&amp;&amp;&amp;</w:t>
            </w:r>
            <w:r w:rsidRPr="000832F5">
              <w:rPr>
                <w:iCs/>
                <w:szCs w:val="20"/>
              </w:rPr>
              <w:t>%</w:t>
            </w:r>
            <w:r>
              <w:rPr>
                <w:iCs/>
                <w:szCs w:val="20"/>
              </w:rPr>
              <w:t>)</w:t>
            </w:r>
          </w:p>
        </w:tc>
        <w:tc>
          <w:tcPr>
            <w:tcW w:w="1683" w:type="dxa"/>
            <w:tcMar>
              <w:top w:w="0" w:type="dxa"/>
              <w:left w:w="28" w:type="dxa"/>
              <w:bottom w:w="0" w:type="dxa"/>
              <w:right w:w="28" w:type="dxa"/>
            </w:tcMar>
            <w:vAlign w:val="center"/>
          </w:tcPr>
          <w:p w14:paraId="1C3C5A81" w14:textId="5519BDC0" w:rsidR="00462AA5" w:rsidRPr="00BC3BBD" w:rsidRDefault="00462AA5">
            <w:pPr>
              <w:pStyle w:val="Tabletext0"/>
              <w:jc w:val="center"/>
              <w:rPr>
                <w:szCs w:val="20"/>
              </w:rPr>
            </w:pPr>
            <w:r w:rsidRPr="00B53A43">
              <w:rPr>
                <w:szCs w:val="20"/>
              </w:rPr>
              <w:t>$</w:t>
            </w:r>
            <w:r w:rsidR="005E35AF" w:rsidRPr="005E35AF">
              <w:rPr>
                <w:szCs w:val="20"/>
                <w:highlight w:val="black"/>
              </w:rPr>
              <w:t>&amp;&amp;&amp;&amp;</w:t>
            </w:r>
            <w:r w:rsidR="002F4E9A">
              <w:rPr>
                <w:iCs/>
                <w:vertAlign w:val="superscript"/>
              </w:rPr>
              <w:t>3</w:t>
            </w:r>
            <w:r>
              <w:rPr>
                <w:szCs w:val="20"/>
              </w:rPr>
              <w:t xml:space="preserve"> (</w:t>
            </w:r>
            <w:r w:rsidR="005E35AF" w:rsidRPr="005E35AF">
              <w:rPr>
                <w:szCs w:val="20"/>
                <w:highlight w:val="black"/>
              </w:rPr>
              <w:t>&amp;&amp;&amp;&amp;</w:t>
            </w:r>
            <w:r w:rsidRPr="00B53A43">
              <w:rPr>
                <w:szCs w:val="20"/>
              </w:rPr>
              <w:t>%</w:t>
            </w:r>
            <w:r>
              <w:rPr>
                <w:szCs w:val="20"/>
              </w:rPr>
              <w:t>)</w:t>
            </w:r>
          </w:p>
        </w:tc>
      </w:tr>
      <w:tr w:rsidR="00462AA5" w:rsidRPr="00A60A39" w14:paraId="66C2D230" w14:textId="77777777" w:rsidTr="0A99B0B1">
        <w:tc>
          <w:tcPr>
            <w:tcW w:w="3970" w:type="dxa"/>
            <w:tcMar>
              <w:top w:w="0" w:type="dxa"/>
              <w:left w:w="28" w:type="dxa"/>
              <w:bottom w:w="0" w:type="dxa"/>
              <w:right w:w="28" w:type="dxa"/>
            </w:tcMar>
            <w:vAlign w:val="center"/>
          </w:tcPr>
          <w:p w14:paraId="19706E5F" w14:textId="77777777" w:rsidR="00462AA5" w:rsidRPr="00072F29" w:rsidRDefault="00462AA5">
            <w:pPr>
              <w:pStyle w:val="Tabletext0"/>
              <w:rPr>
                <w:szCs w:val="20"/>
              </w:rPr>
            </w:pPr>
            <w:r w:rsidRPr="005B4968">
              <w:rPr>
                <w:iCs/>
                <w:szCs w:val="20"/>
              </w:rPr>
              <w:t>10 years</w:t>
            </w:r>
          </w:p>
        </w:tc>
        <w:tc>
          <w:tcPr>
            <w:tcW w:w="1682" w:type="dxa"/>
            <w:tcMar>
              <w:top w:w="0" w:type="dxa"/>
              <w:left w:w="28" w:type="dxa"/>
              <w:bottom w:w="0" w:type="dxa"/>
              <w:right w:w="28" w:type="dxa"/>
            </w:tcMar>
            <w:vAlign w:val="center"/>
          </w:tcPr>
          <w:p w14:paraId="0946F20E" w14:textId="55A92FA4" w:rsidR="00462AA5" w:rsidRPr="00BC3BBD" w:rsidRDefault="00462AA5">
            <w:pPr>
              <w:pStyle w:val="Tabletext0"/>
              <w:jc w:val="center"/>
              <w:rPr>
                <w:szCs w:val="20"/>
              </w:rPr>
            </w:pPr>
            <w:r w:rsidRPr="00E96684">
              <w:rPr>
                <w:iCs/>
                <w:szCs w:val="20"/>
              </w:rPr>
              <w:t>$</w:t>
            </w:r>
            <w:r w:rsidR="005E35AF" w:rsidRPr="005E35AF">
              <w:rPr>
                <w:iCs/>
                <w:szCs w:val="20"/>
                <w:highlight w:val="black"/>
              </w:rPr>
              <w:t>&amp;&amp;&amp;&amp;</w:t>
            </w:r>
            <w:r w:rsidR="00BE07BF">
              <w:rPr>
                <w:iCs/>
                <w:vertAlign w:val="superscript"/>
              </w:rPr>
              <w:t>7</w:t>
            </w:r>
            <w:r>
              <w:rPr>
                <w:iCs/>
                <w:szCs w:val="20"/>
              </w:rPr>
              <w:t xml:space="preserve"> (</w:t>
            </w:r>
            <w:r w:rsidR="005E35AF" w:rsidRPr="005E35AF">
              <w:rPr>
                <w:szCs w:val="20"/>
                <w:highlight w:val="black"/>
              </w:rPr>
              <w:t>&amp;&amp;&amp;&amp;</w:t>
            </w:r>
            <w:r w:rsidRPr="00E96684">
              <w:rPr>
                <w:szCs w:val="20"/>
              </w:rPr>
              <w:t>%</w:t>
            </w:r>
            <w:r>
              <w:rPr>
                <w:iCs/>
                <w:szCs w:val="20"/>
              </w:rPr>
              <w:t>)</w:t>
            </w:r>
          </w:p>
        </w:tc>
        <w:tc>
          <w:tcPr>
            <w:tcW w:w="1682" w:type="dxa"/>
            <w:tcMar>
              <w:top w:w="0" w:type="dxa"/>
              <w:left w:w="28" w:type="dxa"/>
              <w:bottom w:w="0" w:type="dxa"/>
              <w:right w:w="28" w:type="dxa"/>
            </w:tcMar>
            <w:vAlign w:val="center"/>
          </w:tcPr>
          <w:p w14:paraId="01C0B7C4" w14:textId="6281B135" w:rsidR="00462AA5" w:rsidRPr="00BC3BBD" w:rsidRDefault="00462AA5">
            <w:pPr>
              <w:pStyle w:val="Tabletext0"/>
              <w:jc w:val="center"/>
              <w:rPr>
                <w:szCs w:val="20"/>
              </w:rPr>
            </w:pPr>
            <w:r w:rsidRPr="000832F5">
              <w:rPr>
                <w:iCs/>
                <w:szCs w:val="20"/>
              </w:rPr>
              <w:t>$</w:t>
            </w:r>
            <w:r w:rsidR="005E35AF" w:rsidRPr="005E35AF">
              <w:rPr>
                <w:iCs/>
                <w:szCs w:val="20"/>
                <w:highlight w:val="black"/>
              </w:rPr>
              <w:t>&amp;&amp;&amp;&amp;</w:t>
            </w:r>
            <w:r w:rsidR="00BE07BF">
              <w:rPr>
                <w:iCs/>
                <w:vertAlign w:val="superscript"/>
              </w:rPr>
              <w:t>6</w:t>
            </w:r>
            <w:r>
              <w:rPr>
                <w:iCs/>
                <w:szCs w:val="20"/>
              </w:rPr>
              <w:t xml:space="preserve"> (</w:t>
            </w:r>
            <w:r w:rsidR="005E35AF" w:rsidRPr="005E35AF">
              <w:rPr>
                <w:szCs w:val="20"/>
                <w:highlight w:val="black"/>
              </w:rPr>
              <w:t>&amp;&amp;&amp;&amp;</w:t>
            </w:r>
            <w:r w:rsidRPr="000832F5">
              <w:rPr>
                <w:szCs w:val="20"/>
              </w:rPr>
              <w:t>%</w:t>
            </w:r>
            <w:r>
              <w:rPr>
                <w:iCs/>
                <w:szCs w:val="20"/>
              </w:rPr>
              <w:t>)</w:t>
            </w:r>
          </w:p>
        </w:tc>
        <w:tc>
          <w:tcPr>
            <w:tcW w:w="1683" w:type="dxa"/>
            <w:tcMar>
              <w:top w:w="0" w:type="dxa"/>
              <w:left w:w="28" w:type="dxa"/>
              <w:bottom w:w="0" w:type="dxa"/>
              <w:right w:w="28" w:type="dxa"/>
            </w:tcMar>
            <w:vAlign w:val="center"/>
          </w:tcPr>
          <w:p w14:paraId="595681EA" w14:textId="522581F3" w:rsidR="00462AA5" w:rsidRPr="00BC3BBD" w:rsidRDefault="00462AA5">
            <w:pPr>
              <w:pStyle w:val="Tabletext0"/>
              <w:jc w:val="center"/>
              <w:rPr>
                <w:szCs w:val="20"/>
              </w:rPr>
            </w:pPr>
            <w:r w:rsidRPr="00B53A43">
              <w:rPr>
                <w:szCs w:val="20"/>
              </w:rPr>
              <w:t>$</w:t>
            </w:r>
            <w:r w:rsidR="005E35AF" w:rsidRPr="005E35AF">
              <w:rPr>
                <w:szCs w:val="20"/>
                <w:highlight w:val="black"/>
              </w:rPr>
              <w:t>&amp;&amp;&amp;&amp;</w:t>
            </w:r>
            <w:r w:rsidR="0011241C">
              <w:rPr>
                <w:iCs/>
                <w:vertAlign w:val="superscript"/>
              </w:rPr>
              <w:t>5</w:t>
            </w:r>
            <w:r>
              <w:rPr>
                <w:szCs w:val="20"/>
              </w:rPr>
              <w:t xml:space="preserve"> (</w:t>
            </w:r>
            <w:r w:rsidR="005E35AF" w:rsidRPr="005E35AF">
              <w:rPr>
                <w:szCs w:val="20"/>
                <w:highlight w:val="black"/>
              </w:rPr>
              <w:t>&amp;&amp;&amp;&amp;</w:t>
            </w:r>
            <w:r w:rsidRPr="00B53A43">
              <w:rPr>
                <w:szCs w:val="20"/>
              </w:rPr>
              <w:t>%</w:t>
            </w:r>
            <w:r>
              <w:rPr>
                <w:szCs w:val="20"/>
              </w:rPr>
              <w:t>)</w:t>
            </w:r>
          </w:p>
        </w:tc>
      </w:tr>
      <w:tr w:rsidR="00462AA5" w:rsidRPr="00A60A39" w14:paraId="1F9D3877" w14:textId="77777777" w:rsidTr="0A99B0B1">
        <w:tc>
          <w:tcPr>
            <w:tcW w:w="9017" w:type="dxa"/>
            <w:gridSpan w:val="4"/>
            <w:tcMar>
              <w:top w:w="0" w:type="dxa"/>
              <w:left w:w="28" w:type="dxa"/>
              <w:bottom w:w="0" w:type="dxa"/>
              <w:right w:w="28" w:type="dxa"/>
            </w:tcMar>
            <w:vAlign w:val="center"/>
          </w:tcPr>
          <w:p w14:paraId="5B0666A9" w14:textId="77777777" w:rsidR="00462AA5" w:rsidRPr="00DB5D97" w:rsidRDefault="00462AA5">
            <w:pPr>
              <w:pStyle w:val="Tabletext0"/>
              <w:rPr>
                <w:b/>
                <w:bCs/>
                <w:szCs w:val="20"/>
              </w:rPr>
            </w:pPr>
            <w:r w:rsidRPr="00DB5D97">
              <w:rPr>
                <w:b/>
                <w:bCs/>
                <w:szCs w:val="20"/>
              </w:rPr>
              <w:t>Baseline patient characteristics (base case: varied by BMI subgroup)</w:t>
            </w:r>
          </w:p>
        </w:tc>
      </w:tr>
      <w:tr w:rsidR="00462AA5" w:rsidRPr="00A60A39" w14:paraId="216C302A" w14:textId="77777777" w:rsidTr="0A99B0B1">
        <w:tc>
          <w:tcPr>
            <w:tcW w:w="3970" w:type="dxa"/>
            <w:tcMar>
              <w:top w:w="0" w:type="dxa"/>
              <w:left w:w="28" w:type="dxa"/>
              <w:bottom w:w="0" w:type="dxa"/>
              <w:right w:w="28" w:type="dxa"/>
            </w:tcMar>
            <w:vAlign w:val="center"/>
          </w:tcPr>
          <w:p w14:paraId="6D8BE340" w14:textId="77777777" w:rsidR="00462AA5" w:rsidRPr="005B4968" w:rsidRDefault="00462AA5">
            <w:pPr>
              <w:pStyle w:val="Tabletext0"/>
              <w:rPr>
                <w:iCs/>
                <w:szCs w:val="20"/>
              </w:rPr>
            </w:pPr>
            <w:r>
              <w:rPr>
                <w:iCs/>
                <w:szCs w:val="20"/>
              </w:rPr>
              <w:lastRenderedPageBreak/>
              <w:t>Reduce baseline age to 50 years</w:t>
            </w:r>
          </w:p>
        </w:tc>
        <w:tc>
          <w:tcPr>
            <w:tcW w:w="1682" w:type="dxa"/>
            <w:tcMar>
              <w:top w:w="0" w:type="dxa"/>
              <w:left w:w="28" w:type="dxa"/>
              <w:bottom w:w="0" w:type="dxa"/>
              <w:right w:w="28" w:type="dxa"/>
            </w:tcMar>
            <w:vAlign w:val="center"/>
          </w:tcPr>
          <w:p w14:paraId="2A9A0D08" w14:textId="0C934EC6" w:rsidR="00462AA5" w:rsidRPr="00BC3BBD" w:rsidRDefault="00462AA5">
            <w:pPr>
              <w:pStyle w:val="Tabletext0"/>
              <w:jc w:val="center"/>
              <w:rPr>
                <w:szCs w:val="20"/>
              </w:rPr>
            </w:pPr>
            <w:r w:rsidRPr="00644C01">
              <w:rPr>
                <w:iCs/>
                <w:color w:val="000000"/>
                <w:szCs w:val="20"/>
              </w:rPr>
              <w:t>$</w:t>
            </w:r>
            <w:r w:rsidR="005E35AF" w:rsidRPr="005E35AF">
              <w:rPr>
                <w:iCs/>
                <w:color w:val="000000"/>
                <w:szCs w:val="20"/>
                <w:highlight w:val="black"/>
              </w:rPr>
              <w:t>&amp;&amp;&amp;&amp;</w:t>
            </w:r>
            <w:r w:rsidR="0011241C">
              <w:rPr>
                <w:iCs/>
                <w:vertAlign w:val="superscript"/>
              </w:rPr>
              <w:t>5</w:t>
            </w:r>
            <w:r>
              <w:rPr>
                <w:iCs/>
                <w:color w:val="000000"/>
                <w:szCs w:val="20"/>
              </w:rPr>
              <w:t xml:space="preserve"> (</w:t>
            </w:r>
            <w:r w:rsidR="005E35AF" w:rsidRPr="005E35AF">
              <w:rPr>
                <w:iCs/>
                <w:color w:val="000000"/>
                <w:szCs w:val="20"/>
                <w:highlight w:val="black"/>
              </w:rPr>
              <w:t>&amp;&amp;&amp;&amp;</w:t>
            </w:r>
            <w:r w:rsidRPr="00644C01">
              <w:rPr>
                <w:iCs/>
                <w:color w:val="000000"/>
                <w:szCs w:val="20"/>
              </w:rPr>
              <w:t>%</w:t>
            </w:r>
            <w:r>
              <w:rPr>
                <w:iCs/>
                <w:color w:val="000000"/>
                <w:szCs w:val="20"/>
              </w:rPr>
              <w:t>)</w:t>
            </w:r>
          </w:p>
        </w:tc>
        <w:tc>
          <w:tcPr>
            <w:tcW w:w="1682" w:type="dxa"/>
            <w:tcMar>
              <w:top w:w="0" w:type="dxa"/>
              <w:left w:w="28" w:type="dxa"/>
              <w:bottom w:w="0" w:type="dxa"/>
              <w:right w:w="28" w:type="dxa"/>
            </w:tcMar>
            <w:vAlign w:val="center"/>
          </w:tcPr>
          <w:p w14:paraId="72F2AC44" w14:textId="728868B6" w:rsidR="00462AA5" w:rsidRPr="00BC3BBD" w:rsidRDefault="00462AA5">
            <w:pPr>
              <w:pStyle w:val="Tabletext0"/>
              <w:jc w:val="center"/>
              <w:rPr>
                <w:szCs w:val="20"/>
              </w:rPr>
            </w:pPr>
            <w:r w:rsidRPr="00AC33DD">
              <w:rPr>
                <w:iCs/>
                <w:color w:val="000000"/>
                <w:szCs w:val="20"/>
              </w:rPr>
              <w:t>$</w:t>
            </w:r>
            <w:r w:rsidR="005E35AF" w:rsidRPr="005E35AF">
              <w:rPr>
                <w:iCs/>
                <w:color w:val="000000"/>
                <w:szCs w:val="20"/>
                <w:highlight w:val="black"/>
              </w:rPr>
              <w:t>&amp;&amp;&amp;&amp;</w:t>
            </w:r>
            <w:r w:rsidR="00214AC5">
              <w:rPr>
                <w:iCs/>
                <w:vertAlign w:val="superscript"/>
              </w:rPr>
              <w:t>4</w:t>
            </w:r>
            <w:r>
              <w:rPr>
                <w:iCs/>
                <w:color w:val="000000"/>
                <w:szCs w:val="20"/>
              </w:rPr>
              <w:t xml:space="preserve"> (</w:t>
            </w:r>
            <w:r w:rsidR="005E35AF" w:rsidRPr="005E35AF">
              <w:rPr>
                <w:iCs/>
                <w:color w:val="000000"/>
                <w:szCs w:val="20"/>
                <w:highlight w:val="black"/>
              </w:rPr>
              <w:t>&amp;&amp;&amp;&amp;</w:t>
            </w:r>
            <w:r w:rsidRPr="00AC33DD">
              <w:rPr>
                <w:iCs/>
                <w:color w:val="000000"/>
                <w:szCs w:val="20"/>
              </w:rPr>
              <w:t>%</w:t>
            </w:r>
            <w:r>
              <w:rPr>
                <w:iCs/>
                <w:color w:val="000000"/>
                <w:szCs w:val="20"/>
              </w:rPr>
              <w:t>)</w:t>
            </w:r>
          </w:p>
        </w:tc>
        <w:tc>
          <w:tcPr>
            <w:tcW w:w="1683" w:type="dxa"/>
            <w:tcMar>
              <w:top w:w="0" w:type="dxa"/>
              <w:left w:w="28" w:type="dxa"/>
              <w:bottom w:w="0" w:type="dxa"/>
              <w:right w:w="28" w:type="dxa"/>
            </w:tcMar>
            <w:vAlign w:val="center"/>
          </w:tcPr>
          <w:p w14:paraId="62C7AE07" w14:textId="1CFEB299" w:rsidR="00462AA5" w:rsidRPr="00BC3BBD" w:rsidRDefault="00462AA5">
            <w:pPr>
              <w:pStyle w:val="Tabletext0"/>
              <w:jc w:val="center"/>
              <w:rPr>
                <w:szCs w:val="20"/>
              </w:rPr>
            </w:pPr>
            <w:r w:rsidRPr="00B53A43">
              <w:rPr>
                <w:szCs w:val="20"/>
              </w:rPr>
              <w:t>$</w:t>
            </w:r>
            <w:r w:rsidR="005E35AF" w:rsidRPr="005E35AF">
              <w:rPr>
                <w:szCs w:val="20"/>
                <w:highlight w:val="black"/>
              </w:rPr>
              <w:t>&amp;&amp;&amp;&amp;</w:t>
            </w:r>
            <w:r w:rsidR="00840700">
              <w:rPr>
                <w:szCs w:val="20"/>
                <w:vertAlign w:val="superscript"/>
              </w:rPr>
              <w:t>3</w:t>
            </w:r>
            <w:r>
              <w:rPr>
                <w:szCs w:val="20"/>
              </w:rPr>
              <w:t xml:space="preserve"> (</w:t>
            </w:r>
            <w:r w:rsidR="005E35AF" w:rsidRPr="005E35AF">
              <w:rPr>
                <w:szCs w:val="20"/>
                <w:highlight w:val="black"/>
              </w:rPr>
              <w:t>&amp;&amp;&amp;&amp;</w:t>
            </w:r>
            <w:r w:rsidRPr="00B53A43">
              <w:rPr>
                <w:szCs w:val="20"/>
              </w:rPr>
              <w:t>%</w:t>
            </w:r>
            <w:r>
              <w:rPr>
                <w:szCs w:val="20"/>
              </w:rPr>
              <w:t>)</w:t>
            </w:r>
          </w:p>
        </w:tc>
      </w:tr>
      <w:tr w:rsidR="00462AA5" w:rsidRPr="00A60A39" w14:paraId="095B3309" w14:textId="77777777" w:rsidTr="0A99B0B1">
        <w:tc>
          <w:tcPr>
            <w:tcW w:w="3970" w:type="dxa"/>
            <w:tcMar>
              <w:top w:w="0" w:type="dxa"/>
              <w:left w:w="28" w:type="dxa"/>
              <w:bottom w:w="0" w:type="dxa"/>
              <w:right w:w="28" w:type="dxa"/>
            </w:tcMar>
            <w:vAlign w:val="center"/>
          </w:tcPr>
          <w:p w14:paraId="4E808B21" w14:textId="77777777" w:rsidR="00462AA5" w:rsidRPr="005B4968" w:rsidRDefault="00462AA5">
            <w:pPr>
              <w:pStyle w:val="Tabletext0"/>
              <w:rPr>
                <w:iCs/>
                <w:szCs w:val="20"/>
              </w:rPr>
            </w:pPr>
            <w:r>
              <w:rPr>
                <w:iCs/>
                <w:szCs w:val="20"/>
              </w:rPr>
              <w:t>Increase baseline age to 70 years</w:t>
            </w:r>
          </w:p>
        </w:tc>
        <w:tc>
          <w:tcPr>
            <w:tcW w:w="1682" w:type="dxa"/>
            <w:tcMar>
              <w:top w:w="0" w:type="dxa"/>
              <w:left w:w="28" w:type="dxa"/>
              <w:bottom w:w="0" w:type="dxa"/>
              <w:right w:w="28" w:type="dxa"/>
            </w:tcMar>
            <w:vAlign w:val="center"/>
          </w:tcPr>
          <w:p w14:paraId="346662F5" w14:textId="315F9C1C" w:rsidR="00462AA5" w:rsidRPr="00BC3BBD" w:rsidRDefault="00462AA5">
            <w:pPr>
              <w:pStyle w:val="Tabletext0"/>
              <w:jc w:val="center"/>
              <w:rPr>
                <w:szCs w:val="20"/>
              </w:rPr>
            </w:pPr>
            <w:r w:rsidRPr="00644C01">
              <w:rPr>
                <w:iCs/>
                <w:color w:val="000000"/>
                <w:szCs w:val="20"/>
              </w:rPr>
              <w:t>$</w:t>
            </w:r>
            <w:r w:rsidR="005E35AF" w:rsidRPr="005E35AF">
              <w:rPr>
                <w:iCs/>
                <w:color w:val="000000"/>
                <w:szCs w:val="20"/>
                <w:highlight w:val="black"/>
              </w:rPr>
              <w:t>&amp;&amp;&amp;&amp;</w:t>
            </w:r>
            <w:r w:rsidR="0011241C">
              <w:rPr>
                <w:iCs/>
                <w:vertAlign w:val="superscript"/>
              </w:rPr>
              <w:t>5</w:t>
            </w:r>
            <w:r>
              <w:rPr>
                <w:iCs/>
                <w:color w:val="000000"/>
                <w:szCs w:val="20"/>
              </w:rPr>
              <w:t xml:space="preserve"> (</w:t>
            </w:r>
            <w:r w:rsidR="005E35AF" w:rsidRPr="005E35AF">
              <w:rPr>
                <w:iCs/>
                <w:color w:val="000000"/>
                <w:szCs w:val="20"/>
                <w:highlight w:val="black"/>
              </w:rPr>
              <w:t>&amp;&amp;&amp;&amp;</w:t>
            </w:r>
            <w:r w:rsidRPr="00644C01">
              <w:rPr>
                <w:iCs/>
                <w:color w:val="000000"/>
                <w:szCs w:val="20"/>
              </w:rPr>
              <w:t>%</w:t>
            </w:r>
            <w:r>
              <w:rPr>
                <w:iCs/>
                <w:color w:val="000000"/>
                <w:szCs w:val="20"/>
              </w:rPr>
              <w:t>)</w:t>
            </w:r>
          </w:p>
        </w:tc>
        <w:tc>
          <w:tcPr>
            <w:tcW w:w="1682" w:type="dxa"/>
            <w:tcMar>
              <w:top w:w="0" w:type="dxa"/>
              <w:left w:w="28" w:type="dxa"/>
              <w:bottom w:w="0" w:type="dxa"/>
              <w:right w:w="28" w:type="dxa"/>
            </w:tcMar>
            <w:vAlign w:val="center"/>
          </w:tcPr>
          <w:p w14:paraId="56EF0F0B" w14:textId="212B4DB0" w:rsidR="00462AA5" w:rsidRPr="00BC3BBD" w:rsidRDefault="00462AA5">
            <w:pPr>
              <w:pStyle w:val="Tabletext0"/>
              <w:jc w:val="center"/>
              <w:rPr>
                <w:szCs w:val="20"/>
              </w:rPr>
            </w:pPr>
            <w:r w:rsidRPr="00AC33DD">
              <w:rPr>
                <w:iCs/>
                <w:color w:val="000000"/>
                <w:szCs w:val="20"/>
              </w:rPr>
              <w:t>$</w:t>
            </w:r>
            <w:r w:rsidR="005E35AF" w:rsidRPr="005E35AF">
              <w:rPr>
                <w:iCs/>
                <w:color w:val="000000"/>
                <w:szCs w:val="20"/>
                <w:highlight w:val="black"/>
              </w:rPr>
              <w:t>&amp;&amp;&amp;&amp;</w:t>
            </w:r>
            <w:r w:rsidR="00214AC5">
              <w:rPr>
                <w:iCs/>
                <w:vertAlign w:val="superscript"/>
              </w:rPr>
              <w:t>4</w:t>
            </w:r>
            <w:r>
              <w:rPr>
                <w:iCs/>
                <w:color w:val="000000"/>
                <w:szCs w:val="20"/>
              </w:rPr>
              <w:t xml:space="preserve"> (</w:t>
            </w:r>
            <w:r w:rsidR="005E35AF" w:rsidRPr="005E35AF">
              <w:rPr>
                <w:iCs/>
                <w:color w:val="000000"/>
                <w:szCs w:val="20"/>
                <w:highlight w:val="black"/>
              </w:rPr>
              <w:t>&amp;&amp;&amp;&amp;</w:t>
            </w:r>
            <w:r w:rsidRPr="00AC33DD">
              <w:rPr>
                <w:iCs/>
                <w:color w:val="000000"/>
                <w:szCs w:val="20"/>
              </w:rPr>
              <w:t>%</w:t>
            </w:r>
            <w:r>
              <w:rPr>
                <w:iCs/>
                <w:color w:val="000000"/>
                <w:szCs w:val="20"/>
              </w:rPr>
              <w:t>)</w:t>
            </w:r>
          </w:p>
        </w:tc>
        <w:tc>
          <w:tcPr>
            <w:tcW w:w="1683" w:type="dxa"/>
            <w:tcMar>
              <w:top w:w="0" w:type="dxa"/>
              <w:left w:w="28" w:type="dxa"/>
              <w:bottom w:w="0" w:type="dxa"/>
              <w:right w:w="28" w:type="dxa"/>
            </w:tcMar>
            <w:vAlign w:val="center"/>
          </w:tcPr>
          <w:p w14:paraId="2C21021F" w14:textId="34E8F3E2" w:rsidR="00462AA5" w:rsidRPr="00BC3BBD" w:rsidRDefault="00462AA5">
            <w:pPr>
              <w:pStyle w:val="Tabletext0"/>
              <w:jc w:val="center"/>
              <w:rPr>
                <w:szCs w:val="20"/>
              </w:rPr>
            </w:pPr>
            <w:r w:rsidRPr="00B53A43">
              <w:rPr>
                <w:szCs w:val="20"/>
              </w:rPr>
              <w:t>$</w:t>
            </w:r>
            <w:r w:rsidR="005E35AF" w:rsidRPr="005E35AF">
              <w:rPr>
                <w:szCs w:val="20"/>
                <w:highlight w:val="black"/>
              </w:rPr>
              <w:t>&amp;&amp;&amp;&amp;</w:t>
            </w:r>
            <w:r w:rsidR="00214AC5">
              <w:rPr>
                <w:iCs/>
                <w:vertAlign w:val="superscript"/>
              </w:rPr>
              <w:t>4</w:t>
            </w:r>
            <w:r>
              <w:rPr>
                <w:szCs w:val="20"/>
              </w:rPr>
              <w:t xml:space="preserve"> (</w:t>
            </w:r>
            <w:r w:rsidR="005E35AF" w:rsidRPr="005E35AF">
              <w:rPr>
                <w:szCs w:val="20"/>
                <w:highlight w:val="black"/>
              </w:rPr>
              <w:t>&amp;&amp;&amp;&amp;</w:t>
            </w:r>
            <w:r w:rsidRPr="00B53A43">
              <w:rPr>
                <w:szCs w:val="20"/>
              </w:rPr>
              <w:t>%</w:t>
            </w:r>
            <w:r>
              <w:rPr>
                <w:szCs w:val="20"/>
              </w:rPr>
              <w:t>)</w:t>
            </w:r>
          </w:p>
        </w:tc>
      </w:tr>
      <w:tr w:rsidR="00462AA5" w:rsidRPr="00A60A39" w14:paraId="060FBEA8" w14:textId="77777777" w:rsidTr="0A99B0B1">
        <w:tc>
          <w:tcPr>
            <w:tcW w:w="3970" w:type="dxa"/>
            <w:tcMar>
              <w:top w:w="0" w:type="dxa"/>
              <w:left w:w="28" w:type="dxa"/>
              <w:bottom w:w="0" w:type="dxa"/>
              <w:right w:w="28" w:type="dxa"/>
            </w:tcMar>
            <w:vAlign w:val="center"/>
          </w:tcPr>
          <w:p w14:paraId="0AC19699" w14:textId="77777777" w:rsidR="00462AA5" w:rsidRPr="005B4968" w:rsidRDefault="00462AA5">
            <w:pPr>
              <w:pStyle w:val="Tabletext0"/>
              <w:rPr>
                <w:iCs/>
                <w:szCs w:val="20"/>
              </w:rPr>
            </w:pPr>
            <w:r>
              <w:rPr>
                <w:iCs/>
                <w:szCs w:val="20"/>
              </w:rPr>
              <w:t>Assume all patients have CKD stage 1</w:t>
            </w:r>
          </w:p>
        </w:tc>
        <w:tc>
          <w:tcPr>
            <w:tcW w:w="1682" w:type="dxa"/>
            <w:tcMar>
              <w:top w:w="0" w:type="dxa"/>
              <w:left w:w="28" w:type="dxa"/>
              <w:bottom w:w="0" w:type="dxa"/>
              <w:right w:w="28" w:type="dxa"/>
            </w:tcMar>
            <w:vAlign w:val="center"/>
          </w:tcPr>
          <w:p w14:paraId="3FBB1325" w14:textId="4CBF21F5" w:rsidR="00462AA5" w:rsidRPr="00BC3BBD" w:rsidRDefault="00462AA5">
            <w:pPr>
              <w:pStyle w:val="Tabletext0"/>
              <w:jc w:val="center"/>
              <w:rPr>
                <w:szCs w:val="20"/>
              </w:rPr>
            </w:pPr>
            <w:r w:rsidRPr="00535EE5">
              <w:rPr>
                <w:iCs/>
                <w:color w:val="000000"/>
                <w:szCs w:val="20"/>
              </w:rPr>
              <w:t>$</w:t>
            </w:r>
            <w:r w:rsidR="005E35AF" w:rsidRPr="005E35AF">
              <w:rPr>
                <w:iCs/>
                <w:color w:val="000000"/>
                <w:szCs w:val="20"/>
                <w:highlight w:val="black"/>
              </w:rPr>
              <w:t>&amp;&amp;&amp;&amp;</w:t>
            </w:r>
            <w:r w:rsidR="0011241C">
              <w:rPr>
                <w:iCs/>
                <w:vertAlign w:val="superscript"/>
              </w:rPr>
              <w:t>5</w:t>
            </w:r>
            <w:r>
              <w:rPr>
                <w:iCs/>
                <w:color w:val="000000"/>
                <w:szCs w:val="20"/>
              </w:rPr>
              <w:t xml:space="preserve"> (</w:t>
            </w:r>
            <w:r w:rsidR="005E35AF" w:rsidRPr="005E35AF">
              <w:rPr>
                <w:iCs/>
                <w:color w:val="000000"/>
                <w:szCs w:val="20"/>
                <w:highlight w:val="black"/>
              </w:rPr>
              <w:t>&amp;&amp;&amp;&amp;</w:t>
            </w:r>
            <w:r w:rsidRPr="00535EE5">
              <w:rPr>
                <w:iCs/>
                <w:color w:val="000000"/>
                <w:szCs w:val="20"/>
              </w:rPr>
              <w:t>%</w:t>
            </w:r>
            <w:r>
              <w:rPr>
                <w:iCs/>
                <w:color w:val="000000"/>
                <w:szCs w:val="20"/>
              </w:rPr>
              <w:t>)</w:t>
            </w:r>
          </w:p>
        </w:tc>
        <w:tc>
          <w:tcPr>
            <w:tcW w:w="1682" w:type="dxa"/>
            <w:tcMar>
              <w:top w:w="0" w:type="dxa"/>
              <w:left w:w="28" w:type="dxa"/>
              <w:bottom w:w="0" w:type="dxa"/>
              <w:right w:w="28" w:type="dxa"/>
            </w:tcMar>
            <w:vAlign w:val="center"/>
          </w:tcPr>
          <w:p w14:paraId="06DA48B0" w14:textId="26AB9ECB" w:rsidR="00462AA5" w:rsidRPr="00BC3BBD" w:rsidRDefault="00462AA5">
            <w:pPr>
              <w:pStyle w:val="Tabletext0"/>
              <w:jc w:val="center"/>
              <w:rPr>
                <w:szCs w:val="20"/>
              </w:rPr>
            </w:pPr>
            <w:r w:rsidRPr="006B5DFF">
              <w:rPr>
                <w:iCs/>
                <w:color w:val="000000"/>
                <w:szCs w:val="20"/>
              </w:rPr>
              <w:t>$</w:t>
            </w:r>
            <w:r w:rsidR="005E35AF" w:rsidRPr="005E35AF">
              <w:rPr>
                <w:iCs/>
                <w:color w:val="000000"/>
                <w:szCs w:val="20"/>
                <w:highlight w:val="black"/>
              </w:rPr>
              <w:t>&amp;&amp;&amp;&amp;</w:t>
            </w:r>
            <w:r w:rsidR="00214AC5">
              <w:rPr>
                <w:iCs/>
                <w:vertAlign w:val="superscript"/>
              </w:rPr>
              <w:t>4</w:t>
            </w:r>
            <w:r>
              <w:rPr>
                <w:iCs/>
                <w:color w:val="000000"/>
                <w:szCs w:val="20"/>
              </w:rPr>
              <w:t xml:space="preserve"> (</w:t>
            </w:r>
            <w:r w:rsidR="005E35AF" w:rsidRPr="005E35AF">
              <w:rPr>
                <w:iCs/>
                <w:color w:val="000000"/>
                <w:szCs w:val="20"/>
                <w:highlight w:val="black"/>
              </w:rPr>
              <w:t>&amp;&amp;&amp;&amp;</w:t>
            </w:r>
            <w:r w:rsidRPr="006B5DFF">
              <w:rPr>
                <w:iCs/>
                <w:color w:val="000000"/>
                <w:szCs w:val="20"/>
              </w:rPr>
              <w:t>%</w:t>
            </w:r>
            <w:r>
              <w:rPr>
                <w:iCs/>
                <w:color w:val="000000"/>
                <w:szCs w:val="20"/>
              </w:rPr>
              <w:t>)</w:t>
            </w:r>
          </w:p>
        </w:tc>
        <w:tc>
          <w:tcPr>
            <w:tcW w:w="1683" w:type="dxa"/>
            <w:tcMar>
              <w:top w:w="0" w:type="dxa"/>
              <w:left w:w="28" w:type="dxa"/>
              <w:bottom w:w="0" w:type="dxa"/>
              <w:right w:w="28" w:type="dxa"/>
            </w:tcMar>
            <w:vAlign w:val="center"/>
          </w:tcPr>
          <w:p w14:paraId="7F233E08" w14:textId="7722B6E4" w:rsidR="00462AA5" w:rsidRPr="00BC3BBD" w:rsidRDefault="00462AA5">
            <w:pPr>
              <w:pStyle w:val="Tabletext0"/>
              <w:jc w:val="center"/>
              <w:rPr>
                <w:szCs w:val="20"/>
              </w:rPr>
            </w:pPr>
            <w:r w:rsidRPr="00B53A43">
              <w:rPr>
                <w:szCs w:val="20"/>
              </w:rPr>
              <w:t>$</w:t>
            </w:r>
            <w:r w:rsidR="005E35AF" w:rsidRPr="005E35AF">
              <w:rPr>
                <w:szCs w:val="20"/>
                <w:highlight w:val="black"/>
              </w:rPr>
              <w:t>&amp;&amp;&amp;&amp;</w:t>
            </w:r>
            <w:r w:rsidR="00214AC5">
              <w:rPr>
                <w:iCs/>
                <w:vertAlign w:val="superscript"/>
              </w:rPr>
              <w:t>4</w:t>
            </w:r>
            <w:r>
              <w:rPr>
                <w:szCs w:val="20"/>
              </w:rPr>
              <w:t xml:space="preserve"> (</w:t>
            </w:r>
            <w:r w:rsidR="005E35AF" w:rsidRPr="005E35AF">
              <w:rPr>
                <w:szCs w:val="20"/>
                <w:highlight w:val="black"/>
              </w:rPr>
              <w:t>&amp;&amp;&amp;&amp;</w:t>
            </w:r>
            <w:r w:rsidRPr="00B53A43">
              <w:rPr>
                <w:szCs w:val="20"/>
              </w:rPr>
              <w:t>%</w:t>
            </w:r>
            <w:r>
              <w:rPr>
                <w:szCs w:val="20"/>
              </w:rPr>
              <w:t>)</w:t>
            </w:r>
          </w:p>
        </w:tc>
      </w:tr>
      <w:tr w:rsidR="00462AA5" w:rsidRPr="00A60A39" w14:paraId="6713125F" w14:textId="77777777" w:rsidTr="0A99B0B1">
        <w:tc>
          <w:tcPr>
            <w:tcW w:w="3970" w:type="dxa"/>
            <w:tcMar>
              <w:top w:w="0" w:type="dxa"/>
              <w:left w:w="28" w:type="dxa"/>
              <w:bottom w:w="0" w:type="dxa"/>
              <w:right w:w="28" w:type="dxa"/>
            </w:tcMar>
            <w:vAlign w:val="center"/>
          </w:tcPr>
          <w:p w14:paraId="2511EF5A" w14:textId="77777777" w:rsidR="00462AA5" w:rsidRPr="005B4968" w:rsidRDefault="00462AA5">
            <w:pPr>
              <w:pStyle w:val="Tabletext0"/>
              <w:rPr>
                <w:iCs/>
                <w:szCs w:val="20"/>
              </w:rPr>
            </w:pPr>
            <w:r w:rsidRPr="008209E5">
              <w:rPr>
                <w:iCs/>
                <w:szCs w:val="20"/>
              </w:rPr>
              <w:t xml:space="preserve">Assume all patients have CKD </w:t>
            </w:r>
            <w:r>
              <w:rPr>
                <w:iCs/>
                <w:szCs w:val="20"/>
              </w:rPr>
              <w:t>stage</w:t>
            </w:r>
            <w:r w:rsidRPr="008209E5">
              <w:rPr>
                <w:iCs/>
                <w:szCs w:val="20"/>
              </w:rPr>
              <w:t xml:space="preserve"> 3a</w:t>
            </w:r>
          </w:p>
        </w:tc>
        <w:tc>
          <w:tcPr>
            <w:tcW w:w="1682" w:type="dxa"/>
            <w:tcMar>
              <w:top w:w="0" w:type="dxa"/>
              <w:left w:w="28" w:type="dxa"/>
              <w:bottom w:w="0" w:type="dxa"/>
              <w:right w:w="28" w:type="dxa"/>
            </w:tcMar>
            <w:vAlign w:val="center"/>
          </w:tcPr>
          <w:p w14:paraId="3C180BA3" w14:textId="51FE38D8" w:rsidR="00462AA5" w:rsidRPr="00BC3BBD" w:rsidRDefault="00462AA5">
            <w:pPr>
              <w:pStyle w:val="Tabletext0"/>
              <w:jc w:val="center"/>
              <w:rPr>
                <w:szCs w:val="20"/>
              </w:rPr>
            </w:pPr>
            <w:r w:rsidRPr="00535EE5">
              <w:rPr>
                <w:iCs/>
                <w:color w:val="000000"/>
                <w:szCs w:val="20"/>
              </w:rPr>
              <w:t>$</w:t>
            </w:r>
            <w:r w:rsidR="005E35AF" w:rsidRPr="005E35AF">
              <w:rPr>
                <w:iCs/>
                <w:color w:val="000000"/>
                <w:szCs w:val="20"/>
                <w:highlight w:val="black"/>
              </w:rPr>
              <w:t>&amp;&amp;&amp;&amp;</w:t>
            </w:r>
            <w:r w:rsidR="009A6C11">
              <w:rPr>
                <w:iCs/>
                <w:vertAlign w:val="superscript"/>
              </w:rPr>
              <w:t>2</w:t>
            </w:r>
            <w:r>
              <w:rPr>
                <w:iCs/>
                <w:color w:val="000000"/>
                <w:szCs w:val="20"/>
              </w:rPr>
              <w:t xml:space="preserve"> (</w:t>
            </w:r>
            <w:r w:rsidR="005E35AF" w:rsidRPr="005E35AF">
              <w:rPr>
                <w:iCs/>
                <w:color w:val="000000"/>
                <w:szCs w:val="20"/>
                <w:highlight w:val="black"/>
              </w:rPr>
              <w:t>&amp;&amp;&amp;&amp;</w:t>
            </w:r>
            <w:r w:rsidRPr="00535EE5">
              <w:rPr>
                <w:iCs/>
                <w:color w:val="000000"/>
                <w:szCs w:val="20"/>
              </w:rPr>
              <w:t>%</w:t>
            </w:r>
            <w:r>
              <w:rPr>
                <w:iCs/>
                <w:color w:val="000000"/>
                <w:szCs w:val="20"/>
              </w:rPr>
              <w:t>)</w:t>
            </w:r>
          </w:p>
        </w:tc>
        <w:tc>
          <w:tcPr>
            <w:tcW w:w="1682" w:type="dxa"/>
            <w:tcMar>
              <w:top w:w="0" w:type="dxa"/>
              <w:left w:w="28" w:type="dxa"/>
              <w:bottom w:w="0" w:type="dxa"/>
              <w:right w:w="28" w:type="dxa"/>
            </w:tcMar>
            <w:vAlign w:val="center"/>
          </w:tcPr>
          <w:p w14:paraId="0183520C" w14:textId="6BFA9BCC" w:rsidR="00462AA5" w:rsidRPr="00BC3BBD" w:rsidRDefault="00462AA5">
            <w:pPr>
              <w:pStyle w:val="Tabletext0"/>
              <w:jc w:val="center"/>
              <w:rPr>
                <w:szCs w:val="20"/>
              </w:rPr>
            </w:pPr>
            <w:r w:rsidRPr="006B5DFF">
              <w:rPr>
                <w:iCs/>
                <w:color w:val="000000"/>
                <w:szCs w:val="20"/>
              </w:rPr>
              <w:t>$</w:t>
            </w:r>
            <w:r w:rsidR="005E35AF" w:rsidRPr="005E35AF">
              <w:rPr>
                <w:iCs/>
                <w:color w:val="000000"/>
                <w:szCs w:val="20"/>
                <w:highlight w:val="black"/>
              </w:rPr>
              <w:t>&amp;&amp;&amp;&amp;</w:t>
            </w:r>
            <w:r w:rsidR="00BA4EBF">
              <w:rPr>
                <w:iCs/>
                <w:vertAlign w:val="superscript"/>
              </w:rPr>
              <w:t>1</w:t>
            </w:r>
            <w:r>
              <w:rPr>
                <w:iCs/>
                <w:color w:val="000000"/>
                <w:szCs w:val="20"/>
              </w:rPr>
              <w:t xml:space="preserve"> (</w:t>
            </w:r>
            <w:r w:rsidR="005E35AF" w:rsidRPr="005E35AF">
              <w:rPr>
                <w:iCs/>
                <w:color w:val="000000"/>
                <w:szCs w:val="20"/>
                <w:highlight w:val="black"/>
              </w:rPr>
              <w:t>&amp;&amp;&amp;&amp;</w:t>
            </w:r>
            <w:r w:rsidRPr="006B5DFF">
              <w:rPr>
                <w:iCs/>
                <w:color w:val="000000"/>
                <w:szCs w:val="20"/>
              </w:rPr>
              <w:t>%</w:t>
            </w:r>
            <w:r>
              <w:rPr>
                <w:iCs/>
                <w:color w:val="000000"/>
                <w:szCs w:val="20"/>
              </w:rPr>
              <w:t>)</w:t>
            </w:r>
          </w:p>
        </w:tc>
        <w:tc>
          <w:tcPr>
            <w:tcW w:w="1683" w:type="dxa"/>
            <w:tcMar>
              <w:top w:w="0" w:type="dxa"/>
              <w:left w:w="28" w:type="dxa"/>
              <w:bottom w:w="0" w:type="dxa"/>
              <w:right w:w="28" w:type="dxa"/>
            </w:tcMar>
            <w:vAlign w:val="center"/>
          </w:tcPr>
          <w:p w14:paraId="25EF4411" w14:textId="158CC948" w:rsidR="00462AA5" w:rsidRPr="00BC3BBD" w:rsidRDefault="00462AA5">
            <w:pPr>
              <w:pStyle w:val="Tabletext0"/>
              <w:jc w:val="center"/>
              <w:rPr>
                <w:szCs w:val="20"/>
              </w:rPr>
            </w:pPr>
            <w:r w:rsidRPr="00B53A43">
              <w:rPr>
                <w:szCs w:val="20"/>
              </w:rPr>
              <w:t>$</w:t>
            </w:r>
            <w:r w:rsidR="005E35AF" w:rsidRPr="005E35AF">
              <w:rPr>
                <w:szCs w:val="20"/>
                <w:highlight w:val="black"/>
              </w:rPr>
              <w:t>&amp;&amp;&amp;&amp;</w:t>
            </w:r>
            <w:r w:rsidR="00BA4EBF">
              <w:rPr>
                <w:iCs/>
                <w:vertAlign w:val="superscript"/>
              </w:rPr>
              <w:t>1</w:t>
            </w:r>
            <w:r>
              <w:rPr>
                <w:szCs w:val="20"/>
              </w:rPr>
              <w:t xml:space="preserve"> (</w:t>
            </w:r>
            <w:r w:rsidR="005E35AF" w:rsidRPr="005E35AF">
              <w:rPr>
                <w:szCs w:val="20"/>
                <w:highlight w:val="black"/>
              </w:rPr>
              <w:t>&amp;&amp;&amp;&amp;</w:t>
            </w:r>
            <w:r w:rsidRPr="00B53A43">
              <w:rPr>
                <w:szCs w:val="20"/>
              </w:rPr>
              <w:t>%</w:t>
            </w:r>
            <w:r>
              <w:rPr>
                <w:szCs w:val="20"/>
              </w:rPr>
              <w:t>)</w:t>
            </w:r>
          </w:p>
        </w:tc>
      </w:tr>
      <w:tr w:rsidR="00462AA5" w:rsidRPr="00A60A39" w14:paraId="6CAFF947" w14:textId="77777777" w:rsidTr="0A99B0B1">
        <w:tc>
          <w:tcPr>
            <w:tcW w:w="9017" w:type="dxa"/>
            <w:gridSpan w:val="4"/>
            <w:tcMar>
              <w:top w:w="0" w:type="dxa"/>
              <w:left w:w="28" w:type="dxa"/>
              <w:bottom w:w="0" w:type="dxa"/>
              <w:right w:w="28" w:type="dxa"/>
            </w:tcMar>
            <w:vAlign w:val="center"/>
          </w:tcPr>
          <w:p w14:paraId="61B4B5D1" w14:textId="1B432C45" w:rsidR="00462AA5" w:rsidRPr="00BC3BBD" w:rsidRDefault="00462AA5">
            <w:pPr>
              <w:pStyle w:val="Tabletext0"/>
              <w:rPr>
                <w:szCs w:val="20"/>
              </w:rPr>
            </w:pPr>
            <w:r>
              <w:rPr>
                <w:b/>
                <w:bCs/>
                <w:szCs w:val="20"/>
              </w:rPr>
              <w:t>Circumstances of use</w:t>
            </w:r>
            <w:r w:rsidRPr="00741BD4">
              <w:rPr>
                <w:b/>
                <w:bCs/>
                <w:szCs w:val="20"/>
              </w:rPr>
              <w:t xml:space="preserve"> (</w:t>
            </w:r>
            <w:r>
              <w:rPr>
                <w:b/>
                <w:bCs/>
                <w:szCs w:val="20"/>
              </w:rPr>
              <w:t>base case: semaglutide dose distribution and censored discontinuation rates based on SELECT trial</w:t>
            </w:r>
            <w:r w:rsidRPr="00932BA0">
              <w:rPr>
                <w:b/>
                <w:bCs/>
                <w:szCs w:val="20"/>
              </w:rPr>
              <w:t>)</w:t>
            </w:r>
          </w:p>
        </w:tc>
      </w:tr>
      <w:tr w:rsidR="00462AA5" w:rsidRPr="00A60A39" w14:paraId="1D540C0A" w14:textId="77777777" w:rsidTr="0A99B0B1">
        <w:tc>
          <w:tcPr>
            <w:tcW w:w="3970" w:type="dxa"/>
            <w:tcMar>
              <w:top w:w="0" w:type="dxa"/>
              <w:left w:w="28" w:type="dxa"/>
              <w:bottom w:w="0" w:type="dxa"/>
              <w:right w:w="28" w:type="dxa"/>
            </w:tcMar>
            <w:vAlign w:val="center"/>
          </w:tcPr>
          <w:p w14:paraId="35FAF747" w14:textId="0F78F557" w:rsidR="00462AA5" w:rsidRPr="008209E5" w:rsidRDefault="00462AA5">
            <w:pPr>
              <w:pStyle w:val="Tabletext0"/>
              <w:rPr>
                <w:iCs/>
                <w:szCs w:val="20"/>
              </w:rPr>
            </w:pPr>
            <w:r>
              <w:rPr>
                <w:iCs/>
                <w:szCs w:val="20"/>
              </w:rPr>
              <w:t>Assume all patients titrate to the 2.4 mg dose</w:t>
            </w:r>
            <w:r w:rsidR="003E190D">
              <w:rPr>
                <w:iCs/>
                <w:szCs w:val="20"/>
              </w:rPr>
              <w:t xml:space="preserve"> with no impact on modelled outcomes</w:t>
            </w:r>
          </w:p>
        </w:tc>
        <w:tc>
          <w:tcPr>
            <w:tcW w:w="1682" w:type="dxa"/>
            <w:tcMar>
              <w:top w:w="0" w:type="dxa"/>
              <w:left w:w="28" w:type="dxa"/>
              <w:bottom w:w="0" w:type="dxa"/>
              <w:right w:w="28" w:type="dxa"/>
            </w:tcMar>
            <w:vAlign w:val="center"/>
          </w:tcPr>
          <w:p w14:paraId="77ED3A94" w14:textId="343B276C" w:rsidR="00462AA5" w:rsidRPr="00BC3BBD" w:rsidRDefault="00462AA5">
            <w:pPr>
              <w:pStyle w:val="Tabletext0"/>
              <w:jc w:val="center"/>
              <w:rPr>
                <w:szCs w:val="20"/>
              </w:rPr>
            </w:pPr>
            <w:r w:rsidRPr="00CD2D4D">
              <w:rPr>
                <w:color w:val="000000"/>
                <w:szCs w:val="20"/>
              </w:rPr>
              <w:t>$</w:t>
            </w:r>
            <w:r w:rsidR="005E35AF" w:rsidRPr="005E35AF">
              <w:rPr>
                <w:color w:val="000000"/>
                <w:szCs w:val="20"/>
                <w:highlight w:val="black"/>
              </w:rPr>
              <w:t>&amp;&amp;&amp;&amp;</w:t>
            </w:r>
            <w:r w:rsidR="0011241C">
              <w:rPr>
                <w:iCs/>
                <w:vertAlign w:val="superscript"/>
              </w:rPr>
              <w:t>5</w:t>
            </w:r>
            <w:r>
              <w:rPr>
                <w:color w:val="000000"/>
                <w:szCs w:val="20"/>
              </w:rPr>
              <w:t xml:space="preserve"> (</w:t>
            </w:r>
            <w:r w:rsidR="005E35AF" w:rsidRPr="005E35AF">
              <w:rPr>
                <w:color w:val="000000"/>
                <w:szCs w:val="20"/>
                <w:highlight w:val="black"/>
              </w:rPr>
              <w:t>&amp;&amp;&amp;&amp;</w:t>
            </w:r>
            <w:r w:rsidRPr="00CD2D4D">
              <w:rPr>
                <w:color w:val="000000"/>
                <w:szCs w:val="20"/>
              </w:rPr>
              <w:t>%</w:t>
            </w:r>
            <w:r>
              <w:rPr>
                <w:color w:val="000000"/>
                <w:szCs w:val="20"/>
              </w:rPr>
              <w:t>)</w:t>
            </w:r>
          </w:p>
        </w:tc>
        <w:tc>
          <w:tcPr>
            <w:tcW w:w="1682" w:type="dxa"/>
            <w:tcMar>
              <w:top w:w="0" w:type="dxa"/>
              <w:left w:w="28" w:type="dxa"/>
              <w:bottom w:w="0" w:type="dxa"/>
              <w:right w:w="28" w:type="dxa"/>
            </w:tcMar>
            <w:vAlign w:val="center"/>
          </w:tcPr>
          <w:p w14:paraId="62ED2D29" w14:textId="67B09BEF" w:rsidR="00462AA5" w:rsidRPr="00BC3BBD" w:rsidRDefault="00462AA5">
            <w:pPr>
              <w:pStyle w:val="Tabletext0"/>
              <w:jc w:val="center"/>
              <w:rPr>
                <w:szCs w:val="20"/>
              </w:rPr>
            </w:pPr>
            <w:r w:rsidRPr="00362B88">
              <w:rPr>
                <w:color w:val="000000"/>
                <w:szCs w:val="20"/>
              </w:rPr>
              <w:t>$</w:t>
            </w:r>
            <w:r w:rsidR="005E35AF" w:rsidRPr="005E35AF">
              <w:rPr>
                <w:color w:val="000000"/>
                <w:szCs w:val="20"/>
                <w:highlight w:val="black"/>
              </w:rPr>
              <w:t>&amp;&amp;&amp;&amp;</w:t>
            </w:r>
            <w:r w:rsidR="00214AC5">
              <w:rPr>
                <w:iCs/>
                <w:vertAlign w:val="superscript"/>
              </w:rPr>
              <w:t>4</w:t>
            </w:r>
            <w:r>
              <w:rPr>
                <w:color w:val="000000"/>
                <w:szCs w:val="20"/>
              </w:rPr>
              <w:t xml:space="preserve"> (</w:t>
            </w:r>
            <w:r w:rsidR="005E35AF" w:rsidRPr="005E35AF">
              <w:rPr>
                <w:color w:val="000000"/>
                <w:szCs w:val="20"/>
                <w:highlight w:val="black"/>
              </w:rPr>
              <w:t>&amp;&amp;&amp;&amp;</w:t>
            </w:r>
            <w:r w:rsidRPr="00362B88">
              <w:rPr>
                <w:color w:val="000000"/>
                <w:szCs w:val="20"/>
              </w:rPr>
              <w:t>%</w:t>
            </w:r>
            <w:r>
              <w:rPr>
                <w:color w:val="000000"/>
                <w:szCs w:val="20"/>
              </w:rPr>
              <w:t>)</w:t>
            </w:r>
          </w:p>
        </w:tc>
        <w:tc>
          <w:tcPr>
            <w:tcW w:w="1683" w:type="dxa"/>
            <w:tcMar>
              <w:top w:w="0" w:type="dxa"/>
              <w:left w:w="28" w:type="dxa"/>
              <w:bottom w:w="0" w:type="dxa"/>
              <w:right w:w="28" w:type="dxa"/>
            </w:tcMar>
            <w:vAlign w:val="center"/>
          </w:tcPr>
          <w:p w14:paraId="3FEA5F3A" w14:textId="7AC6E1AB" w:rsidR="00462AA5" w:rsidRPr="00BC3BBD" w:rsidRDefault="00462AA5">
            <w:pPr>
              <w:pStyle w:val="Tabletext0"/>
              <w:jc w:val="center"/>
              <w:rPr>
                <w:szCs w:val="20"/>
              </w:rPr>
            </w:pPr>
            <w:r w:rsidRPr="00B53A43">
              <w:rPr>
                <w:szCs w:val="20"/>
              </w:rPr>
              <w:t>$</w:t>
            </w:r>
            <w:r w:rsidR="005E35AF" w:rsidRPr="005E35AF">
              <w:rPr>
                <w:szCs w:val="20"/>
                <w:highlight w:val="black"/>
              </w:rPr>
              <w:t>&amp;&amp;&amp;&amp;</w:t>
            </w:r>
            <w:r w:rsidR="00214AC5">
              <w:rPr>
                <w:iCs/>
                <w:vertAlign w:val="superscript"/>
              </w:rPr>
              <w:t>4</w:t>
            </w:r>
            <w:r>
              <w:rPr>
                <w:szCs w:val="20"/>
              </w:rPr>
              <w:t xml:space="preserve"> (</w:t>
            </w:r>
            <w:r w:rsidR="005E35AF" w:rsidRPr="005E35AF">
              <w:rPr>
                <w:szCs w:val="20"/>
                <w:highlight w:val="black"/>
              </w:rPr>
              <w:t>&amp;&amp;&amp;&amp;</w:t>
            </w:r>
            <w:r w:rsidRPr="00B53A43">
              <w:rPr>
                <w:szCs w:val="20"/>
              </w:rPr>
              <w:t>%</w:t>
            </w:r>
            <w:r>
              <w:rPr>
                <w:szCs w:val="20"/>
              </w:rPr>
              <w:t>)</w:t>
            </w:r>
          </w:p>
        </w:tc>
      </w:tr>
      <w:tr w:rsidR="00462AA5" w:rsidRPr="00A60A39" w14:paraId="49C5690D" w14:textId="77777777" w:rsidTr="0A99B0B1">
        <w:tc>
          <w:tcPr>
            <w:tcW w:w="3970" w:type="dxa"/>
            <w:tcMar>
              <w:top w:w="0" w:type="dxa"/>
              <w:left w:w="28" w:type="dxa"/>
              <w:bottom w:w="0" w:type="dxa"/>
              <w:right w:w="28" w:type="dxa"/>
            </w:tcMar>
            <w:vAlign w:val="center"/>
          </w:tcPr>
          <w:p w14:paraId="3C5E988D" w14:textId="3E67D9D5" w:rsidR="00462AA5" w:rsidRPr="008209E5" w:rsidRDefault="00462AA5">
            <w:pPr>
              <w:pStyle w:val="Tabletext0"/>
              <w:rPr>
                <w:iCs/>
                <w:szCs w:val="20"/>
              </w:rPr>
            </w:pPr>
            <w:r>
              <w:rPr>
                <w:iCs/>
                <w:szCs w:val="20"/>
              </w:rPr>
              <w:t>Assume equal use of the 1.7 mg and 2.4 mg dose strengths as maintenance doses (41.9% each)</w:t>
            </w:r>
            <w:r w:rsidR="0074304B">
              <w:rPr>
                <w:iCs/>
                <w:szCs w:val="20"/>
              </w:rPr>
              <w:t xml:space="preserve"> with no impact on modelled outcomes</w:t>
            </w:r>
          </w:p>
        </w:tc>
        <w:tc>
          <w:tcPr>
            <w:tcW w:w="1682" w:type="dxa"/>
            <w:tcMar>
              <w:top w:w="0" w:type="dxa"/>
              <w:left w:w="28" w:type="dxa"/>
              <w:bottom w:w="0" w:type="dxa"/>
              <w:right w:w="28" w:type="dxa"/>
            </w:tcMar>
            <w:vAlign w:val="center"/>
          </w:tcPr>
          <w:p w14:paraId="140F268D" w14:textId="4C0FF476" w:rsidR="00462AA5" w:rsidRPr="00BC3BBD" w:rsidRDefault="00462AA5">
            <w:pPr>
              <w:pStyle w:val="Tabletext0"/>
              <w:jc w:val="center"/>
              <w:rPr>
                <w:szCs w:val="20"/>
              </w:rPr>
            </w:pPr>
            <w:r w:rsidRPr="00CD2D4D">
              <w:rPr>
                <w:color w:val="000000"/>
                <w:szCs w:val="20"/>
              </w:rPr>
              <w:t>$</w:t>
            </w:r>
            <w:r w:rsidR="005E35AF" w:rsidRPr="005E35AF">
              <w:rPr>
                <w:color w:val="000000"/>
                <w:szCs w:val="20"/>
                <w:highlight w:val="black"/>
              </w:rPr>
              <w:t>&amp;&amp;&amp;&amp;</w:t>
            </w:r>
            <w:r w:rsidR="00840700">
              <w:rPr>
                <w:iCs/>
                <w:vertAlign w:val="superscript"/>
              </w:rPr>
              <w:t>4</w:t>
            </w:r>
            <w:r>
              <w:rPr>
                <w:color w:val="000000"/>
                <w:szCs w:val="20"/>
              </w:rPr>
              <w:t xml:space="preserve"> (</w:t>
            </w:r>
            <w:r w:rsidR="005E35AF" w:rsidRPr="005E35AF">
              <w:rPr>
                <w:color w:val="000000"/>
                <w:szCs w:val="20"/>
                <w:highlight w:val="black"/>
              </w:rPr>
              <w:t>&amp;&amp;&amp;&amp;</w:t>
            </w:r>
            <w:r w:rsidRPr="00CD2D4D">
              <w:rPr>
                <w:color w:val="000000"/>
                <w:szCs w:val="20"/>
              </w:rPr>
              <w:t>%</w:t>
            </w:r>
            <w:r>
              <w:rPr>
                <w:color w:val="000000"/>
                <w:szCs w:val="20"/>
              </w:rPr>
              <w:t>)</w:t>
            </w:r>
          </w:p>
        </w:tc>
        <w:tc>
          <w:tcPr>
            <w:tcW w:w="1682" w:type="dxa"/>
            <w:tcMar>
              <w:top w:w="0" w:type="dxa"/>
              <w:left w:w="28" w:type="dxa"/>
              <w:bottom w:w="0" w:type="dxa"/>
              <w:right w:w="28" w:type="dxa"/>
            </w:tcMar>
            <w:vAlign w:val="center"/>
          </w:tcPr>
          <w:p w14:paraId="2446B415" w14:textId="48E5E938" w:rsidR="00462AA5" w:rsidRPr="00BC3BBD" w:rsidRDefault="00462AA5">
            <w:pPr>
              <w:pStyle w:val="Tabletext0"/>
              <w:jc w:val="center"/>
              <w:rPr>
                <w:szCs w:val="20"/>
              </w:rPr>
            </w:pPr>
            <w:r w:rsidRPr="00362B88">
              <w:rPr>
                <w:color w:val="000000"/>
                <w:szCs w:val="20"/>
              </w:rPr>
              <w:t>$</w:t>
            </w:r>
            <w:r w:rsidR="005E35AF" w:rsidRPr="005E35AF">
              <w:rPr>
                <w:color w:val="000000"/>
                <w:szCs w:val="20"/>
                <w:highlight w:val="black"/>
              </w:rPr>
              <w:t>&amp;&amp;&amp;&amp;</w:t>
            </w:r>
            <w:r w:rsidR="002F4E9A">
              <w:rPr>
                <w:iCs/>
                <w:vertAlign w:val="superscript"/>
              </w:rPr>
              <w:t>3</w:t>
            </w:r>
            <w:r>
              <w:rPr>
                <w:color w:val="000000"/>
                <w:szCs w:val="20"/>
              </w:rPr>
              <w:t xml:space="preserve"> (</w:t>
            </w:r>
            <w:r w:rsidR="005E35AF" w:rsidRPr="005E35AF">
              <w:rPr>
                <w:color w:val="000000"/>
                <w:szCs w:val="20"/>
                <w:highlight w:val="black"/>
              </w:rPr>
              <w:t>&amp;&amp;&amp;&amp;</w:t>
            </w:r>
            <w:r w:rsidRPr="00362B88">
              <w:rPr>
                <w:color w:val="000000"/>
                <w:szCs w:val="20"/>
              </w:rPr>
              <w:t>%</w:t>
            </w:r>
            <w:r>
              <w:rPr>
                <w:color w:val="000000"/>
                <w:szCs w:val="20"/>
              </w:rPr>
              <w:t>)</w:t>
            </w:r>
          </w:p>
        </w:tc>
        <w:tc>
          <w:tcPr>
            <w:tcW w:w="1683" w:type="dxa"/>
            <w:tcMar>
              <w:top w:w="0" w:type="dxa"/>
              <w:left w:w="28" w:type="dxa"/>
              <w:bottom w:w="0" w:type="dxa"/>
              <w:right w:w="28" w:type="dxa"/>
            </w:tcMar>
            <w:vAlign w:val="center"/>
          </w:tcPr>
          <w:p w14:paraId="477760B2" w14:textId="42DFF6F2" w:rsidR="00462AA5" w:rsidRPr="00BC3BBD" w:rsidRDefault="00462AA5">
            <w:pPr>
              <w:pStyle w:val="Tabletext0"/>
              <w:jc w:val="center"/>
              <w:rPr>
                <w:szCs w:val="20"/>
              </w:rPr>
            </w:pPr>
            <w:r w:rsidRPr="00B53A43">
              <w:rPr>
                <w:szCs w:val="20"/>
              </w:rPr>
              <w:t>$</w:t>
            </w:r>
            <w:r w:rsidR="005E35AF" w:rsidRPr="005E35AF">
              <w:rPr>
                <w:szCs w:val="20"/>
                <w:highlight w:val="black"/>
              </w:rPr>
              <w:t>&amp;&amp;&amp;&amp;</w:t>
            </w:r>
            <w:r w:rsidR="002F4E9A">
              <w:rPr>
                <w:iCs/>
                <w:vertAlign w:val="superscript"/>
              </w:rPr>
              <w:t>3</w:t>
            </w:r>
            <w:r>
              <w:rPr>
                <w:szCs w:val="20"/>
              </w:rPr>
              <w:t xml:space="preserve"> (</w:t>
            </w:r>
            <w:r w:rsidR="005E35AF" w:rsidRPr="005E35AF">
              <w:rPr>
                <w:szCs w:val="20"/>
                <w:highlight w:val="black"/>
              </w:rPr>
              <w:t>&amp;&amp;&amp;&amp;</w:t>
            </w:r>
            <w:r w:rsidRPr="00B53A43">
              <w:rPr>
                <w:szCs w:val="20"/>
              </w:rPr>
              <w:t>%</w:t>
            </w:r>
            <w:r>
              <w:rPr>
                <w:szCs w:val="20"/>
              </w:rPr>
              <w:t>)</w:t>
            </w:r>
          </w:p>
        </w:tc>
      </w:tr>
      <w:tr w:rsidR="00462AA5" w:rsidRPr="00A60A39" w14:paraId="2AA57953" w14:textId="77777777" w:rsidTr="0A99B0B1">
        <w:tc>
          <w:tcPr>
            <w:tcW w:w="3970" w:type="dxa"/>
            <w:tcMar>
              <w:top w:w="0" w:type="dxa"/>
              <w:left w:w="28" w:type="dxa"/>
              <w:bottom w:w="0" w:type="dxa"/>
              <w:right w:w="28" w:type="dxa"/>
            </w:tcMar>
            <w:vAlign w:val="center"/>
          </w:tcPr>
          <w:p w14:paraId="355BF024" w14:textId="77777777" w:rsidR="00462AA5" w:rsidRPr="008209E5" w:rsidRDefault="00462AA5">
            <w:pPr>
              <w:pStyle w:val="Tabletext0"/>
              <w:rPr>
                <w:iCs/>
                <w:szCs w:val="20"/>
              </w:rPr>
            </w:pPr>
            <w:r>
              <w:rPr>
                <w:iCs/>
                <w:szCs w:val="20"/>
              </w:rPr>
              <w:t>Increase discontinuation rates by 50%</w:t>
            </w:r>
          </w:p>
        </w:tc>
        <w:tc>
          <w:tcPr>
            <w:tcW w:w="1682" w:type="dxa"/>
            <w:tcMar>
              <w:top w:w="0" w:type="dxa"/>
              <w:left w:w="28" w:type="dxa"/>
              <w:bottom w:w="0" w:type="dxa"/>
              <w:right w:w="28" w:type="dxa"/>
            </w:tcMar>
            <w:vAlign w:val="center"/>
          </w:tcPr>
          <w:p w14:paraId="23185572" w14:textId="6E5B106F" w:rsidR="00462AA5" w:rsidRPr="00BC3BBD" w:rsidRDefault="00462AA5">
            <w:pPr>
              <w:pStyle w:val="Tabletext0"/>
              <w:jc w:val="center"/>
              <w:rPr>
                <w:szCs w:val="20"/>
              </w:rPr>
            </w:pPr>
            <w:r w:rsidRPr="00CD2D4D">
              <w:rPr>
                <w:color w:val="000000"/>
                <w:szCs w:val="20"/>
              </w:rPr>
              <w:t>$</w:t>
            </w:r>
            <w:r w:rsidR="005E35AF" w:rsidRPr="005E35AF">
              <w:rPr>
                <w:color w:val="000000"/>
                <w:szCs w:val="20"/>
                <w:highlight w:val="black"/>
              </w:rPr>
              <w:t>&amp;&amp;&amp;&amp;</w:t>
            </w:r>
            <w:r w:rsidR="00840700">
              <w:rPr>
                <w:iCs/>
                <w:vertAlign w:val="superscript"/>
              </w:rPr>
              <w:t>4</w:t>
            </w:r>
            <w:r>
              <w:rPr>
                <w:color w:val="000000"/>
                <w:szCs w:val="20"/>
              </w:rPr>
              <w:t xml:space="preserve"> (</w:t>
            </w:r>
            <w:r w:rsidR="005E35AF" w:rsidRPr="005E35AF">
              <w:rPr>
                <w:color w:val="000000"/>
                <w:szCs w:val="20"/>
                <w:highlight w:val="black"/>
              </w:rPr>
              <w:t>&amp;&amp;&amp;&amp;</w:t>
            </w:r>
            <w:r w:rsidRPr="00CD2D4D">
              <w:rPr>
                <w:color w:val="000000"/>
                <w:szCs w:val="20"/>
              </w:rPr>
              <w:t>%</w:t>
            </w:r>
            <w:r>
              <w:rPr>
                <w:color w:val="000000"/>
                <w:szCs w:val="20"/>
              </w:rPr>
              <w:t>)</w:t>
            </w:r>
          </w:p>
        </w:tc>
        <w:tc>
          <w:tcPr>
            <w:tcW w:w="1682" w:type="dxa"/>
            <w:tcMar>
              <w:top w:w="0" w:type="dxa"/>
              <w:left w:w="28" w:type="dxa"/>
              <w:bottom w:w="0" w:type="dxa"/>
              <w:right w:w="28" w:type="dxa"/>
            </w:tcMar>
            <w:vAlign w:val="center"/>
          </w:tcPr>
          <w:p w14:paraId="7792AB03" w14:textId="439FC836" w:rsidR="00462AA5" w:rsidRPr="00BC3BBD" w:rsidRDefault="00462AA5">
            <w:pPr>
              <w:pStyle w:val="Tabletext0"/>
              <w:jc w:val="center"/>
              <w:rPr>
                <w:szCs w:val="20"/>
              </w:rPr>
            </w:pPr>
            <w:r w:rsidRPr="006B71AF">
              <w:rPr>
                <w:color w:val="000000"/>
                <w:szCs w:val="20"/>
              </w:rPr>
              <w:t>$</w:t>
            </w:r>
            <w:r w:rsidR="005E35AF" w:rsidRPr="005E35AF">
              <w:rPr>
                <w:color w:val="000000"/>
                <w:szCs w:val="20"/>
                <w:highlight w:val="black"/>
              </w:rPr>
              <w:t>&amp;&amp;&amp;&amp;</w:t>
            </w:r>
            <w:r w:rsidR="002F4E9A">
              <w:rPr>
                <w:iCs/>
                <w:vertAlign w:val="superscript"/>
              </w:rPr>
              <w:t>3</w:t>
            </w:r>
            <w:r>
              <w:rPr>
                <w:color w:val="000000"/>
                <w:szCs w:val="20"/>
              </w:rPr>
              <w:t xml:space="preserve"> (</w:t>
            </w:r>
            <w:r w:rsidR="005E35AF" w:rsidRPr="005E35AF">
              <w:rPr>
                <w:color w:val="000000"/>
                <w:szCs w:val="20"/>
                <w:highlight w:val="black"/>
              </w:rPr>
              <w:t>&amp;&amp;&amp;&amp;</w:t>
            </w:r>
            <w:r w:rsidRPr="006B71AF">
              <w:rPr>
                <w:color w:val="000000"/>
                <w:szCs w:val="20"/>
              </w:rPr>
              <w:t>%</w:t>
            </w:r>
            <w:r>
              <w:rPr>
                <w:color w:val="000000"/>
                <w:szCs w:val="20"/>
              </w:rPr>
              <w:t>)</w:t>
            </w:r>
          </w:p>
        </w:tc>
        <w:tc>
          <w:tcPr>
            <w:tcW w:w="1683" w:type="dxa"/>
            <w:tcMar>
              <w:top w:w="0" w:type="dxa"/>
              <w:left w:w="28" w:type="dxa"/>
              <w:bottom w:w="0" w:type="dxa"/>
              <w:right w:w="28" w:type="dxa"/>
            </w:tcMar>
            <w:vAlign w:val="center"/>
          </w:tcPr>
          <w:p w14:paraId="50B77F8F" w14:textId="6E2316B3" w:rsidR="00462AA5" w:rsidRPr="00BC3BBD" w:rsidRDefault="00462AA5">
            <w:pPr>
              <w:pStyle w:val="Tabletext0"/>
              <w:jc w:val="center"/>
              <w:rPr>
                <w:szCs w:val="20"/>
              </w:rPr>
            </w:pPr>
            <w:r w:rsidRPr="00B53A43">
              <w:rPr>
                <w:szCs w:val="20"/>
              </w:rPr>
              <w:t>$</w:t>
            </w:r>
            <w:r w:rsidR="005E35AF" w:rsidRPr="005E35AF">
              <w:rPr>
                <w:szCs w:val="20"/>
                <w:highlight w:val="black"/>
              </w:rPr>
              <w:t>&amp;&amp;&amp;&amp;</w:t>
            </w:r>
            <w:r w:rsidR="002F4E9A">
              <w:rPr>
                <w:iCs/>
                <w:vertAlign w:val="superscript"/>
              </w:rPr>
              <w:t>3</w:t>
            </w:r>
            <w:r>
              <w:rPr>
                <w:szCs w:val="20"/>
              </w:rPr>
              <w:t xml:space="preserve"> (</w:t>
            </w:r>
            <w:r w:rsidR="005E35AF" w:rsidRPr="005E35AF">
              <w:rPr>
                <w:szCs w:val="20"/>
                <w:highlight w:val="black"/>
              </w:rPr>
              <w:t>&amp;&amp;&amp;&amp;</w:t>
            </w:r>
            <w:r w:rsidRPr="00B53A43">
              <w:rPr>
                <w:szCs w:val="20"/>
              </w:rPr>
              <w:t>%</w:t>
            </w:r>
            <w:r>
              <w:rPr>
                <w:szCs w:val="20"/>
              </w:rPr>
              <w:t>)</w:t>
            </w:r>
          </w:p>
        </w:tc>
      </w:tr>
      <w:tr w:rsidR="00462AA5" w:rsidRPr="00A60A39" w14:paraId="0FB6DDDD" w14:textId="77777777" w:rsidTr="0A99B0B1">
        <w:tc>
          <w:tcPr>
            <w:tcW w:w="3970" w:type="dxa"/>
            <w:tcMar>
              <w:top w:w="0" w:type="dxa"/>
              <w:left w:w="28" w:type="dxa"/>
              <w:bottom w:w="0" w:type="dxa"/>
              <w:right w:w="28" w:type="dxa"/>
            </w:tcMar>
            <w:vAlign w:val="center"/>
          </w:tcPr>
          <w:p w14:paraId="292C3FF8" w14:textId="77777777" w:rsidR="00462AA5" w:rsidRPr="008209E5" w:rsidRDefault="00462AA5">
            <w:pPr>
              <w:pStyle w:val="Tabletext0"/>
              <w:rPr>
                <w:iCs/>
                <w:szCs w:val="20"/>
              </w:rPr>
            </w:pPr>
            <w:r>
              <w:rPr>
                <w:iCs/>
                <w:szCs w:val="20"/>
              </w:rPr>
              <w:t>Decrease discontinuation rates by 50%</w:t>
            </w:r>
          </w:p>
        </w:tc>
        <w:tc>
          <w:tcPr>
            <w:tcW w:w="1682" w:type="dxa"/>
            <w:tcMar>
              <w:top w:w="0" w:type="dxa"/>
              <w:left w:w="28" w:type="dxa"/>
              <w:bottom w:w="0" w:type="dxa"/>
              <w:right w:w="28" w:type="dxa"/>
            </w:tcMar>
            <w:vAlign w:val="center"/>
          </w:tcPr>
          <w:p w14:paraId="219EC644" w14:textId="1F64FAB2" w:rsidR="00462AA5" w:rsidRPr="00BC3BBD" w:rsidRDefault="00462AA5">
            <w:pPr>
              <w:pStyle w:val="Tabletext0"/>
              <w:jc w:val="center"/>
              <w:rPr>
                <w:szCs w:val="20"/>
              </w:rPr>
            </w:pPr>
            <w:r w:rsidRPr="00CD2D4D">
              <w:rPr>
                <w:color w:val="000000"/>
                <w:szCs w:val="20"/>
              </w:rPr>
              <w:t>$</w:t>
            </w:r>
            <w:r w:rsidR="005E35AF" w:rsidRPr="005E35AF">
              <w:rPr>
                <w:color w:val="000000"/>
                <w:szCs w:val="20"/>
                <w:highlight w:val="black"/>
              </w:rPr>
              <w:t>&amp;&amp;&amp;&amp;</w:t>
            </w:r>
            <w:r w:rsidR="0011241C">
              <w:rPr>
                <w:iCs/>
                <w:vertAlign w:val="superscript"/>
              </w:rPr>
              <w:t>5</w:t>
            </w:r>
            <w:r>
              <w:rPr>
                <w:color w:val="000000"/>
                <w:szCs w:val="20"/>
              </w:rPr>
              <w:t xml:space="preserve"> (</w:t>
            </w:r>
            <w:r w:rsidR="005E35AF" w:rsidRPr="005E35AF">
              <w:rPr>
                <w:color w:val="000000"/>
                <w:szCs w:val="20"/>
                <w:highlight w:val="black"/>
              </w:rPr>
              <w:t>&amp;&amp;&amp;&amp;</w:t>
            </w:r>
            <w:r w:rsidRPr="00CD2D4D">
              <w:rPr>
                <w:color w:val="000000"/>
                <w:szCs w:val="20"/>
              </w:rPr>
              <w:t>%</w:t>
            </w:r>
            <w:r>
              <w:rPr>
                <w:color w:val="000000"/>
                <w:szCs w:val="20"/>
              </w:rPr>
              <w:t>)</w:t>
            </w:r>
          </w:p>
        </w:tc>
        <w:tc>
          <w:tcPr>
            <w:tcW w:w="1682" w:type="dxa"/>
            <w:tcMar>
              <w:top w:w="0" w:type="dxa"/>
              <w:left w:w="28" w:type="dxa"/>
              <w:bottom w:w="0" w:type="dxa"/>
              <w:right w:w="28" w:type="dxa"/>
            </w:tcMar>
            <w:vAlign w:val="center"/>
          </w:tcPr>
          <w:p w14:paraId="6328E8E1" w14:textId="437C5908" w:rsidR="00462AA5" w:rsidRPr="00BC3BBD" w:rsidRDefault="00462AA5">
            <w:pPr>
              <w:pStyle w:val="Tabletext0"/>
              <w:jc w:val="center"/>
              <w:rPr>
                <w:szCs w:val="20"/>
              </w:rPr>
            </w:pPr>
            <w:r w:rsidRPr="006B71AF">
              <w:rPr>
                <w:color w:val="000000"/>
                <w:szCs w:val="20"/>
              </w:rPr>
              <w:t>$</w:t>
            </w:r>
            <w:r w:rsidR="005E35AF" w:rsidRPr="005E35AF">
              <w:rPr>
                <w:color w:val="000000"/>
                <w:szCs w:val="20"/>
                <w:highlight w:val="black"/>
              </w:rPr>
              <w:t>&amp;&amp;&amp;&amp;</w:t>
            </w:r>
            <w:r w:rsidR="00840700">
              <w:rPr>
                <w:iCs/>
                <w:vertAlign w:val="superscript"/>
              </w:rPr>
              <w:t>4</w:t>
            </w:r>
            <w:r>
              <w:rPr>
                <w:color w:val="000000"/>
                <w:szCs w:val="20"/>
              </w:rPr>
              <w:t xml:space="preserve"> (</w:t>
            </w:r>
            <w:r w:rsidR="005E35AF" w:rsidRPr="005E35AF">
              <w:rPr>
                <w:color w:val="000000"/>
                <w:szCs w:val="20"/>
                <w:highlight w:val="black"/>
              </w:rPr>
              <w:t>&amp;&amp;&amp;&amp;</w:t>
            </w:r>
            <w:r w:rsidRPr="006B71AF">
              <w:rPr>
                <w:color w:val="000000"/>
                <w:szCs w:val="20"/>
              </w:rPr>
              <w:t>%</w:t>
            </w:r>
            <w:r>
              <w:rPr>
                <w:color w:val="000000"/>
                <w:szCs w:val="20"/>
              </w:rPr>
              <w:t>)</w:t>
            </w:r>
          </w:p>
        </w:tc>
        <w:tc>
          <w:tcPr>
            <w:tcW w:w="1683" w:type="dxa"/>
            <w:tcMar>
              <w:top w:w="0" w:type="dxa"/>
              <w:left w:w="28" w:type="dxa"/>
              <w:bottom w:w="0" w:type="dxa"/>
              <w:right w:w="28" w:type="dxa"/>
            </w:tcMar>
            <w:vAlign w:val="center"/>
          </w:tcPr>
          <w:p w14:paraId="337AF933" w14:textId="795F7B1C" w:rsidR="00462AA5" w:rsidRPr="00BC3BBD" w:rsidRDefault="00462AA5">
            <w:pPr>
              <w:pStyle w:val="Tabletext0"/>
              <w:jc w:val="center"/>
              <w:rPr>
                <w:szCs w:val="20"/>
              </w:rPr>
            </w:pPr>
            <w:r w:rsidRPr="00B53A43">
              <w:rPr>
                <w:szCs w:val="20"/>
              </w:rPr>
              <w:t>$</w:t>
            </w:r>
            <w:r w:rsidR="005E35AF" w:rsidRPr="005E35AF">
              <w:rPr>
                <w:szCs w:val="20"/>
                <w:highlight w:val="black"/>
              </w:rPr>
              <w:t>&amp;&amp;&amp;&amp;</w:t>
            </w:r>
            <w:r w:rsidR="002F4E9A">
              <w:rPr>
                <w:iCs/>
                <w:vertAlign w:val="superscript"/>
              </w:rPr>
              <w:t>3</w:t>
            </w:r>
            <w:r>
              <w:rPr>
                <w:szCs w:val="20"/>
              </w:rPr>
              <w:t xml:space="preserve"> (</w:t>
            </w:r>
            <w:r w:rsidR="005E35AF" w:rsidRPr="005E35AF">
              <w:rPr>
                <w:szCs w:val="20"/>
                <w:highlight w:val="black"/>
              </w:rPr>
              <w:t>&amp;&amp;&amp;&amp;</w:t>
            </w:r>
            <w:r w:rsidRPr="00B53A43">
              <w:rPr>
                <w:szCs w:val="20"/>
              </w:rPr>
              <w:t>%</w:t>
            </w:r>
            <w:r>
              <w:rPr>
                <w:szCs w:val="20"/>
              </w:rPr>
              <w:t>)</w:t>
            </w:r>
          </w:p>
        </w:tc>
      </w:tr>
      <w:tr w:rsidR="00462AA5" w:rsidRPr="00A60A39" w14:paraId="3E401CA9" w14:textId="77777777" w:rsidTr="0A99B0B1">
        <w:tc>
          <w:tcPr>
            <w:tcW w:w="3970" w:type="dxa"/>
            <w:tcMar>
              <w:top w:w="0" w:type="dxa"/>
              <w:left w:w="28" w:type="dxa"/>
              <w:bottom w:w="0" w:type="dxa"/>
              <w:right w:w="28" w:type="dxa"/>
            </w:tcMar>
            <w:vAlign w:val="center"/>
          </w:tcPr>
          <w:p w14:paraId="756A33EF" w14:textId="77777777" w:rsidR="00462AA5" w:rsidRPr="0052003C" w:rsidRDefault="00462AA5">
            <w:pPr>
              <w:pStyle w:val="Tabletext0"/>
              <w:rPr>
                <w:iCs/>
                <w:szCs w:val="20"/>
              </w:rPr>
            </w:pPr>
            <w:r w:rsidRPr="0052003C">
              <w:rPr>
                <w:iCs/>
                <w:szCs w:val="20"/>
              </w:rPr>
              <w:t>Uncensored discontinuation rates</w:t>
            </w:r>
          </w:p>
        </w:tc>
        <w:tc>
          <w:tcPr>
            <w:tcW w:w="1682" w:type="dxa"/>
            <w:tcMar>
              <w:top w:w="0" w:type="dxa"/>
              <w:left w:w="28" w:type="dxa"/>
              <w:bottom w:w="0" w:type="dxa"/>
              <w:right w:w="28" w:type="dxa"/>
            </w:tcMar>
            <w:vAlign w:val="center"/>
          </w:tcPr>
          <w:p w14:paraId="06575110" w14:textId="5E531FD4" w:rsidR="00462AA5" w:rsidRPr="0052003C" w:rsidRDefault="00462AA5">
            <w:pPr>
              <w:pStyle w:val="Tabletext0"/>
              <w:jc w:val="center"/>
              <w:rPr>
                <w:iCs/>
                <w:szCs w:val="20"/>
              </w:rPr>
            </w:pPr>
            <w:r w:rsidRPr="0052003C">
              <w:rPr>
                <w:iCs/>
                <w:color w:val="000000"/>
                <w:szCs w:val="20"/>
              </w:rPr>
              <w:t>$</w:t>
            </w:r>
            <w:r w:rsidR="005E35AF" w:rsidRPr="005E35AF">
              <w:rPr>
                <w:iCs/>
                <w:color w:val="000000"/>
                <w:szCs w:val="20"/>
                <w:highlight w:val="black"/>
              </w:rPr>
              <w:t>&amp;&amp;&amp;&amp;</w:t>
            </w:r>
            <w:r w:rsidR="00840700">
              <w:rPr>
                <w:iCs/>
                <w:vertAlign w:val="superscript"/>
              </w:rPr>
              <w:t>4</w:t>
            </w:r>
            <w:r w:rsidRPr="0052003C">
              <w:rPr>
                <w:iCs/>
                <w:color w:val="000000"/>
                <w:szCs w:val="20"/>
              </w:rPr>
              <w:t xml:space="preserve"> (</w:t>
            </w:r>
            <w:r w:rsidR="005E35AF" w:rsidRPr="005E35AF">
              <w:rPr>
                <w:iCs/>
                <w:color w:val="000000"/>
                <w:szCs w:val="20"/>
                <w:highlight w:val="black"/>
              </w:rPr>
              <w:t>&amp;&amp;&amp;&amp;</w:t>
            </w:r>
            <w:r w:rsidRPr="0052003C">
              <w:rPr>
                <w:iCs/>
                <w:color w:val="000000"/>
                <w:szCs w:val="20"/>
              </w:rPr>
              <w:t>%)</w:t>
            </w:r>
          </w:p>
        </w:tc>
        <w:tc>
          <w:tcPr>
            <w:tcW w:w="1682" w:type="dxa"/>
            <w:tcMar>
              <w:top w:w="0" w:type="dxa"/>
              <w:left w:w="28" w:type="dxa"/>
              <w:bottom w:w="0" w:type="dxa"/>
              <w:right w:w="28" w:type="dxa"/>
            </w:tcMar>
            <w:vAlign w:val="center"/>
          </w:tcPr>
          <w:p w14:paraId="5ECD8264" w14:textId="3CFB3342" w:rsidR="00462AA5" w:rsidRPr="0052003C" w:rsidRDefault="00462AA5">
            <w:pPr>
              <w:pStyle w:val="Tabletext0"/>
              <w:jc w:val="center"/>
              <w:rPr>
                <w:iCs/>
                <w:szCs w:val="20"/>
              </w:rPr>
            </w:pPr>
            <w:r w:rsidRPr="0052003C">
              <w:rPr>
                <w:iCs/>
                <w:color w:val="000000"/>
                <w:szCs w:val="20"/>
              </w:rPr>
              <w:t>$</w:t>
            </w:r>
            <w:r w:rsidR="005E35AF" w:rsidRPr="005E35AF">
              <w:rPr>
                <w:iCs/>
                <w:color w:val="000000"/>
                <w:szCs w:val="20"/>
                <w:highlight w:val="black"/>
              </w:rPr>
              <w:t>&amp;&amp;&amp;&amp;</w:t>
            </w:r>
            <w:r w:rsidR="002F4E9A">
              <w:rPr>
                <w:iCs/>
                <w:vertAlign w:val="superscript"/>
              </w:rPr>
              <w:t>3</w:t>
            </w:r>
            <w:r w:rsidRPr="0052003C">
              <w:rPr>
                <w:iCs/>
                <w:color w:val="000000"/>
                <w:szCs w:val="20"/>
              </w:rPr>
              <w:t xml:space="preserve"> (</w:t>
            </w:r>
            <w:r w:rsidR="005E35AF" w:rsidRPr="005E35AF">
              <w:rPr>
                <w:iCs/>
                <w:color w:val="000000"/>
                <w:szCs w:val="20"/>
                <w:highlight w:val="black"/>
              </w:rPr>
              <w:t>&amp;&amp;&amp;&amp;</w:t>
            </w:r>
            <w:r w:rsidRPr="0052003C">
              <w:rPr>
                <w:iCs/>
                <w:color w:val="000000"/>
                <w:szCs w:val="20"/>
              </w:rPr>
              <w:t>%)</w:t>
            </w:r>
          </w:p>
        </w:tc>
        <w:tc>
          <w:tcPr>
            <w:tcW w:w="1683" w:type="dxa"/>
            <w:tcMar>
              <w:top w:w="0" w:type="dxa"/>
              <w:left w:w="28" w:type="dxa"/>
              <w:bottom w:w="0" w:type="dxa"/>
              <w:right w:w="28" w:type="dxa"/>
            </w:tcMar>
            <w:vAlign w:val="center"/>
          </w:tcPr>
          <w:p w14:paraId="0D101D48" w14:textId="7DA30A9C" w:rsidR="00462AA5" w:rsidRPr="0052003C" w:rsidRDefault="00462AA5">
            <w:pPr>
              <w:pStyle w:val="Tabletext0"/>
              <w:jc w:val="center"/>
              <w:rPr>
                <w:iCs/>
                <w:szCs w:val="20"/>
              </w:rPr>
            </w:pPr>
            <w:r w:rsidRPr="0052003C">
              <w:rPr>
                <w:iCs/>
                <w:szCs w:val="20"/>
              </w:rPr>
              <w:t>$</w:t>
            </w:r>
            <w:r w:rsidR="005E35AF" w:rsidRPr="005E35AF">
              <w:rPr>
                <w:iCs/>
                <w:szCs w:val="20"/>
                <w:highlight w:val="black"/>
              </w:rPr>
              <w:t>&amp;&amp;&amp;&amp;</w:t>
            </w:r>
            <w:r w:rsidR="002F4E9A">
              <w:rPr>
                <w:iCs/>
                <w:vertAlign w:val="superscript"/>
              </w:rPr>
              <w:t>3</w:t>
            </w:r>
            <w:r w:rsidRPr="0052003C">
              <w:rPr>
                <w:iCs/>
                <w:szCs w:val="20"/>
              </w:rPr>
              <w:t xml:space="preserve"> (</w:t>
            </w:r>
            <w:r w:rsidR="005E35AF" w:rsidRPr="005E35AF">
              <w:rPr>
                <w:iCs/>
                <w:szCs w:val="20"/>
                <w:highlight w:val="black"/>
              </w:rPr>
              <w:t>&amp;&amp;&amp;&amp;</w:t>
            </w:r>
            <w:r w:rsidRPr="0052003C">
              <w:rPr>
                <w:iCs/>
                <w:szCs w:val="20"/>
              </w:rPr>
              <w:t>%)</w:t>
            </w:r>
          </w:p>
        </w:tc>
      </w:tr>
      <w:tr w:rsidR="00462AA5" w:rsidRPr="00A60A39" w14:paraId="3CBAF7ED" w14:textId="77777777" w:rsidTr="0A99B0B1">
        <w:tc>
          <w:tcPr>
            <w:tcW w:w="9017" w:type="dxa"/>
            <w:gridSpan w:val="4"/>
            <w:tcMar>
              <w:top w:w="0" w:type="dxa"/>
              <w:left w:w="28" w:type="dxa"/>
              <w:bottom w:w="0" w:type="dxa"/>
              <w:right w:w="28" w:type="dxa"/>
            </w:tcMar>
            <w:vAlign w:val="center"/>
          </w:tcPr>
          <w:p w14:paraId="3C986081" w14:textId="77777777" w:rsidR="00462AA5" w:rsidRPr="00BC3BBD" w:rsidRDefault="00462AA5">
            <w:pPr>
              <w:pStyle w:val="Tabletext0"/>
              <w:rPr>
                <w:szCs w:val="20"/>
              </w:rPr>
            </w:pPr>
            <w:r>
              <w:rPr>
                <w:b/>
                <w:bCs/>
                <w:iCs/>
                <w:szCs w:val="20"/>
              </w:rPr>
              <w:t>Cardiovascular events</w:t>
            </w:r>
            <w:r w:rsidRPr="003D56A2">
              <w:rPr>
                <w:b/>
                <w:bCs/>
                <w:iCs/>
                <w:szCs w:val="20"/>
              </w:rPr>
              <w:t xml:space="preserve"> (base case:</w:t>
            </w:r>
            <w:r>
              <w:rPr>
                <w:b/>
                <w:bCs/>
                <w:iCs/>
                <w:szCs w:val="20"/>
              </w:rPr>
              <w:t xml:space="preserve"> trial-based incidence estimates for 3.5 years, with the assumption of constant risks for subsequent cycles with additional risk multipliers for age [AIHW], BMI [Khan 2018] and diabetes status [</w:t>
            </w:r>
            <w:r w:rsidRPr="009027F3">
              <w:rPr>
                <w:b/>
                <w:bCs/>
                <w:iCs/>
                <w:szCs w:val="20"/>
              </w:rPr>
              <w:t>Angoulvant 2021</w:t>
            </w:r>
            <w:r>
              <w:rPr>
                <w:b/>
                <w:bCs/>
                <w:iCs/>
                <w:szCs w:val="20"/>
              </w:rPr>
              <w:t>]</w:t>
            </w:r>
            <w:r w:rsidRPr="00E337A9">
              <w:rPr>
                <w:b/>
                <w:bCs/>
                <w:iCs/>
                <w:szCs w:val="20"/>
              </w:rPr>
              <w:t>)</w:t>
            </w:r>
          </w:p>
        </w:tc>
      </w:tr>
      <w:tr w:rsidR="00462AA5" w:rsidRPr="00A60A39" w14:paraId="1C83B7FB" w14:textId="77777777" w:rsidTr="0A99B0B1">
        <w:tc>
          <w:tcPr>
            <w:tcW w:w="3970" w:type="dxa"/>
            <w:tcMar>
              <w:top w:w="0" w:type="dxa"/>
              <w:left w:w="28" w:type="dxa"/>
              <w:bottom w:w="0" w:type="dxa"/>
              <w:right w:w="28" w:type="dxa"/>
            </w:tcMar>
            <w:vAlign w:val="center"/>
          </w:tcPr>
          <w:p w14:paraId="6BC60860" w14:textId="77777777" w:rsidR="00462AA5" w:rsidRPr="008209E5" w:rsidRDefault="00462AA5">
            <w:pPr>
              <w:pStyle w:val="Tabletext0"/>
              <w:rPr>
                <w:iCs/>
                <w:szCs w:val="20"/>
              </w:rPr>
            </w:pPr>
            <w:r>
              <w:rPr>
                <w:szCs w:val="20"/>
              </w:rPr>
              <w:t>Constant risks for whole model duration</w:t>
            </w:r>
          </w:p>
        </w:tc>
        <w:tc>
          <w:tcPr>
            <w:tcW w:w="1682" w:type="dxa"/>
            <w:tcMar>
              <w:top w:w="0" w:type="dxa"/>
              <w:left w:w="28" w:type="dxa"/>
              <w:bottom w:w="0" w:type="dxa"/>
              <w:right w:w="28" w:type="dxa"/>
            </w:tcMar>
            <w:vAlign w:val="center"/>
          </w:tcPr>
          <w:p w14:paraId="273C3D71" w14:textId="7A5C23EB" w:rsidR="00462AA5" w:rsidRPr="00BC3BBD" w:rsidRDefault="00462AA5">
            <w:pPr>
              <w:pStyle w:val="Tabletext0"/>
              <w:jc w:val="center"/>
              <w:rPr>
                <w:szCs w:val="20"/>
              </w:rPr>
            </w:pPr>
            <w:r w:rsidRPr="00524C42">
              <w:rPr>
                <w:color w:val="000000"/>
                <w:szCs w:val="20"/>
              </w:rPr>
              <w:t>$</w:t>
            </w:r>
            <w:r w:rsidR="005E35AF" w:rsidRPr="005E35AF">
              <w:rPr>
                <w:color w:val="000000"/>
                <w:szCs w:val="20"/>
                <w:highlight w:val="black"/>
              </w:rPr>
              <w:t>&amp;&amp;&amp;&amp;</w:t>
            </w:r>
            <w:r w:rsidR="00840700">
              <w:rPr>
                <w:iCs/>
                <w:vertAlign w:val="superscript"/>
              </w:rPr>
              <w:t>4</w:t>
            </w:r>
            <w:r>
              <w:rPr>
                <w:color w:val="000000"/>
                <w:szCs w:val="20"/>
              </w:rPr>
              <w:t xml:space="preserve"> (</w:t>
            </w:r>
            <w:r w:rsidR="005E35AF" w:rsidRPr="005E35AF">
              <w:rPr>
                <w:color w:val="000000"/>
                <w:szCs w:val="20"/>
                <w:highlight w:val="black"/>
              </w:rPr>
              <w:t>&amp;&amp;&amp;&amp;</w:t>
            </w:r>
            <w:r w:rsidRPr="00524C42">
              <w:rPr>
                <w:color w:val="000000"/>
                <w:szCs w:val="20"/>
              </w:rPr>
              <w:t>%</w:t>
            </w:r>
            <w:r>
              <w:rPr>
                <w:color w:val="000000"/>
                <w:szCs w:val="20"/>
              </w:rPr>
              <w:t>)</w:t>
            </w:r>
          </w:p>
        </w:tc>
        <w:tc>
          <w:tcPr>
            <w:tcW w:w="1682" w:type="dxa"/>
            <w:tcMar>
              <w:top w:w="0" w:type="dxa"/>
              <w:left w:w="28" w:type="dxa"/>
              <w:bottom w:w="0" w:type="dxa"/>
              <w:right w:w="28" w:type="dxa"/>
            </w:tcMar>
            <w:vAlign w:val="center"/>
          </w:tcPr>
          <w:p w14:paraId="4D0DE78D" w14:textId="7EC546BA" w:rsidR="00462AA5" w:rsidRPr="00BC3BBD" w:rsidRDefault="00462AA5">
            <w:pPr>
              <w:pStyle w:val="Tabletext0"/>
              <w:jc w:val="center"/>
              <w:rPr>
                <w:szCs w:val="20"/>
              </w:rPr>
            </w:pPr>
            <w:r w:rsidRPr="00980B50">
              <w:rPr>
                <w:color w:val="000000"/>
                <w:szCs w:val="20"/>
              </w:rPr>
              <w:t>$</w:t>
            </w:r>
            <w:r w:rsidR="005E35AF" w:rsidRPr="005E35AF">
              <w:rPr>
                <w:color w:val="000000"/>
                <w:szCs w:val="20"/>
                <w:highlight w:val="black"/>
              </w:rPr>
              <w:t>&amp;&amp;&amp;&amp;</w:t>
            </w:r>
            <w:r w:rsidR="00840700">
              <w:rPr>
                <w:iCs/>
                <w:vertAlign w:val="superscript"/>
              </w:rPr>
              <w:t>4</w:t>
            </w:r>
            <w:r>
              <w:rPr>
                <w:color w:val="000000"/>
                <w:szCs w:val="20"/>
              </w:rPr>
              <w:t xml:space="preserve"> (</w:t>
            </w:r>
            <w:r w:rsidR="005E35AF" w:rsidRPr="005E35AF">
              <w:rPr>
                <w:color w:val="000000"/>
                <w:szCs w:val="20"/>
                <w:highlight w:val="black"/>
              </w:rPr>
              <w:t>&amp;&amp;&amp;&amp;</w:t>
            </w:r>
            <w:r w:rsidRPr="00980B50">
              <w:rPr>
                <w:color w:val="000000"/>
                <w:szCs w:val="20"/>
              </w:rPr>
              <w:t>%</w:t>
            </w:r>
            <w:r>
              <w:rPr>
                <w:color w:val="000000"/>
                <w:szCs w:val="20"/>
              </w:rPr>
              <w:t>)</w:t>
            </w:r>
          </w:p>
        </w:tc>
        <w:tc>
          <w:tcPr>
            <w:tcW w:w="1683" w:type="dxa"/>
            <w:tcMar>
              <w:top w:w="0" w:type="dxa"/>
              <w:left w:w="28" w:type="dxa"/>
              <w:bottom w:w="0" w:type="dxa"/>
              <w:right w:w="28" w:type="dxa"/>
            </w:tcMar>
            <w:vAlign w:val="center"/>
          </w:tcPr>
          <w:p w14:paraId="2978DB59" w14:textId="648F5C8F" w:rsidR="00462AA5" w:rsidRPr="00BC3BBD" w:rsidRDefault="00462AA5">
            <w:pPr>
              <w:pStyle w:val="Tabletext0"/>
              <w:jc w:val="center"/>
              <w:rPr>
                <w:szCs w:val="20"/>
              </w:rPr>
            </w:pPr>
            <w:r w:rsidRPr="00B53A43">
              <w:rPr>
                <w:szCs w:val="20"/>
              </w:rPr>
              <w:t>$</w:t>
            </w:r>
            <w:r w:rsidR="005E35AF" w:rsidRPr="005E35AF">
              <w:rPr>
                <w:szCs w:val="20"/>
                <w:highlight w:val="black"/>
              </w:rPr>
              <w:t>&amp;&amp;&amp;&amp;</w:t>
            </w:r>
            <w:r w:rsidR="002F4E9A">
              <w:rPr>
                <w:iCs/>
                <w:vertAlign w:val="superscript"/>
              </w:rPr>
              <w:t>3</w:t>
            </w:r>
            <w:r>
              <w:rPr>
                <w:szCs w:val="20"/>
              </w:rPr>
              <w:t xml:space="preserve"> (</w:t>
            </w:r>
            <w:r w:rsidR="005E35AF" w:rsidRPr="005E35AF">
              <w:rPr>
                <w:szCs w:val="20"/>
                <w:highlight w:val="black"/>
              </w:rPr>
              <w:t>&amp;&amp;&amp;&amp;</w:t>
            </w:r>
            <w:r w:rsidRPr="00B53A43">
              <w:rPr>
                <w:szCs w:val="20"/>
              </w:rPr>
              <w:t>%</w:t>
            </w:r>
            <w:r>
              <w:rPr>
                <w:szCs w:val="20"/>
              </w:rPr>
              <w:t>)</w:t>
            </w:r>
          </w:p>
        </w:tc>
      </w:tr>
      <w:tr w:rsidR="00462AA5" w:rsidRPr="00A60A39" w14:paraId="794729B8" w14:textId="77777777" w:rsidTr="0A99B0B1">
        <w:tc>
          <w:tcPr>
            <w:tcW w:w="3970" w:type="dxa"/>
            <w:tcMar>
              <w:top w:w="0" w:type="dxa"/>
              <w:left w:w="28" w:type="dxa"/>
              <w:bottom w:w="0" w:type="dxa"/>
              <w:right w:w="28" w:type="dxa"/>
            </w:tcMar>
            <w:vAlign w:val="center"/>
          </w:tcPr>
          <w:p w14:paraId="0435D913" w14:textId="77777777" w:rsidR="00462AA5" w:rsidRPr="0052003C" w:rsidRDefault="00462AA5">
            <w:pPr>
              <w:pStyle w:val="Tabletext0"/>
              <w:rPr>
                <w:szCs w:val="20"/>
              </w:rPr>
            </w:pPr>
            <w:r w:rsidRPr="0052003C">
              <w:rPr>
                <w:szCs w:val="20"/>
              </w:rPr>
              <w:t xml:space="preserve">No difference in risk between arms for non-fatal myocardial infarction using constant risk for whole model </w:t>
            </w:r>
            <w:proofErr w:type="spellStart"/>
            <w:r w:rsidRPr="0052003C">
              <w:rPr>
                <w:szCs w:val="20"/>
              </w:rPr>
              <w:t>duration</w:t>
            </w:r>
            <w:r w:rsidRPr="0052003C">
              <w:rPr>
                <w:szCs w:val="20"/>
                <w:vertAlign w:val="superscript"/>
              </w:rPr>
              <w:t>a</w:t>
            </w:r>
            <w:proofErr w:type="spellEnd"/>
          </w:p>
        </w:tc>
        <w:tc>
          <w:tcPr>
            <w:tcW w:w="1682" w:type="dxa"/>
            <w:tcMar>
              <w:top w:w="0" w:type="dxa"/>
              <w:left w:w="28" w:type="dxa"/>
              <w:bottom w:w="0" w:type="dxa"/>
              <w:right w:w="28" w:type="dxa"/>
            </w:tcMar>
            <w:vAlign w:val="center"/>
          </w:tcPr>
          <w:p w14:paraId="20D56CEB" w14:textId="0A59CD55" w:rsidR="00462AA5" w:rsidRPr="0052003C" w:rsidRDefault="00462AA5">
            <w:pPr>
              <w:pStyle w:val="Tabletext0"/>
              <w:jc w:val="center"/>
              <w:rPr>
                <w:szCs w:val="20"/>
              </w:rPr>
            </w:pPr>
            <w:r w:rsidRPr="0052003C">
              <w:rPr>
                <w:color w:val="000000"/>
                <w:szCs w:val="20"/>
              </w:rPr>
              <w:t>$</w:t>
            </w:r>
            <w:r w:rsidR="005E35AF" w:rsidRPr="005E35AF">
              <w:rPr>
                <w:color w:val="000000"/>
                <w:szCs w:val="20"/>
                <w:highlight w:val="black"/>
              </w:rPr>
              <w:t>&amp;&amp;&amp;&amp;</w:t>
            </w:r>
            <w:r w:rsidR="0011241C">
              <w:rPr>
                <w:iCs/>
                <w:vertAlign w:val="superscript"/>
              </w:rPr>
              <w:t>5</w:t>
            </w:r>
            <w:r w:rsidRPr="0052003C">
              <w:rPr>
                <w:color w:val="000000"/>
                <w:szCs w:val="20"/>
              </w:rPr>
              <w:t xml:space="preserve"> (</w:t>
            </w:r>
            <w:r w:rsidR="005E35AF" w:rsidRPr="005E35AF">
              <w:rPr>
                <w:color w:val="000000"/>
                <w:szCs w:val="20"/>
                <w:highlight w:val="black"/>
              </w:rPr>
              <w:t>&amp;&amp;&amp;&amp;</w:t>
            </w:r>
            <w:r w:rsidRPr="0052003C">
              <w:rPr>
                <w:color w:val="000000"/>
                <w:szCs w:val="20"/>
              </w:rPr>
              <w:t>%)</w:t>
            </w:r>
          </w:p>
        </w:tc>
        <w:tc>
          <w:tcPr>
            <w:tcW w:w="1682" w:type="dxa"/>
            <w:tcMar>
              <w:top w:w="0" w:type="dxa"/>
              <w:left w:w="28" w:type="dxa"/>
              <w:bottom w:w="0" w:type="dxa"/>
              <w:right w:w="28" w:type="dxa"/>
            </w:tcMar>
            <w:vAlign w:val="center"/>
          </w:tcPr>
          <w:p w14:paraId="36C043FF" w14:textId="20DC667E" w:rsidR="00462AA5" w:rsidRPr="0052003C" w:rsidRDefault="00462AA5">
            <w:pPr>
              <w:pStyle w:val="Tabletext0"/>
              <w:jc w:val="center"/>
              <w:rPr>
                <w:szCs w:val="20"/>
              </w:rPr>
            </w:pPr>
            <w:r w:rsidRPr="0052003C">
              <w:rPr>
                <w:color w:val="000000"/>
                <w:szCs w:val="20"/>
              </w:rPr>
              <w:t>$</w:t>
            </w:r>
            <w:r w:rsidR="005E35AF" w:rsidRPr="005E35AF">
              <w:rPr>
                <w:color w:val="000000"/>
                <w:szCs w:val="20"/>
                <w:highlight w:val="black"/>
              </w:rPr>
              <w:t>&amp;&amp;&amp;&amp;</w:t>
            </w:r>
            <w:r w:rsidR="00840700">
              <w:rPr>
                <w:iCs/>
                <w:vertAlign w:val="superscript"/>
              </w:rPr>
              <w:t>4</w:t>
            </w:r>
            <w:r w:rsidRPr="0052003C">
              <w:rPr>
                <w:color w:val="000000"/>
                <w:szCs w:val="20"/>
              </w:rPr>
              <w:t xml:space="preserve"> (</w:t>
            </w:r>
            <w:r w:rsidR="005E35AF" w:rsidRPr="005E35AF">
              <w:rPr>
                <w:color w:val="000000"/>
                <w:szCs w:val="20"/>
                <w:highlight w:val="black"/>
              </w:rPr>
              <w:t>&amp;&amp;&amp;&amp;</w:t>
            </w:r>
            <w:r w:rsidRPr="0052003C">
              <w:rPr>
                <w:color w:val="000000"/>
                <w:szCs w:val="20"/>
              </w:rPr>
              <w:t>%)</w:t>
            </w:r>
          </w:p>
        </w:tc>
        <w:tc>
          <w:tcPr>
            <w:tcW w:w="1683" w:type="dxa"/>
            <w:tcMar>
              <w:top w:w="0" w:type="dxa"/>
              <w:left w:w="28" w:type="dxa"/>
              <w:bottom w:w="0" w:type="dxa"/>
              <w:right w:w="28" w:type="dxa"/>
            </w:tcMar>
            <w:vAlign w:val="center"/>
          </w:tcPr>
          <w:p w14:paraId="08FD5233" w14:textId="1461001C" w:rsidR="00462AA5" w:rsidRPr="0052003C" w:rsidRDefault="00462AA5">
            <w:pPr>
              <w:pStyle w:val="Tabletext0"/>
              <w:jc w:val="center"/>
              <w:rPr>
                <w:szCs w:val="20"/>
              </w:rPr>
            </w:pPr>
            <w:r w:rsidRPr="0052003C">
              <w:rPr>
                <w:szCs w:val="20"/>
              </w:rPr>
              <w:t>$</w:t>
            </w:r>
            <w:r w:rsidR="005E35AF" w:rsidRPr="005E35AF">
              <w:rPr>
                <w:szCs w:val="20"/>
                <w:highlight w:val="black"/>
              </w:rPr>
              <w:t>&amp;&amp;&amp;&amp;</w:t>
            </w:r>
            <w:r w:rsidR="002F4E9A">
              <w:rPr>
                <w:iCs/>
                <w:vertAlign w:val="superscript"/>
              </w:rPr>
              <w:t>3</w:t>
            </w:r>
            <w:r w:rsidRPr="0052003C">
              <w:rPr>
                <w:szCs w:val="20"/>
              </w:rPr>
              <w:t xml:space="preserve"> (</w:t>
            </w:r>
            <w:r w:rsidR="005E35AF" w:rsidRPr="005E35AF">
              <w:rPr>
                <w:szCs w:val="20"/>
                <w:highlight w:val="black"/>
              </w:rPr>
              <w:t>&amp;&amp;&amp;&amp;</w:t>
            </w:r>
            <w:r w:rsidRPr="0052003C">
              <w:rPr>
                <w:szCs w:val="20"/>
              </w:rPr>
              <w:t>%)</w:t>
            </w:r>
          </w:p>
        </w:tc>
      </w:tr>
      <w:tr w:rsidR="00462AA5" w:rsidRPr="00A60A39" w14:paraId="634E677F" w14:textId="77777777" w:rsidTr="0A99B0B1">
        <w:tc>
          <w:tcPr>
            <w:tcW w:w="3970" w:type="dxa"/>
            <w:tcMar>
              <w:top w:w="0" w:type="dxa"/>
              <w:left w:w="28" w:type="dxa"/>
              <w:bottom w:w="0" w:type="dxa"/>
              <w:right w:w="28" w:type="dxa"/>
            </w:tcMar>
            <w:vAlign w:val="center"/>
          </w:tcPr>
          <w:p w14:paraId="3A1864B7" w14:textId="77777777" w:rsidR="00462AA5" w:rsidRPr="0052003C" w:rsidRDefault="00462AA5">
            <w:pPr>
              <w:pStyle w:val="Tabletext0"/>
              <w:rPr>
                <w:szCs w:val="20"/>
              </w:rPr>
            </w:pPr>
            <w:r w:rsidRPr="0052003C">
              <w:rPr>
                <w:szCs w:val="20"/>
              </w:rPr>
              <w:t xml:space="preserve">No difference in risk between arms for non-fatal stroke using constant risk for whole model </w:t>
            </w:r>
            <w:proofErr w:type="spellStart"/>
            <w:r w:rsidRPr="0052003C">
              <w:rPr>
                <w:szCs w:val="20"/>
              </w:rPr>
              <w:t>duration</w:t>
            </w:r>
            <w:r w:rsidRPr="0052003C">
              <w:rPr>
                <w:szCs w:val="20"/>
                <w:vertAlign w:val="superscript"/>
              </w:rPr>
              <w:t>a</w:t>
            </w:r>
            <w:proofErr w:type="spellEnd"/>
          </w:p>
        </w:tc>
        <w:tc>
          <w:tcPr>
            <w:tcW w:w="1682" w:type="dxa"/>
            <w:tcMar>
              <w:top w:w="0" w:type="dxa"/>
              <w:left w:w="28" w:type="dxa"/>
              <w:bottom w:w="0" w:type="dxa"/>
              <w:right w:w="28" w:type="dxa"/>
            </w:tcMar>
            <w:vAlign w:val="center"/>
          </w:tcPr>
          <w:p w14:paraId="54DC9779" w14:textId="74D7D13E" w:rsidR="00462AA5" w:rsidRPr="0052003C" w:rsidRDefault="00462AA5">
            <w:pPr>
              <w:pStyle w:val="Tabletext0"/>
              <w:jc w:val="center"/>
              <w:rPr>
                <w:szCs w:val="20"/>
              </w:rPr>
            </w:pPr>
            <w:r w:rsidRPr="0052003C">
              <w:rPr>
                <w:color w:val="000000"/>
                <w:szCs w:val="20"/>
              </w:rPr>
              <w:t>$</w:t>
            </w:r>
            <w:r w:rsidR="005E35AF" w:rsidRPr="005E35AF">
              <w:rPr>
                <w:color w:val="000000"/>
                <w:szCs w:val="20"/>
                <w:highlight w:val="black"/>
              </w:rPr>
              <w:t>&amp;&amp;&amp;&amp;</w:t>
            </w:r>
            <w:r w:rsidR="00840700">
              <w:rPr>
                <w:iCs/>
                <w:vertAlign w:val="superscript"/>
              </w:rPr>
              <w:t>4</w:t>
            </w:r>
            <w:r w:rsidRPr="0052003C">
              <w:rPr>
                <w:color w:val="000000"/>
                <w:szCs w:val="20"/>
              </w:rPr>
              <w:t xml:space="preserve"> (</w:t>
            </w:r>
            <w:r w:rsidR="005E35AF" w:rsidRPr="005E35AF">
              <w:rPr>
                <w:color w:val="000000"/>
                <w:szCs w:val="20"/>
                <w:highlight w:val="black"/>
              </w:rPr>
              <w:t>&amp;&amp;&amp;&amp;</w:t>
            </w:r>
            <w:r w:rsidRPr="0052003C">
              <w:rPr>
                <w:color w:val="000000"/>
                <w:szCs w:val="20"/>
              </w:rPr>
              <w:t>%)</w:t>
            </w:r>
          </w:p>
        </w:tc>
        <w:tc>
          <w:tcPr>
            <w:tcW w:w="1682" w:type="dxa"/>
            <w:tcMar>
              <w:top w:w="0" w:type="dxa"/>
              <w:left w:w="28" w:type="dxa"/>
              <w:bottom w:w="0" w:type="dxa"/>
              <w:right w:w="28" w:type="dxa"/>
            </w:tcMar>
            <w:vAlign w:val="center"/>
          </w:tcPr>
          <w:p w14:paraId="2DABD260" w14:textId="6DA32E13" w:rsidR="00462AA5" w:rsidRPr="0052003C" w:rsidRDefault="00462AA5">
            <w:pPr>
              <w:pStyle w:val="Tabletext0"/>
              <w:jc w:val="center"/>
              <w:rPr>
                <w:szCs w:val="20"/>
              </w:rPr>
            </w:pPr>
            <w:r w:rsidRPr="0052003C">
              <w:rPr>
                <w:color w:val="000000"/>
                <w:szCs w:val="20"/>
              </w:rPr>
              <w:t>$</w:t>
            </w:r>
            <w:r w:rsidR="005E35AF" w:rsidRPr="005E35AF">
              <w:rPr>
                <w:color w:val="000000"/>
                <w:szCs w:val="20"/>
                <w:highlight w:val="black"/>
              </w:rPr>
              <w:t>&amp;&amp;&amp;&amp;</w:t>
            </w:r>
            <w:r w:rsidR="00840700">
              <w:rPr>
                <w:iCs/>
                <w:vertAlign w:val="superscript"/>
              </w:rPr>
              <w:t>4</w:t>
            </w:r>
            <w:r w:rsidRPr="0052003C">
              <w:rPr>
                <w:color w:val="000000"/>
                <w:szCs w:val="20"/>
              </w:rPr>
              <w:t xml:space="preserve"> (</w:t>
            </w:r>
            <w:r w:rsidR="005E35AF" w:rsidRPr="005E35AF">
              <w:rPr>
                <w:color w:val="000000"/>
                <w:szCs w:val="20"/>
                <w:highlight w:val="black"/>
              </w:rPr>
              <w:t>&amp;&amp;&amp;&amp;</w:t>
            </w:r>
            <w:r w:rsidRPr="0052003C">
              <w:rPr>
                <w:color w:val="000000"/>
                <w:szCs w:val="20"/>
              </w:rPr>
              <w:t>%)</w:t>
            </w:r>
          </w:p>
        </w:tc>
        <w:tc>
          <w:tcPr>
            <w:tcW w:w="1683" w:type="dxa"/>
            <w:tcMar>
              <w:top w:w="0" w:type="dxa"/>
              <w:left w:w="28" w:type="dxa"/>
              <w:bottom w:w="0" w:type="dxa"/>
              <w:right w:w="28" w:type="dxa"/>
            </w:tcMar>
            <w:vAlign w:val="center"/>
          </w:tcPr>
          <w:p w14:paraId="33B2896A" w14:textId="76CB0720" w:rsidR="00462AA5" w:rsidRPr="0052003C" w:rsidRDefault="00462AA5">
            <w:pPr>
              <w:pStyle w:val="Tabletext0"/>
              <w:jc w:val="center"/>
              <w:rPr>
                <w:szCs w:val="20"/>
              </w:rPr>
            </w:pPr>
            <w:r w:rsidRPr="0052003C">
              <w:rPr>
                <w:szCs w:val="20"/>
              </w:rPr>
              <w:t>$</w:t>
            </w:r>
            <w:r w:rsidR="005E35AF" w:rsidRPr="005E35AF">
              <w:rPr>
                <w:szCs w:val="20"/>
                <w:highlight w:val="black"/>
              </w:rPr>
              <w:t>&amp;&amp;&amp;&amp;</w:t>
            </w:r>
            <w:r w:rsidR="002F4E9A">
              <w:rPr>
                <w:iCs/>
                <w:vertAlign w:val="superscript"/>
              </w:rPr>
              <w:t>3</w:t>
            </w:r>
            <w:r w:rsidRPr="0052003C">
              <w:rPr>
                <w:szCs w:val="20"/>
              </w:rPr>
              <w:t xml:space="preserve"> (</w:t>
            </w:r>
            <w:r w:rsidR="005E35AF" w:rsidRPr="005E35AF">
              <w:rPr>
                <w:szCs w:val="20"/>
                <w:highlight w:val="black"/>
              </w:rPr>
              <w:t>&amp;&amp;&amp;&amp;</w:t>
            </w:r>
            <w:r w:rsidRPr="0052003C">
              <w:rPr>
                <w:szCs w:val="20"/>
              </w:rPr>
              <w:t>%)</w:t>
            </w:r>
          </w:p>
        </w:tc>
      </w:tr>
      <w:tr w:rsidR="00462AA5" w:rsidRPr="00A60A39" w14:paraId="65B4E5D3" w14:textId="77777777" w:rsidTr="0A99B0B1">
        <w:tc>
          <w:tcPr>
            <w:tcW w:w="3970" w:type="dxa"/>
            <w:tcMar>
              <w:top w:w="0" w:type="dxa"/>
              <w:left w:w="28" w:type="dxa"/>
              <w:bottom w:w="0" w:type="dxa"/>
              <w:right w:w="28" w:type="dxa"/>
            </w:tcMar>
            <w:vAlign w:val="center"/>
          </w:tcPr>
          <w:p w14:paraId="51E5519F" w14:textId="77777777" w:rsidR="00462AA5" w:rsidRPr="0052003C" w:rsidRDefault="00462AA5">
            <w:pPr>
              <w:pStyle w:val="Tabletext0"/>
              <w:rPr>
                <w:szCs w:val="20"/>
              </w:rPr>
            </w:pPr>
            <w:r w:rsidRPr="0052003C">
              <w:rPr>
                <w:szCs w:val="20"/>
              </w:rPr>
              <w:t xml:space="preserve">No difference in risk between arms for heart failure using constant risk for whole model </w:t>
            </w:r>
            <w:proofErr w:type="spellStart"/>
            <w:r w:rsidRPr="0052003C">
              <w:rPr>
                <w:szCs w:val="20"/>
              </w:rPr>
              <w:t>duration</w:t>
            </w:r>
            <w:r w:rsidRPr="0052003C">
              <w:rPr>
                <w:szCs w:val="20"/>
                <w:vertAlign w:val="superscript"/>
              </w:rPr>
              <w:t>a</w:t>
            </w:r>
            <w:proofErr w:type="spellEnd"/>
          </w:p>
        </w:tc>
        <w:tc>
          <w:tcPr>
            <w:tcW w:w="1682" w:type="dxa"/>
            <w:tcMar>
              <w:top w:w="0" w:type="dxa"/>
              <w:left w:w="28" w:type="dxa"/>
              <w:bottom w:w="0" w:type="dxa"/>
              <w:right w:w="28" w:type="dxa"/>
            </w:tcMar>
            <w:vAlign w:val="center"/>
          </w:tcPr>
          <w:p w14:paraId="65791C79" w14:textId="41F2359D" w:rsidR="00462AA5" w:rsidRPr="0052003C" w:rsidRDefault="00462AA5">
            <w:pPr>
              <w:pStyle w:val="Tabletext0"/>
              <w:jc w:val="center"/>
              <w:rPr>
                <w:szCs w:val="20"/>
              </w:rPr>
            </w:pPr>
            <w:r w:rsidRPr="0052003C">
              <w:rPr>
                <w:color w:val="000000"/>
                <w:szCs w:val="20"/>
              </w:rPr>
              <w:t>$</w:t>
            </w:r>
            <w:r w:rsidR="005E35AF" w:rsidRPr="005E35AF">
              <w:rPr>
                <w:color w:val="000000"/>
                <w:szCs w:val="20"/>
                <w:highlight w:val="black"/>
              </w:rPr>
              <w:t>&amp;&amp;&amp;&amp;</w:t>
            </w:r>
            <w:r w:rsidR="00840700">
              <w:rPr>
                <w:iCs/>
                <w:vertAlign w:val="superscript"/>
              </w:rPr>
              <w:t>4</w:t>
            </w:r>
            <w:r w:rsidRPr="0052003C">
              <w:rPr>
                <w:color w:val="000000"/>
                <w:szCs w:val="20"/>
              </w:rPr>
              <w:t xml:space="preserve"> (</w:t>
            </w:r>
            <w:r w:rsidR="005E35AF" w:rsidRPr="005E35AF">
              <w:rPr>
                <w:color w:val="000000"/>
                <w:szCs w:val="20"/>
                <w:highlight w:val="black"/>
              </w:rPr>
              <w:t>&amp;&amp;&amp;&amp;</w:t>
            </w:r>
            <w:r w:rsidRPr="0052003C">
              <w:rPr>
                <w:color w:val="000000"/>
                <w:szCs w:val="20"/>
              </w:rPr>
              <w:t>%)</w:t>
            </w:r>
          </w:p>
        </w:tc>
        <w:tc>
          <w:tcPr>
            <w:tcW w:w="1682" w:type="dxa"/>
            <w:tcMar>
              <w:top w:w="0" w:type="dxa"/>
              <w:left w:w="28" w:type="dxa"/>
              <w:bottom w:w="0" w:type="dxa"/>
              <w:right w:w="28" w:type="dxa"/>
            </w:tcMar>
            <w:vAlign w:val="center"/>
          </w:tcPr>
          <w:p w14:paraId="72463462" w14:textId="3C4F6F8A" w:rsidR="00462AA5" w:rsidRPr="0052003C" w:rsidRDefault="00462AA5">
            <w:pPr>
              <w:pStyle w:val="Tabletext0"/>
              <w:jc w:val="center"/>
              <w:rPr>
                <w:szCs w:val="20"/>
              </w:rPr>
            </w:pPr>
            <w:r w:rsidRPr="0052003C">
              <w:rPr>
                <w:color w:val="000000"/>
                <w:szCs w:val="20"/>
              </w:rPr>
              <w:t>$</w:t>
            </w:r>
            <w:r w:rsidR="005E35AF" w:rsidRPr="005E35AF">
              <w:rPr>
                <w:color w:val="000000"/>
                <w:szCs w:val="20"/>
                <w:highlight w:val="black"/>
              </w:rPr>
              <w:t>&amp;&amp;&amp;&amp;</w:t>
            </w:r>
            <w:r w:rsidR="00840700">
              <w:rPr>
                <w:iCs/>
                <w:vertAlign w:val="superscript"/>
              </w:rPr>
              <w:t>4</w:t>
            </w:r>
            <w:r w:rsidRPr="0052003C">
              <w:rPr>
                <w:color w:val="000000"/>
                <w:szCs w:val="20"/>
              </w:rPr>
              <w:t xml:space="preserve"> (</w:t>
            </w:r>
            <w:r w:rsidR="005E35AF" w:rsidRPr="005E35AF">
              <w:rPr>
                <w:color w:val="000000"/>
                <w:szCs w:val="20"/>
                <w:highlight w:val="black"/>
              </w:rPr>
              <w:t>&amp;&amp;&amp;&amp;</w:t>
            </w:r>
            <w:r w:rsidRPr="0052003C">
              <w:rPr>
                <w:color w:val="000000"/>
                <w:szCs w:val="20"/>
              </w:rPr>
              <w:t>%)</w:t>
            </w:r>
          </w:p>
        </w:tc>
        <w:tc>
          <w:tcPr>
            <w:tcW w:w="1683" w:type="dxa"/>
            <w:tcMar>
              <w:top w:w="0" w:type="dxa"/>
              <w:left w:w="28" w:type="dxa"/>
              <w:bottom w:w="0" w:type="dxa"/>
              <w:right w:w="28" w:type="dxa"/>
            </w:tcMar>
            <w:vAlign w:val="center"/>
          </w:tcPr>
          <w:p w14:paraId="0A54790F" w14:textId="3E663FF5" w:rsidR="00462AA5" w:rsidRPr="0052003C" w:rsidRDefault="00462AA5">
            <w:pPr>
              <w:pStyle w:val="Tabletext0"/>
              <w:jc w:val="center"/>
              <w:rPr>
                <w:szCs w:val="20"/>
              </w:rPr>
            </w:pPr>
            <w:r w:rsidRPr="0052003C">
              <w:rPr>
                <w:szCs w:val="20"/>
              </w:rPr>
              <w:t>$</w:t>
            </w:r>
            <w:r w:rsidR="005E35AF" w:rsidRPr="005E35AF">
              <w:rPr>
                <w:szCs w:val="20"/>
                <w:highlight w:val="black"/>
              </w:rPr>
              <w:t>&amp;&amp;&amp;&amp;</w:t>
            </w:r>
            <w:r w:rsidR="002F4E9A">
              <w:rPr>
                <w:iCs/>
                <w:vertAlign w:val="superscript"/>
              </w:rPr>
              <w:t>3</w:t>
            </w:r>
            <w:r w:rsidRPr="0052003C">
              <w:rPr>
                <w:szCs w:val="20"/>
              </w:rPr>
              <w:t xml:space="preserve"> (</w:t>
            </w:r>
            <w:r w:rsidR="005E35AF" w:rsidRPr="005E35AF">
              <w:rPr>
                <w:szCs w:val="20"/>
                <w:highlight w:val="black"/>
              </w:rPr>
              <w:t>&amp;&amp;&amp;&amp;</w:t>
            </w:r>
            <w:r w:rsidRPr="0052003C">
              <w:rPr>
                <w:szCs w:val="20"/>
              </w:rPr>
              <w:t>%)</w:t>
            </w:r>
          </w:p>
        </w:tc>
      </w:tr>
      <w:tr w:rsidR="00462AA5" w:rsidRPr="00A60A39" w14:paraId="450F6609" w14:textId="77777777" w:rsidTr="0A99B0B1">
        <w:tc>
          <w:tcPr>
            <w:tcW w:w="3970" w:type="dxa"/>
            <w:tcMar>
              <w:top w:w="0" w:type="dxa"/>
              <w:left w:w="28" w:type="dxa"/>
              <w:bottom w:w="0" w:type="dxa"/>
              <w:right w:w="28" w:type="dxa"/>
            </w:tcMar>
            <w:vAlign w:val="center"/>
          </w:tcPr>
          <w:p w14:paraId="67E1C463" w14:textId="77777777" w:rsidR="00462AA5" w:rsidRPr="0052003C" w:rsidRDefault="00462AA5">
            <w:pPr>
              <w:pStyle w:val="Tabletext0"/>
              <w:rPr>
                <w:szCs w:val="20"/>
              </w:rPr>
            </w:pPr>
            <w:r w:rsidRPr="0052003C">
              <w:rPr>
                <w:szCs w:val="20"/>
              </w:rPr>
              <w:t xml:space="preserve">No difference in risk between arms for unstable angina using constant risk for whole model </w:t>
            </w:r>
            <w:proofErr w:type="spellStart"/>
            <w:r w:rsidRPr="0052003C">
              <w:rPr>
                <w:szCs w:val="20"/>
              </w:rPr>
              <w:t>duration</w:t>
            </w:r>
            <w:r w:rsidRPr="0052003C">
              <w:rPr>
                <w:szCs w:val="20"/>
                <w:vertAlign w:val="superscript"/>
              </w:rPr>
              <w:t>a</w:t>
            </w:r>
            <w:proofErr w:type="spellEnd"/>
          </w:p>
        </w:tc>
        <w:tc>
          <w:tcPr>
            <w:tcW w:w="1682" w:type="dxa"/>
            <w:tcMar>
              <w:top w:w="0" w:type="dxa"/>
              <w:left w:w="28" w:type="dxa"/>
              <w:bottom w:w="0" w:type="dxa"/>
              <w:right w:w="28" w:type="dxa"/>
            </w:tcMar>
            <w:vAlign w:val="center"/>
          </w:tcPr>
          <w:p w14:paraId="5B380A04" w14:textId="694094AE" w:rsidR="00462AA5" w:rsidRPr="0052003C" w:rsidRDefault="00462AA5">
            <w:pPr>
              <w:pStyle w:val="Tabletext0"/>
              <w:jc w:val="center"/>
              <w:rPr>
                <w:szCs w:val="20"/>
              </w:rPr>
            </w:pPr>
            <w:r w:rsidRPr="0052003C">
              <w:rPr>
                <w:color w:val="000000"/>
                <w:szCs w:val="20"/>
              </w:rPr>
              <w:t>$</w:t>
            </w:r>
            <w:r w:rsidR="005E35AF" w:rsidRPr="005E35AF">
              <w:rPr>
                <w:color w:val="000000"/>
                <w:szCs w:val="20"/>
                <w:highlight w:val="black"/>
              </w:rPr>
              <w:t>&amp;&amp;&amp;&amp;</w:t>
            </w:r>
            <w:r w:rsidR="00840700">
              <w:rPr>
                <w:iCs/>
                <w:vertAlign w:val="superscript"/>
              </w:rPr>
              <w:t>4</w:t>
            </w:r>
            <w:r w:rsidRPr="0052003C">
              <w:rPr>
                <w:color w:val="000000"/>
                <w:szCs w:val="20"/>
              </w:rPr>
              <w:t xml:space="preserve"> (</w:t>
            </w:r>
            <w:r w:rsidR="005E35AF" w:rsidRPr="005E35AF">
              <w:rPr>
                <w:color w:val="000000"/>
                <w:szCs w:val="20"/>
                <w:highlight w:val="black"/>
              </w:rPr>
              <w:t>&amp;&amp;&amp;&amp;</w:t>
            </w:r>
            <w:r w:rsidRPr="0052003C">
              <w:rPr>
                <w:color w:val="000000"/>
                <w:szCs w:val="20"/>
              </w:rPr>
              <w:t>%)</w:t>
            </w:r>
          </w:p>
        </w:tc>
        <w:tc>
          <w:tcPr>
            <w:tcW w:w="1682" w:type="dxa"/>
            <w:tcMar>
              <w:top w:w="0" w:type="dxa"/>
              <w:left w:w="28" w:type="dxa"/>
              <w:bottom w:w="0" w:type="dxa"/>
              <w:right w:w="28" w:type="dxa"/>
            </w:tcMar>
            <w:vAlign w:val="center"/>
          </w:tcPr>
          <w:p w14:paraId="0FE5258E" w14:textId="2619900C" w:rsidR="00462AA5" w:rsidRPr="0052003C" w:rsidRDefault="00462AA5">
            <w:pPr>
              <w:pStyle w:val="Tabletext0"/>
              <w:jc w:val="center"/>
              <w:rPr>
                <w:szCs w:val="20"/>
              </w:rPr>
            </w:pPr>
            <w:r w:rsidRPr="0052003C">
              <w:rPr>
                <w:color w:val="000000"/>
                <w:szCs w:val="20"/>
              </w:rPr>
              <w:t>$</w:t>
            </w:r>
            <w:r w:rsidR="005E35AF" w:rsidRPr="005E35AF">
              <w:rPr>
                <w:color w:val="000000"/>
                <w:szCs w:val="20"/>
                <w:highlight w:val="black"/>
              </w:rPr>
              <w:t>&amp;&amp;&amp;&amp;</w:t>
            </w:r>
            <w:r w:rsidR="00840700">
              <w:rPr>
                <w:iCs/>
                <w:vertAlign w:val="superscript"/>
              </w:rPr>
              <w:t>4</w:t>
            </w:r>
            <w:r w:rsidRPr="0052003C">
              <w:rPr>
                <w:color w:val="000000"/>
                <w:szCs w:val="20"/>
              </w:rPr>
              <w:t xml:space="preserve"> (</w:t>
            </w:r>
            <w:r w:rsidR="005E35AF" w:rsidRPr="005E35AF">
              <w:rPr>
                <w:color w:val="000000"/>
                <w:szCs w:val="20"/>
                <w:highlight w:val="black"/>
              </w:rPr>
              <w:t>&amp;&amp;&amp;&amp;</w:t>
            </w:r>
            <w:r w:rsidRPr="0052003C">
              <w:rPr>
                <w:color w:val="000000"/>
                <w:szCs w:val="20"/>
              </w:rPr>
              <w:t>%)</w:t>
            </w:r>
          </w:p>
        </w:tc>
        <w:tc>
          <w:tcPr>
            <w:tcW w:w="1683" w:type="dxa"/>
            <w:tcMar>
              <w:top w:w="0" w:type="dxa"/>
              <w:left w:w="28" w:type="dxa"/>
              <w:bottom w:w="0" w:type="dxa"/>
              <w:right w:w="28" w:type="dxa"/>
            </w:tcMar>
            <w:vAlign w:val="center"/>
          </w:tcPr>
          <w:p w14:paraId="64DE73DA" w14:textId="48E18F13" w:rsidR="00462AA5" w:rsidRPr="0052003C" w:rsidRDefault="00462AA5">
            <w:pPr>
              <w:pStyle w:val="Tabletext0"/>
              <w:jc w:val="center"/>
              <w:rPr>
                <w:szCs w:val="20"/>
              </w:rPr>
            </w:pPr>
            <w:r w:rsidRPr="0052003C">
              <w:rPr>
                <w:szCs w:val="20"/>
              </w:rPr>
              <w:t>$</w:t>
            </w:r>
            <w:r w:rsidR="005E35AF" w:rsidRPr="005E35AF">
              <w:rPr>
                <w:szCs w:val="20"/>
                <w:highlight w:val="black"/>
              </w:rPr>
              <w:t>&amp;&amp;&amp;&amp;</w:t>
            </w:r>
            <w:r w:rsidR="002F4E9A">
              <w:rPr>
                <w:iCs/>
                <w:vertAlign w:val="superscript"/>
              </w:rPr>
              <w:t>3</w:t>
            </w:r>
            <w:r w:rsidRPr="0052003C">
              <w:rPr>
                <w:szCs w:val="20"/>
              </w:rPr>
              <w:t xml:space="preserve"> (</w:t>
            </w:r>
            <w:r w:rsidR="005E35AF" w:rsidRPr="005E35AF">
              <w:rPr>
                <w:szCs w:val="20"/>
                <w:highlight w:val="black"/>
              </w:rPr>
              <w:t>&amp;&amp;&amp;&amp;</w:t>
            </w:r>
            <w:r w:rsidRPr="0052003C">
              <w:rPr>
                <w:szCs w:val="20"/>
              </w:rPr>
              <w:t>%)</w:t>
            </w:r>
          </w:p>
        </w:tc>
      </w:tr>
      <w:tr w:rsidR="00462AA5" w:rsidRPr="00A60A39" w14:paraId="2216A5E0" w14:textId="77777777" w:rsidTr="0A99B0B1">
        <w:tc>
          <w:tcPr>
            <w:tcW w:w="3970" w:type="dxa"/>
            <w:tcMar>
              <w:top w:w="0" w:type="dxa"/>
              <w:left w:w="28" w:type="dxa"/>
              <w:bottom w:w="0" w:type="dxa"/>
              <w:right w:w="28" w:type="dxa"/>
            </w:tcMar>
            <w:vAlign w:val="center"/>
          </w:tcPr>
          <w:p w14:paraId="7ACA3A10" w14:textId="77777777" w:rsidR="00462AA5" w:rsidRPr="0052003C" w:rsidRDefault="00462AA5">
            <w:pPr>
              <w:pStyle w:val="Tabletext0"/>
              <w:rPr>
                <w:szCs w:val="20"/>
              </w:rPr>
            </w:pPr>
            <w:r w:rsidRPr="0052003C">
              <w:rPr>
                <w:szCs w:val="20"/>
              </w:rPr>
              <w:t xml:space="preserve">No difference in risk between arms for coronary revascularisation using constant risk for whole model </w:t>
            </w:r>
            <w:proofErr w:type="spellStart"/>
            <w:r w:rsidRPr="0052003C">
              <w:rPr>
                <w:szCs w:val="20"/>
              </w:rPr>
              <w:t>duration</w:t>
            </w:r>
            <w:r w:rsidRPr="0052003C">
              <w:rPr>
                <w:szCs w:val="20"/>
                <w:vertAlign w:val="superscript"/>
              </w:rPr>
              <w:t>a</w:t>
            </w:r>
            <w:proofErr w:type="spellEnd"/>
          </w:p>
        </w:tc>
        <w:tc>
          <w:tcPr>
            <w:tcW w:w="1682" w:type="dxa"/>
            <w:tcMar>
              <w:top w:w="0" w:type="dxa"/>
              <w:left w:w="28" w:type="dxa"/>
              <w:bottom w:w="0" w:type="dxa"/>
              <w:right w:w="28" w:type="dxa"/>
            </w:tcMar>
            <w:vAlign w:val="center"/>
          </w:tcPr>
          <w:p w14:paraId="3B226D00" w14:textId="501D2D32" w:rsidR="00462AA5" w:rsidRPr="0052003C" w:rsidRDefault="00462AA5">
            <w:pPr>
              <w:pStyle w:val="Tabletext0"/>
              <w:jc w:val="center"/>
              <w:rPr>
                <w:szCs w:val="20"/>
              </w:rPr>
            </w:pPr>
            <w:r w:rsidRPr="0052003C">
              <w:rPr>
                <w:color w:val="000000"/>
                <w:szCs w:val="20"/>
              </w:rPr>
              <w:t>$</w:t>
            </w:r>
            <w:r w:rsidR="005E35AF" w:rsidRPr="005E35AF">
              <w:rPr>
                <w:color w:val="000000"/>
                <w:szCs w:val="20"/>
                <w:highlight w:val="black"/>
              </w:rPr>
              <w:t>&amp;&amp;&amp;&amp;</w:t>
            </w:r>
            <w:r w:rsidR="0011241C">
              <w:rPr>
                <w:iCs/>
                <w:vertAlign w:val="superscript"/>
              </w:rPr>
              <w:t>5</w:t>
            </w:r>
            <w:r w:rsidRPr="0052003C">
              <w:rPr>
                <w:color w:val="000000"/>
                <w:szCs w:val="20"/>
              </w:rPr>
              <w:t xml:space="preserve"> (</w:t>
            </w:r>
            <w:r w:rsidR="005E35AF" w:rsidRPr="005E35AF">
              <w:rPr>
                <w:color w:val="000000"/>
                <w:szCs w:val="20"/>
                <w:highlight w:val="black"/>
              </w:rPr>
              <w:t>&amp;&amp;&amp;&amp;</w:t>
            </w:r>
            <w:r w:rsidRPr="0052003C">
              <w:rPr>
                <w:color w:val="000000"/>
                <w:szCs w:val="20"/>
              </w:rPr>
              <w:t>%)</w:t>
            </w:r>
          </w:p>
        </w:tc>
        <w:tc>
          <w:tcPr>
            <w:tcW w:w="1682" w:type="dxa"/>
            <w:tcMar>
              <w:top w:w="0" w:type="dxa"/>
              <w:left w:w="28" w:type="dxa"/>
              <w:bottom w:w="0" w:type="dxa"/>
              <w:right w:w="28" w:type="dxa"/>
            </w:tcMar>
            <w:vAlign w:val="center"/>
          </w:tcPr>
          <w:p w14:paraId="32BC7623" w14:textId="4833FB12" w:rsidR="00462AA5" w:rsidRPr="0052003C" w:rsidRDefault="00462AA5">
            <w:pPr>
              <w:pStyle w:val="Tabletext0"/>
              <w:jc w:val="center"/>
              <w:rPr>
                <w:szCs w:val="20"/>
              </w:rPr>
            </w:pPr>
            <w:r w:rsidRPr="0052003C">
              <w:rPr>
                <w:color w:val="000000"/>
                <w:szCs w:val="20"/>
              </w:rPr>
              <w:t>$</w:t>
            </w:r>
            <w:r w:rsidR="005E35AF" w:rsidRPr="005E35AF">
              <w:rPr>
                <w:color w:val="000000"/>
                <w:szCs w:val="20"/>
                <w:highlight w:val="black"/>
              </w:rPr>
              <w:t>&amp;&amp;&amp;&amp;</w:t>
            </w:r>
            <w:r w:rsidR="00840700">
              <w:rPr>
                <w:iCs/>
                <w:vertAlign w:val="superscript"/>
              </w:rPr>
              <w:t>4</w:t>
            </w:r>
            <w:r w:rsidRPr="0052003C">
              <w:rPr>
                <w:color w:val="000000"/>
                <w:szCs w:val="20"/>
              </w:rPr>
              <w:t xml:space="preserve"> (</w:t>
            </w:r>
            <w:r w:rsidR="005E35AF" w:rsidRPr="005E35AF">
              <w:rPr>
                <w:color w:val="000000"/>
                <w:szCs w:val="20"/>
                <w:highlight w:val="black"/>
              </w:rPr>
              <w:t>&amp;&amp;&amp;&amp;</w:t>
            </w:r>
            <w:r w:rsidRPr="0052003C">
              <w:rPr>
                <w:color w:val="000000"/>
                <w:szCs w:val="20"/>
              </w:rPr>
              <w:t>%)</w:t>
            </w:r>
          </w:p>
        </w:tc>
        <w:tc>
          <w:tcPr>
            <w:tcW w:w="1683" w:type="dxa"/>
            <w:tcMar>
              <w:top w:w="0" w:type="dxa"/>
              <w:left w:w="28" w:type="dxa"/>
              <w:bottom w:w="0" w:type="dxa"/>
              <w:right w:w="28" w:type="dxa"/>
            </w:tcMar>
            <w:vAlign w:val="center"/>
          </w:tcPr>
          <w:p w14:paraId="030CEE17" w14:textId="5A73C9B1" w:rsidR="00462AA5" w:rsidRPr="0052003C" w:rsidRDefault="00462AA5">
            <w:pPr>
              <w:pStyle w:val="Tabletext0"/>
              <w:jc w:val="center"/>
              <w:rPr>
                <w:szCs w:val="20"/>
              </w:rPr>
            </w:pPr>
            <w:r w:rsidRPr="0052003C">
              <w:rPr>
                <w:szCs w:val="20"/>
              </w:rPr>
              <w:t>$</w:t>
            </w:r>
            <w:r w:rsidR="005E35AF" w:rsidRPr="005E35AF">
              <w:rPr>
                <w:szCs w:val="20"/>
                <w:highlight w:val="black"/>
              </w:rPr>
              <w:t>&amp;&amp;&amp;&amp;</w:t>
            </w:r>
            <w:r w:rsidR="00840700">
              <w:rPr>
                <w:iCs/>
                <w:vertAlign w:val="superscript"/>
              </w:rPr>
              <w:t>4</w:t>
            </w:r>
            <w:r w:rsidRPr="0052003C">
              <w:rPr>
                <w:szCs w:val="20"/>
              </w:rPr>
              <w:t xml:space="preserve"> (</w:t>
            </w:r>
            <w:r w:rsidR="005E35AF" w:rsidRPr="005E35AF">
              <w:rPr>
                <w:szCs w:val="20"/>
                <w:highlight w:val="black"/>
              </w:rPr>
              <w:t>&amp;&amp;&amp;&amp;</w:t>
            </w:r>
            <w:r w:rsidRPr="0052003C">
              <w:rPr>
                <w:szCs w:val="20"/>
              </w:rPr>
              <w:t>%)</w:t>
            </w:r>
          </w:p>
        </w:tc>
      </w:tr>
      <w:tr w:rsidR="00462AA5" w:rsidRPr="00A60A39" w14:paraId="608EB8C7" w14:textId="77777777" w:rsidTr="0A99B0B1">
        <w:tc>
          <w:tcPr>
            <w:tcW w:w="3970" w:type="dxa"/>
            <w:tcMar>
              <w:top w:w="0" w:type="dxa"/>
              <w:left w:w="28" w:type="dxa"/>
              <w:bottom w:w="0" w:type="dxa"/>
              <w:right w:w="28" w:type="dxa"/>
            </w:tcMar>
            <w:vAlign w:val="center"/>
          </w:tcPr>
          <w:p w14:paraId="59E63AB9" w14:textId="77777777" w:rsidR="00462AA5" w:rsidRPr="0052003C" w:rsidRDefault="00462AA5">
            <w:pPr>
              <w:pStyle w:val="Tabletext0"/>
              <w:rPr>
                <w:szCs w:val="20"/>
              </w:rPr>
            </w:pPr>
            <w:r w:rsidRPr="0052003C">
              <w:rPr>
                <w:szCs w:val="20"/>
              </w:rPr>
              <w:t xml:space="preserve">No difference in risk between arms for cardiovascular death using constant risk for whole model </w:t>
            </w:r>
            <w:proofErr w:type="spellStart"/>
            <w:r w:rsidRPr="0052003C">
              <w:rPr>
                <w:szCs w:val="20"/>
              </w:rPr>
              <w:t>duration</w:t>
            </w:r>
            <w:r w:rsidRPr="0052003C">
              <w:rPr>
                <w:szCs w:val="20"/>
                <w:vertAlign w:val="superscript"/>
              </w:rPr>
              <w:t>a</w:t>
            </w:r>
            <w:proofErr w:type="spellEnd"/>
          </w:p>
        </w:tc>
        <w:tc>
          <w:tcPr>
            <w:tcW w:w="1682" w:type="dxa"/>
            <w:tcMar>
              <w:top w:w="0" w:type="dxa"/>
              <w:left w:w="28" w:type="dxa"/>
              <w:bottom w:w="0" w:type="dxa"/>
              <w:right w:w="28" w:type="dxa"/>
            </w:tcMar>
            <w:vAlign w:val="center"/>
          </w:tcPr>
          <w:p w14:paraId="7067AC76" w14:textId="5852C04A" w:rsidR="00462AA5" w:rsidRPr="0052003C" w:rsidRDefault="00462AA5">
            <w:pPr>
              <w:pStyle w:val="Tabletext0"/>
              <w:jc w:val="center"/>
              <w:rPr>
                <w:szCs w:val="20"/>
              </w:rPr>
            </w:pPr>
            <w:r w:rsidRPr="0052003C">
              <w:rPr>
                <w:color w:val="000000"/>
                <w:szCs w:val="20"/>
              </w:rPr>
              <w:t>$</w:t>
            </w:r>
            <w:r w:rsidR="005E35AF" w:rsidRPr="005E35AF">
              <w:rPr>
                <w:color w:val="000000"/>
                <w:szCs w:val="20"/>
                <w:highlight w:val="black"/>
              </w:rPr>
              <w:t>&amp;&amp;&amp;&amp;</w:t>
            </w:r>
            <w:r w:rsidR="0011241C">
              <w:rPr>
                <w:iCs/>
                <w:vertAlign w:val="superscript"/>
              </w:rPr>
              <w:t>5</w:t>
            </w:r>
            <w:r w:rsidRPr="0052003C">
              <w:rPr>
                <w:color w:val="000000"/>
                <w:szCs w:val="20"/>
              </w:rPr>
              <w:t xml:space="preserve"> (</w:t>
            </w:r>
            <w:r w:rsidR="005E35AF" w:rsidRPr="005E35AF">
              <w:rPr>
                <w:color w:val="000000"/>
                <w:szCs w:val="20"/>
                <w:highlight w:val="black"/>
              </w:rPr>
              <w:t>&amp;&amp;&amp;&amp;</w:t>
            </w:r>
            <w:r w:rsidRPr="0052003C">
              <w:rPr>
                <w:color w:val="000000"/>
                <w:szCs w:val="20"/>
              </w:rPr>
              <w:t>%)</w:t>
            </w:r>
          </w:p>
        </w:tc>
        <w:tc>
          <w:tcPr>
            <w:tcW w:w="1682" w:type="dxa"/>
            <w:tcMar>
              <w:top w:w="0" w:type="dxa"/>
              <w:left w:w="28" w:type="dxa"/>
              <w:bottom w:w="0" w:type="dxa"/>
              <w:right w:w="28" w:type="dxa"/>
            </w:tcMar>
            <w:vAlign w:val="center"/>
          </w:tcPr>
          <w:p w14:paraId="5450223A" w14:textId="2F4088CD" w:rsidR="00462AA5" w:rsidRPr="0052003C" w:rsidRDefault="00462AA5">
            <w:pPr>
              <w:pStyle w:val="Tabletext0"/>
              <w:jc w:val="center"/>
              <w:rPr>
                <w:szCs w:val="20"/>
              </w:rPr>
            </w:pPr>
            <w:r w:rsidRPr="0052003C">
              <w:rPr>
                <w:color w:val="000000"/>
                <w:szCs w:val="20"/>
              </w:rPr>
              <w:t>$</w:t>
            </w:r>
            <w:r w:rsidR="005E35AF" w:rsidRPr="005E35AF">
              <w:rPr>
                <w:color w:val="000000"/>
                <w:szCs w:val="20"/>
                <w:highlight w:val="black"/>
              </w:rPr>
              <w:t>&amp;&amp;&amp;&amp;</w:t>
            </w:r>
            <w:r w:rsidR="00840700">
              <w:rPr>
                <w:iCs/>
                <w:vertAlign w:val="superscript"/>
              </w:rPr>
              <w:t>4</w:t>
            </w:r>
            <w:r w:rsidRPr="0052003C">
              <w:rPr>
                <w:color w:val="000000"/>
                <w:szCs w:val="20"/>
              </w:rPr>
              <w:t xml:space="preserve"> (</w:t>
            </w:r>
            <w:r w:rsidR="005E35AF" w:rsidRPr="005E35AF">
              <w:rPr>
                <w:color w:val="000000"/>
                <w:szCs w:val="20"/>
                <w:highlight w:val="black"/>
              </w:rPr>
              <w:t>&amp;&amp;&amp;&amp;</w:t>
            </w:r>
            <w:r w:rsidRPr="0052003C">
              <w:rPr>
                <w:color w:val="000000"/>
                <w:szCs w:val="20"/>
              </w:rPr>
              <w:t>%)</w:t>
            </w:r>
          </w:p>
        </w:tc>
        <w:tc>
          <w:tcPr>
            <w:tcW w:w="1683" w:type="dxa"/>
            <w:tcMar>
              <w:top w:w="0" w:type="dxa"/>
              <w:left w:w="28" w:type="dxa"/>
              <w:bottom w:w="0" w:type="dxa"/>
              <w:right w:w="28" w:type="dxa"/>
            </w:tcMar>
            <w:vAlign w:val="center"/>
          </w:tcPr>
          <w:p w14:paraId="213DF28C" w14:textId="6FEABAA0" w:rsidR="00462AA5" w:rsidRPr="0052003C" w:rsidRDefault="00462AA5">
            <w:pPr>
              <w:pStyle w:val="Tabletext0"/>
              <w:jc w:val="center"/>
              <w:rPr>
                <w:szCs w:val="20"/>
              </w:rPr>
            </w:pPr>
            <w:r w:rsidRPr="0052003C">
              <w:rPr>
                <w:szCs w:val="20"/>
              </w:rPr>
              <w:t>$</w:t>
            </w:r>
            <w:r w:rsidR="005E35AF" w:rsidRPr="005E35AF">
              <w:rPr>
                <w:szCs w:val="20"/>
                <w:highlight w:val="black"/>
              </w:rPr>
              <w:t>&amp;&amp;&amp;&amp;</w:t>
            </w:r>
            <w:r w:rsidR="002F4E9A">
              <w:rPr>
                <w:iCs/>
                <w:vertAlign w:val="superscript"/>
              </w:rPr>
              <w:t>3</w:t>
            </w:r>
            <w:r w:rsidRPr="0052003C">
              <w:rPr>
                <w:szCs w:val="20"/>
              </w:rPr>
              <w:t xml:space="preserve"> (</w:t>
            </w:r>
            <w:r w:rsidR="005E35AF" w:rsidRPr="005E35AF">
              <w:rPr>
                <w:szCs w:val="20"/>
                <w:highlight w:val="black"/>
              </w:rPr>
              <w:t>&amp;&amp;&amp;&amp;</w:t>
            </w:r>
            <w:r w:rsidRPr="0052003C">
              <w:rPr>
                <w:szCs w:val="20"/>
              </w:rPr>
              <w:t>%)</w:t>
            </w:r>
          </w:p>
        </w:tc>
      </w:tr>
      <w:tr w:rsidR="00462AA5" w:rsidRPr="00A60A39" w14:paraId="4EA94F1C" w14:textId="77777777" w:rsidTr="0A99B0B1">
        <w:tc>
          <w:tcPr>
            <w:tcW w:w="3970" w:type="dxa"/>
            <w:tcMar>
              <w:top w:w="0" w:type="dxa"/>
              <w:left w:w="28" w:type="dxa"/>
              <w:bottom w:w="0" w:type="dxa"/>
              <w:right w:w="28" w:type="dxa"/>
            </w:tcMar>
            <w:vAlign w:val="center"/>
          </w:tcPr>
          <w:p w14:paraId="5E5394EA" w14:textId="77777777" w:rsidR="00462AA5" w:rsidRPr="0052003C" w:rsidRDefault="00462AA5">
            <w:pPr>
              <w:pStyle w:val="Tabletext0"/>
              <w:rPr>
                <w:szCs w:val="20"/>
              </w:rPr>
            </w:pPr>
            <w:r w:rsidRPr="0052003C">
              <w:rPr>
                <w:szCs w:val="20"/>
              </w:rPr>
              <w:t>Using constant risks over model duration, only include differences in risk for outcomes included in the primary composite (non-fatal MI, non-fatal stroke, cardiovascular death)</w:t>
            </w:r>
          </w:p>
        </w:tc>
        <w:tc>
          <w:tcPr>
            <w:tcW w:w="1682" w:type="dxa"/>
            <w:tcMar>
              <w:top w:w="0" w:type="dxa"/>
              <w:left w:w="28" w:type="dxa"/>
              <w:bottom w:w="0" w:type="dxa"/>
              <w:right w:w="28" w:type="dxa"/>
            </w:tcMar>
            <w:vAlign w:val="center"/>
          </w:tcPr>
          <w:p w14:paraId="4784C10E" w14:textId="44937FDA" w:rsidR="00462AA5" w:rsidRPr="0052003C" w:rsidRDefault="00462AA5">
            <w:pPr>
              <w:pStyle w:val="Tabletext0"/>
              <w:jc w:val="center"/>
              <w:rPr>
                <w:szCs w:val="20"/>
              </w:rPr>
            </w:pPr>
            <w:r w:rsidRPr="0052003C">
              <w:rPr>
                <w:color w:val="000000"/>
                <w:szCs w:val="20"/>
              </w:rPr>
              <w:t>$</w:t>
            </w:r>
            <w:r w:rsidR="005E35AF" w:rsidRPr="005E35AF">
              <w:rPr>
                <w:color w:val="000000"/>
                <w:szCs w:val="20"/>
                <w:highlight w:val="black"/>
              </w:rPr>
              <w:t>&amp;&amp;&amp;&amp;</w:t>
            </w:r>
            <w:r w:rsidR="0011241C">
              <w:rPr>
                <w:iCs/>
                <w:vertAlign w:val="superscript"/>
              </w:rPr>
              <w:t>5</w:t>
            </w:r>
            <w:r w:rsidRPr="0052003C">
              <w:rPr>
                <w:color w:val="000000"/>
                <w:szCs w:val="20"/>
              </w:rPr>
              <w:t xml:space="preserve"> (</w:t>
            </w:r>
            <w:r w:rsidR="005E35AF" w:rsidRPr="005E35AF">
              <w:rPr>
                <w:color w:val="000000"/>
                <w:szCs w:val="20"/>
                <w:highlight w:val="black"/>
              </w:rPr>
              <w:t>&amp;&amp;&amp;&amp;</w:t>
            </w:r>
            <w:r w:rsidRPr="0052003C">
              <w:rPr>
                <w:color w:val="000000"/>
                <w:szCs w:val="20"/>
              </w:rPr>
              <w:t>%)</w:t>
            </w:r>
          </w:p>
        </w:tc>
        <w:tc>
          <w:tcPr>
            <w:tcW w:w="1682" w:type="dxa"/>
            <w:tcMar>
              <w:top w:w="0" w:type="dxa"/>
              <w:left w:w="28" w:type="dxa"/>
              <w:bottom w:w="0" w:type="dxa"/>
              <w:right w:w="28" w:type="dxa"/>
            </w:tcMar>
            <w:vAlign w:val="center"/>
          </w:tcPr>
          <w:p w14:paraId="4AEF0D14" w14:textId="2B34D3D5" w:rsidR="00462AA5" w:rsidRPr="0052003C" w:rsidRDefault="00462AA5">
            <w:pPr>
              <w:pStyle w:val="Tabletext0"/>
              <w:jc w:val="center"/>
              <w:rPr>
                <w:szCs w:val="20"/>
              </w:rPr>
            </w:pPr>
            <w:r w:rsidRPr="0052003C">
              <w:rPr>
                <w:color w:val="000000"/>
                <w:szCs w:val="20"/>
              </w:rPr>
              <w:t>$</w:t>
            </w:r>
            <w:r w:rsidR="005E35AF" w:rsidRPr="005E35AF">
              <w:rPr>
                <w:color w:val="000000"/>
                <w:szCs w:val="20"/>
                <w:highlight w:val="black"/>
              </w:rPr>
              <w:t>&amp;&amp;&amp;&amp;</w:t>
            </w:r>
            <w:r w:rsidR="00840700">
              <w:rPr>
                <w:iCs/>
                <w:vertAlign w:val="superscript"/>
              </w:rPr>
              <w:t>4</w:t>
            </w:r>
            <w:r w:rsidRPr="0052003C">
              <w:rPr>
                <w:color w:val="000000"/>
                <w:szCs w:val="20"/>
              </w:rPr>
              <w:t xml:space="preserve"> (</w:t>
            </w:r>
            <w:r w:rsidR="005E35AF" w:rsidRPr="005E35AF">
              <w:rPr>
                <w:color w:val="000000"/>
                <w:szCs w:val="20"/>
                <w:highlight w:val="black"/>
              </w:rPr>
              <w:t>&amp;&amp;&amp;&amp;</w:t>
            </w:r>
            <w:r w:rsidRPr="0052003C">
              <w:rPr>
                <w:color w:val="000000"/>
                <w:szCs w:val="20"/>
              </w:rPr>
              <w:t>%)</w:t>
            </w:r>
          </w:p>
        </w:tc>
        <w:tc>
          <w:tcPr>
            <w:tcW w:w="1683" w:type="dxa"/>
            <w:tcMar>
              <w:top w:w="0" w:type="dxa"/>
              <w:left w:w="28" w:type="dxa"/>
              <w:bottom w:w="0" w:type="dxa"/>
              <w:right w:w="28" w:type="dxa"/>
            </w:tcMar>
            <w:vAlign w:val="center"/>
          </w:tcPr>
          <w:p w14:paraId="4FD58DAF" w14:textId="0E14AB4C" w:rsidR="00462AA5" w:rsidRPr="0052003C" w:rsidRDefault="00462AA5">
            <w:pPr>
              <w:pStyle w:val="Tabletext0"/>
              <w:jc w:val="center"/>
              <w:rPr>
                <w:szCs w:val="20"/>
              </w:rPr>
            </w:pPr>
            <w:r w:rsidRPr="0052003C">
              <w:rPr>
                <w:szCs w:val="20"/>
              </w:rPr>
              <w:t>$</w:t>
            </w:r>
            <w:r w:rsidR="005E35AF" w:rsidRPr="005E35AF">
              <w:rPr>
                <w:szCs w:val="20"/>
                <w:highlight w:val="black"/>
              </w:rPr>
              <w:t>&amp;&amp;&amp;&amp;</w:t>
            </w:r>
            <w:r w:rsidR="00840700">
              <w:rPr>
                <w:iCs/>
                <w:vertAlign w:val="superscript"/>
              </w:rPr>
              <w:t>4</w:t>
            </w:r>
            <w:r w:rsidRPr="0052003C">
              <w:rPr>
                <w:szCs w:val="20"/>
              </w:rPr>
              <w:t xml:space="preserve"> (</w:t>
            </w:r>
            <w:r w:rsidR="005E35AF" w:rsidRPr="005E35AF">
              <w:rPr>
                <w:szCs w:val="20"/>
                <w:highlight w:val="black"/>
              </w:rPr>
              <w:t>&amp;&amp;&amp;&amp;</w:t>
            </w:r>
            <w:r w:rsidRPr="0052003C">
              <w:rPr>
                <w:szCs w:val="20"/>
              </w:rPr>
              <w:t>%)</w:t>
            </w:r>
          </w:p>
        </w:tc>
      </w:tr>
      <w:tr w:rsidR="00462AA5" w:rsidRPr="00A60A39" w14:paraId="0CA2F3C6" w14:textId="77777777" w:rsidTr="0A99B0B1">
        <w:tc>
          <w:tcPr>
            <w:tcW w:w="3970" w:type="dxa"/>
            <w:tcMar>
              <w:top w:w="0" w:type="dxa"/>
              <w:left w:w="28" w:type="dxa"/>
              <w:bottom w:w="0" w:type="dxa"/>
              <w:right w:w="28" w:type="dxa"/>
            </w:tcMar>
            <w:vAlign w:val="center"/>
          </w:tcPr>
          <w:p w14:paraId="504CCB86" w14:textId="77777777" w:rsidR="00462AA5" w:rsidRPr="0052003C" w:rsidRDefault="00462AA5">
            <w:pPr>
              <w:pStyle w:val="Tabletext0"/>
              <w:rPr>
                <w:szCs w:val="20"/>
              </w:rPr>
            </w:pPr>
            <w:r w:rsidRPr="0052003C">
              <w:rPr>
                <w:szCs w:val="20"/>
              </w:rPr>
              <w:t>Using constant risks over model duration, only include differences in risk for outcomes with nominally significant results (non-fatal MI, coronary revascularisation)</w:t>
            </w:r>
          </w:p>
        </w:tc>
        <w:tc>
          <w:tcPr>
            <w:tcW w:w="1682" w:type="dxa"/>
            <w:tcMar>
              <w:top w:w="0" w:type="dxa"/>
              <w:left w:w="28" w:type="dxa"/>
              <w:bottom w:w="0" w:type="dxa"/>
              <w:right w:w="28" w:type="dxa"/>
            </w:tcMar>
            <w:vAlign w:val="center"/>
          </w:tcPr>
          <w:p w14:paraId="2D28B22A" w14:textId="0ED86427" w:rsidR="00462AA5" w:rsidRPr="0052003C" w:rsidRDefault="00462AA5">
            <w:pPr>
              <w:pStyle w:val="Tabletext0"/>
              <w:jc w:val="center"/>
              <w:rPr>
                <w:szCs w:val="20"/>
              </w:rPr>
            </w:pPr>
            <w:r w:rsidRPr="0052003C">
              <w:rPr>
                <w:color w:val="000000"/>
                <w:szCs w:val="20"/>
              </w:rPr>
              <w:t>$</w:t>
            </w:r>
            <w:r w:rsidR="005E35AF" w:rsidRPr="005E35AF">
              <w:rPr>
                <w:color w:val="000000"/>
                <w:szCs w:val="20"/>
                <w:highlight w:val="black"/>
              </w:rPr>
              <w:t>&amp;&amp;&amp;&amp;</w:t>
            </w:r>
            <w:r w:rsidR="0011241C">
              <w:rPr>
                <w:iCs/>
                <w:vertAlign w:val="superscript"/>
              </w:rPr>
              <w:t>5</w:t>
            </w:r>
            <w:r w:rsidRPr="0052003C">
              <w:rPr>
                <w:color w:val="000000"/>
                <w:szCs w:val="20"/>
              </w:rPr>
              <w:t xml:space="preserve"> (</w:t>
            </w:r>
            <w:r w:rsidR="005E35AF" w:rsidRPr="005E35AF">
              <w:rPr>
                <w:color w:val="000000"/>
                <w:szCs w:val="20"/>
                <w:highlight w:val="black"/>
              </w:rPr>
              <w:t>&amp;&amp;&amp;&amp;</w:t>
            </w:r>
            <w:r w:rsidRPr="0052003C">
              <w:rPr>
                <w:color w:val="000000"/>
                <w:szCs w:val="20"/>
              </w:rPr>
              <w:t>%)</w:t>
            </w:r>
          </w:p>
        </w:tc>
        <w:tc>
          <w:tcPr>
            <w:tcW w:w="1682" w:type="dxa"/>
            <w:tcMar>
              <w:top w:w="0" w:type="dxa"/>
              <w:left w:w="28" w:type="dxa"/>
              <w:bottom w:w="0" w:type="dxa"/>
              <w:right w:w="28" w:type="dxa"/>
            </w:tcMar>
            <w:vAlign w:val="center"/>
          </w:tcPr>
          <w:p w14:paraId="0D47D0F9" w14:textId="53D720A4" w:rsidR="00462AA5" w:rsidRPr="0052003C" w:rsidRDefault="00462AA5">
            <w:pPr>
              <w:pStyle w:val="Tabletext0"/>
              <w:jc w:val="center"/>
              <w:rPr>
                <w:szCs w:val="20"/>
              </w:rPr>
            </w:pPr>
            <w:r w:rsidRPr="0052003C">
              <w:rPr>
                <w:color w:val="000000"/>
                <w:szCs w:val="20"/>
              </w:rPr>
              <w:t>$</w:t>
            </w:r>
            <w:r w:rsidR="005E35AF" w:rsidRPr="005E35AF">
              <w:rPr>
                <w:color w:val="000000"/>
                <w:szCs w:val="20"/>
                <w:highlight w:val="black"/>
              </w:rPr>
              <w:t>&amp;&amp;&amp;&amp;</w:t>
            </w:r>
            <w:r w:rsidR="00840700">
              <w:rPr>
                <w:iCs/>
                <w:vertAlign w:val="superscript"/>
              </w:rPr>
              <w:t>4</w:t>
            </w:r>
            <w:r w:rsidRPr="0052003C">
              <w:rPr>
                <w:color w:val="000000"/>
                <w:szCs w:val="20"/>
              </w:rPr>
              <w:t xml:space="preserve"> (</w:t>
            </w:r>
            <w:r w:rsidR="005E35AF" w:rsidRPr="005E35AF">
              <w:rPr>
                <w:color w:val="000000"/>
                <w:szCs w:val="20"/>
                <w:highlight w:val="black"/>
              </w:rPr>
              <w:t>&amp;&amp;&amp;&amp;</w:t>
            </w:r>
            <w:r w:rsidRPr="0052003C">
              <w:rPr>
                <w:color w:val="000000"/>
                <w:szCs w:val="20"/>
              </w:rPr>
              <w:t>%)</w:t>
            </w:r>
          </w:p>
        </w:tc>
        <w:tc>
          <w:tcPr>
            <w:tcW w:w="1683" w:type="dxa"/>
            <w:tcMar>
              <w:top w:w="0" w:type="dxa"/>
              <w:left w:w="28" w:type="dxa"/>
              <w:bottom w:w="0" w:type="dxa"/>
              <w:right w:w="28" w:type="dxa"/>
            </w:tcMar>
            <w:vAlign w:val="center"/>
          </w:tcPr>
          <w:p w14:paraId="1728A086" w14:textId="4AD8DCFE" w:rsidR="00462AA5" w:rsidRPr="0052003C" w:rsidRDefault="00462AA5">
            <w:pPr>
              <w:pStyle w:val="Tabletext0"/>
              <w:jc w:val="center"/>
              <w:rPr>
                <w:szCs w:val="20"/>
              </w:rPr>
            </w:pPr>
            <w:r w:rsidRPr="0052003C">
              <w:rPr>
                <w:szCs w:val="20"/>
              </w:rPr>
              <w:t>$</w:t>
            </w:r>
            <w:r w:rsidR="005E35AF" w:rsidRPr="005E35AF">
              <w:rPr>
                <w:szCs w:val="20"/>
                <w:highlight w:val="black"/>
              </w:rPr>
              <w:t>&amp;&amp;&amp;&amp;</w:t>
            </w:r>
            <w:r w:rsidR="002F4E9A">
              <w:rPr>
                <w:iCs/>
                <w:vertAlign w:val="superscript"/>
              </w:rPr>
              <w:t>3</w:t>
            </w:r>
            <w:r w:rsidRPr="0052003C">
              <w:rPr>
                <w:szCs w:val="20"/>
              </w:rPr>
              <w:t xml:space="preserve"> (</w:t>
            </w:r>
            <w:r w:rsidR="005E35AF" w:rsidRPr="005E35AF">
              <w:rPr>
                <w:szCs w:val="20"/>
                <w:highlight w:val="black"/>
              </w:rPr>
              <w:t>&amp;&amp;&amp;&amp;</w:t>
            </w:r>
            <w:r w:rsidRPr="0052003C">
              <w:rPr>
                <w:szCs w:val="20"/>
              </w:rPr>
              <w:t>%)</w:t>
            </w:r>
          </w:p>
        </w:tc>
      </w:tr>
      <w:tr w:rsidR="00462AA5" w:rsidRPr="00A60A39" w14:paraId="7BC4C488" w14:textId="77777777" w:rsidTr="0A99B0B1">
        <w:tc>
          <w:tcPr>
            <w:tcW w:w="3970" w:type="dxa"/>
            <w:tcMar>
              <w:top w:w="0" w:type="dxa"/>
              <w:left w:w="28" w:type="dxa"/>
              <w:bottom w:w="0" w:type="dxa"/>
              <w:right w:w="28" w:type="dxa"/>
            </w:tcMar>
            <w:vAlign w:val="center"/>
          </w:tcPr>
          <w:p w14:paraId="626EA428" w14:textId="77777777" w:rsidR="00462AA5" w:rsidRPr="008209E5" w:rsidRDefault="00462AA5">
            <w:pPr>
              <w:pStyle w:val="Tabletext0"/>
              <w:rPr>
                <w:iCs/>
                <w:szCs w:val="20"/>
              </w:rPr>
            </w:pPr>
            <w:r>
              <w:rPr>
                <w:iCs/>
                <w:szCs w:val="20"/>
              </w:rPr>
              <w:t>No additional risk multipliers for age</w:t>
            </w:r>
          </w:p>
        </w:tc>
        <w:tc>
          <w:tcPr>
            <w:tcW w:w="1682" w:type="dxa"/>
            <w:tcMar>
              <w:top w:w="0" w:type="dxa"/>
              <w:left w:w="28" w:type="dxa"/>
              <w:bottom w:w="0" w:type="dxa"/>
              <w:right w:w="28" w:type="dxa"/>
            </w:tcMar>
            <w:vAlign w:val="center"/>
          </w:tcPr>
          <w:p w14:paraId="499C7955" w14:textId="774B4361" w:rsidR="00462AA5" w:rsidRPr="00BC3BBD" w:rsidRDefault="00462AA5">
            <w:pPr>
              <w:pStyle w:val="Tabletext0"/>
              <w:jc w:val="center"/>
              <w:rPr>
                <w:szCs w:val="20"/>
              </w:rPr>
            </w:pPr>
            <w:r w:rsidRPr="00777E28">
              <w:rPr>
                <w:color w:val="000000"/>
                <w:szCs w:val="20"/>
              </w:rPr>
              <w:t>$</w:t>
            </w:r>
            <w:r w:rsidR="005E35AF" w:rsidRPr="005E35AF">
              <w:rPr>
                <w:color w:val="000000"/>
                <w:szCs w:val="20"/>
                <w:highlight w:val="black"/>
              </w:rPr>
              <w:t>&amp;&amp;&amp;&amp;</w:t>
            </w:r>
            <w:r w:rsidR="0011241C">
              <w:rPr>
                <w:iCs/>
                <w:vertAlign w:val="superscript"/>
              </w:rPr>
              <w:t>5</w:t>
            </w:r>
            <w:r>
              <w:rPr>
                <w:color w:val="000000"/>
                <w:szCs w:val="20"/>
              </w:rPr>
              <w:t xml:space="preserve"> (</w:t>
            </w:r>
            <w:r w:rsidR="005E35AF" w:rsidRPr="005E35AF">
              <w:rPr>
                <w:color w:val="000000"/>
                <w:szCs w:val="20"/>
                <w:highlight w:val="black"/>
              </w:rPr>
              <w:t>&amp;&amp;&amp;&amp;</w:t>
            </w:r>
            <w:r w:rsidRPr="00777E28">
              <w:rPr>
                <w:color w:val="000000"/>
                <w:szCs w:val="20"/>
              </w:rPr>
              <w:t>%</w:t>
            </w:r>
            <w:r>
              <w:rPr>
                <w:color w:val="000000"/>
                <w:szCs w:val="20"/>
              </w:rPr>
              <w:t>)</w:t>
            </w:r>
          </w:p>
        </w:tc>
        <w:tc>
          <w:tcPr>
            <w:tcW w:w="1682" w:type="dxa"/>
            <w:tcMar>
              <w:top w:w="0" w:type="dxa"/>
              <w:left w:w="28" w:type="dxa"/>
              <w:bottom w:w="0" w:type="dxa"/>
              <w:right w:w="28" w:type="dxa"/>
            </w:tcMar>
            <w:vAlign w:val="center"/>
          </w:tcPr>
          <w:p w14:paraId="12E793D0" w14:textId="10E271BB" w:rsidR="00462AA5" w:rsidRPr="00BC3BBD" w:rsidRDefault="00462AA5">
            <w:pPr>
              <w:pStyle w:val="Tabletext0"/>
              <w:jc w:val="center"/>
              <w:rPr>
                <w:szCs w:val="20"/>
              </w:rPr>
            </w:pPr>
            <w:r w:rsidRPr="004218A7">
              <w:rPr>
                <w:color w:val="000000"/>
                <w:szCs w:val="20"/>
              </w:rPr>
              <w:t>$</w:t>
            </w:r>
            <w:r w:rsidR="005E35AF" w:rsidRPr="005E35AF">
              <w:rPr>
                <w:color w:val="000000"/>
                <w:szCs w:val="20"/>
                <w:highlight w:val="black"/>
              </w:rPr>
              <w:t>&amp;&amp;&amp;&amp;</w:t>
            </w:r>
            <w:r w:rsidR="00840700">
              <w:rPr>
                <w:iCs/>
                <w:vertAlign w:val="superscript"/>
              </w:rPr>
              <w:t>4</w:t>
            </w:r>
            <w:r w:rsidRPr="00B45AEA">
              <w:rPr>
                <w:color w:val="000000"/>
                <w:szCs w:val="20"/>
              </w:rPr>
              <w:t xml:space="preserve"> (</w:t>
            </w:r>
            <w:r w:rsidR="005E35AF" w:rsidRPr="005E35AF">
              <w:rPr>
                <w:color w:val="000000"/>
                <w:szCs w:val="20"/>
                <w:highlight w:val="black"/>
              </w:rPr>
              <w:t>&amp;&amp;&amp;&amp;</w:t>
            </w:r>
            <w:r w:rsidRPr="004218A7">
              <w:rPr>
                <w:color w:val="000000"/>
                <w:szCs w:val="20"/>
              </w:rPr>
              <w:t>%</w:t>
            </w:r>
            <w:r w:rsidRPr="00B45AEA">
              <w:rPr>
                <w:color w:val="000000"/>
                <w:szCs w:val="20"/>
              </w:rPr>
              <w:t>)</w:t>
            </w:r>
          </w:p>
        </w:tc>
        <w:tc>
          <w:tcPr>
            <w:tcW w:w="1683" w:type="dxa"/>
            <w:tcMar>
              <w:top w:w="0" w:type="dxa"/>
              <w:left w:w="28" w:type="dxa"/>
              <w:bottom w:w="0" w:type="dxa"/>
              <w:right w:w="28" w:type="dxa"/>
            </w:tcMar>
            <w:vAlign w:val="center"/>
          </w:tcPr>
          <w:p w14:paraId="591E558C" w14:textId="1FAAF710" w:rsidR="00462AA5" w:rsidRPr="00BC3BBD" w:rsidRDefault="00462AA5">
            <w:pPr>
              <w:pStyle w:val="Tabletext0"/>
              <w:jc w:val="center"/>
              <w:rPr>
                <w:szCs w:val="20"/>
              </w:rPr>
            </w:pPr>
            <w:r w:rsidRPr="00B53A43">
              <w:rPr>
                <w:szCs w:val="20"/>
              </w:rPr>
              <w:t>$</w:t>
            </w:r>
            <w:r w:rsidR="005E35AF" w:rsidRPr="005E35AF">
              <w:rPr>
                <w:szCs w:val="20"/>
                <w:highlight w:val="black"/>
              </w:rPr>
              <w:t>&amp;&amp;&amp;&amp;</w:t>
            </w:r>
            <w:r w:rsidR="00F60544">
              <w:rPr>
                <w:iCs/>
                <w:vertAlign w:val="superscript"/>
              </w:rPr>
              <w:t>3</w:t>
            </w:r>
            <w:r>
              <w:rPr>
                <w:szCs w:val="20"/>
              </w:rPr>
              <w:t xml:space="preserve"> (</w:t>
            </w:r>
            <w:r w:rsidR="005E35AF" w:rsidRPr="005E35AF">
              <w:rPr>
                <w:szCs w:val="20"/>
                <w:highlight w:val="black"/>
              </w:rPr>
              <w:t>&amp;&amp;&amp;&amp;</w:t>
            </w:r>
            <w:r w:rsidRPr="00B53A43">
              <w:rPr>
                <w:szCs w:val="20"/>
              </w:rPr>
              <w:t>%</w:t>
            </w:r>
            <w:r>
              <w:rPr>
                <w:szCs w:val="20"/>
              </w:rPr>
              <w:t>)</w:t>
            </w:r>
          </w:p>
        </w:tc>
      </w:tr>
      <w:tr w:rsidR="00462AA5" w:rsidRPr="00A60A39" w14:paraId="59A95F32" w14:textId="77777777" w:rsidTr="0A99B0B1">
        <w:tc>
          <w:tcPr>
            <w:tcW w:w="3970" w:type="dxa"/>
            <w:tcMar>
              <w:top w:w="0" w:type="dxa"/>
              <w:left w:w="28" w:type="dxa"/>
              <w:bottom w:w="0" w:type="dxa"/>
              <w:right w:w="28" w:type="dxa"/>
            </w:tcMar>
            <w:vAlign w:val="center"/>
          </w:tcPr>
          <w:p w14:paraId="46B48C18" w14:textId="77777777" w:rsidR="00462AA5" w:rsidRPr="008209E5" w:rsidRDefault="00462AA5">
            <w:pPr>
              <w:pStyle w:val="Tabletext0"/>
              <w:rPr>
                <w:iCs/>
                <w:szCs w:val="20"/>
              </w:rPr>
            </w:pPr>
            <w:r>
              <w:rPr>
                <w:iCs/>
                <w:szCs w:val="20"/>
              </w:rPr>
              <w:t>No additional risk multipliers for diabetes</w:t>
            </w:r>
          </w:p>
        </w:tc>
        <w:tc>
          <w:tcPr>
            <w:tcW w:w="1682" w:type="dxa"/>
            <w:tcMar>
              <w:top w:w="0" w:type="dxa"/>
              <w:left w:w="28" w:type="dxa"/>
              <w:bottom w:w="0" w:type="dxa"/>
              <w:right w:w="28" w:type="dxa"/>
            </w:tcMar>
            <w:vAlign w:val="center"/>
          </w:tcPr>
          <w:p w14:paraId="176F43C5" w14:textId="4A207CBB" w:rsidR="00462AA5" w:rsidRPr="00BC3BBD" w:rsidRDefault="00462AA5">
            <w:pPr>
              <w:pStyle w:val="Tabletext0"/>
              <w:jc w:val="center"/>
              <w:rPr>
                <w:szCs w:val="20"/>
              </w:rPr>
            </w:pPr>
            <w:r w:rsidRPr="00777E28">
              <w:rPr>
                <w:color w:val="000000"/>
                <w:szCs w:val="20"/>
              </w:rPr>
              <w:t>$</w:t>
            </w:r>
            <w:r w:rsidR="005E35AF" w:rsidRPr="005E35AF">
              <w:rPr>
                <w:color w:val="000000"/>
                <w:szCs w:val="20"/>
                <w:highlight w:val="black"/>
              </w:rPr>
              <w:t>&amp;&amp;&amp;&amp;</w:t>
            </w:r>
            <w:r w:rsidR="0011241C">
              <w:rPr>
                <w:iCs/>
                <w:vertAlign w:val="superscript"/>
              </w:rPr>
              <w:t>5</w:t>
            </w:r>
            <w:r>
              <w:rPr>
                <w:color w:val="000000"/>
                <w:szCs w:val="20"/>
              </w:rPr>
              <w:t xml:space="preserve"> (</w:t>
            </w:r>
            <w:r w:rsidR="005E35AF" w:rsidRPr="005E35AF">
              <w:rPr>
                <w:color w:val="000000"/>
                <w:szCs w:val="20"/>
                <w:highlight w:val="black"/>
              </w:rPr>
              <w:t>&amp;&amp;&amp;&amp;</w:t>
            </w:r>
            <w:r w:rsidRPr="00777E28">
              <w:rPr>
                <w:color w:val="000000"/>
                <w:szCs w:val="20"/>
              </w:rPr>
              <w:t>%</w:t>
            </w:r>
            <w:r>
              <w:rPr>
                <w:color w:val="000000"/>
                <w:szCs w:val="20"/>
              </w:rPr>
              <w:t>)</w:t>
            </w:r>
          </w:p>
        </w:tc>
        <w:tc>
          <w:tcPr>
            <w:tcW w:w="1682" w:type="dxa"/>
            <w:tcMar>
              <w:top w:w="0" w:type="dxa"/>
              <w:left w:w="28" w:type="dxa"/>
              <w:bottom w:w="0" w:type="dxa"/>
              <w:right w:w="28" w:type="dxa"/>
            </w:tcMar>
            <w:vAlign w:val="center"/>
          </w:tcPr>
          <w:p w14:paraId="2287A83F" w14:textId="0B5EF4B4" w:rsidR="00462AA5" w:rsidRPr="00BC3BBD" w:rsidRDefault="00462AA5">
            <w:pPr>
              <w:pStyle w:val="Tabletext0"/>
              <w:jc w:val="center"/>
              <w:rPr>
                <w:szCs w:val="20"/>
              </w:rPr>
            </w:pPr>
            <w:r w:rsidRPr="004218A7">
              <w:rPr>
                <w:color w:val="000000"/>
                <w:szCs w:val="20"/>
              </w:rPr>
              <w:t>$</w:t>
            </w:r>
            <w:r w:rsidR="005E35AF" w:rsidRPr="005E35AF">
              <w:rPr>
                <w:color w:val="000000"/>
                <w:szCs w:val="20"/>
                <w:highlight w:val="black"/>
              </w:rPr>
              <w:t>&amp;&amp;&amp;&amp;</w:t>
            </w:r>
            <w:r w:rsidR="00840700">
              <w:rPr>
                <w:iCs/>
                <w:vertAlign w:val="superscript"/>
              </w:rPr>
              <w:t>4</w:t>
            </w:r>
            <w:r w:rsidRPr="00B45AEA">
              <w:rPr>
                <w:color w:val="000000"/>
                <w:szCs w:val="20"/>
              </w:rPr>
              <w:t xml:space="preserve"> (</w:t>
            </w:r>
            <w:r w:rsidR="005E35AF" w:rsidRPr="005E35AF">
              <w:rPr>
                <w:color w:val="000000"/>
                <w:szCs w:val="20"/>
                <w:highlight w:val="black"/>
              </w:rPr>
              <w:t>&amp;&amp;&amp;&amp;</w:t>
            </w:r>
            <w:r w:rsidRPr="004218A7">
              <w:rPr>
                <w:color w:val="000000"/>
                <w:szCs w:val="20"/>
              </w:rPr>
              <w:t>%</w:t>
            </w:r>
            <w:r w:rsidRPr="00B45AEA">
              <w:rPr>
                <w:color w:val="000000"/>
                <w:szCs w:val="20"/>
              </w:rPr>
              <w:t>)</w:t>
            </w:r>
          </w:p>
        </w:tc>
        <w:tc>
          <w:tcPr>
            <w:tcW w:w="1683" w:type="dxa"/>
            <w:tcMar>
              <w:top w:w="0" w:type="dxa"/>
              <w:left w:w="28" w:type="dxa"/>
              <w:bottom w:w="0" w:type="dxa"/>
              <w:right w:w="28" w:type="dxa"/>
            </w:tcMar>
            <w:vAlign w:val="center"/>
          </w:tcPr>
          <w:p w14:paraId="494E3DE5" w14:textId="475CA131" w:rsidR="00462AA5" w:rsidRPr="00BC3BBD" w:rsidRDefault="00462AA5">
            <w:pPr>
              <w:pStyle w:val="Tabletext0"/>
              <w:jc w:val="center"/>
              <w:rPr>
                <w:szCs w:val="20"/>
              </w:rPr>
            </w:pPr>
            <w:r w:rsidRPr="00B53A43">
              <w:rPr>
                <w:szCs w:val="20"/>
              </w:rPr>
              <w:t>$</w:t>
            </w:r>
            <w:r w:rsidR="005E35AF" w:rsidRPr="005E35AF">
              <w:rPr>
                <w:szCs w:val="20"/>
                <w:highlight w:val="black"/>
              </w:rPr>
              <w:t>&amp;&amp;&amp;&amp;</w:t>
            </w:r>
            <w:r w:rsidR="00840700">
              <w:rPr>
                <w:iCs/>
                <w:vertAlign w:val="superscript"/>
              </w:rPr>
              <w:t>4</w:t>
            </w:r>
            <w:r>
              <w:rPr>
                <w:szCs w:val="20"/>
              </w:rPr>
              <w:t xml:space="preserve"> (</w:t>
            </w:r>
            <w:r w:rsidR="005E35AF" w:rsidRPr="005E35AF">
              <w:rPr>
                <w:szCs w:val="20"/>
                <w:highlight w:val="black"/>
              </w:rPr>
              <w:t>&amp;&amp;&amp;&amp;</w:t>
            </w:r>
            <w:r w:rsidRPr="00B53A43">
              <w:rPr>
                <w:szCs w:val="20"/>
              </w:rPr>
              <w:t>%</w:t>
            </w:r>
            <w:r>
              <w:rPr>
                <w:szCs w:val="20"/>
              </w:rPr>
              <w:t>)</w:t>
            </w:r>
          </w:p>
        </w:tc>
      </w:tr>
      <w:tr w:rsidR="00462AA5" w:rsidRPr="00A60A39" w14:paraId="01C9917A" w14:textId="77777777" w:rsidTr="0A99B0B1">
        <w:tc>
          <w:tcPr>
            <w:tcW w:w="3970" w:type="dxa"/>
            <w:tcMar>
              <w:top w:w="0" w:type="dxa"/>
              <w:left w:w="28" w:type="dxa"/>
              <w:bottom w:w="0" w:type="dxa"/>
              <w:right w:w="28" w:type="dxa"/>
            </w:tcMar>
            <w:vAlign w:val="center"/>
          </w:tcPr>
          <w:p w14:paraId="51B5D54F" w14:textId="77777777" w:rsidR="00462AA5" w:rsidRDefault="00462AA5">
            <w:pPr>
              <w:pStyle w:val="Tabletext0"/>
              <w:rPr>
                <w:iCs/>
                <w:szCs w:val="20"/>
              </w:rPr>
            </w:pPr>
            <w:r>
              <w:rPr>
                <w:iCs/>
                <w:szCs w:val="20"/>
              </w:rPr>
              <w:t>No additional risk multipliers for BMI</w:t>
            </w:r>
          </w:p>
        </w:tc>
        <w:tc>
          <w:tcPr>
            <w:tcW w:w="1682" w:type="dxa"/>
            <w:tcMar>
              <w:top w:w="0" w:type="dxa"/>
              <w:left w:w="28" w:type="dxa"/>
              <w:bottom w:w="0" w:type="dxa"/>
              <w:right w:w="28" w:type="dxa"/>
            </w:tcMar>
          </w:tcPr>
          <w:p w14:paraId="47C510DD" w14:textId="77777777" w:rsidR="00462AA5" w:rsidRPr="00BC3BBD" w:rsidRDefault="00462AA5">
            <w:pPr>
              <w:pStyle w:val="Tabletext0"/>
              <w:jc w:val="center"/>
              <w:rPr>
                <w:szCs w:val="20"/>
              </w:rPr>
            </w:pPr>
            <w:r>
              <w:rPr>
                <w:szCs w:val="20"/>
              </w:rPr>
              <w:t>-</w:t>
            </w:r>
          </w:p>
        </w:tc>
        <w:tc>
          <w:tcPr>
            <w:tcW w:w="1682" w:type="dxa"/>
            <w:tcMar>
              <w:top w:w="0" w:type="dxa"/>
              <w:left w:w="28" w:type="dxa"/>
              <w:bottom w:w="0" w:type="dxa"/>
              <w:right w:w="28" w:type="dxa"/>
            </w:tcMar>
            <w:vAlign w:val="center"/>
          </w:tcPr>
          <w:p w14:paraId="6E24CDF7" w14:textId="5D737CD3" w:rsidR="00462AA5" w:rsidRPr="00BC3BBD" w:rsidRDefault="00462AA5">
            <w:pPr>
              <w:pStyle w:val="Tabletext0"/>
              <w:jc w:val="center"/>
              <w:rPr>
                <w:szCs w:val="20"/>
              </w:rPr>
            </w:pPr>
            <w:r w:rsidRPr="004218A7">
              <w:rPr>
                <w:color w:val="000000"/>
                <w:szCs w:val="20"/>
              </w:rPr>
              <w:t>$</w:t>
            </w:r>
            <w:r w:rsidR="005E35AF" w:rsidRPr="005E35AF">
              <w:rPr>
                <w:color w:val="000000"/>
                <w:szCs w:val="20"/>
                <w:highlight w:val="black"/>
              </w:rPr>
              <w:t>&amp;&amp;&amp;&amp;</w:t>
            </w:r>
            <w:r w:rsidR="00840700">
              <w:rPr>
                <w:iCs/>
                <w:vertAlign w:val="superscript"/>
              </w:rPr>
              <w:t>4</w:t>
            </w:r>
            <w:r w:rsidRPr="00B45AEA">
              <w:rPr>
                <w:color w:val="000000"/>
                <w:szCs w:val="20"/>
              </w:rPr>
              <w:t xml:space="preserve"> (</w:t>
            </w:r>
            <w:r w:rsidR="005E35AF" w:rsidRPr="005E35AF">
              <w:rPr>
                <w:color w:val="000000"/>
                <w:szCs w:val="20"/>
                <w:highlight w:val="black"/>
              </w:rPr>
              <w:t>&amp;&amp;&amp;&amp;</w:t>
            </w:r>
            <w:r w:rsidRPr="004218A7">
              <w:rPr>
                <w:color w:val="000000"/>
                <w:szCs w:val="20"/>
              </w:rPr>
              <w:t>%</w:t>
            </w:r>
            <w:r w:rsidRPr="00B45AEA">
              <w:rPr>
                <w:color w:val="000000"/>
                <w:szCs w:val="20"/>
              </w:rPr>
              <w:t>)</w:t>
            </w:r>
          </w:p>
        </w:tc>
        <w:tc>
          <w:tcPr>
            <w:tcW w:w="1683" w:type="dxa"/>
            <w:tcMar>
              <w:top w:w="0" w:type="dxa"/>
              <w:left w:w="28" w:type="dxa"/>
              <w:bottom w:w="0" w:type="dxa"/>
              <w:right w:w="28" w:type="dxa"/>
            </w:tcMar>
            <w:vAlign w:val="center"/>
          </w:tcPr>
          <w:p w14:paraId="14FE7B36" w14:textId="1247B9F4" w:rsidR="00462AA5" w:rsidRPr="00BC3BBD" w:rsidRDefault="00462AA5">
            <w:pPr>
              <w:pStyle w:val="Tabletext0"/>
              <w:jc w:val="center"/>
              <w:rPr>
                <w:szCs w:val="20"/>
              </w:rPr>
            </w:pPr>
            <w:r w:rsidRPr="00B53A43">
              <w:rPr>
                <w:szCs w:val="20"/>
              </w:rPr>
              <w:t>$</w:t>
            </w:r>
            <w:r w:rsidR="005E35AF" w:rsidRPr="005E35AF">
              <w:rPr>
                <w:szCs w:val="20"/>
                <w:highlight w:val="black"/>
              </w:rPr>
              <w:t>&amp;&amp;&amp;&amp;</w:t>
            </w:r>
            <w:r w:rsidR="00F60544">
              <w:rPr>
                <w:iCs/>
                <w:vertAlign w:val="superscript"/>
              </w:rPr>
              <w:t>3</w:t>
            </w:r>
            <w:r>
              <w:rPr>
                <w:szCs w:val="20"/>
              </w:rPr>
              <w:t xml:space="preserve"> (</w:t>
            </w:r>
            <w:r w:rsidR="005E35AF" w:rsidRPr="005E35AF">
              <w:rPr>
                <w:szCs w:val="20"/>
                <w:highlight w:val="black"/>
              </w:rPr>
              <w:t>&amp;&amp;&amp;&amp;</w:t>
            </w:r>
            <w:r w:rsidRPr="00B53A43">
              <w:rPr>
                <w:szCs w:val="20"/>
              </w:rPr>
              <w:t>%</w:t>
            </w:r>
            <w:r>
              <w:rPr>
                <w:szCs w:val="20"/>
              </w:rPr>
              <w:t>)</w:t>
            </w:r>
          </w:p>
        </w:tc>
      </w:tr>
      <w:tr w:rsidR="00462AA5" w:rsidRPr="00A60A39" w14:paraId="09F10457" w14:textId="77777777" w:rsidTr="0A99B0B1">
        <w:tc>
          <w:tcPr>
            <w:tcW w:w="3970" w:type="dxa"/>
            <w:tcMar>
              <w:top w:w="0" w:type="dxa"/>
              <w:left w:w="28" w:type="dxa"/>
              <w:bottom w:w="0" w:type="dxa"/>
              <w:right w:w="28" w:type="dxa"/>
            </w:tcMar>
            <w:vAlign w:val="center"/>
          </w:tcPr>
          <w:p w14:paraId="2CDE940B" w14:textId="77777777" w:rsidR="00462AA5" w:rsidRPr="009E07B5" w:rsidRDefault="00462AA5">
            <w:pPr>
              <w:pStyle w:val="Tabletext0"/>
              <w:rPr>
                <w:iCs/>
                <w:szCs w:val="20"/>
              </w:rPr>
            </w:pPr>
            <w:r w:rsidRPr="009E07B5">
              <w:rPr>
                <w:iCs/>
                <w:szCs w:val="20"/>
              </w:rPr>
              <w:t>Use BMI risk multipliers based on SELECT trial</w:t>
            </w:r>
          </w:p>
        </w:tc>
        <w:tc>
          <w:tcPr>
            <w:tcW w:w="1682" w:type="dxa"/>
            <w:tcMar>
              <w:top w:w="0" w:type="dxa"/>
              <w:left w:w="28" w:type="dxa"/>
              <w:bottom w:w="0" w:type="dxa"/>
              <w:right w:w="28" w:type="dxa"/>
            </w:tcMar>
          </w:tcPr>
          <w:p w14:paraId="71E22F9B" w14:textId="77777777" w:rsidR="00462AA5" w:rsidRPr="009E07B5" w:rsidRDefault="00462AA5">
            <w:pPr>
              <w:pStyle w:val="Tabletext0"/>
              <w:jc w:val="center"/>
              <w:rPr>
                <w:iCs/>
                <w:szCs w:val="20"/>
              </w:rPr>
            </w:pPr>
            <w:r w:rsidRPr="009E07B5">
              <w:rPr>
                <w:iCs/>
                <w:szCs w:val="20"/>
              </w:rPr>
              <w:t>-</w:t>
            </w:r>
          </w:p>
        </w:tc>
        <w:tc>
          <w:tcPr>
            <w:tcW w:w="1682" w:type="dxa"/>
            <w:tcMar>
              <w:top w:w="0" w:type="dxa"/>
              <w:left w:w="28" w:type="dxa"/>
              <w:bottom w:w="0" w:type="dxa"/>
              <w:right w:w="28" w:type="dxa"/>
            </w:tcMar>
            <w:vAlign w:val="center"/>
          </w:tcPr>
          <w:p w14:paraId="0D493457" w14:textId="5292E8D1"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840700">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3" w:type="dxa"/>
            <w:tcMar>
              <w:top w:w="0" w:type="dxa"/>
              <w:left w:w="28" w:type="dxa"/>
              <w:bottom w:w="0" w:type="dxa"/>
              <w:right w:w="28" w:type="dxa"/>
            </w:tcMar>
            <w:vAlign w:val="center"/>
          </w:tcPr>
          <w:p w14:paraId="4C6997CA" w14:textId="37C0BEF2" w:rsidR="00462AA5" w:rsidRPr="009E07B5" w:rsidRDefault="00462AA5">
            <w:pPr>
              <w:pStyle w:val="Tabletext0"/>
              <w:jc w:val="center"/>
              <w:rPr>
                <w:iCs/>
                <w:szCs w:val="20"/>
              </w:rPr>
            </w:pPr>
            <w:r w:rsidRPr="009E07B5">
              <w:rPr>
                <w:iCs/>
                <w:szCs w:val="20"/>
              </w:rPr>
              <w:t>$</w:t>
            </w:r>
            <w:r w:rsidR="005E35AF" w:rsidRPr="005E35AF">
              <w:rPr>
                <w:iCs/>
                <w:szCs w:val="20"/>
                <w:highlight w:val="black"/>
              </w:rPr>
              <w:t>&amp;&amp;&amp;&amp;</w:t>
            </w:r>
            <w:r w:rsidR="00B7250A">
              <w:rPr>
                <w:iCs/>
                <w:vertAlign w:val="superscript"/>
              </w:rPr>
              <w:t>4</w:t>
            </w:r>
            <w:r w:rsidRPr="009E07B5">
              <w:rPr>
                <w:iCs/>
                <w:szCs w:val="20"/>
              </w:rPr>
              <w:t xml:space="preserve"> (</w:t>
            </w:r>
            <w:r w:rsidR="005E35AF" w:rsidRPr="005E35AF">
              <w:rPr>
                <w:iCs/>
                <w:szCs w:val="20"/>
                <w:highlight w:val="black"/>
              </w:rPr>
              <w:t>&amp;&amp;&amp;&amp;</w:t>
            </w:r>
            <w:r w:rsidRPr="009E07B5">
              <w:rPr>
                <w:iCs/>
                <w:szCs w:val="20"/>
              </w:rPr>
              <w:t>%)</w:t>
            </w:r>
          </w:p>
        </w:tc>
      </w:tr>
      <w:tr w:rsidR="00462AA5" w:rsidRPr="00A60A39" w14:paraId="42E0CBAF" w14:textId="77777777" w:rsidTr="0A99B0B1">
        <w:tc>
          <w:tcPr>
            <w:tcW w:w="3970" w:type="dxa"/>
            <w:tcMar>
              <w:top w:w="0" w:type="dxa"/>
              <w:left w:w="28" w:type="dxa"/>
              <w:bottom w:w="0" w:type="dxa"/>
              <w:right w:w="28" w:type="dxa"/>
            </w:tcMar>
            <w:vAlign w:val="center"/>
          </w:tcPr>
          <w:p w14:paraId="7E403CEB" w14:textId="77777777" w:rsidR="00462AA5" w:rsidRPr="00255FD7" w:rsidRDefault="00462AA5">
            <w:pPr>
              <w:pStyle w:val="Tabletext0"/>
              <w:rPr>
                <w:i/>
                <w:szCs w:val="20"/>
              </w:rPr>
            </w:pPr>
            <w:r>
              <w:rPr>
                <w:iCs/>
                <w:szCs w:val="20"/>
              </w:rPr>
              <w:t>Double the risk for subsequent events</w:t>
            </w:r>
          </w:p>
        </w:tc>
        <w:tc>
          <w:tcPr>
            <w:tcW w:w="1682" w:type="dxa"/>
            <w:tcMar>
              <w:top w:w="0" w:type="dxa"/>
              <w:left w:w="28" w:type="dxa"/>
              <w:bottom w:w="0" w:type="dxa"/>
              <w:right w:w="28" w:type="dxa"/>
            </w:tcMar>
            <w:vAlign w:val="center"/>
          </w:tcPr>
          <w:p w14:paraId="016DEFDF" w14:textId="76A4F36B" w:rsidR="00462AA5" w:rsidRPr="00BC3BBD" w:rsidRDefault="00462AA5">
            <w:pPr>
              <w:pStyle w:val="Tabletext0"/>
              <w:jc w:val="center"/>
              <w:rPr>
                <w:szCs w:val="20"/>
              </w:rPr>
            </w:pPr>
            <w:r w:rsidRPr="00777E28">
              <w:rPr>
                <w:color w:val="000000"/>
                <w:szCs w:val="20"/>
              </w:rPr>
              <w:t>$</w:t>
            </w:r>
            <w:r w:rsidR="005E35AF" w:rsidRPr="005E35AF">
              <w:rPr>
                <w:color w:val="000000"/>
                <w:szCs w:val="20"/>
                <w:highlight w:val="black"/>
              </w:rPr>
              <w:t>&amp;&amp;&amp;&amp;</w:t>
            </w:r>
            <w:r>
              <w:rPr>
                <w:color w:val="000000"/>
                <w:szCs w:val="20"/>
              </w:rPr>
              <w:t xml:space="preserve"> (</w:t>
            </w:r>
            <w:r w:rsidR="005E35AF" w:rsidRPr="005E35AF">
              <w:rPr>
                <w:color w:val="000000"/>
                <w:szCs w:val="20"/>
                <w:highlight w:val="black"/>
              </w:rPr>
              <w:t>&amp;&amp;&amp;&amp;</w:t>
            </w:r>
            <w:r w:rsidRPr="00777E28">
              <w:rPr>
                <w:color w:val="000000"/>
                <w:szCs w:val="20"/>
              </w:rPr>
              <w:t>%</w:t>
            </w:r>
            <w:r>
              <w:rPr>
                <w:color w:val="000000"/>
                <w:szCs w:val="20"/>
              </w:rPr>
              <w:t>)</w:t>
            </w:r>
          </w:p>
        </w:tc>
        <w:tc>
          <w:tcPr>
            <w:tcW w:w="1682" w:type="dxa"/>
            <w:tcMar>
              <w:top w:w="0" w:type="dxa"/>
              <w:left w:w="28" w:type="dxa"/>
              <w:bottom w:w="0" w:type="dxa"/>
              <w:right w:w="28" w:type="dxa"/>
            </w:tcMar>
            <w:vAlign w:val="center"/>
          </w:tcPr>
          <w:p w14:paraId="7197F216" w14:textId="0AD5400A" w:rsidR="00462AA5" w:rsidRPr="00BC3BBD" w:rsidRDefault="00462AA5">
            <w:pPr>
              <w:pStyle w:val="Tabletext0"/>
              <w:jc w:val="center"/>
              <w:rPr>
                <w:szCs w:val="20"/>
              </w:rPr>
            </w:pPr>
            <w:r w:rsidRPr="00311A69">
              <w:rPr>
                <w:color w:val="000000"/>
                <w:szCs w:val="20"/>
              </w:rPr>
              <w:t>$</w:t>
            </w:r>
            <w:r w:rsidR="005E35AF" w:rsidRPr="005E35AF">
              <w:rPr>
                <w:color w:val="000000"/>
                <w:szCs w:val="20"/>
                <w:highlight w:val="black"/>
              </w:rPr>
              <w:t>&amp;&amp;&amp;&amp;</w:t>
            </w:r>
            <w:r w:rsidR="00F53B01">
              <w:rPr>
                <w:iCs/>
                <w:vertAlign w:val="superscript"/>
              </w:rPr>
              <w:t>3</w:t>
            </w:r>
            <w:r w:rsidRPr="00B45AEA">
              <w:rPr>
                <w:color w:val="000000"/>
                <w:szCs w:val="20"/>
              </w:rPr>
              <w:t xml:space="preserve"> (</w:t>
            </w:r>
            <w:r w:rsidR="005E35AF" w:rsidRPr="005E35AF">
              <w:rPr>
                <w:color w:val="000000"/>
                <w:szCs w:val="20"/>
                <w:highlight w:val="black"/>
              </w:rPr>
              <w:t>&amp;&amp;&amp;&amp;</w:t>
            </w:r>
            <w:r w:rsidRPr="00311A69">
              <w:rPr>
                <w:color w:val="000000"/>
                <w:szCs w:val="20"/>
              </w:rPr>
              <w:t>%</w:t>
            </w:r>
            <w:r w:rsidRPr="00B45AEA">
              <w:rPr>
                <w:color w:val="000000"/>
                <w:szCs w:val="20"/>
              </w:rPr>
              <w:t>)</w:t>
            </w:r>
          </w:p>
        </w:tc>
        <w:tc>
          <w:tcPr>
            <w:tcW w:w="1683" w:type="dxa"/>
            <w:tcMar>
              <w:top w:w="0" w:type="dxa"/>
              <w:left w:w="28" w:type="dxa"/>
              <w:bottom w:w="0" w:type="dxa"/>
              <w:right w:w="28" w:type="dxa"/>
            </w:tcMar>
            <w:vAlign w:val="center"/>
          </w:tcPr>
          <w:p w14:paraId="6D2F190C" w14:textId="1AA1B380" w:rsidR="00462AA5" w:rsidRPr="00BC3BBD" w:rsidRDefault="00462AA5">
            <w:pPr>
              <w:pStyle w:val="Tabletext0"/>
              <w:jc w:val="center"/>
              <w:rPr>
                <w:szCs w:val="20"/>
              </w:rPr>
            </w:pPr>
            <w:r w:rsidRPr="00B53A43">
              <w:rPr>
                <w:szCs w:val="20"/>
              </w:rPr>
              <w:t>$</w:t>
            </w:r>
            <w:r w:rsidR="005E35AF" w:rsidRPr="005E35AF">
              <w:rPr>
                <w:szCs w:val="20"/>
                <w:highlight w:val="black"/>
              </w:rPr>
              <w:t>&amp;&amp;&amp;&amp;</w:t>
            </w:r>
            <w:r w:rsidR="00F53B01">
              <w:rPr>
                <w:iCs/>
                <w:vertAlign w:val="superscript"/>
              </w:rPr>
              <w:t>3</w:t>
            </w:r>
            <w:r>
              <w:rPr>
                <w:szCs w:val="20"/>
              </w:rPr>
              <w:t xml:space="preserve"> (</w:t>
            </w:r>
            <w:r w:rsidR="005E35AF" w:rsidRPr="005E35AF">
              <w:rPr>
                <w:szCs w:val="20"/>
                <w:highlight w:val="black"/>
              </w:rPr>
              <w:t>&amp;&amp;&amp;&amp;</w:t>
            </w:r>
            <w:r w:rsidRPr="00B53A43">
              <w:rPr>
                <w:szCs w:val="20"/>
              </w:rPr>
              <w:t>%</w:t>
            </w:r>
            <w:r>
              <w:rPr>
                <w:szCs w:val="20"/>
              </w:rPr>
              <w:t>)</w:t>
            </w:r>
          </w:p>
        </w:tc>
      </w:tr>
      <w:tr w:rsidR="00462AA5" w:rsidRPr="00A60A39" w14:paraId="3F0F0E01" w14:textId="77777777" w:rsidTr="0A99B0B1">
        <w:tc>
          <w:tcPr>
            <w:tcW w:w="3970" w:type="dxa"/>
            <w:tcMar>
              <w:top w:w="0" w:type="dxa"/>
              <w:left w:w="28" w:type="dxa"/>
              <w:bottom w:w="0" w:type="dxa"/>
              <w:right w:w="28" w:type="dxa"/>
            </w:tcMar>
            <w:vAlign w:val="center"/>
          </w:tcPr>
          <w:p w14:paraId="44F2C8D3" w14:textId="77777777" w:rsidR="00462AA5" w:rsidRPr="009E07B5" w:rsidRDefault="00462AA5">
            <w:pPr>
              <w:pStyle w:val="Tabletext0"/>
              <w:rPr>
                <w:iCs/>
                <w:szCs w:val="20"/>
              </w:rPr>
            </w:pPr>
            <w:r w:rsidRPr="009E07B5">
              <w:rPr>
                <w:iCs/>
                <w:szCs w:val="20"/>
              </w:rPr>
              <w:t>Remove all risk multipliers</w:t>
            </w:r>
          </w:p>
        </w:tc>
        <w:tc>
          <w:tcPr>
            <w:tcW w:w="1682" w:type="dxa"/>
            <w:tcMar>
              <w:top w:w="0" w:type="dxa"/>
              <w:left w:w="28" w:type="dxa"/>
              <w:bottom w:w="0" w:type="dxa"/>
              <w:right w:w="28" w:type="dxa"/>
            </w:tcMar>
            <w:vAlign w:val="center"/>
          </w:tcPr>
          <w:p w14:paraId="310F0EBC" w14:textId="552CAE66"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11241C">
              <w:rPr>
                <w:iCs/>
                <w:vertAlign w:val="superscript"/>
              </w:rPr>
              <w:t>5</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2" w:type="dxa"/>
            <w:tcMar>
              <w:top w:w="0" w:type="dxa"/>
              <w:left w:w="28" w:type="dxa"/>
              <w:bottom w:w="0" w:type="dxa"/>
              <w:right w:w="28" w:type="dxa"/>
            </w:tcMar>
            <w:vAlign w:val="center"/>
          </w:tcPr>
          <w:p w14:paraId="29B51219" w14:textId="2F76C089"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B7250A">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3" w:type="dxa"/>
            <w:tcMar>
              <w:top w:w="0" w:type="dxa"/>
              <w:left w:w="28" w:type="dxa"/>
              <w:bottom w:w="0" w:type="dxa"/>
              <w:right w:w="28" w:type="dxa"/>
            </w:tcMar>
            <w:vAlign w:val="center"/>
          </w:tcPr>
          <w:p w14:paraId="22840DB8" w14:textId="371273AF" w:rsidR="00462AA5" w:rsidRPr="009E07B5" w:rsidRDefault="00462AA5">
            <w:pPr>
              <w:pStyle w:val="Tabletext0"/>
              <w:jc w:val="center"/>
              <w:rPr>
                <w:iCs/>
                <w:szCs w:val="20"/>
              </w:rPr>
            </w:pPr>
            <w:r w:rsidRPr="009E07B5">
              <w:rPr>
                <w:iCs/>
                <w:szCs w:val="20"/>
              </w:rPr>
              <w:t>$</w:t>
            </w:r>
            <w:r w:rsidR="005E35AF" w:rsidRPr="005E35AF">
              <w:rPr>
                <w:iCs/>
                <w:szCs w:val="20"/>
                <w:highlight w:val="black"/>
              </w:rPr>
              <w:t>&amp;&amp;&amp;&amp;</w:t>
            </w:r>
            <w:r w:rsidR="00B7250A">
              <w:rPr>
                <w:iCs/>
                <w:vertAlign w:val="superscript"/>
              </w:rPr>
              <w:t>4</w:t>
            </w:r>
            <w:r w:rsidRPr="009E07B5">
              <w:rPr>
                <w:iCs/>
                <w:szCs w:val="20"/>
              </w:rPr>
              <w:t xml:space="preserve"> (</w:t>
            </w:r>
            <w:r w:rsidR="005E35AF" w:rsidRPr="005E35AF">
              <w:rPr>
                <w:iCs/>
                <w:szCs w:val="20"/>
                <w:highlight w:val="black"/>
              </w:rPr>
              <w:t>&amp;&amp;&amp;&amp;</w:t>
            </w:r>
            <w:r w:rsidRPr="009E07B5">
              <w:rPr>
                <w:iCs/>
                <w:szCs w:val="20"/>
              </w:rPr>
              <w:t>%)</w:t>
            </w:r>
          </w:p>
        </w:tc>
      </w:tr>
      <w:tr w:rsidR="00462AA5" w:rsidRPr="00A60A39" w14:paraId="7131A0D3" w14:textId="77777777" w:rsidTr="0A99B0B1">
        <w:tc>
          <w:tcPr>
            <w:tcW w:w="9017" w:type="dxa"/>
            <w:gridSpan w:val="4"/>
            <w:tcMar>
              <w:top w:w="0" w:type="dxa"/>
              <w:left w:w="28" w:type="dxa"/>
              <w:bottom w:w="0" w:type="dxa"/>
              <w:right w:w="28" w:type="dxa"/>
            </w:tcMar>
            <w:vAlign w:val="center"/>
          </w:tcPr>
          <w:p w14:paraId="3F99251D" w14:textId="77777777" w:rsidR="00462AA5" w:rsidRPr="00D840DF" w:rsidRDefault="00462AA5">
            <w:pPr>
              <w:pStyle w:val="Tabletext0"/>
              <w:rPr>
                <w:b/>
                <w:bCs/>
                <w:iCs/>
                <w:szCs w:val="20"/>
              </w:rPr>
            </w:pPr>
            <w:r w:rsidRPr="00D840DF">
              <w:rPr>
                <w:b/>
                <w:bCs/>
                <w:iCs/>
                <w:szCs w:val="20"/>
              </w:rPr>
              <w:t>Diabetes (base case: trial-based incidence estimates for 3.5 years, with the assumption of constant risks for subsequent cycles with additional risk multipliers for BMI [Zhang 2020])</w:t>
            </w:r>
          </w:p>
        </w:tc>
      </w:tr>
      <w:tr w:rsidR="00462AA5" w:rsidRPr="00A60A39" w14:paraId="69FB91CD" w14:textId="77777777" w:rsidTr="0A99B0B1">
        <w:tc>
          <w:tcPr>
            <w:tcW w:w="3970" w:type="dxa"/>
            <w:tcMar>
              <w:top w:w="0" w:type="dxa"/>
              <w:left w:w="28" w:type="dxa"/>
              <w:bottom w:w="0" w:type="dxa"/>
              <w:right w:w="28" w:type="dxa"/>
            </w:tcMar>
            <w:vAlign w:val="center"/>
          </w:tcPr>
          <w:p w14:paraId="17F3AFF2" w14:textId="77777777" w:rsidR="00462AA5" w:rsidRPr="009E07B5" w:rsidRDefault="00462AA5">
            <w:pPr>
              <w:pStyle w:val="Tabletext0"/>
              <w:rPr>
                <w:szCs w:val="20"/>
              </w:rPr>
            </w:pPr>
            <w:r w:rsidRPr="009E07B5">
              <w:rPr>
                <w:szCs w:val="20"/>
              </w:rPr>
              <w:t xml:space="preserve">No difference in risk between arms for diabetes using constant risk for whole model </w:t>
            </w:r>
            <w:proofErr w:type="spellStart"/>
            <w:r w:rsidRPr="009E07B5">
              <w:rPr>
                <w:szCs w:val="20"/>
              </w:rPr>
              <w:t>duration</w:t>
            </w:r>
            <w:r w:rsidRPr="009E07B5">
              <w:rPr>
                <w:szCs w:val="20"/>
                <w:vertAlign w:val="superscript"/>
              </w:rPr>
              <w:t>a</w:t>
            </w:r>
            <w:proofErr w:type="spellEnd"/>
          </w:p>
        </w:tc>
        <w:tc>
          <w:tcPr>
            <w:tcW w:w="1682" w:type="dxa"/>
            <w:tcMar>
              <w:top w:w="0" w:type="dxa"/>
              <w:left w:w="28" w:type="dxa"/>
              <w:bottom w:w="0" w:type="dxa"/>
              <w:right w:w="28" w:type="dxa"/>
            </w:tcMar>
            <w:vAlign w:val="center"/>
          </w:tcPr>
          <w:p w14:paraId="7AB1A2F7" w14:textId="36444942" w:rsidR="00462AA5" w:rsidRPr="009E07B5" w:rsidRDefault="00462AA5">
            <w:pPr>
              <w:pStyle w:val="Tabletext0"/>
              <w:jc w:val="center"/>
              <w:rPr>
                <w:szCs w:val="20"/>
              </w:rPr>
            </w:pPr>
            <w:r w:rsidRPr="009E07B5">
              <w:rPr>
                <w:color w:val="000000"/>
                <w:szCs w:val="20"/>
              </w:rPr>
              <w:t>$</w:t>
            </w:r>
            <w:r w:rsidR="005E35AF" w:rsidRPr="005E35AF">
              <w:rPr>
                <w:color w:val="000000"/>
                <w:szCs w:val="20"/>
                <w:highlight w:val="black"/>
              </w:rPr>
              <w:t>&amp;&amp;&amp;&amp;</w:t>
            </w:r>
            <w:r w:rsidR="00BE07BF">
              <w:rPr>
                <w:iCs/>
                <w:vertAlign w:val="superscript"/>
              </w:rPr>
              <w:t>6</w:t>
            </w:r>
            <w:r w:rsidRPr="009E07B5">
              <w:rPr>
                <w:color w:val="000000"/>
                <w:szCs w:val="20"/>
              </w:rPr>
              <w:t xml:space="preserve"> (</w:t>
            </w:r>
            <w:r w:rsidR="005E35AF" w:rsidRPr="005E35AF">
              <w:rPr>
                <w:color w:val="000000"/>
                <w:szCs w:val="20"/>
                <w:highlight w:val="black"/>
              </w:rPr>
              <w:t>&amp;&amp;&amp;&amp;</w:t>
            </w:r>
            <w:r w:rsidRPr="009E07B5">
              <w:rPr>
                <w:color w:val="000000"/>
                <w:szCs w:val="20"/>
              </w:rPr>
              <w:t>%)</w:t>
            </w:r>
          </w:p>
        </w:tc>
        <w:tc>
          <w:tcPr>
            <w:tcW w:w="1682" w:type="dxa"/>
            <w:tcMar>
              <w:top w:w="0" w:type="dxa"/>
              <w:left w:w="28" w:type="dxa"/>
              <w:bottom w:w="0" w:type="dxa"/>
              <w:right w:w="28" w:type="dxa"/>
            </w:tcMar>
            <w:vAlign w:val="center"/>
          </w:tcPr>
          <w:p w14:paraId="0BC5C596" w14:textId="2572E7CE" w:rsidR="00462AA5" w:rsidRPr="009E07B5" w:rsidRDefault="00462AA5">
            <w:pPr>
              <w:pStyle w:val="Tabletext0"/>
              <w:jc w:val="center"/>
              <w:rPr>
                <w:szCs w:val="20"/>
              </w:rPr>
            </w:pPr>
            <w:r w:rsidRPr="009E07B5">
              <w:rPr>
                <w:color w:val="000000"/>
                <w:szCs w:val="20"/>
              </w:rPr>
              <w:t>$</w:t>
            </w:r>
            <w:r w:rsidR="005E35AF" w:rsidRPr="005E35AF">
              <w:rPr>
                <w:color w:val="000000"/>
                <w:szCs w:val="20"/>
                <w:highlight w:val="black"/>
              </w:rPr>
              <w:t>&amp;&amp;&amp;&amp;</w:t>
            </w:r>
            <w:r w:rsidR="0011241C">
              <w:rPr>
                <w:iCs/>
                <w:vertAlign w:val="superscript"/>
              </w:rPr>
              <w:t>5</w:t>
            </w:r>
            <w:r w:rsidRPr="009E07B5">
              <w:rPr>
                <w:color w:val="000000"/>
                <w:szCs w:val="20"/>
              </w:rPr>
              <w:t xml:space="preserve"> (</w:t>
            </w:r>
            <w:r w:rsidR="005E35AF" w:rsidRPr="005E35AF">
              <w:rPr>
                <w:color w:val="000000"/>
                <w:szCs w:val="20"/>
                <w:highlight w:val="black"/>
              </w:rPr>
              <w:t>&amp;&amp;&amp;&amp;</w:t>
            </w:r>
            <w:r w:rsidRPr="009E07B5">
              <w:rPr>
                <w:color w:val="000000"/>
                <w:szCs w:val="20"/>
              </w:rPr>
              <w:t>%)</w:t>
            </w:r>
          </w:p>
        </w:tc>
        <w:tc>
          <w:tcPr>
            <w:tcW w:w="1683" w:type="dxa"/>
            <w:tcMar>
              <w:top w:w="0" w:type="dxa"/>
              <w:left w:w="28" w:type="dxa"/>
              <w:bottom w:w="0" w:type="dxa"/>
              <w:right w:w="28" w:type="dxa"/>
            </w:tcMar>
            <w:vAlign w:val="center"/>
          </w:tcPr>
          <w:p w14:paraId="3D39B5AD" w14:textId="2AA341A1" w:rsidR="00462AA5" w:rsidRPr="009E07B5" w:rsidRDefault="00462AA5">
            <w:pPr>
              <w:pStyle w:val="Tabletext0"/>
              <w:jc w:val="center"/>
              <w:rPr>
                <w:szCs w:val="20"/>
              </w:rPr>
            </w:pPr>
            <w:r w:rsidRPr="009E07B5">
              <w:rPr>
                <w:szCs w:val="20"/>
              </w:rPr>
              <w:t>$</w:t>
            </w:r>
            <w:r w:rsidR="005E35AF" w:rsidRPr="005E35AF">
              <w:rPr>
                <w:szCs w:val="20"/>
                <w:highlight w:val="black"/>
              </w:rPr>
              <w:t>&amp;&amp;&amp;&amp;</w:t>
            </w:r>
            <w:r w:rsidRPr="009E07B5">
              <w:rPr>
                <w:szCs w:val="20"/>
              </w:rPr>
              <w:t xml:space="preserve"> (</w:t>
            </w:r>
            <w:r w:rsidR="005E35AF" w:rsidRPr="005E35AF">
              <w:rPr>
                <w:szCs w:val="20"/>
                <w:highlight w:val="black"/>
              </w:rPr>
              <w:t>&amp;&amp;&amp;&amp;</w:t>
            </w:r>
            <w:r w:rsidRPr="009E07B5">
              <w:rPr>
                <w:szCs w:val="20"/>
              </w:rPr>
              <w:t>%)</w:t>
            </w:r>
          </w:p>
        </w:tc>
      </w:tr>
      <w:tr w:rsidR="00462AA5" w:rsidRPr="00A60A39" w14:paraId="4A6B1B50" w14:textId="77777777" w:rsidTr="0A99B0B1">
        <w:tc>
          <w:tcPr>
            <w:tcW w:w="3970" w:type="dxa"/>
            <w:tcMar>
              <w:top w:w="0" w:type="dxa"/>
              <w:left w:w="28" w:type="dxa"/>
              <w:bottom w:w="0" w:type="dxa"/>
              <w:right w:w="28" w:type="dxa"/>
            </w:tcMar>
            <w:vAlign w:val="center"/>
          </w:tcPr>
          <w:p w14:paraId="73154B26" w14:textId="77777777" w:rsidR="00462AA5" w:rsidRPr="009E07B5" w:rsidRDefault="00462AA5">
            <w:pPr>
              <w:pStyle w:val="Tabletext0"/>
              <w:rPr>
                <w:szCs w:val="20"/>
              </w:rPr>
            </w:pPr>
            <w:r w:rsidRPr="009E07B5">
              <w:rPr>
                <w:szCs w:val="20"/>
              </w:rPr>
              <w:lastRenderedPageBreak/>
              <w:t>Use BMI risk multipliers based on SELECT trial</w:t>
            </w:r>
          </w:p>
        </w:tc>
        <w:tc>
          <w:tcPr>
            <w:tcW w:w="1682" w:type="dxa"/>
            <w:tcMar>
              <w:top w:w="0" w:type="dxa"/>
              <w:left w:w="28" w:type="dxa"/>
              <w:bottom w:w="0" w:type="dxa"/>
              <w:right w:w="28" w:type="dxa"/>
            </w:tcMar>
          </w:tcPr>
          <w:p w14:paraId="12F0DD4E" w14:textId="77777777" w:rsidR="00462AA5" w:rsidRPr="009E07B5" w:rsidRDefault="00462AA5">
            <w:pPr>
              <w:pStyle w:val="Tabletext0"/>
              <w:jc w:val="center"/>
              <w:rPr>
                <w:szCs w:val="20"/>
              </w:rPr>
            </w:pPr>
            <w:r w:rsidRPr="009E07B5">
              <w:rPr>
                <w:szCs w:val="20"/>
              </w:rPr>
              <w:t>-</w:t>
            </w:r>
          </w:p>
        </w:tc>
        <w:tc>
          <w:tcPr>
            <w:tcW w:w="1682" w:type="dxa"/>
            <w:tcMar>
              <w:top w:w="0" w:type="dxa"/>
              <w:left w:w="28" w:type="dxa"/>
              <w:bottom w:w="0" w:type="dxa"/>
              <w:right w:w="28" w:type="dxa"/>
            </w:tcMar>
            <w:vAlign w:val="center"/>
          </w:tcPr>
          <w:p w14:paraId="3D66AD69" w14:textId="73B5FDA9" w:rsidR="00462AA5" w:rsidRPr="009E07B5" w:rsidRDefault="00462AA5">
            <w:pPr>
              <w:pStyle w:val="Tabletext0"/>
              <w:jc w:val="center"/>
              <w:rPr>
                <w:szCs w:val="20"/>
              </w:rPr>
            </w:pPr>
            <w:r w:rsidRPr="009E07B5">
              <w:rPr>
                <w:color w:val="000000"/>
                <w:szCs w:val="20"/>
              </w:rPr>
              <w:t>$</w:t>
            </w:r>
            <w:r w:rsidR="005E35AF" w:rsidRPr="005E35AF">
              <w:rPr>
                <w:color w:val="000000"/>
                <w:szCs w:val="20"/>
                <w:highlight w:val="black"/>
              </w:rPr>
              <w:t>&amp;&amp;&amp;&amp;</w:t>
            </w:r>
            <w:r w:rsidR="00B7250A">
              <w:rPr>
                <w:iCs/>
                <w:vertAlign w:val="superscript"/>
              </w:rPr>
              <w:t>4</w:t>
            </w:r>
            <w:r w:rsidRPr="009E07B5">
              <w:rPr>
                <w:color w:val="000000"/>
                <w:szCs w:val="20"/>
              </w:rPr>
              <w:t xml:space="preserve"> (</w:t>
            </w:r>
            <w:r w:rsidR="005E35AF" w:rsidRPr="005E35AF">
              <w:rPr>
                <w:color w:val="000000"/>
                <w:szCs w:val="20"/>
                <w:highlight w:val="black"/>
              </w:rPr>
              <w:t>&amp;&amp;&amp;&amp;</w:t>
            </w:r>
            <w:r w:rsidRPr="009E07B5">
              <w:rPr>
                <w:color w:val="000000"/>
                <w:szCs w:val="20"/>
              </w:rPr>
              <w:t>%)</w:t>
            </w:r>
          </w:p>
        </w:tc>
        <w:tc>
          <w:tcPr>
            <w:tcW w:w="1683" w:type="dxa"/>
            <w:tcMar>
              <w:top w:w="0" w:type="dxa"/>
              <w:left w:w="28" w:type="dxa"/>
              <w:bottom w:w="0" w:type="dxa"/>
              <w:right w:w="28" w:type="dxa"/>
            </w:tcMar>
            <w:vAlign w:val="center"/>
          </w:tcPr>
          <w:p w14:paraId="27177834" w14:textId="50BB35BD" w:rsidR="00462AA5" w:rsidRPr="009E07B5" w:rsidRDefault="00462AA5">
            <w:pPr>
              <w:pStyle w:val="Tabletext0"/>
              <w:jc w:val="center"/>
              <w:rPr>
                <w:szCs w:val="20"/>
              </w:rPr>
            </w:pPr>
            <w:r w:rsidRPr="009E07B5">
              <w:rPr>
                <w:szCs w:val="20"/>
              </w:rPr>
              <w:t>$</w:t>
            </w:r>
            <w:r w:rsidR="005E35AF" w:rsidRPr="005E35AF">
              <w:rPr>
                <w:szCs w:val="20"/>
                <w:highlight w:val="black"/>
              </w:rPr>
              <w:t>&amp;&amp;&amp;&amp;</w:t>
            </w:r>
            <w:r w:rsidR="00F53B01">
              <w:rPr>
                <w:iCs/>
                <w:vertAlign w:val="superscript"/>
              </w:rPr>
              <w:t>3</w:t>
            </w:r>
            <w:r w:rsidRPr="009E07B5">
              <w:rPr>
                <w:szCs w:val="20"/>
              </w:rPr>
              <w:t xml:space="preserve"> (</w:t>
            </w:r>
            <w:r w:rsidR="005E35AF" w:rsidRPr="005E35AF">
              <w:rPr>
                <w:szCs w:val="20"/>
                <w:highlight w:val="black"/>
              </w:rPr>
              <w:t>&amp;&amp;&amp;&amp;</w:t>
            </w:r>
            <w:r w:rsidRPr="009E07B5">
              <w:rPr>
                <w:szCs w:val="20"/>
              </w:rPr>
              <w:t>%)</w:t>
            </w:r>
          </w:p>
        </w:tc>
      </w:tr>
      <w:tr w:rsidR="00462AA5" w:rsidRPr="00A60A39" w14:paraId="232DF1DB" w14:textId="77777777" w:rsidTr="0A99B0B1">
        <w:tc>
          <w:tcPr>
            <w:tcW w:w="3970" w:type="dxa"/>
            <w:tcMar>
              <w:top w:w="0" w:type="dxa"/>
              <w:left w:w="28" w:type="dxa"/>
              <w:bottom w:w="0" w:type="dxa"/>
              <w:right w:w="28" w:type="dxa"/>
            </w:tcMar>
            <w:vAlign w:val="center"/>
          </w:tcPr>
          <w:p w14:paraId="0A039D4A" w14:textId="77777777" w:rsidR="00462AA5" w:rsidRPr="009E07B5" w:rsidRDefault="00462AA5">
            <w:pPr>
              <w:pStyle w:val="Tabletext0"/>
              <w:rPr>
                <w:szCs w:val="20"/>
              </w:rPr>
            </w:pPr>
            <w:r w:rsidRPr="009E07B5">
              <w:rPr>
                <w:szCs w:val="20"/>
              </w:rPr>
              <w:t>No additional risk multipliers for BMI</w:t>
            </w:r>
          </w:p>
        </w:tc>
        <w:tc>
          <w:tcPr>
            <w:tcW w:w="1682" w:type="dxa"/>
            <w:tcMar>
              <w:top w:w="0" w:type="dxa"/>
              <w:left w:w="28" w:type="dxa"/>
              <w:bottom w:w="0" w:type="dxa"/>
              <w:right w:w="28" w:type="dxa"/>
            </w:tcMar>
          </w:tcPr>
          <w:p w14:paraId="47B5CF76" w14:textId="77777777" w:rsidR="00462AA5" w:rsidRPr="009E07B5" w:rsidRDefault="00462AA5">
            <w:pPr>
              <w:pStyle w:val="Tabletext0"/>
              <w:jc w:val="center"/>
              <w:rPr>
                <w:szCs w:val="20"/>
              </w:rPr>
            </w:pPr>
            <w:r w:rsidRPr="009E07B5">
              <w:rPr>
                <w:szCs w:val="20"/>
              </w:rPr>
              <w:t>-</w:t>
            </w:r>
          </w:p>
        </w:tc>
        <w:tc>
          <w:tcPr>
            <w:tcW w:w="1682" w:type="dxa"/>
            <w:tcMar>
              <w:top w:w="0" w:type="dxa"/>
              <w:left w:w="28" w:type="dxa"/>
              <w:bottom w:w="0" w:type="dxa"/>
              <w:right w:w="28" w:type="dxa"/>
            </w:tcMar>
            <w:vAlign w:val="center"/>
          </w:tcPr>
          <w:p w14:paraId="24E4C8D2" w14:textId="5D185B19" w:rsidR="00462AA5" w:rsidRPr="009E07B5" w:rsidRDefault="00462AA5">
            <w:pPr>
              <w:pStyle w:val="Tabletext0"/>
              <w:jc w:val="center"/>
              <w:rPr>
                <w:szCs w:val="20"/>
              </w:rPr>
            </w:pPr>
            <w:r w:rsidRPr="009E07B5">
              <w:rPr>
                <w:color w:val="000000"/>
                <w:szCs w:val="20"/>
              </w:rPr>
              <w:t>$</w:t>
            </w:r>
            <w:r w:rsidR="005E35AF" w:rsidRPr="005E35AF">
              <w:rPr>
                <w:color w:val="000000"/>
                <w:szCs w:val="20"/>
                <w:highlight w:val="black"/>
              </w:rPr>
              <w:t>&amp;&amp;&amp;&amp;</w:t>
            </w:r>
            <w:r w:rsidRPr="009E07B5">
              <w:rPr>
                <w:color w:val="000000"/>
                <w:szCs w:val="20"/>
              </w:rPr>
              <w:t xml:space="preserve"> (</w:t>
            </w:r>
            <w:r w:rsidR="005E35AF" w:rsidRPr="005E35AF">
              <w:rPr>
                <w:color w:val="000000"/>
                <w:szCs w:val="20"/>
                <w:highlight w:val="black"/>
              </w:rPr>
              <w:t>&amp;&amp;&amp;&amp;</w:t>
            </w:r>
            <w:r w:rsidRPr="009E07B5">
              <w:rPr>
                <w:color w:val="000000"/>
                <w:szCs w:val="20"/>
              </w:rPr>
              <w:t>%)</w:t>
            </w:r>
          </w:p>
        </w:tc>
        <w:tc>
          <w:tcPr>
            <w:tcW w:w="1683" w:type="dxa"/>
            <w:tcMar>
              <w:top w:w="0" w:type="dxa"/>
              <w:left w:w="28" w:type="dxa"/>
              <w:bottom w:w="0" w:type="dxa"/>
              <w:right w:w="28" w:type="dxa"/>
            </w:tcMar>
            <w:vAlign w:val="center"/>
          </w:tcPr>
          <w:p w14:paraId="77F8E9CA" w14:textId="50CA3D38" w:rsidR="00462AA5" w:rsidRPr="009E07B5" w:rsidRDefault="00462AA5">
            <w:pPr>
              <w:pStyle w:val="Tabletext0"/>
              <w:jc w:val="center"/>
              <w:rPr>
                <w:szCs w:val="20"/>
              </w:rPr>
            </w:pPr>
            <w:r w:rsidRPr="009E07B5">
              <w:rPr>
                <w:szCs w:val="20"/>
              </w:rPr>
              <w:t>$</w:t>
            </w:r>
            <w:r w:rsidR="005E35AF" w:rsidRPr="005E35AF">
              <w:rPr>
                <w:szCs w:val="20"/>
                <w:highlight w:val="black"/>
              </w:rPr>
              <w:t>&amp;&amp;&amp;&amp;</w:t>
            </w:r>
            <w:r w:rsidR="00F53B01">
              <w:rPr>
                <w:iCs/>
                <w:vertAlign w:val="superscript"/>
              </w:rPr>
              <w:t>3</w:t>
            </w:r>
            <w:r w:rsidRPr="009E07B5">
              <w:rPr>
                <w:szCs w:val="20"/>
              </w:rPr>
              <w:t xml:space="preserve"> (</w:t>
            </w:r>
            <w:r w:rsidR="005E35AF" w:rsidRPr="005E35AF">
              <w:rPr>
                <w:szCs w:val="20"/>
                <w:highlight w:val="black"/>
              </w:rPr>
              <w:t>&amp;&amp;&amp;&amp;</w:t>
            </w:r>
            <w:r w:rsidRPr="009E07B5">
              <w:rPr>
                <w:szCs w:val="20"/>
              </w:rPr>
              <w:t>%)</w:t>
            </w:r>
          </w:p>
        </w:tc>
      </w:tr>
      <w:tr w:rsidR="00462AA5" w:rsidRPr="00A60A39" w14:paraId="17AA9A0B" w14:textId="77777777" w:rsidTr="0A99B0B1">
        <w:tc>
          <w:tcPr>
            <w:tcW w:w="9017" w:type="dxa"/>
            <w:gridSpan w:val="4"/>
            <w:tcMar>
              <w:top w:w="0" w:type="dxa"/>
              <w:left w:w="28" w:type="dxa"/>
              <w:bottom w:w="0" w:type="dxa"/>
              <w:right w:w="28" w:type="dxa"/>
            </w:tcMar>
            <w:vAlign w:val="center"/>
          </w:tcPr>
          <w:p w14:paraId="34A4219F" w14:textId="77777777" w:rsidR="00462AA5" w:rsidRPr="00D840DF" w:rsidRDefault="00462AA5">
            <w:pPr>
              <w:pStyle w:val="Tabletext0"/>
              <w:jc w:val="both"/>
              <w:rPr>
                <w:iCs/>
                <w:szCs w:val="20"/>
              </w:rPr>
            </w:pPr>
            <w:r>
              <w:rPr>
                <w:b/>
                <w:bCs/>
                <w:szCs w:val="20"/>
              </w:rPr>
              <w:t xml:space="preserve">Chronic kidney disease </w:t>
            </w:r>
            <w:r w:rsidRPr="00A26E1C">
              <w:rPr>
                <w:b/>
                <w:bCs/>
                <w:iCs/>
                <w:color w:val="000000"/>
                <w:szCs w:val="20"/>
              </w:rPr>
              <w:t>(</w:t>
            </w:r>
            <w:r w:rsidRPr="00A26E1C">
              <w:rPr>
                <w:b/>
                <w:bCs/>
                <w:iCs/>
                <w:szCs w:val="20"/>
              </w:rPr>
              <w:t xml:space="preserve">base case: </w:t>
            </w:r>
            <w:r>
              <w:rPr>
                <w:b/>
                <w:bCs/>
                <w:iCs/>
                <w:szCs w:val="20"/>
              </w:rPr>
              <w:t>probabilities of transitioning between health states based on the assumption of a constant decrease in eGFR over time from the SELECT trial with additional risk multipliers for BMI [Kang 2020]</w:t>
            </w:r>
            <w:r w:rsidRPr="00A26E1C">
              <w:rPr>
                <w:b/>
                <w:bCs/>
                <w:iCs/>
                <w:szCs w:val="20"/>
              </w:rPr>
              <w:t>)</w:t>
            </w:r>
          </w:p>
        </w:tc>
      </w:tr>
      <w:tr w:rsidR="00462AA5" w:rsidRPr="00A60A39" w14:paraId="2A095242" w14:textId="77777777" w:rsidTr="0A99B0B1">
        <w:tc>
          <w:tcPr>
            <w:tcW w:w="3970" w:type="dxa"/>
            <w:tcMar>
              <w:top w:w="0" w:type="dxa"/>
              <w:left w:w="28" w:type="dxa"/>
              <w:bottom w:w="0" w:type="dxa"/>
              <w:right w:w="28" w:type="dxa"/>
            </w:tcMar>
            <w:vAlign w:val="center"/>
          </w:tcPr>
          <w:p w14:paraId="06E46434" w14:textId="77777777" w:rsidR="00462AA5" w:rsidRPr="009E07B5" w:rsidRDefault="00462AA5">
            <w:pPr>
              <w:pStyle w:val="Tabletext0"/>
              <w:rPr>
                <w:iCs/>
                <w:szCs w:val="20"/>
              </w:rPr>
            </w:pPr>
            <w:r w:rsidRPr="009E07B5">
              <w:rPr>
                <w:iCs/>
                <w:szCs w:val="20"/>
              </w:rPr>
              <w:t xml:space="preserve">No difference in risk between arms for CKD </w:t>
            </w:r>
            <w:proofErr w:type="spellStart"/>
            <w:r w:rsidRPr="009E07B5">
              <w:rPr>
                <w:iCs/>
                <w:szCs w:val="20"/>
              </w:rPr>
              <w:t>progression</w:t>
            </w:r>
            <w:r w:rsidRPr="009E07B5">
              <w:rPr>
                <w:iCs/>
                <w:szCs w:val="20"/>
                <w:vertAlign w:val="superscript"/>
              </w:rPr>
              <w:t>a</w:t>
            </w:r>
            <w:proofErr w:type="spellEnd"/>
          </w:p>
        </w:tc>
        <w:tc>
          <w:tcPr>
            <w:tcW w:w="1682" w:type="dxa"/>
            <w:tcMar>
              <w:top w:w="0" w:type="dxa"/>
              <w:left w:w="28" w:type="dxa"/>
              <w:bottom w:w="0" w:type="dxa"/>
              <w:right w:w="28" w:type="dxa"/>
            </w:tcMar>
            <w:vAlign w:val="center"/>
          </w:tcPr>
          <w:p w14:paraId="02E4C7F5" w14:textId="34F33492"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11241C">
              <w:rPr>
                <w:iCs/>
                <w:vertAlign w:val="superscript"/>
              </w:rPr>
              <w:t>5</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2" w:type="dxa"/>
            <w:tcMar>
              <w:top w:w="0" w:type="dxa"/>
              <w:left w:w="28" w:type="dxa"/>
              <w:bottom w:w="0" w:type="dxa"/>
              <w:right w:w="28" w:type="dxa"/>
            </w:tcMar>
            <w:vAlign w:val="center"/>
          </w:tcPr>
          <w:p w14:paraId="1DD7A3CD" w14:textId="4506B051"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B7250A">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3" w:type="dxa"/>
            <w:tcMar>
              <w:top w:w="0" w:type="dxa"/>
              <w:left w:w="28" w:type="dxa"/>
              <w:bottom w:w="0" w:type="dxa"/>
              <w:right w:w="28" w:type="dxa"/>
            </w:tcMar>
            <w:vAlign w:val="center"/>
          </w:tcPr>
          <w:p w14:paraId="74B39FE0" w14:textId="7B4ED855" w:rsidR="00462AA5" w:rsidRPr="009E07B5" w:rsidRDefault="00462AA5">
            <w:pPr>
              <w:pStyle w:val="Tabletext0"/>
              <w:jc w:val="center"/>
              <w:rPr>
                <w:iCs/>
                <w:szCs w:val="20"/>
              </w:rPr>
            </w:pPr>
            <w:r w:rsidRPr="009E07B5">
              <w:rPr>
                <w:iCs/>
                <w:szCs w:val="20"/>
              </w:rPr>
              <w:t>$</w:t>
            </w:r>
            <w:r w:rsidR="005E35AF" w:rsidRPr="005E35AF">
              <w:rPr>
                <w:iCs/>
                <w:szCs w:val="20"/>
                <w:highlight w:val="black"/>
              </w:rPr>
              <w:t>&amp;&amp;&amp;&amp;</w:t>
            </w:r>
            <w:r w:rsidR="00B7250A">
              <w:rPr>
                <w:iCs/>
                <w:vertAlign w:val="superscript"/>
              </w:rPr>
              <w:t>4</w:t>
            </w:r>
            <w:r w:rsidRPr="009E07B5">
              <w:rPr>
                <w:iCs/>
                <w:szCs w:val="20"/>
              </w:rPr>
              <w:t xml:space="preserve"> (</w:t>
            </w:r>
            <w:r w:rsidR="005E35AF" w:rsidRPr="005E35AF">
              <w:rPr>
                <w:iCs/>
                <w:szCs w:val="20"/>
                <w:highlight w:val="black"/>
              </w:rPr>
              <w:t>&amp;&amp;&amp;&amp;</w:t>
            </w:r>
            <w:r w:rsidRPr="009E07B5">
              <w:rPr>
                <w:iCs/>
                <w:szCs w:val="20"/>
              </w:rPr>
              <w:t>%)</w:t>
            </w:r>
          </w:p>
        </w:tc>
      </w:tr>
      <w:tr w:rsidR="00462AA5" w:rsidRPr="00A60A39" w14:paraId="6E51D7EB" w14:textId="77777777" w:rsidTr="0A99B0B1">
        <w:tc>
          <w:tcPr>
            <w:tcW w:w="3970" w:type="dxa"/>
            <w:tcMar>
              <w:top w:w="0" w:type="dxa"/>
              <w:left w:w="28" w:type="dxa"/>
              <w:bottom w:w="0" w:type="dxa"/>
              <w:right w:w="28" w:type="dxa"/>
            </w:tcMar>
            <w:vAlign w:val="center"/>
          </w:tcPr>
          <w:p w14:paraId="42A56772" w14:textId="77777777" w:rsidR="00462AA5" w:rsidRPr="009E07B5" w:rsidRDefault="00462AA5">
            <w:pPr>
              <w:pStyle w:val="Tabletext0"/>
              <w:rPr>
                <w:iCs/>
                <w:szCs w:val="20"/>
              </w:rPr>
            </w:pPr>
            <w:r w:rsidRPr="009E07B5">
              <w:rPr>
                <w:iCs/>
                <w:szCs w:val="20"/>
              </w:rPr>
              <w:t>Remove CKD module (no risk of progression in either arm)</w:t>
            </w:r>
          </w:p>
        </w:tc>
        <w:tc>
          <w:tcPr>
            <w:tcW w:w="1682" w:type="dxa"/>
            <w:tcMar>
              <w:top w:w="0" w:type="dxa"/>
              <w:left w:w="28" w:type="dxa"/>
              <w:bottom w:w="0" w:type="dxa"/>
              <w:right w:w="28" w:type="dxa"/>
            </w:tcMar>
            <w:vAlign w:val="center"/>
          </w:tcPr>
          <w:p w14:paraId="5E7E6677" w14:textId="381F4E52"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11241C">
              <w:rPr>
                <w:iCs/>
                <w:vertAlign w:val="superscript"/>
              </w:rPr>
              <w:t>5</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2" w:type="dxa"/>
            <w:tcMar>
              <w:top w:w="0" w:type="dxa"/>
              <w:left w:w="28" w:type="dxa"/>
              <w:bottom w:w="0" w:type="dxa"/>
              <w:right w:w="28" w:type="dxa"/>
            </w:tcMar>
            <w:vAlign w:val="center"/>
          </w:tcPr>
          <w:p w14:paraId="322DCC35" w14:textId="68D8A8A1"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B7250A">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3" w:type="dxa"/>
            <w:tcMar>
              <w:top w:w="0" w:type="dxa"/>
              <w:left w:w="28" w:type="dxa"/>
              <w:bottom w:w="0" w:type="dxa"/>
              <w:right w:w="28" w:type="dxa"/>
            </w:tcMar>
            <w:vAlign w:val="center"/>
          </w:tcPr>
          <w:p w14:paraId="21FFD317" w14:textId="754D69B1" w:rsidR="00462AA5" w:rsidRPr="009E07B5" w:rsidRDefault="00462AA5">
            <w:pPr>
              <w:pStyle w:val="Tabletext0"/>
              <w:jc w:val="center"/>
              <w:rPr>
                <w:iCs/>
                <w:szCs w:val="20"/>
              </w:rPr>
            </w:pPr>
            <w:r w:rsidRPr="009E07B5">
              <w:rPr>
                <w:iCs/>
                <w:szCs w:val="20"/>
              </w:rPr>
              <w:t>$</w:t>
            </w:r>
            <w:r w:rsidR="005E35AF" w:rsidRPr="005E35AF">
              <w:rPr>
                <w:iCs/>
                <w:szCs w:val="20"/>
                <w:highlight w:val="black"/>
              </w:rPr>
              <w:t>&amp;&amp;&amp;&amp;</w:t>
            </w:r>
            <w:r w:rsidR="00B7250A">
              <w:rPr>
                <w:iCs/>
                <w:vertAlign w:val="superscript"/>
              </w:rPr>
              <w:t>4</w:t>
            </w:r>
            <w:r w:rsidRPr="009E07B5">
              <w:rPr>
                <w:iCs/>
                <w:szCs w:val="20"/>
              </w:rPr>
              <w:t xml:space="preserve"> (</w:t>
            </w:r>
            <w:r w:rsidR="005E35AF" w:rsidRPr="005E35AF">
              <w:rPr>
                <w:iCs/>
                <w:szCs w:val="20"/>
                <w:highlight w:val="black"/>
              </w:rPr>
              <w:t>&amp;&amp;&amp;&amp;</w:t>
            </w:r>
            <w:r w:rsidRPr="009E07B5">
              <w:rPr>
                <w:iCs/>
                <w:szCs w:val="20"/>
              </w:rPr>
              <w:t>%)</w:t>
            </w:r>
          </w:p>
        </w:tc>
      </w:tr>
      <w:tr w:rsidR="00462AA5" w:rsidRPr="00A60A39" w14:paraId="410050C1" w14:textId="77777777" w:rsidTr="0A99B0B1">
        <w:tc>
          <w:tcPr>
            <w:tcW w:w="3970" w:type="dxa"/>
            <w:tcMar>
              <w:top w:w="0" w:type="dxa"/>
              <w:left w:w="28" w:type="dxa"/>
              <w:bottom w:w="0" w:type="dxa"/>
              <w:right w:w="28" w:type="dxa"/>
            </w:tcMar>
            <w:vAlign w:val="center"/>
          </w:tcPr>
          <w:p w14:paraId="54D545E9" w14:textId="77777777" w:rsidR="00462AA5" w:rsidRPr="009E07B5" w:rsidRDefault="00462AA5">
            <w:pPr>
              <w:pStyle w:val="Tabletext0"/>
              <w:rPr>
                <w:iCs/>
                <w:szCs w:val="20"/>
              </w:rPr>
            </w:pPr>
            <w:r w:rsidRPr="009E07B5">
              <w:rPr>
                <w:iCs/>
                <w:szCs w:val="20"/>
              </w:rPr>
              <w:t>No additional risk multipliers for BMI</w:t>
            </w:r>
          </w:p>
        </w:tc>
        <w:tc>
          <w:tcPr>
            <w:tcW w:w="1682" w:type="dxa"/>
            <w:tcMar>
              <w:top w:w="0" w:type="dxa"/>
              <w:left w:w="28" w:type="dxa"/>
              <w:bottom w:w="0" w:type="dxa"/>
              <w:right w:w="28" w:type="dxa"/>
            </w:tcMar>
          </w:tcPr>
          <w:p w14:paraId="14E7D915" w14:textId="77777777" w:rsidR="00462AA5" w:rsidRPr="009E07B5" w:rsidRDefault="00462AA5">
            <w:pPr>
              <w:pStyle w:val="Tabletext0"/>
              <w:jc w:val="center"/>
              <w:rPr>
                <w:iCs/>
                <w:szCs w:val="20"/>
              </w:rPr>
            </w:pPr>
            <w:r w:rsidRPr="009E07B5">
              <w:rPr>
                <w:iCs/>
                <w:szCs w:val="20"/>
              </w:rPr>
              <w:t>-</w:t>
            </w:r>
          </w:p>
        </w:tc>
        <w:tc>
          <w:tcPr>
            <w:tcW w:w="1682" w:type="dxa"/>
            <w:tcMar>
              <w:top w:w="0" w:type="dxa"/>
              <w:left w:w="28" w:type="dxa"/>
              <w:bottom w:w="0" w:type="dxa"/>
              <w:right w:w="28" w:type="dxa"/>
            </w:tcMar>
            <w:vAlign w:val="center"/>
          </w:tcPr>
          <w:p w14:paraId="1D7FC183" w14:textId="4C599614"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B7250A">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3" w:type="dxa"/>
            <w:tcMar>
              <w:top w:w="0" w:type="dxa"/>
              <w:left w:w="28" w:type="dxa"/>
              <w:bottom w:w="0" w:type="dxa"/>
              <w:right w:w="28" w:type="dxa"/>
            </w:tcMar>
            <w:vAlign w:val="center"/>
          </w:tcPr>
          <w:p w14:paraId="492F91FC" w14:textId="0C084DAD" w:rsidR="00462AA5" w:rsidRPr="009E07B5" w:rsidRDefault="00462AA5">
            <w:pPr>
              <w:pStyle w:val="Tabletext0"/>
              <w:jc w:val="center"/>
              <w:rPr>
                <w:iCs/>
                <w:szCs w:val="20"/>
              </w:rPr>
            </w:pPr>
            <w:r w:rsidRPr="009E07B5">
              <w:rPr>
                <w:iCs/>
                <w:szCs w:val="20"/>
              </w:rPr>
              <w:t>$</w:t>
            </w:r>
            <w:r w:rsidR="005E35AF" w:rsidRPr="005E35AF">
              <w:rPr>
                <w:iCs/>
                <w:szCs w:val="20"/>
                <w:highlight w:val="black"/>
              </w:rPr>
              <w:t>&amp;&amp;&amp;&amp;</w:t>
            </w:r>
            <w:r w:rsidR="00F53B01">
              <w:rPr>
                <w:iCs/>
                <w:vertAlign w:val="superscript"/>
              </w:rPr>
              <w:t>3</w:t>
            </w:r>
            <w:r w:rsidRPr="009E07B5">
              <w:rPr>
                <w:iCs/>
                <w:szCs w:val="20"/>
              </w:rPr>
              <w:t xml:space="preserve"> (</w:t>
            </w:r>
            <w:r w:rsidR="005E35AF" w:rsidRPr="005E35AF">
              <w:rPr>
                <w:iCs/>
                <w:szCs w:val="20"/>
                <w:highlight w:val="black"/>
              </w:rPr>
              <w:t>&amp;&amp;&amp;&amp;</w:t>
            </w:r>
            <w:r w:rsidRPr="009E07B5">
              <w:rPr>
                <w:iCs/>
                <w:szCs w:val="20"/>
              </w:rPr>
              <w:t>%)</w:t>
            </w:r>
          </w:p>
        </w:tc>
      </w:tr>
      <w:tr w:rsidR="001B58CC" w:rsidRPr="00D31B2F" w14:paraId="391C0064" w14:textId="77777777" w:rsidTr="0A99B0B1">
        <w:tc>
          <w:tcPr>
            <w:tcW w:w="9017" w:type="dxa"/>
            <w:gridSpan w:val="4"/>
            <w:tcMar>
              <w:top w:w="0" w:type="dxa"/>
              <w:left w:w="28" w:type="dxa"/>
              <w:bottom w:w="0" w:type="dxa"/>
              <w:right w:w="28" w:type="dxa"/>
            </w:tcMar>
            <w:vAlign w:val="center"/>
          </w:tcPr>
          <w:p w14:paraId="36962526" w14:textId="525C825D" w:rsidR="001B58CC" w:rsidRPr="00D31B2F" w:rsidRDefault="00FB1A8A" w:rsidP="00FB1A8A">
            <w:pPr>
              <w:pStyle w:val="Tabletext0"/>
              <w:rPr>
                <w:szCs w:val="20"/>
              </w:rPr>
            </w:pPr>
            <w:r w:rsidRPr="00D31B2F">
              <w:rPr>
                <w:b/>
                <w:bCs/>
                <w:color w:val="000000"/>
                <w:szCs w:val="20"/>
              </w:rPr>
              <w:t>Body mass index (base case: mean change with semaglutide treatment and time to optimal weight loss based on the SELECT trial, assumption that weight loss remains stable while patients remain on therapy, estimated weight gain after discontinuation based on a post hoc analysis of the time to 100% regain to baseline levels; assume natural history decrease in BMI per year based on the placebo arm of the SELECT trial)</w:t>
            </w:r>
          </w:p>
        </w:tc>
      </w:tr>
      <w:tr w:rsidR="00E4255F" w:rsidRPr="00D31B2F" w14:paraId="0FDA66A6" w14:textId="77777777" w:rsidTr="0A99B0B1">
        <w:tc>
          <w:tcPr>
            <w:tcW w:w="3970" w:type="dxa"/>
            <w:tcMar>
              <w:top w:w="0" w:type="dxa"/>
              <w:left w:w="28" w:type="dxa"/>
              <w:bottom w:w="0" w:type="dxa"/>
              <w:right w:w="28" w:type="dxa"/>
            </w:tcMar>
            <w:vAlign w:val="center"/>
          </w:tcPr>
          <w:p w14:paraId="1B50825A" w14:textId="277380F3" w:rsidR="00E4255F" w:rsidRPr="00D31B2F" w:rsidRDefault="00AB4EAB">
            <w:pPr>
              <w:pStyle w:val="Tabletext0"/>
              <w:rPr>
                <w:szCs w:val="20"/>
              </w:rPr>
            </w:pPr>
            <w:r w:rsidRPr="00D31B2F">
              <w:rPr>
                <w:szCs w:val="20"/>
              </w:rPr>
              <w:t>No residual BMI benefit after treatment discontinuation</w:t>
            </w:r>
          </w:p>
        </w:tc>
        <w:tc>
          <w:tcPr>
            <w:tcW w:w="1682" w:type="dxa"/>
            <w:tcMar>
              <w:top w:w="0" w:type="dxa"/>
              <w:left w:w="28" w:type="dxa"/>
              <w:bottom w:w="0" w:type="dxa"/>
              <w:right w:w="28" w:type="dxa"/>
            </w:tcMar>
            <w:vAlign w:val="center"/>
          </w:tcPr>
          <w:p w14:paraId="7AA56D3D" w14:textId="771C5BEF" w:rsidR="00E4255F" w:rsidRPr="00D31B2F" w:rsidRDefault="00AB4EAB" w:rsidP="00626CCD">
            <w:pPr>
              <w:pStyle w:val="Tabletext0"/>
              <w:jc w:val="center"/>
              <w:rPr>
                <w:color w:val="000000"/>
                <w:szCs w:val="20"/>
              </w:rPr>
            </w:pPr>
            <w:r w:rsidRPr="00D31B2F">
              <w:rPr>
                <w:color w:val="000000"/>
                <w:szCs w:val="20"/>
              </w:rPr>
              <w:t>$</w:t>
            </w:r>
            <w:r w:rsidR="005E35AF" w:rsidRPr="005E35AF">
              <w:rPr>
                <w:color w:val="000000"/>
                <w:szCs w:val="20"/>
                <w:highlight w:val="black"/>
              </w:rPr>
              <w:t>&amp;&amp;&amp;&amp;</w:t>
            </w:r>
            <w:r w:rsidR="0011241C">
              <w:rPr>
                <w:iCs/>
                <w:vertAlign w:val="superscript"/>
              </w:rPr>
              <w:t>5</w:t>
            </w:r>
            <w:r w:rsidR="003300EF" w:rsidRPr="00D31B2F">
              <w:rPr>
                <w:color w:val="000000"/>
                <w:szCs w:val="20"/>
              </w:rPr>
              <w:t xml:space="preserve"> (</w:t>
            </w:r>
            <w:r w:rsidR="005E35AF" w:rsidRPr="005E35AF">
              <w:rPr>
                <w:color w:val="000000"/>
                <w:szCs w:val="20"/>
                <w:highlight w:val="black"/>
              </w:rPr>
              <w:t>&amp;&amp;&amp;&amp;</w:t>
            </w:r>
            <w:r w:rsidR="003300EF" w:rsidRPr="00D31B2F">
              <w:rPr>
                <w:color w:val="000000"/>
                <w:szCs w:val="20"/>
              </w:rPr>
              <w:t>%)</w:t>
            </w:r>
          </w:p>
        </w:tc>
        <w:tc>
          <w:tcPr>
            <w:tcW w:w="1682" w:type="dxa"/>
            <w:tcMar>
              <w:top w:w="0" w:type="dxa"/>
              <w:left w:w="28" w:type="dxa"/>
              <w:bottom w:w="0" w:type="dxa"/>
              <w:right w:w="28" w:type="dxa"/>
            </w:tcMar>
            <w:vAlign w:val="center"/>
          </w:tcPr>
          <w:p w14:paraId="375CC65B" w14:textId="345F6D99" w:rsidR="00E4255F" w:rsidRPr="00D31B2F" w:rsidRDefault="00B3779E" w:rsidP="00626CCD">
            <w:pPr>
              <w:pStyle w:val="Tabletext0"/>
              <w:jc w:val="center"/>
              <w:rPr>
                <w:color w:val="000000"/>
                <w:szCs w:val="20"/>
              </w:rPr>
            </w:pPr>
            <w:r w:rsidRPr="00D31B2F">
              <w:rPr>
                <w:color w:val="000000"/>
                <w:szCs w:val="20"/>
              </w:rPr>
              <w:t>$</w:t>
            </w:r>
            <w:r w:rsidR="005E35AF" w:rsidRPr="005E35AF">
              <w:rPr>
                <w:color w:val="000000"/>
                <w:szCs w:val="20"/>
                <w:highlight w:val="black"/>
              </w:rPr>
              <w:t>&amp;&amp;&amp;&amp;</w:t>
            </w:r>
            <w:r w:rsidR="00B7250A">
              <w:rPr>
                <w:iCs/>
                <w:vertAlign w:val="superscript"/>
              </w:rPr>
              <w:t>4</w:t>
            </w:r>
            <w:r w:rsidRPr="00D31B2F">
              <w:rPr>
                <w:color w:val="000000"/>
                <w:szCs w:val="20"/>
              </w:rPr>
              <w:t xml:space="preserve"> (</w:t>
            </w:r>
            <w:r w:rsidR="005E35AF" w:rsidRPr="005E35AF">
              <w:rPr>
                <w:color w:val="000000"/>
                <w:szCs w:val="20"/>
                <w:highlight w:val="black"/>
              </w:rPr>
              <w:t>&amp;&amp;&amp;&amp;</w:t>
            </w:r>
            <w:r w:rsidRPr="00D31B2F">
              <w:rPr>
                <w:color w:val="000000"/>
                <w:szCs w:val="20"/>
              </w:rPr>
              <w:t>%)</w:t>
            </w:r>
          </w:p>
        </w:tc>
        <w:tc>
          <w:tcPr>
            <w:tcW w:w="1683" w:type="dxa"/>
            <w:tcMar>
              <w:top w:w="0" w:type="dxa"/>
              <w:left w:w="28" w:type="dxa"/>
              <w:bottom w:w="0" w:type="dxa"/>
              <w:right w:w="28" w:type="dxa"/>
            </w:tcMar>
            <w:vAlign w:val="center"/>
          </w:tcPr>
          <w:p w14:paraId="7D325B02" w14:textId="77365C82" w:rsidR="00E4255F" w:rsidRPr="00D31B2F" w:rsidRDefault="00626CCD" w:rsidP="00626CCD">
            <w:pPr>
              <w:pStyle w:val="Tabletext0"/>
              <w:jc w:val="center"/>
              <w:rPr>
                <w:szCs w:val="20"/>
              </w:rPr>
            </w:pPr>
            <w:r w:rsidRPr="00D31B2F">
              <w:rPr>
                <w:szCs w:val="20"/>
              </w:rPr>
              <w:t>$</w:t>
            </w:r>
            <w:r w:rsidR="005E35AF" w:rsidRPr="005E35AF">
              <w:rPr>
                <w:szCs w:val="20"/>
                <w:highlight w:val="black"/>
              </w:rPr>
              <w:t>&amp;&amp;&amp;&amp;</w:t>
            </w:r>
            <w:r w:rsidR="00F53B01">
              <w:rPr>
                <w:iCs/>
                <w:vertAlign w:val="superscript"/>
              </w:rPr>
              <w:t>3</w:t>
            </w:r>
            <w:r w:rsidRPr="00D31B2F">
              <w:rPr>
                <w:szCs w:val="20"/>
              </w:rPr>
              <w:t xml:space="preserve"> (</w:t>
            </w:r>
            <w:r w:rsidR="005E35AF" w:rsidRPr="005E35AF">
              <w:rPr>
                <w:szCs w:val="20"/>
                <w:highlight w:val="black"/>
              </w:rPr>
              <w:t>&amp;&amp;&amp;&amp;</w:t>
            </w:r>
            <w:r w:rsidRPr="00D31B2F">
              <w:rPr>
                <w:szCs w:val="20"/>
              </w:rPr>
              <w:t>%)</w:t>
            </w:r>
          </w:p>
        </w:tc>
      </w:tr>
      <w:tr w:rsidR="00462AA5" w:rsidRPr="00A60A39" w14:paraId="22383450" w14:textId="77777777" w:rsidTr="0A99B0B1">
        <w:tc>
          <w:tcPr>
            <w:tcW w:w="9017" w:type="dxa"/>
            <w:gridSpan w:val="4"/>
            <w:tcMar>
              <w:top w:w="0" w:type="dxa"/>
              <w:left w:w="28" w:type="dxa"/>
              <w:bottom w:w="0" w:type="dxa"/>
              <w:right w:w="28" w:type="dxa"/>
            </w:tcMar>
            <w:vAlign w:val="center"/>
          </w:tcPr>
          <w:p w14:paraId="4426DEA5" w14:textId="77777777" w:rsidR="00462AA5" w:rsidRPr="00D840DF" w:rsidRDefault="00462AA5">
            <w:pPr>
              <w:pStyle w:val="Tabletext0"/>
              <w:rPr>
                <w:iCs/>
                <w:szCs w:val="20"/>
              </w:rPr>
            </w:pPr>
            <w:r w:rsidRPr="00961C07">
              <w:rPr>
                <w:b/>
                <w:bCs/>
                <w:iCs/>
                <w:color w:val="000000"/>
                <w:szCs w:val="20"/>
              </w:rPr>
              <w:t>Utility/disutility values</w:t>
            </w:r>
            <w:r>
              <w:rPr>
                <w:b/>
                <w:bCs/>
                <w:iCs/>
                <w:color w:val="000000"/>
                <w:szCs w:val="20"/>
              </w:rPr>
              <w:t xml:space="preserve"> (base case: various sources)</w:t>
            </w:r>
          </w:p>
        </w:tc>
      </w:tr>
      <w:tr w:rsidR="00462AA5" w:rsidRPr="00A60A39" w14:paraId="3E9F3F24" w14:textId="77777777" w:rsidTr="0A99B0B1">
        <w:tc>
          <w:tcPr>
            <w:tcW w:w="3970" w:type="dxa"/>
            <w:tcMar>
              <w:top w:w="0" w:type="dxa"/>
              <w:left w:w="28" w:type="dxa"/>
              <w:bottom w:w="0" w:type="dxa"/>
              <w:right w:w="28" w:type="dxa"/>
            </w:tcMar>
            <w:vAlign w:val="center"/>
          </w:tcPr>
          <w:p w14:paraId="613BA8C4" w14:textId="77777777" w:rsidR="00462AA5" w:rsidRPr="009E07B5" w:rsidRDefault="00462AA5">
            <w:pPr>
              <w:pStyle w:val="Tabletext0"/>
              <w:rPr>
                <w:iCs/>
                <w:szCs w:val="20"/>
              </w:rPr>
            </w:pPr>
            <w:r w:rsidRPr="009E07B5">
              <w:rPr>
                <w:iCs/>
                <w:szCs w:val="20"/>
              </w:rPr>
              <w:t xml:space="preserve">Use baseline utility score from the SELECT trial </w:t>
            </w:r>
          </w:p>
        </w:tc>
        <w:tc>
          <w:tcPr>
            <w:tcW w:w="1682" w:type="dxa"/>
            <w:tcMar>
              <w:top w:w="0" w:type="dxa"/>
              <w:left w:w="28" w:type="dxa"/>
              <w:bottom w:w="0" w:type="dxa"/>
              <w:right w:w="28" w:type="dxa"/>
            </w:tcMar>
            <w:vAlign w:val="center"/>
          </w:tcPr>
          <w:p w14:paraId="48C660E3" w14:textId="60E09985"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B7250A">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2" w:type="dxa"/>
            <w:tcMar>
              <w:top w:w="0" w:type="dxa"/>
              <w:left w:w="28" w:type="dxa"/>
              <w:bottom w:w="0" w:type="dxa"/>
              <w:right w:w="28" w:type="dxa"/>
            </w:tcMar>
            <w:vAlign w:val="center"/>
          </w:tcPr>
          <w:p w14:paraId="7D7FBDB3" w14:textId="46C2BA07"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B7250A">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3" w:type="dxa"/>
            <w:tcMar>
              <w:top w:w="0" w:type="dxa"/>
              <w:left w:w="28" w:type="dxa"/>
              <w:bottom w:w="0" w:type="dxa"/>
              <w:right w:w="28" w:type="dxa"/>
            </w:tcMar>
            <w:vAlign w:val="center"/>
          </w:tcPr>
          <w:p w14:paraId="289D890B" w14:textId="21E27E9F" w:rsidR="00462AA5" w:rsidRPr="009E07B5" w:rsidRDefault="00462AA5">
            <w:pPr>
              <w:pStyle w:val="Tabletext0"/>
              <w:jc w:val="center"/>
              <w:rPr>
                <w:iCs/>
                <w:szCs w:val="20"/>
              </w:rPr>
            </w:pPr>
            <w:r w:rsidRPr="009E07B5">
              <w:rPr>
                <w:iCs/>
                <w:szCs w:val="20"/>
              </w:rPr>
              <w:t>$</w:t>
            </w:r>
            <w:r w:rsidR="005E35AF" w:rsidRPr="005E35AF">
              <w:rPr>
                <w:iCs/>
                <w:szCs w:val="20"/>
                <w:highlight w:val="black"/>
              </w:rPr>
              <w:t>&amp;&amp;&amp;&amp;</w:t>
            </w:r>
            <w:r w:rsidR="00F53B01">
              <w:rPr>
                <w:iCs/>
                <w:vertAlign w:val="superscript"/>
              </w:rPr>
              <w:t>3</w:t>
            </w:r>
            <w:r w:rsidRPr="009E07B5">
              <w:rPr>
                <w:iCs/>
                <w:szCs w:val="20"/>
              </w:rPr>
              <w:t xml:space="preserve"> (</w:t>
            </w:r>
            <w:r w:rsidR="005E35AF" w:rsidRPr="005E35AF">
              <w:rPr>
                <w:iCs/>
                <w:szCs w:val="20"/>
                <w:highlight w:val="black"/>
              </w:rPr>
              <w:t>&amp;&amp;&amp;&amp;</w:t>
            </w:r>
            <w:r w:rsidRPr="009E07B5">
              <w:rPr>
                <w:iCs/>
                <w:szCs w:val="20"/>
              </w:rPr>
              <w:t>%)</w:t>
            </w:r>
          </w:p>
        </w:tc>
      </w:tr>
      <w:tr w:rsidR="00462AA5" w:rsidRPr="00A60A39" w14:paraId="759FE5AE" w14:textId="77777777" w:rsidTr="0A99B0B1">
        <w:tc>
          <w:tcPr>
            <w:tcW w:w="3970" w:type="dxa"/>
            <w:tcMar>
              <w:top w:w="0" w:type="dxa"/>
              <w:left w:w="28" w:type="dxa"/>
              <w:bottom w:w="0" w:type="dxa"/>
              <w:right w:w="28" w:type="dxa"/>
            </w:tcMar>
            <w:vAlign w:val="center"/>
          </w:tcPr>
          <w:p w14:paraId="7E46213D" w14:textId="77777777" w:rsidR="00462AA5" w:rsidRPr="009E07B5" w:rsidRDefault="00462AA5">
            <w:pPr>
              <w:pStyle w:val="Tabletext0"/>
              <w:rPr>
                <w:iCs/>
                <w:szCs w:val="20"/>
              </w:rPr>
            </w:pPr>
            <w:r w:rsidRPr="009E07B5">
              <w:rPr>
                <w:iCs/>
                <w:szCs w:val="20"/>
              </w:rPr>
              <w:t xml:space="preserve">Remove cardiovascular health state disutility values </w:t>
            </w:r>
          </w:p>
          <w:p w14:paraId="63762734" w14:textId="77777777" w:rsidR="00462AA5" w:rsidRPr="009E07B5" w:rsidRDefault="00462AA5">
            <w:pPr>
              <w:pStyle w:val="Tabletext0"/>
              <w:rPr>
                <w:iCs/>
                <w:szCs w:val="20"/>
              </w:rPr>
            </w:pPr>
            <w:r w:rsidRPr="009E07B5">
              <w:rPr>
                <w:iCs/>
                <w:szCs w:val="20"/>
              </w:rPr>
              <w:t>(all states the same as established cardiovascular disease)</w:t>
            </w:r>
          </w:p>
        </w:tc>
        <w:tc>
          <w:tcPr>
            <w:tcW w:w="1682" w:type="dxa"/>
            <w:tcMar>
              <w:top w:w="0" w:type="dxa"/>
              <w:left w:w="28" w:type="dxa"/>
              <w:bottom w:w="0" w:type="dxa"/>
              <w:right w:w="28" w:type="dxa"/>
            </w:tcMar>
            <w:vAlign w:val="center"/>
          </w:tcPr>
          <w:p w14:paraId="46CAF472" w14:textId="3E7E540F"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11241C">
              <w:rPr>
                <w:iCs/>
                <w:vertAlign w:val="superscript"/>
              </w:rPr>
              <w:t>5</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2" w:type="dxa"/>
            <w:tcMar>
              <w:top w:w="0" w:type="dxa"/>
              <w:left w:w="28" w:type="dxa"/>
              <w:bottom w:w="0" w:type="dxa"/>
              <w:right w:w="28" w:type="dxa"/>
            </w:tcMar>
            <w:vAlign w:val="center"/>
          </w:tcPr>
          <w:p w14:paraId="73108B3C" w14:textId="2927B323"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B7250A">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3" w:type="dxa"/>
            <w:tcMar>
              <w:top w:w="0" w:type="dxa"/>
              <w:left w:w="28" w:type="dxa"/>
              <w:bottom w:w="0" w:type="dxa"/>
              <w:right w:w="28" w:type="dxa"/>
            </w:tcMar>
            <w:vAlign w:val="center"/>
          </w:tcPr>
          <w:p w14:paraId="5CBA641F" w14:textId="50B1EA38" w:rsidR="00462AA5" w:rsidRPr="009E07B5" w:rsidRDefault="00462AA5">
            <w:pPr>
              <w:pStyle w:val="Tabletext0"/>
              <w:jc w:val="center"/>
              <w:rPr>
                <w:iCs/>
                <w:szCs w:val="20"/>
              </w:rPr>
            </w:pPr>
            <w:r w:rsidRPr="009E07B5">
              <w:rPr>
                <w:iCs/>
                <w:szCs w:val="20"/>
              </w:rPr>
              <w:t>$</w:t>
            </w:r>
            <w:r w:rsidR="005E35AF" w:rsidRPr="005E35AF">
              <w:rPr>
                <w:iCs/>
                <w:szCs w:val="20"/>
                <w:highlight w:val="black"/>
              </w:rPr>
              <w:t>&amp;&amp;&amp;&amp;</w:t>
            </w:r>
            <w:r w:rsidR="00F53B01">
              <w:rPr>
                <w:iCs/>
                <w:vertAlign w:val="superscript"/>
              </w:rPr>
              <w:t>3</w:t>
            </w:r>
            <w:r w:rsidRPr="009E07B5">
              <w:rPr>
                <w:iCs/>
                <w:szCs w:val="20"/>
              </w:rPr>
              <w:t xml:space="preserve"> (</w:t>
            </w:r>
            <w:r w:rsidR="005E35AF" w:rsidRPr="005E35AF">
              <w:rPr>
                <w:iCs/>
                <w:szCs w:val="20"/>
                <w:highlight w:val="black"/>
              </w:rPr>
              <w:t>&amp;&amp;&amp;&amp;</w:t>
            </w:r>
            <w:r w:rsidRPr="009E07B5">
              <w:rPr>
                <w:iCs/>
                <w:szCs w:val="20"/>
              </w:rPr>
              <w:t>%)</w:t>
            </w:r>
          </w:p>
        </w:tc>
      </w:tr>
      <w:tr w:rsidR="00462AA5" w:rsidRPr="00A60A39" w14:paraId="60AEED47" w14:textId="77777777" w:rsidTr="0A99B0B1">
        <w:tc>
          <w:tcPr>
            <w:tcW w:w="3970" w:type="dxa"/>
            <w:tcMar>
              <w:top w:w="0" w:type="dxa"/>
              <w:left w:w="28" w:type="dxa"/>
              <w:bottom w:w="0" w:type="dxa"/>
              <w:right w:w="28" w:type="dxa"/>
            </w:tcMar>
            <w:vAlign w:val="center"/>
          </w:tcPr>
          <w:p w14:paraId="123B3E0C" w14:textId="77777777" w:rsidR="00462AA5" w:rsidRPr="009E07B5" w:rsidRDefault="00462AA5">
            <w:pPr>
              <w:pStyle w:val="Tabletext0"/>
              <w:rPr>
                <w:iCs/>
                <w:szCs w:val="20"/>
              </w:rPr>
            </w:pPr>
            <w:r w:rsidRPr="009E07B5">
              <w:rPr>
                <w:iCs/>
                <w:szCs w:val="20"/>
              </w:rPr>
              <w:t>Remove acute cardiovascular event disutility values</w:t>
            </w:r>
          </w:p>
        </w:tc>
        <w:tc>
          <w:tcPr>
            <w:tcW w:w="1682" w:type="dxa"/>
            <w:tcMar>
              <w:top w:w="0" w:type="dxa"/>
              <w:left w:w="28" w:type="dxa"/>
              <w:bottom w:w="0" w:type="dxa"/>
              <w:right w:w="28" w:type="dxa"/>
            </w:tcMar>
            <w:vAlign w:val="center"/>
          </w:tcPr>
          <w:p w14:paraId="05C81353" w14:textId="2123FBDB"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44556D">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2" w:type="dxa"/>
            <w:tcMar>
              <w:top w:w="0" w:type="dxa"/>
              <w:left w:w="28" w:type="dxa"/>
              <w:bottom w:w="0" w:type="dxa"/>
              <w:right w:w="28" w:type="dxa"/>
            </w:tcMar>
            <w:vAlign w:val="center"/>
          </w:tcPr>
          <w:p w14:paraId="679A1D22" w14:textId="5893FD58"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44556D">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3" w:type="dxa"/>
            <w:tcMar>
              <w:top w:w="0" w:type="dxa"/>
              <w:left w:w="28" w:type="dxa"/>
              <w:bottom w:w="0" w:type="dxa"/>
              <w:right w:w="28" w:type="dxa"/>
            </w:tcMar>
            <w:vAlign w:val="center"/>
          </w:tcPr>
          <w:p w14:paraId="1E5C9438" w14:textId="4879C6B2" w:rsidR="00462AA5" w:rsidRPr="009E07B5" w:rsidRDefault="00462AA5">
            <w:pPr>
              <w:pStyle w:val="Tabletext0"/>
              <w:jc w:val="center"/>
              <w:rPr>
                <w:iCs/>
                <w:szCs w:val="20"/>
              </w:rPr>
            </w:pPr>
            <w:r w:rsidRPr="009E07B5">
              <w:rPr>
                <w:iCs/>
                <w:szCs w:val="20"/>
              </w:rPr>
              <w:t>$</w:t>
            </w:r>
            <w:r w:rsidR="005E35AF" w:rsidRPr="005E35AF">
              <w:rPr>
                <w:iCs/>
                <w:szCs w:val="20"/>
                <w:highlight w:val="black"/>
              </w:rPr>
              <w:t>&amp;&amp;&amp;&amp;</w:t>
            </w:r>
            <w:r w:rsidR="00781949">
              <w:rPr>
                <w:iCs/>
                <w:vertAlign w:val="superscript"/>
              </w:rPr>
              <w:t>3</w:t>
            </w:r>
            <w:r w:rsidRPr="009E07B5">
              <w:rPr>
                <w:iCs/>
                <w:szCs w:val="20"/>
              </w:rPr>
              <w:t xml:space="preserve"> </w:t>
            </w:r>
            <w:r w:rsidR="005E35AF" w:rsidRPr="005E35AF">
              <w:rPr>
                <w:iCs/>
                <w:szCs w:val="20"/>
                <w:highlight w:val="black"/>
              </w:rPr>
              <w:t>&amp;&amp;&amp;&amp;</w:t>
            </w:r>
            <w:r w:rsidRPr="009E07B5">
              <w:rPr>
                <w:iCs/>
                <w:szCs w:val="20"/>
              </w:rPr>
              <w:t>%)</w:t>
            </w:r>
          </w:p>
        </w:tc>
      </w:tr>
      <w:tr w:rsidR="00462AA5" w:rsidRPr="00A60A39" w14:paraId="687A939E" w14:textId="77777777" w:rsidTr="0A99B0B1">
        <w:tc>
          <w:tcPr>
            <w:tcW w:w="3970" w:type="dxa"/>
            <w:tcMar>
              <w:top w:w="0" w:type="dxa"/>
              <w:left w:w="28" w:type="dxa"/>
              <w:bottom w:w="0" w:type="dxa"/>
              <w:right w:w="28" w:type="dxa"/>
            </w:tcMar>
            <w:vAlign w:val="center"/>
          </w:tcPr>
          <w:p w14:paraId="31D19AD4" w14:textId="77777777" w:rsidR="00462AA5" w:rsidRPr="009E07B5" w:rsidRDefault="00462AA5">
            <w:pPr>
              <w:pStyle w:val="Tabletext0"/>
              <w:rPr>
                <w:iCs/>
                <w:szCs w:val="20"/>
              </w:rPr>
            </w:pPr>
            <w:r w:rsidRPr="009E07B5">
              <w:rPr>
                <w:iCs/>
                <w:szCs w:val="20"/>
              </w:rPr>
              <w:t>Remove diabetes health state disutility values</w:t>
            </w:r>
          </w:p>
        </w:tc>
        <w:tc>
          <w:tcPr>
            <w:tcW w:w="1682" w:type="dxa"/>
            <w:tcMar>
              <w:top w:w="0" w:type="dxa"/>
              <w:left w:w="28" w:type="dxa"/>
              <w:bottom w:w="0" w:type="dxa"/>
              <w:right w:w="28" w:type="dxa"/>
            </w:tcMar>
            <w:vAlign w:val="center"/>
          </w:tcPr>
          <w:p w14:paraId="512D8F48" w14:textId="5CD5968A"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125630">
              <w:rPr>
                <w:iCs/>
                <w:vertAlign w:val="superscript"/>
              </w:rPr>
              <w:t>5</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2" w:type="dxa"/>
            <w:tcMar>
              <w:top w:w="0" w:type="dxa"/>
              <w:left w:w="28" w:type="dxa"/>
              <w:bottom w:w="0" w:type="dxa"/>
              <w:right w:w="28" w:type="dxa"/>
            </w:tcMar>
            <w:vAlign w:val="center"/>
          </w:tcPr>
          <w:p w14:paraId="5BDE95F2" w14:textId="3D2847B2"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44556D">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3" w:type="dxa"/>
            <w:tcMar>
              <w:top w:w="0" w:type="dxa"/>
              <w:left w:w="28" w:type="dxa"/>
              <w:bottom w:w="0" w:type="dxa"/>
              <w:right w:w="28" w:type="dxa"/>
            </w:tcMar>
            <w:vAlign w:val="center"/>
          </w:tcPr>
          <w:p w14:paraId="052B481F" w14:textId="02DA1099" w:rsidR="00462AA5" w:rsidRPr="009E07B5" w:rsidRDefault="00462AA5">
            <w:pPr>
              <w:pStyle w:val="Tabletext0"/>
              <w:jc w:val="center"/>
              <w:rPr>
                <w:iCs/>
                <w:szCs w:val="20"/>
              </w:rPr>
            </w:pPr>
            <w:r w:rsidRPr="009E07B5">
              <w:rPr>
                <w:iCs/>
                <w:szCs w:val="20"/>
              </w:rPr>
              <w:t>$</w:t>
            </w:r>
            <w:r w:rsidR="005E35AF" w:rsidRPr="005E35AF">
              <w:rPr>
                <w:iCs/>
                <w:szCs w:val="20"/>
                <w:highlight w:val="black"/>
              </w:rPr>
              <w:t>&amp;&amp;&amp;&amp;</w:t>
            </w:r>
            <w:r w:rsidR="00781949">
              <w:rPr>
                <w:iCs/>
                <w:vertAlign w:val="superscript"/>
              </w:rPr>
              <w:t>3</w:t>
            </w:r>
            <w:r w:rsidRPr="009E07B5">
              <w:rPr>
                <w:iCs/>
                <w:szCs w:val="20"/>
              </w:rPr>
              <w:t xml:space="preserve"> (</w:t>
            </w:r>
            <w:r w:rsidR="005E35AF" w:rsidRPr="005E35AF">
              <w:rPr>
                <w:iCs/>
                <w:szCs w:val="20"/>
                <w:highlight w:val="black"/>
              </w:rPr>
              <w:t>&amp;&amp;&amp;&amp;</w:t>
            </w:r>
            <w:r w:rsidRPr="009E07B5">
              <w:rPr>
                <w:iCs/>
                <w:szCs w:val="20"/>
              </w:rPr>
              <w:t>%)</w:t>
            </w:r>
          </w:p>
        </w:tc>
      </w:tr>
      <w:tr w:rsidR="00462AA5" w:rsidRPr="00A60A39" w14:paraId="4F6FCC66" w14:textId="77777777" w:rsidTr="0A99B0B1">
        <w:tc>
          <w:tcPr>
            <w:tcW w:w="3970" w:type="dxa"/>
            <w:tcMar>
              <w:top w:w="0" w:type="dxa"/>
              <w:left w:w="28" w:type="dxa"/>
              <w:bottom w:w="0" w:type="dxa"/>
              <w:right w:w="28" w:type="dxa"/>
            </w:tcMar>
            <w:vAlign w:val="center"/>
          </w:tcPr>
          <w:p w14:paraId="417E03BE" w14:textId="77777777" w:rsidR="00462AA5" w:rsidRPr="009E07B5" w:rsidRDefault="00462AA5">
            <w:pPr>
              <w:pStyle w:val="Tabletext0"/>
              <w:rPr>
                <w:iCs/>
                <w:szCs w:val="20"/>
              </w:rPr>
            </w:pPr>
            <w:r w:rsidRPr="009E07B5">
              <w:rPr>
                <w:iCs/>
                <w:szCs w:val="20"/>
              </w:rPr>
              <w:t>Remove CKD health state disutility values</w:t>
            </w:r>
          </w:p>
        </w:tc>
        <w:tc>
          <w:tcPr>
            <w:tcW w:w="1682" w:type="dxa"/>
            <w:tcMar>
              <w:top w:w="0" w:type="dxa"/>
              <w:left w:w="28" w:type="dxa"/>
              <w:bottom w:w="0" w:type="dxa"/>
              <w:right w:w="28" w:type="dxa"/>
            </w:tcMar>
            <w:vAlign w:val="center"/>
          </w:tcPr>
          <w:p w14:paraId="1A6266B8" w14:textId="3F863347"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125630">
              <w:rPr>
                <w:iCs/>
                <w:vertAlign w:val="superscript"/>
              </w:rPr>
              <w:t>5</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2" w:type="dxa"/>
            <w:tcMar>
              <w:top w:w="0" w:type="dxa"/>
              <w:left w:w="28" w:type="dxa"/>
              <w:bottom w:w="0" w:type="dxa"/>
              <w:right w:w="28" w:type="dxa"/>
            </w:tcMar>
            <w:vAlign w:val="center"/>
          </w:tcPr>
          <w:p w14:paraId="4C0B5A63" w14:textId="7708F8CB"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A05EED">
              <w:rPr>
                <w:iCs/>
                <w:color w:val="000000"/>
                <w:szCs w:val="20"/>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3" w:type="dxa"/>
            <w:tcMar>
              <w:top w:w="0" w:type="dxa"/>
              <w:left w:w="28" w:type="dxa"/>
              <w:bottom w:w="0" w:type="dxa"/>
              <w:right w:w="28" w:type="dxa"/>
            </w:tcMar>
            <w:vAlign w:val="center"/>
          </w:tcPr>
          <w:p w14:paraId="6A9774FC" w14:textId="7EAB8C4B" w:rsidR="00462AA5" w:rsidRPr="009E07B5" w:rsidRDefault="00462AA5">
            <w:pPr>
              <w:pStyle w:val="Tabletext0"/>
              <w:jc w:val="center"/>
              <w:rPr>
                <w:iCs/>
                <w:szCs w:val="20"/>
              </w:rPr>
            </w:pPr>
            <w:r w:rsidRPr="009E07B5">
              <w:rPr>
                <w:iCs/>
                <w:szCs w:val="20"/>
              </w:rPr>
              <w:t>$</w:t>
            </w:r>
            <w:r w:rsidR="005E35AF" w:rsidRPr="005E35AF">
              <w:rPr>
                <w:iCs/>
                <w:szCs w:val="20"/>
                <w:highlight w:val="black"/>
              </w:rPr>
              <w:t>&amp;&amp;&amp;&amp;</w:t>
            </w:r>
            <w:r w:rsidR="00781949">
              <w:rPr>
                <w:iCs/>
                <w:vertAlign w:val="superscript"/>
              </w:rPr>
              <w:t>3</w:t>
            </w:r>
            <w:r w:rsidRPr="009E07B5">
              <w:rPr>
                <w:iCs/>
                <w:szCs w:val="20"/>
              </w:rPr>
              <w:t xml:space="preserve"> (</w:t>
            </w:r>
            <w:r w:rsidR="005E35AF" w:rsidRPr="005E35AF">
              <w:rPr>
                <w:iCs/>
                <w:szCs w:val="20"/>
                <w:highlight w:val="black"/>
              </w:rPr>
              <w:t>&amp;&amp;&amp;&amp;</w:t>
            </w:r>
            <w:r w:rsidRPr="009E07B5">
              <w:rPr>
                <w:iCs/>
                <w:szCs w:val="20"/>
              </w:rPr>
              <w:t>%)</w:t>
            </w:r>
          </w:p>
        </w:tc>
      </w:tr>
      <w:tr w:rsidR="00462AA5" w:rsidRPr="00A60A39" w14:paraId="20D91CE8" w14:textId="77777777" w:rsidTr="0A99B0B1">
        <w:tc>
          <w:tcPr>
            <w:tcW w:w="3970" w:type="dxa"/>
            <w:tcMar>
              <w:top w:w="0" w:type="dxa"/>
              <w:left w:w="28" w:type="dxa"/>
              <w:bottom w:w="0" w:type="dxa"/>
              <w:right w:w="28" w:type="dxa"/>
            </w:tcMar>
            <w:vAlign w:val="center"/>
          </w:tcPr>
          <w:p w14:paraId="0F0151A1" w14:textId="77777777" w:rsidR="00462AA5" w:rsidRPr="009E07B5" w:rsidRDefault="00462AA5">
            <w:pPr>
              <w:pStyle w:val="Tabletext0"/>
              <w:rPr>
                <w:iCs/>
                <w:szCs w:val="20"/>
              </w:rPr>
            </w:pPr>
            <w:r w:rsidRPr="009E07B5">
              <w:rPr>
                <w:iCs/>
                <w:szCs w:val="20"/>
              </w:rPr>
              <w:t>Remove BMI disutility values</w:t>
            </w:r>
          </w:p>
        </w:tc>
        <w:tc>
          <w:tcPr>
            <w:tcW w:w="1682" w:type="dxa"/>
            <w:tcMar>
              <w:top w:w="0" w:type="dxa"/>
              <w:left w:w="28" w:type="dxa"/>
              <w:bottom w:w="0" w:type="dxa"/>
              <w:right w:w="28" w:type="dxa"/>
            </w:tcMar>
            <w:vAlign w:val="center"/>
          </w:tcPr>
          <w:p w14:paraId="40A54888" w14:textId="4F7713A3"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2" w:type="dxa"/>
            <w:tcMar>
              <w:top w:w="0" w:type="dxa"/>
              <w:left w:w="28" w:type="dxa"/>
              <w:bottom w:w="0" w:type="dxa"/>
              <w:right w:w="28" w:type="dxa"/>
            </w:tcMar>
            <w:vAlign w:val="center"/>
          </w:tcPr>
          <w:p w14:paraId="1FDC6858" w14:textId="48CF17C2"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44556D">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3" w:type="dxa"/>
            <w:tcMar>
              <w:top w:w="0" w:type="dxa"/>
              <w:left w:w="28" w:type="dxa"/>
              <w:bottom w:w="0" w:type="dxa"/>
              <w:right w:w="28" w:type="dxa"/>
            </w:tcMar>
            <w:vAlign w:val="center"/>
          </w:tcPr>
          <w:p w14:paraId="659BB0C3" w14:textId="2752F5EB" w:rsidR="00462AA5" w:rsidRPr="009E07B5" w:rsidRDefault="00462AA5">
            <w:pPr>
              <w:pStyle w:val="Tabletext0"/>
              <w:jc w:val="center"/>
              <w:rPr>
                <w:iCs/>
                <w:szCs w:val="20"/>
              </w:rPr>
            </w:pPr>
            <w:r w:rsidRPr="009E07B5">
              <w:rPr>
                <w:iCs/>
                <w:szCs w:val="20"/>
              </w:rPr>
              <w:t>$</w:t>
            </w:r>
            <w:r w:rsidR="005E35AF" w:rsidRPr="005E35AF">
              <w:rPr>
                <w:iCs/>
                <w:szCs w:val="20"/>
                <w:highlight w:val="black"/>
              </w:rPr>
              <w:t>&amp;&amp;&amp;&amp;</w:t>
            </w:r>
            <w:r w:rsidR="0044556D">
              <w:rPr>
                <w:iCs/>
                <w:vertAlign w:val="superscript"/>
              </w:rPr>
              <w:t>4</w:t>
            </w:r>
            <w:r w:rsidRPr="009E07B5">
              <w:rPr>
                <w:iCs/>
                <w:szCs w:val="20"/>
              </w:rPr>
              <w:t xml:space="preserve"> (</w:t>
            </w:r>
            <w:r w:rsidR="005E35AF" w:rsidRPr="005E35AF">
              <w:rPr>
                <w:iCs/>
                <w:szCs w:val="20"/>
                <w:highlight w:val="black"/>
              </w:rPr>
              <w:t>&amp;&amp;&amp;&amp;</w:t>
            </w:r>
            <w:r w:rsidRPr="009E07B5">
              <w:rPr>
                <w:iCs/>
                <w:szCs w:val="20"/>
              </w:rPr>
              <w:t>%)</w:t>
            </w:r>
          </w:p>
        </w:tc>
      </w:tr>
      <w:tr w:rsidR="00462AA5" w:rsidRPr="00A60A39" w14:paraId="0148E33A" w14:textId="77777777" w:rsidTr="0A99B0B1">
        <w:tc>
          <w:tcPr>
            <w:tcW w:w="9017" w:type="dxa"/>
            <w:gridSpan w:val="4"/>
            <w:tcMar>
              <w:top w:w="0" w:type="dxa"/>
              <w:left w:w="28" w:type="dxa"/>
              <w:bottom w:w="0" w:type="dxa"/>
              <w:right w:w="28" w:type="dxa"/>
            </w:tcMar>
            <w:vAlign w:val="center"/>
          </w:tcPr>
          <w:p w14:paraId="4436B19E" w14:textId="77777777" w:rsidR="00462AA5" w:rsidRPr="00D840DF" w:rsidRDefault="00462AA5">
            <w:pPr>
              <w:pStyle w:val="Tabletext0"/>
              <w:rPr>
                <w:iCs/>
                <w:szCs w:val="20"/>
              </w:rPr>
            </w:pPr>
            <w:r w:rsidRPr="00277FF8">
              <w:rPr>
                <w:b/>
                <w:bCs/>
                <w:iCs/>
                <w:color w:val="000000"/>
                <w:szCs w:val="20"/>
              </w:rPr>
              <w:t>Health state costs (base case: various published sources)</w:t>
            </w:r>
          </w:p>
        </w:tc>
      </w:tr>
      <w:tr w:rsidR="00462AA5" w:rsidRPr="00A60A39" w14:paraId="4014CC0A" w14:textId="77777777" w:rsidTr="0A99B0B1">
        <w:tc>
          <w:tcPr>
            <w:tcW w:w="3970" w:type="dxa"/>
            <w:tcMar>
              <w:top w:w="0" w:type="dxa"/>
              <w:left w:w="28" w:type="dxa"/>
              <w:bottom w:w="0" w:type="dxa"/>
              <w:right w:w="28" w:type="dxa"/>
            </w:tcMar>
            <w:vAlign w:val="center"/>
          </w:tcPr>
          <w:p w14:paraId="6441DFF7" w14:textId="77777777" w:rsidR="00462AA5" w:rsidRPr="009E07B5" w:rsidRDefault="00462AA5">
            <w:pPr>
              <w:pStyle w:val="Tabletext0"/>
              <w:rPr>
                <w:iCs/>
                <w:szCs w:val="20"/>
              </w:rPr>
            </w:pPr>
            <w:r w:rsidRPr="009E07B5">
              <w:rPr>
                <w:iCs/>
                <w:szCs w:val="20"/>
              </w:rPr>
              <w:t>Double CVD health state costs based on a history of myocardial infarction</w:t>
            </w:r>
          </w:p>
        </w:tc>
        <w:tc>
          <w:tcPr>
            <w:tcW w:w="1682" w:type="dxa"/>
            <w:tcMar>
              <w:top w:w="0" w:type="dxa"/>
              <w:left w:w="28" w:type="dxa"/>
              <w:bottom w:w="0" w:type="dxa"/>
              <w:right w:w="28" w:type="dxa"/>
            </w:tcMar>
            <w:vAlign w:val="center"/>
          </w:tcPr>
          <w:p w14:paraId="4E39F3E7" w14:textId="1D19DE0D"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44556D">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2" w:type="dxa"/>
            <w:tcMar>
              <w:top w:w="0" w:type="dxa"/>
              <w:left w:w="28" w:type="dxa"/>
              <w:bottom w:w="0" w:type="dxa"/>
              <w:right w:w="28" w:type="dxa"/>
            </w:tcMar>
            <w:vAlign w:val="center"/>
          </w:tcPr>
          <w:p w14:paraId="204EBCD0" w14:textId="64D754B0"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781949">
              <w:rPr>
                <w:iCs/>
                <w:vertAlign w:val="superscript"/>
              </w:rPr>
              <w:t>3</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3" w:type="dxa"/>
            <w:tcMar>
              <w:top w:w="0" w:type="dxa"/>
              <w:left w:w="28" w:type="dxa"/>
              <w:bottom w:w="0" w:type="dxa"/>
              <w:right w:w="28" w:type="dxa"/>
            </w:tcMar>
            <w:vAlign w:val="center"/>
          </w:tcPr>
          <w:p w14:paraId="07AE2D84" w14:textId="5B6866E7" w:rsidR="00462AA5" w:rsidRPr="009E07B5" w:rsidRDefault="00462AA5">
            <w:pPr>
              <w:pStyle w:val="Tabletext0"/>
              <w:jc w:val="center"/>
              <w:rPr>
                <w:iCs/>
                <w:szCs w:val="20"/>
              </w:rPr>
            </w:pPr>
            <w:r w:rsidRPr="009E07B5">
              <w:rPr>
                <w:iCs/>
                <w:szCs w:val="20"/>
              </w:rPr>
              <w:t>$</w:t>
            </w:r>
            <w:r w:rsidR="005E35AF" w:rsidRPr="005E35AF">
              <w:rPr>
                <w:iCs/>
                <w:szCs w:val="20"/>
                <w:highlight w:val="black"/>
              </w:rPr>
              <w:t>&amp;&amp;&amp;&amp;</w:t>
            </w:r>
            <w:r w:rsidR="00781949">
              <w:rPr>
                <w:iCs/>
                <w:vertAlign w:val="superscript"/>
              </w:rPr>
              <w:t>3</w:t>
            </w:r>
            <w:r w:rsidRPr="009E07B5">
              <w:rPr>
                <w:iCs/>
                <w:szCs w:val="20"/>
              </w:rPr>
              <w:t xml:space="preserve"> (</w:t>
            </w:r>
            <w:r w:rsidR="005E35AF" w:rsidRPr="005E35AF">
              <w:rPr>
                <w:iCs/>
                <w:szCs w:val="20"/>
                <w:highlight w:val="black"/>
              </w:rPr>
              <w:t>&amp;&amp;&amp;&amp;</w:t>
            </w:r>
            <w:r w:rsidRPr="009E07B5">
              <w:rPr>
                <w:iCs/>
                <w:szCs w:val="20"/>
              </w:rPr>
              <w:t>%)</w:t>
            </w:r>
          </w:p>
        </w:tc>
      </w:tr>
      <w:tr w:rsidR="00462AA5" w:rsidRPr="00A60A39" w14:paraId="0EF56B15" w14:textId="77777777" w:rsidTr="0A99B0B1">
        <w:tc>
          <w:tcPr>
            <w:tcW w:w="3970" w:type="dxa"/>
            <w:tcMar>
              <w:top w:w="0" w:type="dxa"/>
              <w:left w:w="28" w:type="dxa"/>
              <w:bottom w:w="0" w:type="dxa"/>
              <w:right w:w="28" w:type="dxa"/>
            </w:tcMar>
            <w:vAlign w:val="center"/>
          </w:tcPr>
          <w:p w14:paraId="78E4601D" w14:textId="77777777" w:rsidR="00462AA5" w:rsidRPr="009E07B5" w:rsidRDefault="00462AA5">
            <w:pPr>
              <w:pStyle w:val="Tabletext0"/>
              <w:rPr>
                <w:iCs/>
                <w:szCs w:val="20"/>
              </w:rPr>
            </w:pPr>
            <w:r w:rsidRPr="009E07B5">
              <w:rPr>
                <w:iCs/>
                <w:szCs w:val="20"/>
              </w:rPr>
              <w:t>Halve CVD health state costs based on a history of myocardial infarction</w:t>
            </w:r>
          </w:p>
        </w:tc>
        <w:tc>
          <w:tcPr>
            <w:tcW w:w="1682" w:type="dxa"/>
            <w:tcMar>
              <w:top w:w="0" w:type="dxa"/>
              <w:left w:w="28" w:type="dxa"/>
              <w:bottom w:w="0" w:type="dxa"/>
              <w:right w:w="28" w:type="dxa"/>
            </w:tcMar>
            <w:vAlign w:val="center"/>
          </w:tcPr>
          <w:p w14:paraId="6C48397C" w14:textId="3AF77A45"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44556D">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2" w:type="dxa"/>
            <w:tcMar>
              <w:top w:w="0" w:type="dxa"/>
              <w:left w:w="28" w:type="dxa"/>
              <w:bottom w:w="0" w:type="dxa"/>
              <w:right w:w="28" w:type="dxa"/>
            </w:tcMar>
            <w:vAlign w:val="center"/>
          </w:tcPr>
          <w:p w14:paraId="29D23B1E" w14:textId="36D99313"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44556D">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3" w:type="dxa"/>
            <w:tcMar>
              <w:top w:w="0" w:type="dxa"/>
              <w:left w:w="28" w:type="dxa"/>
              <w:bottom w:w="0" w:type="dxa"/>
              <w:right w:w="28" w:type="dxa"/>
            </w:tcMar>
            <w:vAlign w:val="center"/>
          </w:tcPr>
          <w:p w14:paraId="0132A520" w14:textId="360A97FB" w:rsidR="00462AA5" w:rsidRPr="009E07B5" w:rsidRDefault="00462AA5">
            <w:pPr>
              <w:pStyle w:val="Tabletext0"/>
              <w:jc w:val="center"/>
              <w:rPr>
                <w:iCs/>
                <w:szCs w:val="20"/>
              </w:rPr>
            </w:pPr>
            <w:r w:rsidRPr="009E07B5">
              <w:rPr>
                <w:iCs/>
                <w:szCs w:val="20"/>
              </w:rPr>
              <w:t>$</w:t>
            </w:r>
            <w:r w:rsidR="005E35AF" w:rsidRPr="005E35AF">
              <w:rPr>
                <w:iCs/>
                <w:szCs w:val="20"/>
                <w:highlight w:val="black"/>
              </w:rPr>
              <w:t>&amp;&amp;&amp;&amp;</w:t>
            </w:r>
            <w:r w:rsidR="00F86A60">
              <w:rPr>
                <w:iCs/>
                <w:vertAlign w:val="superscript"/>
              </w:rPr>
              <w:t>3</w:t>
            </w:r>
            <w:r w:rsidRPr="009E07B5">
              <w:rPr>
                <w:iCs/>
                <w:szCs w:val="20"/>
              </w:rPr>
              <w:t xml:space="preserve"> (</w:t>
            </w:r>
            <w:r w:rsidR="005E35AF" w:rsidRPr="005E35AF">
              <w:rPr>
                <w:iCs/>
                <w:szCs w:val="20"/>
                <w:highlight w:val="black"/>
              </w:rPr>
              <w:t>&amp;&amp;&amp;&amp;</w:t>
            </w:r>
            <w:r w:rsidRPr="009E07B5">
              <w:rPr>
                <w:iCs/>
                <w:szCs w:val="20"/>
              </w:rPr>
              <w:t>%)</w:t>
            </w:r>
          </w:p>
        </w:tc>
      </w:tr>
      <w:tr w:rsidR="00462AA5" w:rsidRPr="00A60A39" w14:paraId="3F359E6A" w14:textId="77777777" w:rsidTr="0A99B0B1">
        <w:tc>
          <w:tcPr>
            <w:tcW w:w="3970" w:type="dxa"/>
            <w:tcMar>
              <w:top w:w="0" w:type="dxa"/>
              <w:left w:w="28" w:type="dxa"/>
              <w:bottom w:w="0" w:type="dxa"/>
              <w:right w:w="28" w:type="dxa"/>
            </w:tcMar>
            <w:vAlign w:val="center"/>
          </w:tcPr>
          <w:p w14:paraId="7819CFC8" w14:textId="77777777" w:rsidR="00462AA5" w:rsidRPr="009E07B5" w:rsidRDefault="00462AA5">
            <w:pPr>
              <w:pStyle w:val="Tabletext0"/>
              <w:rPr>
                <w:iCs/>
                <w:szCs w:val="20"/>
              </w:rPr>
            </w:pPr>
            <w:r w:rsidRPr="009E07B5">
              <w:rPr>
                <w:iCs/>
                <w:szCs w:val="20"/>
              </w:rPr>
              <w:t xml:space="preserve">Double CVD health state costs based on a history of stroke (including established cardiovascular disease) </w:t>
            </w:r>
          </w:p>
        </w:tc>
        <w:tc>
          <w:tcPr>
            <w:tcW w:w="1682" w:type="dxa"/>
            <w:tcMar>
              <w:top w:w="0" w:type="dxa"/>
              <w:left w:w="28" w:type="dxa"/>
              <w:bottom w:w="0" w:type="dxa"/>
              <w:right w:w="28" w:type="dxa"/>
            </w:tcMar>
            <w:vAlign w:val="center"/>
          </w:tcPr>
          <w:p w14:paraId="1145181E" w14:textId="159D48E9"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125630">
              <w:rPr>
                <w:iCs/>
                <w:vertAlign w:val="superscript"/>
              </w:rPr>
              <w:t>5</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2" w:type="dxa"/>
            <w:tcMar>
              <w:top w:w="0" w:type="dxa"/>
              <w:left w:w="28" w:type="dxa"/>
              <w:bottom w:w="0" w:type="dxa"/>
              <w:right w:w="28" w:type="dxa"/>
            </w:tcMar>
            <w:vAlign w:val="center"/>
          </w:tcPr>
          <w:p w14:paraId="22BAFAB6" w14:textId="42A3CA18"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44556D">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3" w:type="dxa"/>
            <w:tcMar>
              <w:top w:w="0" w:type="dxa"/>
              <w:left w:w="28" w:type="dxa"/>
              <w:bottom w:w="0" w:type="dxa"/>
              <w:right w:w="28" w:type="dxa"/>
            </w:tcMar>
            <w:vAlign w:val="center"/>
          </w:tcPr>
          <w:p w14:paraId="7A30DA5A" w14:textId="675AFA06" w:rsidR="00462AA5" w:rsidRPr="009E07B5" w:rsidRDefault="00462AA5">
            <w:pPr>
              <w:pStyle w:val="Tabletext0"/>
              <w:jc w:val="center"/>
              <w:rPr>
                <w:iCs/>
                <w:szCs w:val="20"/>
              </w:rPr>
            </w:pPr>
            <w:r w:rsidRPr="009E07B5">
              <w:rPr>
                <w:iCs/>
                <w:szCs w:val="20"/>
              </w:rPr>
              <w:t>$</w:t>
            </w:r>
            <w:r w:rsidR="005E35AF" w:rsidRPr="005E35AF">
              <w:rPr>
                <w:iCs/>
                <w:szCs w:val="20"/>
                <w:highlight w:val="black"/>
              </w:rPr>
              <w:t>&amp;&amp;&amp;&amp;</w:t>
            </w:r>
            <w:r w:rsidR="0044556D">
              <w:rPr>
                <w:iCs/>
                <w:vertAlign w:val="superscript"/>
              </w:rPr>
              <w:t>4</w:t>
            </w:r>
            <w:r w:rsidRPr="009E07B5">
              <w:rPr>
                <w:iCs/>
                <w:szCs w:val="20"/>
              </w:rPr>
              <w:t xml:space="preserve"> (</w:t>
            </w:r>
            <w:r w:rsidR="005E35AF" w:rsidRPr="005E35AF">
              <w:rPr>
                <w:iCs/>
                <w:szCs w:val="20"/>
                <w:highlight w:val="black"/>
              </w:rPr>
              <w:t>&amp;&amp;&amp;&amp;</w:t>
            </w:r>
            <w:r w:rsidRPr="009E07B5">
              <w:rPr>
                <w:iCs/>
                <w:szCs w:val="20"/>
              </w:rPr>
              <w:t>%)</w:t>
            </w:r>
          </w:p>
        </w:tc>
      </w:tr>
      <w:tr w:rsidR="00462AA5" w:rsidRPr="00A60A39" w14:paraId="63931FE2" w14:textId="77777777" w:rsidTr="0A99B0B1">
        <w:tc>
          <w:tcPr>
            <w:tcW w:w="3970" w:type="dxa"/>
            <w:tcMar>
              <w:top w:w="0" w:type="dxa"/>
              <w:left w:w="28" w:type="dxa"/>
              <w:bottom w:w="0" w:type="dxa"/>
              <w:right w:w="28" w:type="dxa"/>
            </w:tcMar>
            <w:vAlign w:val="center"/>
          </w:tcPr>
          <w:p w14:paraId="070B1BC2" w14:textId="77777777" w:rsidR="00462AA5" w:rsidRPr="009E07B5" w:rsidRDefault="00462AA5">
            <w:pPr>
              <w:pStyle w:val="Tabletext0"/>
              <w:rPr>
                <w:iCs/>
                <w:szCs w:val="20"/>
              </w:rPr>
            </w:pPr>
            <w:r w:rsidRPr="009E07B5">
              <w:rPr>
                <w:iCs/>
                <w:szCs w:val="20"/>
              </w:rPr>
              <w:t xml:space="preserve">Halve CVD health state costs based on a history of stroke (including established cardiovascular disease) </w:t>
            </w:r>
          </w:p>
        </w:tc>
        <w:tc>
          <w:tcPr>
            <w:tcW w:w="1682" w:type="dxa"/>
            <w:tcMar>
              <w:top w:w="0" w:type="dxa"/>
              <w:left w:w="28" w:type="dxa"/>
              <w:bottom w:w="0" w:type="dxa"/>
              <w:right w:w="28" w:type="dxa"/>
            </w:tcMar>
            <w:vAlign w:val="center"/>
          </w:tcPr>
          <w:p w14:paraId="50348D62" w14:textId="67231E23"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44556D">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2" w:type="dxa"/>
            <w:tcMar>
              <w:top w:w="0" w:type="dxa"/>
              <w:left w:w="28" w:type="dxa"/>
              <w:bottom w:w="0" w:type="dxa"/>
              <w:right w:w="28" w:type="dxa"/>
            </w:tcMar>
            <w:vAlign w:val="center"/>
          </w:tcPr>
          <w:p w14:paraId="0B20D361" w14:textId="36C5C697"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F86A60">
              <w:rPr>
                <w:iCs/>
                <w:vertAlign w:val="superscript"/>
              </w:rPr>
              <w:t>3</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3" w:type="dxa"/>
            <w:tcMar>
              <w:top w:w="0" w:type="dxa"/>
              <w:left w:w="28" w:type="dxa"/>
              <w:bottom w:w="0" w:type="dxa"/>
              <w:right w:w="28" w:type="dxa"/>
            </w:tcMar>
            <w:vAlign w:val="center"/>
          </w:tcPr>
          <w:p w14:paraId="0559DD80" w14:textId="09A9A75C" w:rsidR="00462AA5" w:rsidRPr="009E07B5" w:rsidRDefault="00462AA5">
            <w:pPr>
              <w:pStyle w:val="Tabletext0"/>
              <w:jc w:val="center"/>
              <w:rPr>
                <w:iCs/>
                <w:szCs w:val="20"/>
              </w:rPr>
            </w:pPr>
            <w:r w:rsidRPr="009E07B5">
              <w:rPr>
                <w:iCs/>
                <w:szCs w:val="20"/>
              </w:rPr>
              <w:t>$</w:t>
            </w:r>
            <w:r w:rsidR="005E35AF" w:rsidRPr="005E35AF">
              <w:rPr>
                <w:iCs/>
                <w:szCs w:val="20"/>
                <w:highlight w:val="black"/>
              </w:rPr>
              <w:t>&amp;&amp;&amp;&amp;</w:t>
            </w:r>
            <w:r w:rsidR="00F329A2">
              <w:rPr>
                <w:iCs/>
                <w:vertAlign w:val="superscript"/>
              </w:rPr>
              <w:t>3</w:t>
            </w:r>
            <w:r w:rsidRPr="009E07B5">
              <w:rPr>
                <w:iCs/>
                <w:szCs w:val="20"/>
              </w:rPr>
              <w:t xml:space="preserve"> (</w:t>
            </w:r>
            <w:r w:rsidR="005E35AF" w:rsidRPr="005E35AF">
              <w:rPr>
                <w:iCs/>
                <w:szCs w:val="20"/>
                <w:highlight w:val="black"/>
              </w:rPr>
              <w:t>&amp;&amp;&amp;&amp;</w:t>
            </w:r>
            <w:r w:rsidRPr="009E07B5">
              <w:rPr>
                <w:iCs/>
                <w:szCs w:val="20"/>
              </w:rPr>
              <w:t>%)</w:t>
            </w:r>
          </w:p>
        </w:tc>
      </w:tr>
      <w:tr w:rsidR="00462AA5" w:rsidRPr="00A60A39" w14:paraId="74F7A85E" w14:textId="77777777" w:rsidTr="0A99B0B1">
        <w:tc>
          <w:tcPr>
            <w:tcW w:w="3970" w:type="dxa"/>
            <w:tcMar>
              <w:top w:w="0" w:type="dxa"/>
              <w:left w:w="28" w:type="dxa"/>
              <w:bottom w:w="0" w:type="dxa"/>
              <w:right w:w="28" w:type="dxa"/>
            </w:tcMar>
            <w:vAlign w:val="center"/>
          </w:tcPr>
          <w:p w14:paraId="1E3B1DA3" w14:textId="77777777" w:rsidR="00462AA5" w:rsidRPr="009E07B5" w:rsidRDefault="00462AA5">
            <w:pPr>
              <w:pStyle w:val="Tabletext0"/>
              <w:rPr>
                <w:iCs/>
                <w:szCs w:val="20"/>
              </w:rPr>
            </w:pPr>
            <w:r w:rsidRPr="009E07B5">
              <w:rPr>
                <w:iCs/>
                <w:szCs w:val="20"/>
              </w:rPr>
              <w:t>Double CKD stage 5 disease management costs</w:t>
            </w:r>
          </w:p>
        </w:tc>
        <w:tc>
          <w:tcPr>
            <w:tcW w:w="1682" w:type="dxa"/>
            <w:tcMar>
              <w:top w:w="0" w:type="dxa"/>
              <w:left w:w="28" w:type="dxa"/>
              <w:bottom w:w="0" w:type="dxa"/>
              <w:right w:w="28" w:type="dxa"/>
            </w:tcMar>
            <w:vAlign w:val="center"/>
          </w:tcPr>
          <w:p w14:paraId="5CECA558" w14:textId="3D6BEA2C"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44556D">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2" w:type="dxa"/>
            <w:tcMar>
              <w:top w:w="0" w:type="dxa"/>
              <w:left w:w="28" w:type="dxa"/>
              <w:bottom w:w="0" w:type="dxa"/>
              <w:right w:w="28" w:type="dxa"/>
            </w:tcMar>
            <w:vAlign w:val="center"/>
          </w:tcPr>
          <w:p w14:paraId="7D900478" w14:textId="69957465"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F329A2">
              <w:rPr>
                <w:iCs/>
                <w:vertAlign w:val="superscript"/>
              </w:rPr>
              <w:t>3</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3" w:type="dxa"/>
            <w:tcMar>
              <w:top w:w="0" w:type="dxa"/>
              <w:left w:w="28" w:type="dxa"/>
              <w:bottom w:w="0" w:type="dxa"/>
              <w:right w:w="28" w:type="dxa"/>
            </w:tcMar>
            <w:vAlign w:val="center"/>
          </w:tcPr>
          <w:p w14:paraId="19087831" w14:textId="52C94074" w:rsidR="00462AA5" w:rsidRPr="009E07B5" w:rsidRDefault="00462AA5">
            <w:pPr>
              <w:pStyle w:val="Tabletext0"/>
              <w:jc w:val="center"/>
              <w:rPr>
                <w:iCs/>
                <w:szCs w:val="20"/>
              </w:rPr>
            </w:pPr>
            <w:r w:rsidRPr="009E07B5">
              <w:rPr>
                <w:iCs/>
                <w:szCs w:val="20"/>
              </w:rPr>
              <w:t>$</w:t>
            </w:r>
            <w:r w:rsidR="005E35AF" w:rsidRPr="005E35AF">
              <w:rPr>
                <w:iCs/>
                <w:szCs w:val="20"/>
                <w:highlight w:val="black"/>
              </w:rPr>
              <w:t>&amp;&amp;&amp;&amp;</w:t>
            </w:r>
            <w:r w:rsidR="00F329A2">
              <w:rPr>
                <w:iCs/>
                <w:vertAlign w:val="superscript"/>
              </w:rPr>
              <w:t>3</w:t>
            </w:r>
            <w:r w:rsidRPr="009E07B5">
              <w:rPr>
                <w:iCs/>
                <w:szCs w:val="20"/>
              </w:rPr>
              <w:t xml:space="preserve"> </w:t>
            </w:r>
            <w:r w:rsidR="005E35AF" w:rsidRPr="005E35AF">
              <w:rPr>
                <w:iCs/>
                <w:szCs w:val="20"/>
                <w:highlight w:val="black"/>
              </w:rPr>
              <w:t>&amp;&amp;&amp;&amp;</w:t>
            </w:r>
            <w:r w:rsidRPr="009E07B5">
              <w:rPr>
                <w:iCs/>
                <w:szCs w:val="20"/>
              </w:rPr>
              <w:t>%)</w:t>
            </w:r>
          </w:p>
        </w:tc>
      </w:tr>
      <w:tr w:rsidR="00462AA5" w:rsidRPr="00A60A39" w14:paraId="45906785" w14:textId="77777777" w:rsidTr="0A99B0B1">
        <w:tc>
          <w:tcPr>
            <w:tcW w:w="3970" w:type="dxa"/>
            <w:tcMar>
              <w:top w:w="0" w:type="dxa"/>
              <w:left w:w="28" w:type="dxa"/>
              <w:bottom w:w="0" w:type="dxa"/>
              <w:right w:w="28" w:type="dxa"/>
            </w:tcMar>
            <w:vAlign w:val="center"/>
          </w:tcPr>
          <w:p w14:paraId="5C0323AB" w14:textId="77777777" w:rsidR="00462AA5" w:rsidRPr="009E07B5" w:rsidRDefault="00462AA5">
            <w:pPr>
              <w:pStyle w:val="Tabletext0"/>
              <w:rPr>
                <w:iCs/>
                <w:szCs w:val="20"/>
              </w:rPr>
            </w:pPr>
            <w:r w:rsidRPr="009E07B5">
              <w:rPr>
                <w:iCs/>
                <w:szCs w:val="20"/>
              </w:rPr>
              <w:t>Halve CKD stage 5 disease management costs</w:t>
            </w:r>
          </w:p>
        </w:tc>
        <w:tc>
          <w:tcPr>
            <w:tcW w:w="1682" w:type="dxa"/>
            <w:tcMar>
              <w:top w:w="0" w:type="dxa"/>
              <w:left w:w="28" w:type="dxa"/>
              <w:bottom w:w="0" w:type="dxa"/>
              <w:right w:w="28" w:type="dxa"/>
            </w:tcMar>
            <w:vAlign w:val="center"/>
          </w:tcPr>
          <w:p w14:paraId="7F7C4B55" w14:textId="7AEC6326"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2" w:type="dxa"/>
            <w:tcMar>
              <w:top w:w="0" w:type="dxa"/>
              <w:left w:w="28" w:type="dxa"/>
              <w:bottom w:w="0" w:type="dxa"/>
              <w:right w:w="28" w:type="dxa"/>
            </w:tcMar>
            <w:vAlign w:val="center"/>
          </w:tcPr>
          <w:p w14:paraId="5E62F184" w14:textId="72F800E8"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44556D">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3" w:type="dxa"/>
            <w:tcMar>
              <w:top w:w="0" w:type="dxa"/>
              <w:left w:w="28" w:type="dxa"/>
              <w:bottom w:w="0" w:type="dxa"/>
              <w:right w:w="28" w:type="dxa"/>
            </w:tcMar>
            <w:vAlign w:val="center"/>
          </w:tcPr>
          <w:p w14:paraId="14D835B0" w14:textId="6BC3BB6E" w:rsidR="00462AA5" w:rsidRPr="009E07B5" w:rsidRDefault="00462AA5">
            <w:pPr>
              <w:pStyle w:val="Tabletext0"/>
              <w:jc w:val="center"/>
              <w:rPr>
                <w:iCs/>
                <w:szCs w:val="20"/>
              </w:rPr>
            </w:pPr>
            <w:r w:rsidRPr="009E07B5">
              <w:rPr>
                <w:iCs/>
                <w:szCs w:val="20"/>
              </w:rPr>
              <w:t>$</w:t>
            </w:r>
            <w:r w:rsidR="005E35AF" w:rsidRPr="005E35AF">
              <w:rPr>
                <w:iCs/>
                <w:szCs w:val="20"/>
                <w:highlight w:val="black"/>
              </w:rPr>
              <w:t>&amp;&amp;&amp;&amp;</w:t>
            </w:r>
            <w:r w:rsidR="00F329A2">
              <w:rPr>
                <w:iCs/>
                <w:vertAlign w:val="superscript"/>
              </w:rPr>
              <w:t>3</w:t>
            </w:r>
            <w:r w:rsidRPr="009E07B5">
              <w:rPr>
                <w:iCs/>
                <w:szCs w:val="20"/>
              </w:rPr>
              <w:t xml:space="preserve"> </w:t>
            </w:r>
            <w:r w:rsidR="005E35AF" w:rsidRPr="005E35AF">
              <w:rPr>
                <w:iCs/>
                <w:szCs w:val="20"/>
                <w:highlight w:val="black"/>
              </w:rPr>
              <w:t>&amp;&amp;&amp;&amp;</w:t>
            </w:r>
            <w:r w:rsidRPr="009E07B5">
              <w:rPr>
                <w:iCs/>
                <w:szCs w:val="20"/>
              </w:rPr>
              <w:t>%)</w:t>
            </w:r>
          </w:p>
        </w:tc>
      </w:tr>
      <w:tr w:rsidR="00462AA5" w:rsidRPr="00A60A39" w14:paraId="67B29038" w14:textId="77777777" w:rsidTr="0A99B0B1">
        <w:tc>
          <w:tcPr>
            <w:tcW w:w="9017" w:type="dxa"/>
            <w:gridSpan w:val="4"/>
            <w:tcMar>
              <w:top w:w="0" w:type="dxa"/>
              <w:left w:w="28" w:type="dxa"/>
              <w:bottom w:w="0" w:type="dxa"/>
              <w:right w:w="28" w:type="dxa"/>
            </w:tcMar>
            <w:vAlign w:val="center"/>
          </w:tcPr>
          <w:p w14:paraId="4FE03733" w14:textId="77777777" w:rsidR="00462AA5" w:rsidRPr="00D840DF" w:rsidRDefault="00462AA5">
            <w:pPr>
              <w:pStyle w:val="Tabletext0"/>
              <w:rPr>
                <w:iCs/>
                <w:szCs w:val="20"/>
              </w:rPr>
            </w:pPr>
            <w:r>
              <w:rPr>
                <w:b/>
                <w:bCs/>
                <w:iCs/>
                <w:color w:val="000000"/>
                <w:szCs w:val="20"/>
              </w:rPr>
              <w:t>Event c</w:t>
            </w:r>
            <w:r w:rsidRPr="00D76F48">
              <w:rPr>
                <w:b/>
                <w:bCs/>
                <w:iCs/>
                <w:color w:val="000000"/>
                <w:szCs w:val="20"/>
              </w:rPr>
              <w:t xml:space="preserve">osts (base case: </w:t>
            </w:r>
            <w:r>
              <w:rPr>
                <w:b/>
                <w:bCs/>
                <w:iCs/>
                <w:color w:val="000000"/>
                <w:szCs w:val="20"/>
              </w:rPr>
              <w:t>hospitalisation costs based on AR-DRG items</w:t>
            </w:r>
            <w:r w:rsidRPr="00D76F48">
              <w:rPr>
                <w:b/>
                <w:bCs/>
                <w:iCs/>
                <w:color w:val="000000"/>
                <w:szCs w:val="20"/>
              </w:rPr>
              <w:t>)</w:t>
            </w:r>
          </w:p>
        </w:tc>
      </w:tr>
      <w:tr w:rsidR="00462AA5" w:rsidRPr="00A60A39" w14:paraId="0C710F7F" w14:textId="77777777" w:rsidTr="0A99B0B1">
        <w:tc>
          <w:tcPr>
            <w:tcW w:w="3970" w:type="dxa"/>
            <w:tcMar>
              <w:top w:w="0" w:type="dxa"/>
              <w:left w:w="28" w:type="dxa"/>
              <w:bottom w:w="0" w:type="dxa"/>
              <w:right w:w="28" w:type="dxa"/>
            </w:tcMar>
            <w:vAlign w:val="center"/>
          </w:tcPr>
          <w:p w14:paraId="48539560" w14:textId="77777777" w:rsidR="00462AA5" w:rsidRPr="009E07B5" w:rsidRDefault="00462AA5">
            <w:pPr>
              <w:pStyle w:val="Tabletext0"/>
              <w:rPr>
                <w:iCs/>
                <w:szCs w:val="20"/>
              </w:rPr>
            </w:pPr>
            <w:r w:rsidRPr="009E07B5">
              <w:rPr>
                <w:iCs/>
                <w:szCs w:val="20"/>
              </w:rPr>
              <w:t>Double coronary revascularisation acute event costs</w:t>
            </w:r>
          </w:p>
        </w:tc>
        <w:tc>
          <w:tcPr>
            <w:tcW w:w="1682" w:type="dxa"/>
            <w:tcMar>
              <w:top w:w="0" w:type="dxa"/>
              <w:left w:w="28" w:type="dxa"/>
              <w:bottom w:w="0" w:type="dxa"/>
              <w:right w:w="28" w:type="dxa"/>
            </w:tcMar>
            <w:vAlign w:val="center"/>
          </w:tcPr>
          <w:p w14:paraId="49966655" w14:textId="29A43C6E"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44556D">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2" w:type="dxa"/>
            <w:tcMar>
              <w:top w:w="0" w:type="dxa"/>
              <w:left w:w="28" w:type="dxa"/>
              <w:bottom w:w="0" w:type="dxa"/>
              <w:right w:w="28" w:type="dxa"/>
            </w:tcMar>
            <w:vAlign w:val="center"/>
          </w:tcPr>
          <w:p w14:paraId="29E09848" w14:textId="51BE9F34"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F329A2">
              <w:rPr>
                <w:iCs/>
                <w:vertAlign w:val="superscript"/>
              </w:rPr>
              <w:t>3</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3" w:type="dxa"/>
            <w:tcMar>
              <w:top w:w="0" w:type="dxa"/>
              <w:left w:w="28" w:type="dxa"/>
              <w:bottom w:w="0" w:type="dxa"/>
              <w:right w:w="28" w:type="dxa"/>
            </w:tcMar>
            <w:vAlign w:val="center"/>
          </w:tcPr>
          <w:p w14:paraId="283ECDFC" w14:textId="775B445F" w:rsidR="00462AA5" w:rsidRPr="009E07B5" w:rsidRDefault="00462AA5">
            <w:pPr>
              <w:pStyle w:val="Tabletext0"/>
              <w:jc w:val="center"/>
              <w:rPr>
                <w:iCs/>
                <w:szCs w:val="20"/>
              </w:rPr>
            </w:pPr>
            <w:r w:rsidRPr="009E07B5">
              <w:rPr>
                <w:iCs/>
                <w:szCs w:val="20"/>
              </w:rPr>
              <w:t>$</w:t>
            </w:r>
            <w:r w:rsidR="005E35AF" w:rsidRPr="005E35AF">
              <w:rPr>
                <w:iCs/>
                <w:szCs w:val="20"/>
                <w:highlight w:val="black"/>
              </w:rPr>
              <w:t>&amp;&amp;&amp;&amp;</w:t>
            </w:r>
            <w:r w:rsidR="00F329A2">
              <w:rPr>
                <w:iCs/>
                <w:vertAlign w:val="superscript"/>
              </w:rPr>
              <w:t>3</w:t>
            </w:r>
            <w:r w:rsidRPr="009E07B5">
              <w:rPr>
                <w:iCs/>
                <w:szCs w:val="20"/>
              </w:rPr>
              <w:t xml:space="preserve"> (</w:t>
            </w:r>
            <w:r w:rsidR="005E35AF" w:rsidRPr="005E35AF">
              <w:rPr>
                <w:iCs/>
                <w:szCs w:val="20"/>
                <w:highlight w:val="black"/>
              </w:rPr>
              <w:t>&amp;&amp;&amp;&amp;</w:t>
            </w:r>
            <w:r w:rsidRPr="009E07B5">
              <w:rPr>
                <w:iCs/>
                <w:szCs w:val="20"/>
              </w:rPr>
              <w:t>%)</w:t>
            </w:r>
          </w:p>
        </w:tc>
      </w:tr>
      <w:tr w:rsidR="00462AA5" w:rsidRPr="00A60A39" w14:paraId="44085744" w14:textId="77777777" w:rsidTr="0A99B0B1">
        <w:tc>
          <w:tcPr>
            <w:tcW w:w="3970" w:type="dxa"/>
            <w:tcMar>
              <w:top w:w="0" w:type="dxa"/>
              <w:left w:w="28" w:type="dxa"/>
              <w:bottom w:w="0" w:type="dxa"/>
              <w:right w:w="28" w:type="dxa"/>
            </w:tcMar>
            <w:vAlign w:val="center"/>
          </w:tcPr>
          <w:p w14:paraId="686C3188" w14:textId="77777777" w:rsidR="00462AA5" w:rsidRPr="009E07B5" w:rsidRDefault="00462AA5">
            <w:pPr>
              <w:pStyle w:val="Tabletext0"/>
              <w:rPr>
                <w:iCs/>
                <w:szCs w:val="20"/>
              </w:rPr>
            </w:pPr>
            <w:r w:rsidRPr="009E07B5">
              <w:rPr>
                <w:iCs/>
                <w:szCs w:val="20"/>
              </w:rPr>
              <w:t>Halve coronary revascularisation acute event costs</w:t>
            </w:r>
          </w:p>
        </w:tc>
        <w:tc>
          <w:tcPr>
            <w:tcW w:w="1682" w:type="dxa"/>
            <w:tcMar>
              <w:top w:w="0" w:type="dxa"/>
              <w:left w:w="28" w:type="dxa"/>
              <w:bottom w:w="0" w:type="dxa"/>
              <w:right w:w="28" w:type="dxa"/>
            </w:tcMar>
            <w:vAlign w:val="center"/>
          </w:tcPr>
          <w:p w14:paraId="19B529AA" w14:textId="38CD8812"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125630">
              <w:rPr>
                <w:iCs/>
                <w:vertAlign w:val="superscript"/>
              </w:rPr>
              <w:t>5</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2" w:type="dxa"/>
            <w:tcMar>
              <w:top w:w="0" w:type="dxa"/>
              <w:left w:w="28" w:type="dxa"/>
              <w:bottom w:w="0" w:type="dxa"/>
              <w:right w:w="28" w:type="dxa"/>
            </w:tcMar>
            <w:vAlign w:val="center"/>
          </w:tcPr>
          <w:p w14:paraId="560C30E1" w14:textId="4837F941" w:rsidR="00462AA5" w:rsidRPr="009E07B5" w:rsidRDefault="00462AA5">
            <w:pPr>
              <w:pStyle w:val="Tabletext0"/>
              <w:jc w:val="center"/>
              <w:rPr>
                <w:iCs/>
                <w:szCs w:val="20"/>
              </w:rPr>
            </w:pPr>
            <w:r w:rsidRPr="009E07B5">
              <w:rPr>
                <w:iCs/>
                <w:color w:val="000000"/>
                <w:szCs w:val="20"/>
              </w:rPr>
              <w:t>$</w:t>
            </w:r>
            <w:r w:rsidR="005E35AF" w:rsidRPr="005E35AF">
              <w:rPr>
                <w:iCs/>
                <w:color w:val="000000"/>
                <w:szCs w:val="20"/>
                <w:highlight w:val="black"/>
              </w:rPr>
              <w:t>&amp;&amp;&amp;&amp;</w:t>
            </w:r>
            <w:r w:rsidR="0044556D">
              <w:rPr>
                <w:iCs/>
                <w:vertAlign w:val="superscript"/>
              </w:rPr>
              <w:t>4</w:t>
            </w:r>
            <w:r w:rsidRPr="009E07B5">
              <w:rPr>
                <w:iCs/>
                <w:color w:val="000000"/>
                <w:szCs w:val="20"/>
              </w:rPr>
              <w:t xml:space="preserve"> (</w:t>
            </w:r>
            <w:r w:rsidR="005E35AF" w:rsidRPr="005E35AF">
              <w:rPr>
                <w:iCs/>
                <w:color w:val="000000"/>
                <w:szCs w:val="20"/>
                <w:highlight w:val="black"/>
              </w:rPr>
              <w:t>&amp;&amp;&amp;&amp;</w:t>
            </w:r>
            <w:r w:rsidRPr="009E07B5">
              <w:rPr>
                <w:iCs/>
                <w:color w:val="000000"/>
                <w:szCs w:val="20"/>
              </w:rPr>
              <w:t>%)</w:t>
            </w:r>
          </w:p>
        </w:tc>
        <w:tc>
          <w:tcPr>
            <w:tcW w:w="1683" w:type="dxa"/>
            <w:tcMar>
              <w:top w:w="0" w:type="dxa"/>
              <w:left w:w="28" w:type="dxa"/>
              <w:bottom w:w="0" w:type="dxa"/>
              <w:right w:w="28" w:type="dxa"/>
            </w:tcMar>
            <w:vAlign w:val="center"/>
          </w:tcPr>
          <w:p w14:paraId="2CBC0493" w14:textId="689B11CA" w:rsidR="00462AA5" w:rsidRPr="009E07B5" w:rsidRDefault="00462AA5">
            <w:pPr>
              <w:pStyle w:val="Tabletext0"/>
              <w:jc w:val="center"/>
              <w:rPr>
                <w:iCs/>
                <w:szCs w:val="20"/>
              </w:rPr>
            </w:pPr>
            <w:r w:rsidRPr="009E07B5">
              <w:rPr>
                <w:iCs/>
                <w:szCs w:val="20"/>
              </w:rPr>
              <w:t>$</w:t>
            </w:r>
            <w:r w:rsidR="005E35AF" w:rsidRPr="005E35AF">
              <w:rPr>
                <w:iCs/>
                <w:szCs w:val="20"/>
                <w:highlight w:val="black"/>
              </w:rPr>
              <w:t>&amp;&amp;&amp;&amp;</w:t>
            </w:r>
            <w:r w:rsidR="0044556D">
              <w:rPr>
                <w:iCs/>
                <w:vertAlign w:val="superscript"/>
              </w:rPr>
              <w:t>4</w:t>
            </w:r>
            <w:r w:rsidRPr="009E07B5">
              <w:rPr>
                <w:iCs/>
                <w:szCs w:val="20"/>
              </w:rPr>
              <w:t xml:space="preserve"> (</w:t>
            </w:r>
            <w:r w:rsidR="005E35AF" w:rsidRPr="005E35AF">
              <w:rPr>
                <w:iCs/>
                <w:szCs w:val="20"/>
                <w:highlight w:val="black"/>
              </w:rPr>
              <w:t>&amp;&amp;&amp;&amp;</w:t>
            </w:r>
            <w:r w:rsidRPr="009E07B5">
              <w:rPr>
                <w:iCs/>
                <w:szCs w:val="20"/>
              </w:rPr>
              <w:t>%)</w:t>
            </w:r>
          </w:p>
        </w:tc>
      </w:tr>
    </w:tbl>
    <w:p w14:paraId="0F0899B5" w14:textId="77777777" w:rsidR="00462AA5" w:rsidRPr="005E04CE" w:rsidRDefault="00462AA5" w:rsidP="00462AA5">
      <w:pPr>
        <w:pStyle w:val="COMTablefooter"/>
      </w:pPr>
      <w:bookmarkStart w:id="55" w:name="_Hlk207185832"/>
      <w:r w:rsidRPr="00741BD4">
        <w:t xml:space="preserve">Source: </w:t>
      </w:r>
      <w:r>
        <w:t>‘Section 3 Workbook’ provided with the resubmission</w:t>
      </w:r>
      <w:r w:rsidRPr="00741BD4">
        <w:t>.</w:t>
      </w:r>
    </w:p>
    <w:bookmarkEnd w:id="55"/>
    <w:p w14:paraId="57FD6B9A" w14:textId="7F8D16A6" w:rsidR="00462AA5" w:rsidRDefault="00462AA5" w:rsidP="00E2485B">
      <w:pPr>
        <w:pStyle w:val="COMTablefooter"/>
        <w:spacing w:after="0"/>
      </w:pPr>
      <w:r w:rsidRPr="00FA1E86">
        <w:t xml:space="preserve">Abbreviations: </w:t>
      </w:r>
      <w:r w:rsidRPr="000F44C7">
        <w:t>AR-DRG, Australian Refined Diagnosis Related Groups</w:t>
      </w:r>
      <w:r>
        <w:t>;</w:t>
      </w:r>
      <w:r w:rsidRPr="000F44C7">
        <w:t xml:space="preserve"> </w:t>
      </w:r>
      <w:r w:rsidRPr="00FA1E86">
        <w:t>BMI, body mass index</w:t>
      </w:r>
      <w:r>
        <w:t>; CKD, chronic kidney disease; CVD, cardiovascular</w:t>
      </w:r>
      <w:r w:rsidR="00F143BF">
        <w:t xml:space="preserve"> disease</w:t>
      </w:r>
      <w:r w:rsidRPr="00FA1E86">
        <w:t>; ICER, incremental cost effectiveness ratio; QALY, quality-adjusted life year</w:t>
      </w:r>
    </w:p>
    <w:p w14:paraId="3015CB49" w14:textId="4E3CCC3E" w:rsidR="00462AA5" w:rsidRDefault="00BD75EC" w:rsidP="00633821">
      <w:pPr>
        <w:pStyle w:val="TableFooter"/>
        <w:spacing w:after="0"/>
      </w:pPr>
      <w:r>
        <w:t>*</w:t>
      </w:r>
      <w:proofErr w:type="gramStart"/>
      <w:r w:rsidR="00E2485B">
        <w:t>an</w:t>
      </w:r>
      <w:proofErr w:type="gramEnd"/>
      <w:r w:rsidR="00E2485B">
        <w:t xml:space="preserve"> updated </w:t>
      </w:r>
      <w:r w:rsidR="00D963DD">
        <w:t xml:space="preserve">scenario removing a difference in </w:t>
      </w:r>
      <w:r w:rsidR="00633821">
        <w:t xml:space="preserve">later stage </w:t>
      </w:r>
      <w:r w:rsidR="00D963DD">
        <w:t>CKD progression</w:t>
      </w:r>
      <w:r w:rsidR="00120599">
        <w:t xml:space="preserve"> was provided in the PSCR, and the </w:t>
      </w:r>
      <w:r w:rsidR="00E2485B">
        <w:t xml:space="preserve">base case </w:t>
      </w:r>
      <w:r w:rsidR="00120599">
        <w:t>increased to</w:t>
      </w:r>
      <w:r w:rsidR="00E2485B">
        <w:t xml:space="preserve"> </w:t>
      </w:r>
      <w:r w:rsidR="00995E63">
        <w:t>$15,000 to &lt; $25,000</w:t>
      </w:r>
      <w:r w:rsidR="00E2485B">
        <w:t>/QALY gained</w:t>
      </w:r>
      <w:r w:rsidR="00120599">
        <w:t>.</w:t>
      </w:r>
      <w:r w:rsidR="00E2485B">
        <w:t xml:space="preserve"> </w:t>
      </w:r>
      <w:r w:rsidR="00633821" w:rsidRPr="00633821">
        <w:t>Differences in CKD progression were maintained for transitions between CKD 1 to CKD 2 and CKD 2 to CKD 3, the risk of CKD progression for later stages in both treatment arms was set to be identical based on estimates from the semaglutide arm; BMI risk multiplier were included in this analysis</w:t>
      </w:r>
      <w:r w:rsidR="00462AA5">
        <w:rPr>
          <w:vertAlign w:val="superscript"/>
        </w:rPr>
        <w:t>a</w:t>
      </w:r>
      <w:r w:rsidR="00462AA5">
        <w:t xml:space="preserve"> Risks based on the placebo arm of the SELECT trial</w:t>
      </w:r>
    </w:p>
    <w:p w14:paraId="78B30B23" w14:textId="1EF37776" w:rsidR="00462AA5" w:rsidRPr="00D31B2F" w:rsidRDefault="00462AA5" w:rsidP="00462AA5">
      <w:pPr>
        <w:pStyle w:val="COMTablefooter"/>
        <w:rPr>
          <w:iCs/>
        </w:rPr>
      </w:pPr>
      <w:r w:rsidRPr="00D31B2F">
        <w:rPr>
          <w:iCs/>
        </w:rPr>
        <w:t xml:space="preserve">Note: The effective DPMQs estimated for semaglutide in the resubmission were calculated using a non-standard methodology. During the evaluation, the sponsor confirmed the calculation of revised effective DPMQs estimated using standard methods. These revised prices were used in the </w:t>
      </w:r>
      <w:r w:rsidR="00B32CD9" w:rsidRPr="00D31B2F">
        <w:rPr>
          <w:iCs/>
        </w:rPr>
        <w:t>evaluation</w:t>
      </w:r>
      <w:r w:rsidRPr="00D31B2F">
        <w:rPr>
          <w:iCs/>
        </w:rPr>
        <w:t>.</w:t>
      </w:r>
    </w:p>
    <w:p w14:paraId="407801BD" w14:textId="77777777" w:rsidR="004205CC" w:rsidRDefault="00462AA5" w:rsidP="00CA4478">
      <w:pPr>
        <w:pStyle w:val="COMTablefooter"/>
        <w:rPr>
          <w:iCs/>
        </w:rPr>
      </w:pPr>
      <w:r w:rsidRPr="00D31B2F">
        <w:rPr>
          <w:iCs/>
        </w:rPr>
        <w:t xml:space="preserve">Note: </w:t>
      </w:r>
      <w:r w:rsidR="00D12C2E" w:rsidRPr="00D31B2F">
        <w:rPr>
          <w:iCs/>
        </w:rPr>
        <w:t>C</w:t>
      </w:r>
      <w:r w:rsidRPr="00D31B2F">
        <w:rPr>
          <w:iCs/>
        </w:rPr>
        <w:t xml:space="preserve">alculation errors </w:t>
      </w:r>
      <w:r w:rsidR="00D12C2E" w:rsidRPr="00D31B2F">
        <w:rPr>
          <w:iCs/>
        </w:rPr>
        <w:t>related</w:t>
      </w:r>
      <w:r w:rsidRPr="00D31B2F">
        <w:rPr>
          <w:iCs/>
        </w:rPr>
        <w:t xml:space="preserve"> to the application of discontinuation rates and QALY losses in patients with history of multiple events</w:t>
      </w:r>
      <w:r w:rsidR="002640E2" w:rsidRPr="00D31B2F">
        <w:rPr>
          <w:iCs/>
        </w:rPr>
        <w:t xml:space="preserve"> were identified during the evaluation</w:t>
      </w:r>
      <w:r w:rsidRPr="00D31B2F">
        <w:rPr>
          <w:iCs/>
        </w:rPr>
        <w:t xml:space="preserve">. These errors were acknowledged by the sponsor and corrected in the </w:t>
      </w:r>
      <w:r w:rsidR="00B32CD9" w:rsidRPr="00D31B2F">
        <w:rPr>
          <w:iCs/>
        </w:rPr>
        <w:t>evaluation</w:t>
      </w:r>
      <w:r w:rsidRPr="00D31B2F">
        <w:rPr>
          <w:iCs/>
        </w:rPr>
        <w:t>.</w:t>
      </w:r>
    </w:p>
    <w:p w14:paraId="1FD17655" w14:textId="03BEC956" w:rsidR="00CA4478" w:rsidRPr="00B65CAB" w:rsidRDefault="004205CC" w:rsidP="00CA4478">
      <w:pPr>
        <w:pStyle w:val="COMTablefooter"/>
        <w:rPr>
          <w:i/>
        </w:rPr>
      </w:pPr>
      <w:r w:rsidRPr="00B65CAB">
        <w:rPr>
          <w:i/>
        </w:rPr>
        <w:t>The redacted values correspond to the following ranges:</w:t>
      </w:r>
    </w:p>
    <w:p w14:paraId="29541A36" w14:textId="41B56D01" w:rsidR="00CA4478" w:rsidRPr="00B65CAB" w:rsidRDefault="00CA4478" w:rsidP="00CA4478">
      <w:pPr>
        <w:pStyle w:val="COMTablefooter"/>
        <w:rPr>
          <w:i/>
        </w:rPr>
      </w:pPr>
      <w:r w:rsidRPr="00B65CAB">
        <w:rPr>
          <w:i/>
          <w:vertAlign w:val="superscript"/>
        </w:rPr>
        <w:lastRenderedPageBreak/>
        <w:t>1</w:t>
      </w:r>
      <w:r w:rsidRPr="00B65CAB">
        <w:rPr>
          <w:i/>
        </w:rPr>
        <w:t>$0 to &lt; $5,000</w:t>
      </w:r>
    </w:p>
    <w:p w14:paraId="1A7E44D0" w14:textId="25A89B58" w:rsidR="00CA4478" w:rsidRPr="00B65CAB" w:rsidRDefault="0041654A" w:rsidP="00CA4478">
      <w:pPr>
        <w:pStyle w:val="COMTablefooter"/>
        <w:rPr>
          <w:i/>
        </w:rPr>
      </w:pPr>
      <w:r w:rsidRPr="00B65CAB">
        <w:rPr>
          <w:i/>
          <w:vertAlign w:val="superscript"/>
        </w:rPr>
        <w:t>2</w:t>
      </w:r>
      <w:r w:rsidR="00CA4478" w:rsidRPr="00B65CAB">
        <w:rPr>
          <w:i/>
        </w:rPr>
        <w:t xml:space="preserve">$5,000 to &lt; $15,000 </w:t>
      </w:r>
    </w:p>
    <w:p w14:paraId="7922A611" w14:textId="254AC868" w:rsidR="00CA4478" w:rsidRPr="00B65CAB" w:rsidRDefault="002F4E9A" w:rsidP="00CA4478">
      <w:pPr>
        <w:pStyle w:val="COMTablefooter"/>
        <w:rPr>
          <w:i/>
        </w:rPr>
      </w:pPr>
      <w:r w:rsidRPr="00B65CAB">
        <w:rPr>
          <w:i/>
          <w:vertAlign w:val="superscript"/>
        </w:rPr>
        <w:t>3</w:t>
      </w:r>
      <w:r w:rsidR="00CA4478" w:rsidRPr="00B65CAB">
        <w:rPr>
          <w:i/>
        </w:rPr>
        <w:t>$15,000 to &lt; $25,000</w:t>
      </w:r>
    </w:p>
    <w:p w14:paraId="4149D775" w14:textId="7196E3E3" w:rsidR="00CA4478" w:rsidRPr="00B65CAB" w:rsidRDefault="0038267A" w:rsidP="00CA4478">
      <w:pPr>
        <w:pStyle w:val="COMTablefooter"/>
        <w:rPr>
          <w:i/>
        </w:rPr>
      </w:pPr>
      <w:r w:rsidRPr="00B65CAB">
        <w:rPr>
          <w:i/>
          <w:vertAlign w:val="superscript"/>
        </w:rPr>
        <w:t>4</w:t>
      </w:r>
      <w:r w:rsidR="00CA4478" w:rsidRPr="00B65CAB">
        <w:rPr>
          <w:i/>
        </w:rPr>
        <w:t>$25,000 to &lt; $35,000</w:t>
      </w:r>
    </w:p>
    <w:p w14:paraId="48DB71F4" w14:textId="2603F72E" w:rsidR="00CA4478" w:rsidRPr="00B65CAB" w:rsidRDefault="0044556D" w:rsidP="00CA4478">
      <w:pPr>
        <w:pStyle w:val="COMTablefooter"/>
        <w:rPr>
          <w:i/>
        </w:rPr>
      </w:pPr>
      <w:r w:rsidRPr="00B65CAB">
        <w:rPr>
          <w:i/>
          <w:vertAlign w:val="superscript"/>
        </w:rPr>
        <w:t>5</w:t>
      </w:r>
      <w:r w:rsidR="00CA4478" w:rsidRPr="00B65CAB">
        <w:rPr>
          <w:i/>
        </w:rPr>
        <w:t>$35,000 to &lt; $45,000</w:t>
      </w:r>
    </w:p>
    <w:p w14:paraId="25AF7E4D" w14:textId="52B020C6" w:rsidR="00CA4478" w:rsidRPr="00B65CAB" w:rsidRDefault="00A05EED" w:rsidP="00CA4478">
      <w:pPr>
        <w:pStyle w:val="COMTablefooter"/>
        <w:rPr>
          <w:i/>
        </w:rPr>
      </w:pPr>
      <w:r w:rsidRPr="00B65CAB">
        <w:rPr>
          <w:i/>
          <w:vertAlign w:val="superscript"/>
        </w:rPr>
        <w:t>6</w:t>
      </w:r>
      <w:r w:rsidR="00CA4478" w:rsidRPr="00B65CAB">
        <w:rPr>
          <w:i/>
        </w:rPr>
        <w:t>$45,000 to &lt; $55,000</w:t>
      </w:r>
    </w:p>
    <w:p w14:paraId="588D0F96" w14:textId="517DA2C8" w:rsidR="00CA4478" w:rsidRPr="00B65CAB" w:rsidRDefault="00BE07BF" w:rsidP="00CA4478">
      <w:pPr>
        <w:pStyle w:val="COMTablefooter"/>
        <w:rPr>
          <w:i/>
        </w:rPr>
      </w:pPr>
      <w:r w:rsidRPr="00B65CAB">
        <w:rPr>
          <w:i/>
          <w:vertAlign w:val="superscript"/>
        </w:rPr>
        <w:t>7</w:t>
      </w:r>
      <w:r w:rsidR="00CA4478" w:rsidRPr="00B65CAB">
        <w:rPr>
          <w:i/>
        </w:rPr>
        <w:t xml:space="preserve">$55,000 to &lt; $75,000 </w:t>
      </w:r>
    </w:p>
    <w:p w14:paraId="403406CA" w14:textId="5077A9A4" w:rsidR="008C5E7B" w:rsidRPr="00C41AE1" w:rsidRDefault="008C5E7B" w:rsidP="00641FB3">
      <w:pPr>
        <w:pStyle w:val="COMESnumberedpara"/>
      </w:pPr>
      <w:r w:rsidRPr="008C5E7B">
        <w:t>The results of the sensitivity analyses indicated that the model was most sensitive to the discount rate, time horizon, baseline patient characteristics, circumstances of use (dose distribution and treatment persistence), incidence of diabetes (</w:t>
      </w:r>
      <w:r w:rsidR="001B2E26">
        <w:t>particularly the</w:t>
      </w:r>
      <w:r w:rsidRPr="008C5E7B">
        <w:t xml:space="preserve"> flow-on impact to cardiovascular risk), risk of CKD progression, risk of cardiovascular events (particularly coronary revascularisation procedures</w:t>
      </w:r>
      <w:r w:rsidR="00A5559A">
        <w:t xml:space="preserve"> and cardiovascular death</w:t>
      </w:r>
      <w:r w:rsidRPr="008C5E7B">
        <w:t>),</w:t>
      </w:r>
      <w:r w:rsidR="004A2D3B">
        <w:t xml:space="preserve"> BMI disutility value</w:t>
      </w:r>
      <w:r w:rsidR="006301BE">
        <w:t xml:space="preserve">, </w:t>
      </w:r>
      <w:r w:rsidR="000A6332">
        <w:rPr>
          <w:color w:val="000000" w:themeColor="text1"/>
        </w:rPr>
        <w:t>cardiovascular and kidney failure health state costs</w:t>
      </w:r>
      <w:r w:rsidR="00D04C75">
        <w:rPr>
          <w:color w:val="000000" w:themeColor="text1"/>
        </w:rPr>
        <w:t>, and</w:t>
      </w:r>
      <w:r w:rsidR="000A6332">
        <w:rPr>
          <w:color w:val="000000" w:themeColor="text1"/>
        </w:rPr>
        <w:t xml:space="preserve"> cardiovascular risk multipliers for age, BMI and diabetes status</w:t>
      </w:r>
      <w:r w:rsidR="00C41AE1">
        <w:rPr>
          <w:color w:val="000000" w:themeColor="text1"/>
        </w:rPr>
        <w:t>.</w:t>
      </w:r>
    </w:p>
    <w:p w14:paraId="4084CC06" w14:textId="3CB8BD23" w:rsidR="00C41AE1" w:rsidRPr="00473F11" w:rsidRDefault="00C41AE1" w:rsidP="00C41AE1">
      <w:pPr>
        <w:pStyle w:val="COMESnumberedpara"/>
      </w:pPr>
      <w:r w:rsidRPr="00473F11">
        <w:t>During the evaluation, additional multivariate sensitivity analyses were conducted using data from the SELECT trial to inform baseline utility values and BMI-based risk multipliers. The analyses also assessed the impact of removing the CKD progression module (which was inconsistent with trial data from SELECT)</w:t>
      </w:r>
      <w:r w:rsidR="00CB535B" w:rsidRPr="00473F11">
        <w:t>,</w:t>
      </w:r>
      <w:r w:rsidRPr="00473F11">
        <w:t xml:space="preserve"> as well as halving the cost of coronary revascularisation procedures (which were substantially overestimated in the base case analysis). The results of the multivariate analyses are shown in </w:t>
      </w:r>
      <w:r w:rsidRPr="00473F11">
        <w:fldChar w:fldCharType="begin"/>
      </w:r>
      <w:r w:rsidRPr="00473F11">
        <w:instrText xml:space="preserve"> REF _Ref207197831 \h  \* MERGEFORMAT </w:instrText>
      </w:r>
      <w:r w:rsidRPr="00473F11">
        <w:fldChar w:fldCharType="separate"/>
      </w:r>
      <w:r w:rsidR="004F1BBD">
        <w:t xml:space="preserve">Table </w:t>
      </w:r>
      <w:r w:rsidR="004F1BBD">
        <w:rPr>
          <w:noProof/>
        </w:rPr>
        <w:t>16</w:t>
      </w:r>
      <w:r w:rsidRPr="00473F11">
        <w:fldChar w:fldCharType="end"/>
      </w:r>
      <w:r w:rsidRPr="00473F11">
        <w:t>.</w:t>
      </w:r>
    </w:p>
    <w:p w14:paraId="7778D1DF" w14:textId="27F91943" w:rsidR="00C41AE1" w:rsidRDefault="00C41AE1" w:rsidP="00C41AE1">
      <w:pPr>
        <w:pStyle w:val="Caption"/>
      </w:pPr>
      <w:bookmarkStart w:id="56" w:name="_Ref207197831"/>
      <w:r>
        <w:t xml:space="preserve">Table </w:t>
      </w:r>
      <w:r w:rsidR="005448C5">
        <w:fldChar w:fldCharType="begin"/>
      </w:r>
      <w:r w:rsidR="005448C5">
        <w:instrText xml:space="preserve"> SEQ Table \* ARABIC </w:instrText>
      </w:r>
      <w:r w:rsidR="005448C5">
        <w:fldChar w:fldCharType="separate"/>
      </w:r>
      <w:r w:rsidR="004F1BBD">
        <w:rPr>
          <w:noProof/>
        </w:rPr>
        <w:t>16</w:t>
      </w:r>
      <w:r w:rsidR="005448C5">
        <w:rPr>
          <w:noProof/>
        </w:rPr>
        <w:fldChar w:fldCharType="end"/>
      </w:r>
      <w:bookmarkEnd w:id="56"/>
      <w:r w:rsidRPr="00741BD4">
        <w:t xml:space="preserve">: </w:t>
      </w:r>
      <w:r>
        <w:t>Results of multivariate s</w:t>
      </w:r>
      <w:r w:rsidRPr="00741BD4">
        <w:t>ensitivity analyses</w:t>
      </w:r>
      <w:r w:rsidR="00156A0E">
        <w:t xml:space="preserve"> conducted during the evaluation</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Results of multivariate sensitivity analyses conducted during the evaluation"/>
      </w:tblPr>
      <w:tblGrid>
        <w:gridCol w:w="3970"/>
        <w:gridCol w:w="1682"/>
        <w:gridCol w:w="1682"/>
        <w:gridCol w:w="1683"/>
      </w:tblGrid>
      <w:tr w:rsidR="00C41AE1" w:rsidRPr="00A60A39" w14:paraId="505E03A3" w14:textId="77777777">
        <w:trPr>
          <w:tblHeader/>
        </w:trPr>
        <w:tc>
          <w:tcPr>
            <w:tcW w:w="3970" w:type="dxa"/>
            <w:vMerge w:val="restart"/>
            <w:tcMar>
              <w:top w:w="0" w:type="dxa"/>
              <w:left w:w="28" w:type="dxa"/>
              <w:bottom w:w="0" w:type="dxa"/>
              <w:right w:w="28" w:type="dxa"/>
            </w:tcMar>
            <w:vAlign w:val="center"/>
          </w:tcPr>
          <w:p w14:paraId="7118434E" w14:textId="77777777" w:rsidR="00C41AE1" w:rsidRPr="00A60A39" w:rsidRDefault="00C41AE1">
            <w:pPr>
              <w:pStyle w:val="Tabletext0"/>
              <w:keepNext/>
              <w:rPr>
                <w:b/>
                <w:bCs/>
                <w:szCs w:val="20"/>
              </w:rPr>
            </w:pPr>
            <w:r w:rsidRPr="00A60A39">
              <w:rPr>
                <w:b/>
                <w:bCs/>
                <w:szCs w:val="20"/>
              </w:rPr>
              <w:t>Analyses</w:t>
            </w:r>
          </w:p>
        </w:tc>
        <w:tc>
          <w:tcPr>
            <w:tcW w:w="5047" w:type="dxa"/>
            <w:gridSpan w:val="3"/>
            <w:tcMar>
              <w:top w:w="0" w:type="dxa"/>
              <w:left w:w="28" w:type="dxa"/>
              <w:bottom w:w="0" w:type="dxa"/>
              <w:right w:w="28" w:type="dxa"/>
            </w:tcMar>
            <w:vAlign w:val="center"/>
          </w:tcPr>
          <w:p w14:paraId="4ADB0BBC" w14:textId="77777777" w:rsidR="00C41AE1" w:rsidRPr="00A60A39" w:rsidRDefault="00C41AE1">
            <w:pPr>
              <w:pStyle w:val="Tabletext0"/>
              <w:keepNext/>
              <w:jc w:val="center"/>
              <w:rPr>
                <w:b/>
                <w:bCs/>
                <w:szCs w:val="20"/>
              </w:rPr>
            </w:pPr>
            <w:r w:rsidRPr="00A60A39">
              <w:rPr>
                <w:b/>
                <w:bCs/>
                <w:szCs w:val="20"/>
              </w:rPr>
              <w:t>ICER (% change from base case)</w:t>
            </w:r>
          </w:p>
        </w:tc>
      </w:tr>
      <w:tr w:rsidR="00C41AE1" w:rsidRPr="00A60A39" w14:paraId="6FB6E3AE" w14:textId="77777777">
        <w:trPr>
          <w:tblHeader/>
        </w:trPr>
        <w:tc>
          <w:tcPr>
            <w:tcW w:w="3970" w:type="dxa"/>
            <w:vMerge/>
            <w:tcMar>
              <w:top w:w="0" w:type="dxa"/>
              <w:left w:w="28" w:type="dxa"/>
              <w:bottom w:w="0" w:type="dxa"/>
              <w:right w:w="28" w:type="dxa"/>
            </w:tcMar>
            <w:vAlign w:val="center"/>
            <w:hideMark/>
          </w:tcPr>
          <w:p w14:paraId="41BE63F9" w14:textId="77777777" w:rsidR="00C41AE1" w:rsidRPr="00A60A39" w:rsidRDefault="00C41AE1">
            <w:pPr>
              <w:pStyle w:val="Tabletext0"/>
              <w:keepNext/>
              <w:rPr>
                <w:szCs w:val="20"/>
              </w:rPr>
            </w:pPr>
          </w:p>
        </w:tc>
        <w:tc>
          <w:tcPr>
            <w:tcW w:w="1682" w:type="dxa"/>
            <w:tcMar>
              <w:top w:w="0" w:type="dxa"/>
              <w:left w:w="28" w:type="dxa"/>
              <w:bottom w:w="0" w:type="dxa"/>
              <w:right w:w="28" w:type="dxa"/>
            </w:tcMar>
            <w:vAlign w:val="center"/>
            <w:hideMark/>
          </w:tcPr>
          <w:p w14:paraId="400E268B" w14:textId="77777777" w:rsidR="00C41AE1" w:rsidRDefault="00C41AE1">
            <w:pPr>
              <w:pStyle w:val="Tabletext0"/>
              <w:keepNext/>
              <w:jc w:val="center"/>
              <w:rPr>
                <w:b/>
                <w:bCs/>
                <w:szCs w:val="20"/>
              </w:rPr>
            </w:pPr>
            <w:r>
              <w:rPr>
                <w:b/>
                <w:bCs/>
                <w:szCs w:val="20"/>
              </w:rPr>
              <w:t xml:space="preserve">CVD and BMI </w:t>
            </w:r>
          </w:p>
          <w:p w14:paraId="79E9693A" w14:textId="77777777" w:rsidR="00C41AE1" w:rsidRPr="00A60A39" w:rsidRDefault="00C41AE1">
            <w:pPr>
              <w:pStyle w:val="Tabletext0"/>
              <w:keepNext/>
              <w:jc w:val="center"/>
              <w:rPr>
                <w:b/>
                <w:bCs/>
                <w:szCs w:val="20"/>
              </w:rPr>
            </w:pPr>
            <w:r>
              <w:rPr>
                <w:b/>
                <w:bCs/>
                <w:szCs w:val="20"/>
              </w:rPr>
              <w:t>≥27 kg/m</w:t>
            </w:r>
            <w:r w:rsidRPr="00223441">
              <w:rPr>
                <w:b/>
                <w:bCs/>
                <w:szCs w:val="20"/>
                <w:vertAlign w:val="superscript"/>
              </w:rPr>
              <w:t>2</w:t>
            </w:r>
          </w:p>
        </w:tc>
        <w:tc>
          <w:tcPr>
            <w:tcW w:w="1682" w:type="dxa"/>
            <w:tcMar>
              <w:top w:w="0" w:type="dxa"/>
              <w:left w:w="28" w:type="dxa"/>
              <w:bottom w:w="0" w:type="dxa"/>
              <w:right w:w="28" w:type="dxa"/>
            </w:tcMar>
            <w:vAlign w:val="center"/>
          </w:tcPr>
          <w:p w14:paraId="0A76C1E5" w14:textId="77777777" w:rsidR="00C41AE1" w:rsidRDefault="00C41AE1">
            <w:pPr>
              <w:pStyle w:val="Tabletext0"/>
              <w:keepNext/>
              <w:jc w:val="center"/>
              <w:rPr>
                <w:b/>
                <w:bCs/>
                <w:szCs w:val="20"/>
              </w:rPr>
            </w:pPr>
            <w:r>
              <w:rPr>
                <w:b/>
                <w:bCs/>
                <w:szCs w:val="20"/>
              </w:rPr>
              <w:t xml:space="preserve">CVD and BMI </w:t>
            </w:r>
          </w:p>
          <w:p w14:paraId="08F9305B" w14:textId="77777777" w:rsidR="00C41AE1" w:rsidRPr="00A60A39" w:rsidRDefault="00C41AE1">
            <w:pPr>
              <w:pStyle w:val="Tabletext0"/>
              <w:keepNext/>
              <w:jc w:val="center"/>
              <w:rPr>
                <w:b/>
                <w:bCs/>
                <w:szCs w:val="20"/>
              </w:rPr>
            </w:pPr>
            <w:r>
              <w:rPr>
                <w:b/>
                <w:bCs/>
                <w:szCs w:val="20"/>
              </w:rPr>
              <w:t>≥35 kg/m</w:t>
            </w:r>
            <w:r w:rsidRPr="00223441">
              <w:rPr>
                <w:b/>
                <w:bCs/>
                <w:szCs w:val="20"/>
                <w:vertAlign w:val="superscript"/>
              </w:rPr>
              <w:t>2</w:t>
            </w:r>
          </w:p>
        </w:tc>
        <w:tc>
          <w:tcPr>
            <w:tcW w:w="1683" w:type="dxa"/>
            <w:tcMar>
              <w:top w:w="0" w:type="dxa"/>
              <w:left w:w="28" w:type="dxa"/>
              <w:bottom w:w="0" w:type="dxa"/>
              <w:right w:w="28" w:type="dxa"/>
            </w:tcMar>
            <w:vAlign w:val="center"/>
          </w:tcPr>
          <w:p w14:paraId="5AC0D572" w14:textId="77777777" w:rsidR="00C41AE1" w:rsidRDefault="00C41AE1">
            <w:pPr>
              <w:pStyle w:val="Tabletext0"/>
              <w:keepNext/>
              <w:jc w:val="center"/>
              <w:rPr>
                <w:b/>
                <w:bCs/>
                <w:szCs w:val="20"/>
              </w:rPr>
            </w:pPr>
            <w:r>
              <w:rPr>
                <w:b/>
                <w:bCs/>
                <w:szCs w:val="20"/>
              </w:rPr>
              <w:t xml:space="preserve">CVD and BMI </w:t>
            </w:r>
          </w:p>
          <w:p w14:paraId="32C94DB5" w14:textId="77777777" w:rsidR="00C41AE1" w:rsidRPr="00A60A39" w:rsidRDefault="00C41AE1">
            <w:pPr>
              <w:pStyle w:val="Tabletext0"/>
              <w:keepNext/>
              <w:jc w:val="center"/>
              <w:rPr>
                <w:b/>
                <w:bCs/>
                <w:szCs w:val="20"/>
              </w:rPr>
            </w:pPr>
            <w:r>
              <w:rPr>
                <w:b/>
                <w:bCs/>
                <w:szCs w:val="20"/>
              </w:rPr>
              <w:t>≥40 kg/m</w:t>
            </w:r>
            <w:r w:rsidRPr="00223441">
              <w:rPr>
                <w:b/>
                <w:bCs/>
                <w:szCs w:val="20"/>
                <w:vertAlign w:val="superscript"/>
              </w:rPr>
              <w:t>2</w:t>
            </w:r>
          </w:p>
        </w:tc>
      </w:tr>
      <w:tr w:rsidR="00C41AE1" w:rsidRPr="00A60A39" w14:paraId="5B00799E" w14:textId="77777777">
        <w:trPr>
          <w:tblHeader/>
        </w:trPr>
        <w:tc>
          <w:tcPr>
            <w:tcW w:w="3970" w:type="dxa"/>
            <w:tcMar>
              <w:top w:w="0" w:type="dxa"/>
              <w:left w:w="28" w:type="dxa"/>
              <w:bottom w:w="0" w:type="dxa"/>
              <w:right w:w="28" w:type="dxa"/>
            </w:tcMar>
            <w:hideMark/>
          </w:tcPr>
          <w:p w14:paraId="56497CA0" w14:textId="77777777" w:rsidR="00C41AE1" w:rsidRPr="00A60A39" w:rsidRDefault="00C41AE1">
            <w:pPr>
              <w:pStyle w:val="Tabletext0"/>
              <w:keepNext/>
              <w:rPr>
                <w:b/>
                <w:bCs/>
                <w:szCs w:val="20"/>
                <w:vertAlign w:val="superscript"/>
              </w:rPr>
            </w:pPr>
            <w:r w:rsidRPr="00A60A39">
              <w:rPr>
                <w:b/>
                <w:bCs/>
                <w:szCs w:val="20"/>
              </w:rPr>
              <w:t>Base cas</w:t>
            </w:r>
            <w:r w:rsidRPr="001F6890">
              <w:rPr>
                <w:b/>
                <w:bCs/>
                <w:szCs w:val="20"/>
              </w:rPr>
              <w:t>e</w:t>
            </w:r>
          </w:p>
        </w:tc>
        <w:tc>
          <w:tcPr>
            <w:tcW w:w="1682" w:type="dxa"/>
            <w:tcMar>
              <w:top w:w="0" w:type="dxa"/>
              <w:left w:w="28" w:type="dxa"/>
              <w:bottom w:w="0" w:type="dxa"/>
              <w:right w:w="28" w:type="dxa"/>
            </w:tcMar>
          </w:tcPr>
          <w:p w14:paraId="5C3EEE0D" w14:textId="3141835B" w:rsidR="00C41AE1" w:rsidRPr="00A60A39" w:rsidRDefault="00C41AE1">
            <w:pPr>
              <w:pStyle w:val="Tabletext0"/>
              <w:keepNext/>
              <w:jc w:val="center"/>
              <w:rPr>
                <w:b/>
                <w:bCs/>
                <w:szCs w:val="20"/>
              </w:rPr>
            </w:pPr>
            <w:r w:rsidRPr="00E96684">
              <w:rPr>
                <w:b/>
                <w:bCs/>
                <w:szCs w:val="20"/>
              </w:rPr>
              <w:t>$</w:t>
            </w:r>
            <w:r w:rsidR="005E35AF" w:rsidRPr="005E35AF">
              <w:rPr>
                <w:b/>
                <w:bCs/>
                <w:szCs w:val="20"/>
                <w:highlight w:val="black"/>
              </w:rPr>
              <w:t>&amp;&amp;&amp;&amp;</w:t>
            </w:r>
            <w:r w:rsidR="000C3B37">
              <w:rPr>
                <w:vertAlign w:val="superscript"/>
              </w:rPr>
              <w:t>2</w:t>
            </w:r>
          </w:p>
        </w:tc>
        <w:tc>
          <w:tcPr>
            <w:tcW w:w="1682" w:type="dxa"/>
            <w:tcMar>
              <w:top w:w="0" w:type="dxa"/>
              <w:left w:w="28" w:type="dxa"/>
              <w:bottom w:w="0" w:type="dxa"/>
              <w:right w:w="28" w:type="dxa"/>
            </w:tcMar>
          </w:tcPr>
          <w:p w14:paraId="753F4016" w14:textId="290CB3D9" w:rsidR="00C41AE1" w:rsidRPr="00A60A39" w:rsidRDefault="00C41AE1">
            <w:pPr>
              <w:pStyle w:val="Tabletext0"/>
              <w:keepNext/>
              <w:jc w:val="center"/>
              <w:rPr>
                <w:b/>
                <w:bCs/>
                <w:szCs w:val="20"/>
              </w:rPr>
            </w:pPr>
            <w:r w:rsidRPr="00657574">
              <w:rPr>
                <w:b/>
                <w:bCs/>
                <w:szCs w:val="20"/>
              </w:rPr>
              <w:t>$</w:t>
            </w:r>
            <w:r w:rsidR="005E35AF" w:rsidRPr="005E35AF">
              <w:rPr>
                <w:b/>
                <w:bCs/>
                <w:szCs w:val="20"/>
                <w:highlight w:val="black"/>
              </w:rPr>
              <w:t>&amp;&amp;&amp;&amp;</w:t>
            </w:r>
            <w:r w:rsidR="000C3B37">
              <w:rPr>
                <w:vertAlign w:val="superscript"/>
              </w:rPr>
              <w:t>2</w:t>
            </w:r>
          </w:p>
        </w:tc>
        <w:tc>
          <w:tcPr>
            <w:tcW w:w="1683" w:type="dxa"/>
            <w:tcMar>
              <w:top w:w="0" w:type="dxa"/>
              <w:left w:w="28" w:type="dxa"/>
              <w:bottom w:w="0" w:type="dxa"/>
              <w:right w:w="28" w:type="dxa"/>
            </w:tcMar>
          </w:tcPr>
          <w:p w14:paraId="168A8441" w14:textId="5EAF896A" w:rsidR="00C41AE1" w:rsidRPr="00A60A39" w:rsidRDefault="00C41AE1">
            <w:pPr>
              <w:pStyle w:val="Tabletext0"/>
              <w:keepNext/>
              <w:jc w:val="center"/>
              <w:rPr>
                <w:b/>
                <w:bCs/>
                <w:szCs w:val="20"/>
              </w:rPr>
            </w:pPr>
            <w:r w:rsidRPr="000A6332">
              <w:rPr>
                <w:b/>
                <w:bCs/>
                <w:szCs w:val="20"/>
              </w:rPr>
              <w:t>$</w:t>
            </w:r>
            <w:r w:rsidR="005E35AF" w:rsidRPr="005E35AF">
              <w:rPr>
                <w:b/>
                <w:bCs/>
                <w:szCs w:val="20"/>
                <w:highlight w:val="black"/>
              </w:rPr>
              <w:t>&amp;&amp;&amp;&amp;</w:t>
            </w:r>
            <w:r w:rsidR="00691444">
              <w:rPr>
                <w:vertAlign w:val="superscript"/>
              </w:rPr>
              <w:t>1</w:t>
            </w:r>
          </w:p>
        </w:tc>
      </w:tr>
      <w:tr w:rsidR="00C41AE1" w:rsidRPr="00D31B2F" w14:paraId="7111CB67" w14:textId="77777777">
        <w:tc>
          <w:tcPr>
            <w:tcW w:w="3970" w:type="dxa"/>
            <w:tcMar>
              <w:top w:w="0" w:type="dxa"/>
              <w:left w:w="28" w:type="dxa"/>
              <w:bottom w:w="0" w:type="dxa"/>
              <w:right w:w="28" w:type="dxa"/>
            </w:tcMar>
          </w:tcPr>
          <w:p w14:paraId="3C469198" w14:textId="77777777" w:rsidR="00C41AE1" w:rsidRPr="00D31B2F" w:rsidRDefault="00C41AE1">
            <w:pPr>
              <w:pStyle w:val="Tabletext0"/>
              <w:rPr>
                <w:szCs w:val="20"/>
              </w:rPr>
            </w:pPr>
            <w:r w:rsidRPr="00D31B2F">
              <w:rPr>
                <w:szCs w:val="20"/>
              </w:rPr>
              <w:t>Step 1: Baseline utility scores from the SELECT trial</w:t>
            </w:r>
          </w:p>
        </w:tc>
        <w:tc>
          <w:tcPr>
            <w:tcW w:w="1682" w:type="dxa"/>
            <w:tcMar>
              <w:top w:w="0" w:type="dxa"/>
              <w:left w:w="28" w:type="dxa"/>
              <w:bottom w:w="0" w:type="dxa"/>
              <w:right w:w="28" w:type="dxa"/>
            </w:tcMar>
          </w:tcPr>
          <w:p w14:paraId="7A4C3CF9" w14:textId="1EABDF6E" w:rsidR="00C41AE1" w:rsidRPr="00D31B2F" w:rsidRDefault="00C41AE1">
            <w:pPr>
              <w:pStyle w:val="Tabletext0"/>
              <w:jc w:val="center"/>
              <w:rPr>
                <w:szCs w:val="20"/>
              </w:rPr>
            </w:pPr>
            <w:r w:rsidRPr="00D31B2F">
              <w:rPr>
                <w:szCs w:val="20"/>
              </w:rPr>
              <w:t>$</w:t>
            </w:r>
            <w:r w:rsidR="005E35AF" w:rsidRPr="005E35AF">
              <w:rPr>
                <w:szCs w:val="20"/>
                <w:highlight w:val="black"/>
              </w:rPr>
              <w:t>&amp;&amp;&amp;&amp;</w:t>
            </w:r>
            <w:r w:rsidR="000C3B37">
              <w:rPr>
                <w:vertAlign w:val="superscript"/>
              </w:rPr>
              <w:t>2</w:t>
            </w:r>
            <w:r w:rsidRPr="00D31B2F">
              <w:rPr>
                <w:szCs w:val="20"/>
              </w:rPr>
              <w:t xml:space="preserve"> </w:t>
            </w:r>
            <w:r w:rsidRPr="00834AF1">
              <w:rPr>
                <w:szCs w:val="20"/>
              </w:rPr>
              <w:t>(-</w:t>
            </w:r>
            <w:r w:rsidR="005E35AF" w:rsidRPr="005E35AF">
              <w:rPr>
                <w:szCs w:val="20"/>
                <w:highlight w:val="black"/>
              </w:rPr>
              <w:t>&amp;&amp;&amp;&amp;</w:t>
            </w:r>
            <w:r w:rsidRPr="00D31B2F">
              <w:rPr>
                <w:szCs w:val="20"/>
              </w:rPr>
              <w:t>%)</w:t>
            </w:r>
          </w:p>
        </w:tc>
        <w:tc>
          <w:tcPr>
            <w:tcW w:w="1682" w:type="dxa"/>
            <w:tcMar>
              <w:top w:w="0" w:type="dxa"/>
              <w:left w:w="28" w:type="dxa"/>
              <w:bottom w:w="0" w:type="dxa"/>
              <w:right w:w="28" w:type="dxa"/>
            </w:tcMar>
          </w:tcPr>
          <w:p w14:paraId="59CC049B" w14:textId="264680B6" w:rsidR="00C41AE1" w:rsidRPr="00D31B2F" w:rsidRDefault="00C41AE1">
            <w:pPr>
              <w:pStyle w:val="Tabletext0"/>
              <w:jc w:val="center"/>
              <w:rPr>
                <w:szCs w:val="20"/>
              </w:rPr>
            </w:pPr>
            <w:r w:rsidRPr="00D31B2F">
              <w:rPr>
                <w:szCs w:val="20"/>
              </w:rPr>
              <w:t>$</w:t>
            </w:r>
            <w:r w:rsidR="005E35AF" w:rsidRPr="005E35AF">
              <w:rPr>
                <w:szCs w:val="20"/>
                <w:highlight w:val="black"/>
              </w:rPr>
              <w:t>&amp;&amp;&amp;&amp;</w:t>
            </w:r>
            <w:r w:rsidR="000C3B37">
              <w:rPr>
                <w:vertAlign w:val="superscript"/>
              </w:rPr>
              <w:t>2</w:t>
            </w:r>
            <w:r w:rsidRPr="00D31B2F">
              <w:rPr>
                <w:szCs w:val="20"/>
              </w:rPr>
              <w:t xml:space="preserve"> (</w:t>
            </w:r>
            <w:r w:rsidR="005E35AF" w:rsidRPr="005E35AF">
              <w:rPr>
                <w:szCs w:val="20"/>
                <w:highlight w:val="black"/>
              </w:rPr>
              <w:t>&amp;&amp;&amp;&amp;</w:t>
            </w:r>
            <w:r w:rsidRPr="00D31B2F">
              <w:rPr>
                <w:szCs w:val="20"/>
              </w:rPr>
              <w:t>%)</w:t>
            </w:r>
          </w:p>
        </w:tc>
        <w:tc>
          <w:tcPr>
            <w:tcW w:w="1683" w:type="dxa"/>
            <w:tcMar>
              <w:top w:w="0" w:type="dxa"/>
              <w:left w:w="28" w:type="dxa"/>
              <w:bottom w:w="0" w:type="dxa"/>
              <w:right w:w="28" w:type="dxa"/>
            </w:tcMar>
          </w:tcPr>
          <w:p w14:paraId="02D99ABC" w14:textId="78EF58F3" w:rsidR="00C41AE1" w:rsidRPr="00D31B2F" w:rsidRDefault="00C41AE1">
            <w:pPr>
              <w:pStyle w:val="Tabletext0"/>
              <w:jc w:val="center"/>
              <w:rPr>
                <w:szCs w:val="20"/>
              </w:rPr>
            </w:pPr>
            <w:r w:rsidRPr="00D31B2F">
              <w:rPr>
                <w:szCs w:val="20"/>
              </w:rPr>
              <w:t>$</w:t>
            </w:r>
            <w:r w:rsidR="005E35AF" w:rsidRPr="005E35AF">
              <w:rPr>
                <w:szCs w:val="20"/>
                <w:highlight w:val="black"/>
              </w:rPr>
              <w:t>&amp;&amp;&amp;&amp;</w:t>
            </w:r>
            <w:r w:rsidR="00691444">
              <w:rPr>
                <w:vertAlign w:val="superscript"/>
              </w:rPr>
              <w:t>1</w:t>
            </w:r>
            <w:r w:rsidRPr="00D31B2F">
              <w:rPr>
                <w:szCs w:val="20"/>
              </w:rPr>
              <w:t xml:space="preserve"> (</w:t>
            </w:r>
            <w:r w:rsidRPr="00834AF1">
              <w:rPr>
                <w:szCs w:val="20"/>
              </w:rPr>
              <w:t>+</w:t>
            </w:r>
            <w:r w:rsidR="005E35AF" w:rsidRPr="005E35AF">
              <w:rPr>
                <w:szCs w:val="20"/>
                <w:highlight w:val="black"/>
              </w:rPr>
              <w:t>&amp;&amp;&amp;&amp;</w:t>
            </w:r>
            <w:r w:rsidRPr="00D31B2F">
              <w:rPr>
                <w:szCs w:val="20"/>
              </w:rPr>
              <w:t>%)</w:t>
            </w:r>
          </w:p>
        </w:tc>
      </w:tr>
      <w:tr w:rsidR="00C41AE1" w:rsidRPr="00D31B2F" w14:paraId="660C8882" w14:textId="77777777">
        <w:tc>
          <w:tcPr>
            <w:tcW w:w="3970" w:type="dxa"/>
            <w:tcMar>
              <w:top w:w="0" w:type="dxa"/>
              <w:left w:w="28" w:type="dxa"/>
              <w:bottom w:w="0" w:type="dxa"/>
              <w:right w:w="28" w:type="dxa"/>
            </w:tcMar>
          </w:tcPr>
          <w:p w14:paraId="52B51599" w14:textId="4D1DD0DB" w:rsidR="00C41AE1" w:rsidRPr="00D31B2F" w:rsidRDefault="00C41AE1">
            <w:pPr>
              <w:pStyle w:val="Tabletext0"/>
              <w:rPr>
                <w:szCs w:val="20"/>
              </w:rPr>
            </w:pPr>
            <w:r w:rsidRPr="00D31B2F">
              <w:rPr>
                <w:szCs w:val="20"/>
              </w:rPr>
              <w:t xml:space="preserve">Step 2: </w:t>
            </w:r>
            <w:r w:rsidR="00DA0867" w:rsidRPr="00D31B2F">
              <w:rPr>
                <w:szCs w:val="20"/>
              </w:rPr>
              <w:t xml:space="preserve">As for Step 1, </w:t>
            </w:r>
            <w:r w:rsidR="00F42041" w:rsidRPr="00D31B2F">
              <w:rPr>
                <w:szCs w:val="20"/>
              </w:rPr>
              <w:t>and including</w:t>
            </w:r>
            <w:r w:rsidRPr="00D31B2F">
              <w:rPr>
                <w:szCs w:val="20"/>
              </w:rPr>
              <w:t xml:space="preserve"> BMI risk multipliers for cardiovascular events and diabetes based on data from the SELECT trial</w:t>
            </w:r>
          </w:p>
        </w:tc>
        <w:tc>
          <w:tcPr>
            <w:tcW w:w="1682" w:type="dxa"/>
            <w:tcMar>
              <w:top w:w="0" w:type="dxa"/>
              <w:left w:w="28" w:type="dxa"/>
              <w:bottom w:w="0" w:type="dxa"/>
              <w:right w:w="28" w:type="dxa"/>
            </w:tcMar>
            <w:vAlign w:val="center"/>
          </w:tcPr>
          <w:p w14:paraId="080A5DA3" w14:textId="3E445734" w:rsidR="00C41AE1" w:rsidRPr="00D31B2F" w:rsidRDefault="00C41AE1">
            <w:pPr>
              <w:pStyle w:val="Tabletext0"/>
              <w:jc w:val="center"/>
              <w:rPr>
                <w:szCs w:val="20"/>
              </w:rPr>
            </w:pPr>
            <w:r w:rsidRPr="00D31B2F">
              <w:rPr>
                <w:szCs w:val="20"/>
              </w:rPr>
              <w:t>$</w:t>
            </w:r>
            <w:r w:rsidR="005E35AF" w:rsidRPr="005E35AF">
              <w:rPr>
                <w:szCs w:val="20"/>
                <w:highlight w:val="black"/>
              </w:rPr>
              <w:t>&amp;&amp;&amp;&amp;</w:t>
            </w:r>
            <w:r w:rsidR="000C3B37">
              <w:rPr>
                <w:vertAlign w:val="superscript"/>
              </w:rPr>
              <w:t>2</w:t>
            </w:r>
            <w:r w:rsidRPr="00D31B2F">
              <w:rPr>
                <w:szCs w:val="20"/>
              </w:rPr>
              <w:t xml:space="preserve"> (</w:t>
            </w:r>
            <w:r w:rsidRPr="00834AF1">
              <w:rPr>
                <w:szCs w:val="20"/>
              </w:rPr>
              <w:t>-</w:t>
            </w:r>
            <w:r w:rsidR="005E35AF" w:rsidRPr="005E35AF">
              <w:rPr>
                <w:szCs w:val="20"/>
                <w:highlight w:val="black"/>
              </w:rPr>
              <w:t>&amp;&amp;&amp;&amp;</w:t>
            </w:r>
            <w:r w:rsidRPr="00D31B2F">
              <w:rPr>
                <w:szCs w:val="20"/>
              </w:rPr>
              <w:t>%)</w:t>
            </w:r>
          </w:p>
        </w:tc>
        <w:tc>
          <w:tcPr>
            <w:tcW w:w="1682" w:type="dxa"/>
            <w:tcMar>
              <w:top w:w="0" w:type="dxa"/>
              <w:left w:w="28" w:type="dxa"/>
              <w:bottom w:w="0" w:type="dxa"/>
              <w:right w:w="28" w:type="dxa"/>
            </w:tcMar>
            <w:vAlign w:val="center"/>
          </w:tcPr>
          <w:p w14:paraId="10B6DB88" w14:textId="0BE617E1" w:rsidR="00C41AE1" w:rsidRPr="00D31B2F" w:rsidRDefault="00C41AE1">
            <w:pPr>
              <w:pStyle w:val="Tabletext0"/>
              <w:jc w:val="center"/>
              <w:rPr>
                <w:szCs w:val="20"/>
              </w:rPr>
            </w:pPr>
            <w:r w:rsidRPr="00D31B2F">
              <w:rPr>
                <w:szCs w:val="20"/>
              </w:rPr>
              <w:t>$</w:t>
            </w:r>
            <w:r w:rsidR="005E35AF" w:rsidRPr="005E35AF">
              <w:rPr>
                <w:szCs w:val="20"/>
                <w:highlight w:val="black"/>
              </w:rPr>
              <w:t>&amp;&amp;&amp;&amp;</w:t>
            </w:r>
            <w:r w:rsidR="000C3B37">
              <w:rPr>
                <w:vertAlign w:val="superscript"/>
              </w:rPr>
              <w:t>2</w:t>
            </w:r>
            <w:r w:rsidRPr="00D31B2F">
              <w:rPr>
                <w:szCs w:val="20"/>
              </w:rPr>
              <w:t xml:space="preserve"> </w:t>
            </w:r>
            <w:r w:rsidRPr="00834AF1">
              <w:rPr>
                <w:szCs w:val="20"/>
              </w:rPr>
              <w:t>(+</w:t>
            </w:r>
            <w:r w:rsidR="005E35AF" w:rsidRPr="005E35AF">
              <w:rPr>
                <w:szCs w:val="20"/>
                <w:highlight w:val="black"/>
              </w:rPr>
              <w:t>&amp;&amp;&amp;&amp;</w:t>
            </w:r>
            <w:r w:rsidRPr="00D31B2F">
              <w:rPr>
                <w:szCs w:val="20"/>
              </w:rPr>
              <w:t>%)</w:t>
            </w:r>
          </w:p>
        </w:tc>
        <w:tc>
          <w:tcPr>
            <w:tcW w:w="1683" w:type="dxa"/>
            <w:tcMar>
              <w:top w:w="0" w:type="dxa"/>
              <w:left w:w="28" w:type="dxa"/>
              <w:bottom w:w="0" w:type="dxa"/>
              <w:right w:w="28" w:type="dxa"/>
            </w:tcMar>
            <w:vAlign w:val="center"/>
          </w:tcPr>
          <w:p w14:paraId="5210B56A" w14:textId="0B8DEFD2" w:rsidR="00C41AE1" w:rsidRPr="00D31B2F" w:rsidRDefault="00C41AE1">
            <w:pPr>
              <w:pStyle w:val="Tabletext0"/>
              <w:jc w:val="center"/>
              <w:rPr>
                <w:szCs w:val="20"/>
              </w:rPr>
            </w:pPr>
            <w:r w:rsidRPr="00D31B2F">
              <w:rPr>
                <w:szCs w:val="20"/>
              </w:rPr>
              <w:t>$</w:t>
            </w:r>
            <w:r w:rsidR="005E35AF" w:rsidRPr="005E35AF">
              <w:rPr>
                <w:szCs w:val="20"/>
                <w:highlight w:val="black"/>
              </w:rPr>
              <w:t>&amp;&amp;&amp;&amp;</w:t>
            </w:r>
            <w:r w:rsidR="000C3B37">
              <w:rPr>
                <w:vertAlign w:val="superscript"/>
              </w:rPr>
              <w:t>2</w:t>
            </w:r>
            <w:r w:rsidRPr="00D31B2F">
              <w:rPr>
                <w:szCs w:val="20"/>
              </w:rPr>
              <w:t xml:space="preserve"> (</w:t>
            </w:r>
            <w:r w:rsidRPr="00834AF1">
              <w:rPr>
                <w:szCs w:val="20"/>
              </w:rPr>
              <w:t>+</w:t>
            </w:r>
            <w:r w:rsidR="005E35AF" w:rsidRPr="005E35AF">
              <w:rPr>
                <w:szCs w:val="20"/>
                <w:highlight w:val="black"/>
              </w:rPr>
              <w:t>&amp;&amp;&amp;&amp;</w:t>
            </w:r>
            <w:r w:rsidRPr="00D31B2F">
              <w:rPr>
                <w:szCs w:val="20"/>
              </w:rPr>
              <w:t>%)</w:t>
            </w:r>
          </w:p>
        </w:tc>
      </w:tr>
      <w:tr w:rsidR="00C41AE1" w:rsidRPr="00D31B2F" w14:paraId="71FC4D75" w14:textId="77777777">
        <w:tc>
          <w:tcPr>
            <w:tcW w:w="3970" w:type="dxa"/>
            <w:tcMar>
              <w:top w:w="0" w:type="dxa"/>
              <w:left w:w="28" w:type="dxa"/>
              <w:bottom w:w="0" w:type="dxa"/>
              <w:right w:w="28" w:type="dxa"/>
            </w:tcMar>
          </w:tcPr>
          <w:p w14:paraId="09DDDDBD" w14:textId="0C02FF59" w:rsidR="00C41AE1" w:rsidRPr="00D31B2F" w:rsidRDefault="00C41AE1">
            <w:pPr>
              <w:pStyle w:val="Tabletext0"/>
              <w:rPr>
                <w:szCs w:val="20"/>
              </w:rPr>
            </w:pPr>
            <w:r w:rsidRPr="00D31B2F">
              <w:rPr>
                <w:szCs w:val="20"/>
              </w:rPr>
              <w:t xml:space="preserve">Step 3: </w:t>
            </w:r>
            <w:r w:rsidR="00415460" w:rsidRPr="00D31B2F">
              <w:rPr>
                <w:szCs w:val="20"/>
              </w:rPr>
              <w:t>As for Step 2, and removing the</w:t>
            </w:r>
            <w:r w:rsidRPr="00D31B2F">
              <w:rPr>
                <w:szCs w:val="20"/>
              </w:rPr>
              <w:t xml:space="preserve"> CKD module </w:t>
            </w:r>
            <w:r w:rsidRPr="00D31B2F">
              <w:rPr>
                <w:szCs w:val="20"/>
              </w:rPr>
              <w:br/>
              <w:t>(no risk of progression in either arm)</w:t>
            </w:r>
          </w:p>
        </w:tc>
        <w:tc>
          <w:tcPr>
            <w:tcW w:w="1682" w:type="dxa"/>
            <w:tcMar>
              <w:top w:w="0" w:type="dxa"/>
              <w:left w:w="28" w:type="dxa"/>
              <w:bottom w:w="0" w:type="dxa"/>
              <w:right w:w="28" w:type="dxa"/>
            </w:tcMar>
            <w:vAlign w:val="center"/>
          </w:tcPr>
          <w:p w14:paraId="1F904E77" w14:textId="2BBF9712" w:rsidR="00C41AE1" w:rsidRPr="00D31B2F" w:rsidRDefault="00C41AE1">
            <w:pPr>
              <w:pStyle w:val="Tabletext0"/>
              <w:jc w:val="center"/>
              <w:rPr>
                <w:szCs w:val="20"/>
              </w:rPr>
            </w:pPr>
            <w:r w:rsidRPr="00D31B2F">
              <w:rPr>
                <w:szCs w:val="20"/>
              </w:rPr>
              <w:t>$</w:t>
            </w:r>
            <w:r w:rsidR="005E35AF" w:rsidRPr="005E35AF">
              <w:rPr>
                <w:szCs w:val="20"/>
                <w:highlight w:val="black"/>
              </w:rPr>
              <w:t>&amp;&amp;&amp;&amp;</w:t>
            </w:r>
            <w:r w:rsidR="0065332B">
              <w:rPr>
                <w:vertAlign w:val="superscript"/>
              </w:rPr>
              <w:t>3</w:t>
            </w:r>
            <w:r w:rsidRPr="00D31B2F">
              <w:rPr>
                <w:szCs w:val="20"/>
              </w:rPr>
              <w:t xml:space="preserve"> (</w:t>
            </w:r>
            <w:r w:rsidRPr="00834AF1">
              <w:rPr>
                <w:szCs w:val="20"/>
              </w:rPr>
              <w:t>+</w:t>
            </w:r>
            <w:r w:rsidR="005E35AF" w:rsidRPr="005E35AF">
              <w:rPr>
                <w:szCs w:val="20"/>
                <w:highlight w:val="black"/>
              </w:rPr>
              <w:t>&amp;&amp;&amp;&amp;</w:t>
            </w:r>
            <w:r w:rsidRPr="00D31B2F">
              <w:rPr>
                <w:szCs w:val="20"/>
              </w:rPr>
              <w:t>%)</w:t>
            </w:r>
          </w:p>
        </w:tc>
        <w:tc>
          <w:tcPr>
            <w:tcW w:w="1682" w:type="dxa"/>
            <w:tcMar>
              <w:top w:w="0" w:type="dxa"/>
              <w:left w:w="28" w:type="dxa"/>
              <w:bottom w:w="0" w:type="dxa"/>
              <w:right w:w="28" w:type="dxa"/>
            </w:tcMar>
            <w:vAlign w:val="center"/>
          </w:tcPr>
          <w:p w14:paraId="7E1EE48C" w14:textId="1B5333AB" w:rsidR="00C41AE1" w:rsidRPr="00D31B2F" w:rsidRDefault="00C41AE1">
            <w:pPr>
              <w:pStyle w:val="Tabletext0"/>
              <w:jc w:val="center"/>
              <w:rPr>
                <w:szCs w:val="20"/>
              </w:rPr>
            </w:pPr>
            <w:r w:rsidRPr="00D31B2F">
              <w:rPr>
                <w:szCs w:val="20"/>
              </w:rPr>
              <w:t>$</w:t>
            </w:r>
            <w:r w:rsidR="005E35AF" w:rsidRPr="005E35AF">
              <w:rPr>
                <w:szCs w:val="20"/>
                <w:highlight w:val="black"/>
              </w:rPr>
              <w:t>&amp;&amp;&amp;&amp;</w:t>
            </w:r>
            <w:r w:rsidR="0065332B">
              <w:rPr>
                <w:vertAlign w:val="superscript"/>
              </w:rPr>
              <w:t>3</w:t>
            </w:r>
            <w:r w:rsidRPr="00D31B2F">
              <w:rPr>
                <w:szCs w:val="20"/>
              </w:rPr>
              <w:t xml:space="preserve"> (</w:t>
            </w:r>
            <w:r w:rsidRPr="00834AF1">
              <w:rPr>
                <w:szCs w:val="20"/>
              </w:rPr>
              <w:t>+</w:t>
            </w:r>
            <w:r w:rsidR="005E35AF" w:rsidRPr="005E35AF">
              <w:rPr>
                <w:szCs w:val="20"/>
                <w:highlight w:val="black"/>
              </w:rPr>
              <w:t>&amp;&amp;&amp;&amp;</w:t>
            </w:r>
            <w:r w:rsidRPr="00D31B2F">
              <w:rPr>
                <w:szCs w:val="20"/>
              </w:rPr>
              <w:t>%)</w:t>
            </w:r>
          </w:p>
        </w:tc>
        <w:tc>
          <w:tcPr>
            <w:tcW w:w="1683" w:type="dxa"/>
            <w:tcMar>
              <w:top w:w="0" w:type="dxa"/>
              <w:left w:w="28" w:type="dxa"/>
              <w:bottom w:w="0" w:type="dxa"/>
              <w:right w:w="28" w:type="dxa"/>
            </w:tcMar>
            <w:vAlign w:val="center"/>
          </w:tcPr>
          <w:p w14:paraId="0232CD58" w14:textId="783F972F" w:rsidR="00C41AE1" w:rsidRPr="00D31B2F" w:rsidRDefault="00C41AE1">
            <w:pPr>
              <w:pStyle w:val="Tabletext0"/>
              <w:jc w:val="center"/>
              <w:rPr>
                <w:szCs w:val="20"/>
              </w:rPr>
            </w:pPr>
            <w:r w:rsidRPr="00D31B2F">
              <w:rPr>
                <w:szCs w:val="20"/>
              </w:rPr>
              <w:t>$</w:t>
            </w:r>
            <w:r w:rsidR="005E35AF" w:rsidRPr="005E35AF">
              <w:rPr>
                <w:szCs w:val="20"/>
                <w:highlight w:val="black"/>
              </w:rPr>
              <w:t>&amp;&amp;&amp;&amp;</w:t>
            </w:r>
            <w:r w:rsidR="0065332B">
              <w:rPr>
                <w:vertAlign w:val="superscript"/>
              </w:rPr>
              <w:t>3</w:t>
            </w:r>
            <w:r w:rsidRPr="00D31B2F">
              <w:rPr>
                <w:szCs w:val="20"/>
              </w:rPr>
              <w:t xml:space="preserve"> </w:t>
            </w:r>
            <w:r w:rsidRPr="00834AF1">
              <w:rPr>
                <w:szCs w:val="20"/>
              </w:rPr>
              <w:t>(+</w:t>
            </w:r>
            <w:r w:rsidR="005E35AF" w:rsidRPr="005E35AF">
              <w:rPr>
                <w:szCs w:val="20"/>
                <w:highlight w:val="black"/>
              </w:rPr>
              <w:t>&amp;&amp;&amp;&amp;</w:t>
            </w:r>
            <w:r w:rsidRPr="00D31B2F">
              <w:rPr>
                <w:szCs w:val="20"/>
              </w:rPr>
              <w:t>%)</w:t>
            </w:r>
          </w:p>
        </w:tc>
      </w:tr>
      <w:tr w:rsidR="00C41AE1" w:rsidRPr="00D31B2F" w14:paraId="558FE599" w14:textId="77777777">
        <w:tc>
          <w:tcPr>
            <w:tcW w:w="3970" w:type="dxa"/>
            <w:tcMar>
              <w:top w:w="0" w:type="dxa"/>
              <w:left w:w="28" w:type="dxa"/>
              <w:bottom w:w="0" w:type="dxa"/>
              <w:right w:w="28" w:type="dxa"/>
            </w:tcMar>
            <w:hideMark/>
          </w:tcPr>
          <w:p w14:paraId="77346CF3" w14:textId="41791412" w:rsidR="00C41AE1" w:rsidRPr="00D31B2F" w:rsidRDefault="00C41AE1">
            <w:pPr>
              <w:pStyle w:val="Tabletext0"/>
              <w:rPr>
                <w:szCs w:val="20"/>
              </w:rPr>
            </w:pPr>
            <w:r w:rsidRPr="00D31B2F">
              <w:rPr>
                <w:szCs w:val="20"/>
              </w:rPr>
              <w:t xml:space="preserve">Step 4: </w:t>
            </w:r>
            <w:r w:rsidR="00415460" w:rsidRPr="00D31B2F">
              <w:rPr>
                <w:szCs w:val="20"/>
              </w:rPr>
              <w:t xml:space="preserve">As for Step 3, </w:t>
            </w:r>
            <w:r w:rsidR="00F42041" w:rsidRPr="00D31B2F">
              <w:rPr>
                <w:szCs w:val="20"/>
              </w:rPr>
              <w:t>and halving</w:t>
            </w:r>
            <w:r w:rsidRPr="00D31B2F">
              <w:rPr>
                <w:szCs w:val="20"/>
              </w:rPr>
              <w:t xml:space="preserve"> coronary revascularisation acute event costs</w:t>
            </w:r>
          </w:p>
        </w:tc>
        <w:tc>
          <w:tcPr>
            <w:tcW w:w="1682" w:type="dxa"/>
            <w:tcMar>
              <w:top w:w="0" w:type="dxa"/>
              <w:left w:w="28" w:type="dxa"/>
              <w:bottom w:w="0" w:type="dxa"/>
              <w:right w:w="28" w:type="dxa"/>
            </w:tcMar>
            <w:vAlign w:val="center"/>
          </w:tcPr>
          <w:p w14:paraId="3144A954" w14:textId="5D6B5F76" w:rsidR="00C41AE1" w:rsidRPr="00D31B2F" w:rsidRDefault="00C41AE1">
            <w:pPr>
              <w:pStyle w:val="Tabletext0"/>
              <w:jc w:val="center"/>
              <w:rPr>
                <w:szCs w:val="20"/>
              </w:rPr>
            </w:pPr>
            <w:r w:rsidRPr="00D31B2F">
              <w:rPr>
                <w:szCs w:val="20"/>
              </w:rPr>
              <w:t>$</w:t>
            </w:r>
            <w:r w:rsidR="005E35AF" w:rsidRPr="005E35AF">
              <w:rPr>
                <w:szCs w:val="20"/>
                <w:highlight w:val="black"/>
              </w:rPr>
              <w:t>&amp;&amp;&amp;&amp;</w:t>
            </w:r>
            <w:r w:rsidR="0065332B">
              <w:rPr>
                <w:vertAlign w:val="superscript"/>
              </w:rPr>
              <w:t>3</w:t>
            </w:r>
            <w:r w:rsidRPr="00D31B2F">
              <w:rPr>
                <w:szCs w:val="20"/>
              </w:rPr>
              <w:t xml:space="preserve"> (</w:t>
            </w:r>
            <w:r w:rsidRPr="00834AF1">
              <w:rPr>
                <w:szCs w:val="20"/>
              </w:rPr>
              <w:t>+</w:t>
            </w:r>
            <w:r w:rsidR="005E35AF" w:rsidRPr="005E35AF">
              <w:rPr>
                <w:szCs w:val="20"/>
                <w:highlight w:val="black"/>
              </w:rPr>
              <w:t>&amp;&amp;&amp;&amp;</w:t>
            </w:r>
            <w:r w:rsidRPr="00D31B2F">
              <w:rPr>
                <w:szCs w:val="20"/>
              </w:rPr>
              <w:t>%)</w:t>
            </w:r>
          </w:p>
        </w:tc>
        <w:tc>
          <w:tcPr>
            <w:tcW w:w="1682" w:type="dxa"/>
            <w:tcMar>
              <w:top w:w="0" w:type="dxa"/>
              <w:left w:w="28" w:type="dxa"/>
              <w:bottom w:w="0" w:type="dxa"/>
              <w:right w:w="28" w:type="dxa"/>
            </w:tcMar>
            <w:vAlign w:val="center"/>
          </w:tcPr>
          <w:p w14:paraId="3220C984" w14:textId="180B6426" w:rsidR="00C41AE1" w:rsidRPr="00D31B2F" w:rsidRDefault="00C41AE1">
            <w:pPr>
              <w:pStyle w:val="Tabletext0"/>
              <w:jc w:val="center"/>
              <w:rPr>
                <w:szCs w:val="20"/>
              </w:rPr>
            </w:pPr>
            <w:r w:rsidRPr="00D31B2F">
              <w:rPr>
                <w:szCs w:val="20"/>
              </w:rPr>
              <w:t>$</w:t>
            </w:r>
            <w:r w:rsidR="005E35AF" w:rsidRPr="005E35AF">
              <w:rPr>
                <w:szCs w:val="20"/>
                <w:highlight w:val="black"/>
              </w:rPr>
              <w:t>&amp;&amp;&amp;&amp;</w:t>
            </w:r>
            <w:r w:rsidR="0065332B">
              <w:rPr>
                <w:vertAlign w:val="superscript"/>
              </w:rPr>
              <w:t>3</w:t>
            </w:r>
            <w:r w:rsidRPr="00D31B2F">
              <w:rPr>
                <w:szCs w:val="20"/>
              </w:rPr>
              <w:t xml:space="preserve"> (</w:t>
            </w:r>
            <w:r w:rsidRPr="00834AF1">
              <w:rPr>
                <w:szCs w:val="20"/>
              </w:rPr>
              <w:t>+</w:t>
            </w:r>
            <w:r w:rsidR="005E35AF" w:rsidRPr="005E35AF">
              <w:rPr>
                <w:szCs w:val="20"/>
                <w:highlight w:val="black"/>
              </w:rPr>
              <w:t>&amp;&amp;&amp;&amp;</w:t>
            </w:r>
            <w:r w:rsidRPr="00D31B2F">
              <w:rPr>
                <w:szCs w:val="20"/>
              </w:rPr>
              <w:t>%)</w:t>
            </w:r>
          </w:p>
        </w:tc>
        <w:tc>
          <w:tcPr>
            <w:tcW w:w="1683" w:type="dxa"/>
            <w:tcMar>
              <w:top w:w="0" w:type="dxa"/>
              <w:left w:w="28" w:type="dxa"/>
              <w:bottom w:w="0" w:type="dxa"/>
              <w:right w:w="28" w:type="dxa"/>
            </w:tcMar>
            <w:vAlign w:val="center"/>
          </w:tcPr>
          <w:p w14:paraId="2EDFAA2A" w14:textId="27D6FF4C" w:rsidR="00C41AE1" w:rsidRPr="00D31B2F" w:rsidRDefault="00C41AE1">
            <w:pPr>
              <w:pStyle w:val="Tabletext0"/>
              <w:jc w:val="center"/>
              <w:rPr>
                <w:szCs w:val="20"/>
              </w:rPr>
            </w:pPr>
            <w:r w:rsidRPr="00D31B2F">
              <w:rPr>
                <w:szCs w:val="20"/>
              </w:rPr>
              <w:t>$</w:t>
            </w:r>
            <w:r w:rsidR="005E35AF" w:rsidRPr="005E35AF">
              <w:rPr>
                <w:szCs w:val="20"/>
                <w:highlight w:val="black"/>
              </w:rPr>
              <w:t>&amp;&amp;&amp;&amp;</w:t>
            </w:r>
            <w:r w:rsidR="0065332B">
              <w:rPr>
                <w:vertAlign w:val="superscript"/>
              </w:rPr>
              <w:t>3</w:t>
            </w:r>
            <w:r w:rsidRPr="00D31B2F">
              <w:rPr>
                <w:szCs w:val="20"/>
              </w:rPr>
              <w:t xml:space="preserve"> (</w:t>
            </w:r>
            <w:r w:rsidRPr="00834AF1">
              <w:rPr>
                <w:szCs w:val="20"/>
              </w:rPr>
              <w:t>+</w:t>
            </w:r>
            <w:r w:rsidR="005E35AF" w:rsidRPr="005E35AF">
              <w:rPr>
                <w:szCs w:val="20"/>
                <w:highlight w:val="black"/>
              </w:rPr>
              <w:t>&amp;&amp;&amp;&amp;</w:t>
            </w:r>
            <w:r w:rsidRPr="00D31B2F">
              <w:rPr>
                <w:szCs w:val="20"/>
              </w:rPr>
              <w:t>%)</w:t>
            </w:r>
          </w:p>
        </w:tc>
      </w:tr>
    </w:tbl>
    <w:p w14:paraId="0C67FE58" w14:textId="77777777" w:rsidR="00C41AE1" w:rsidRPr="00D31B2F" w:rsidRDefault="00C41AE1" w:rsidP="00C41AE1">
      <w:pPr>
        <w:pStyle w:val="COMTablefooter"/>
      </w:pPr>
      <w:r w:rsidRPr="00D31B2F">
        <w:t>Source: ‘Section 3 Workbook’ provided with the resubmission.</w:t>
      </w:r>
    </w:p>
    <w:p w14:paraId="398326EB" w14:textId="160B4E47" w:rsidR="00C41AE1" w:rsidRPr="00D31B2F" w:rsidRDefault="00C41AE1" w:rsidP="00C41AE1">
      <w:pPr>
        <w:pStyle w:val="COMTablefooter"/>
      </w:pPr>
      <w:r w:rsidRPr="00D31B2F">
        <w:t>Abbreviations: BMI, body mass index; CKD, chronic kidney disease; CVD, cardiovascular</w:t>
      </w:r>
      <w:r w:rsidR="0040038C" w:rsidRPr="00D31B2F">
        <w:t xml:space="preserve"> disease</w:t>
      </w:r>
      <w:r w:rsidRPr="00D31B2F">
        <w:t>; ICER, incremental cost effectiveness ratio; QALY, quality-adjusted life year</w:t>
      </w:r>
    </w:p>
    <w:p w14:paraId="2323377C" w14:textId="570AF64A" w:rsidR="001B7CCA" w:rsidRPr="00D31B2F" w:rsidRDefault="001B7CCA" w:rsidP="001B7CCA">
      <w:pPr>
        <w:pStyle w:val="COMTablefooter"/>
      </w:pPr>
      <w:r w:rsidRPr="00D31B2F">
        <w:t xml:space="preserve">Note: The effective DPMQs estimated for semaglutide in the resubmission were calculated using a non-standard methodology. During the evaluation, the sponsor confirmed the calculation of revised effective DPMQs estimated using standard methods. These revised prices were used in the </w:t>
      </w:r>
      <w:r w:rsidR="00C26088" w:rsidRPr="00D31B2F">
        <w:t>evaluation</w:t>
      </w:r>
      <w:r w:rsidRPr="00D31B2F">
        <w:t>.</w:t>
      </w:r>
    </w:p>
    <w:p w14:paraId="5DB1B665" w14:textId="77777777" w:rsidR="00B65CAB" w:rsidRDefault="00223294" w:rsidP="00691444">
      <w:pPr>
        <w:pStyle w:val="COMTablefooter"/>
      </w:pPr>
      <w:r w:rsidRPr="00D31B2F">
        <w:t xml:space="preserve">Note: Calculation errors related to the application of discontinuation rates and QALY losses in patients with history of multiple events were identified during the evaluation. These errors were acknowledged by the sponsor and corrected in the </w:t>
      </w:r>
      <w:r w:rsidR="00C26088" w:rsidRPr="00D31B2F">
        <w:t>evaluation</w:t>
      </w:r>
      <w:r w:rsidRPr="00D31B2F">
        <w:t>.</w:t>
      </w:r>
      <w:r w:rsidR="00640307">
        <w:t xml:space="preserve"> </w:t>
      </w:r>
    </w:p>
    <w:p w14:paraId="352B6C9C" w14:textId="6A5BC56C" w:rsidR="00691444" w:rsidRPr="00B65CAB" w:rsidRDefault="00B65CAB" w:rsidP="00691444">
      <w:pPr>
        <w:pStyle w:val="COMTablefooter"/>
        <w:rPr>
          <w:i/>
          <w:iCs/>
        </w:rPr>
      </w:pPr>
      <w:r w:rsidRPr="00B65CAB">
        <w:rPr>
          <w:i/>
          <w:iCs/>
        </w:rPr>
        <w:t>The redacted values correspond to the following ranges:</w:t>
      </w:r>
    </w:p>
    <w:p w14:paraId="17EDC085" w14:textId="5DF279F5" w:rsidR="00691444" w:rsidRPr="00B65CAB" w:rsidRDefault="00691444" w:rsidP="00691444">
      <w:pPr>
        <w:pStyle w:val="COMTablefooter"/>
        <w:rPr>
          <w:i/>
          <w:iCs/>
        </w:rPr>
      </w:pPr>
      <w:r w:rsidRPr="00B65CAB">
        <w:rPr>
          <w:i/>
          <w:iCs/>
          <w:vertAlign w:val="superscript"/>
        </w:rPr>
        <w:t>1</w:t>
      </w:r>
      <w:r w:rsidRPr="00B65CAB">
        <w:rPr>
          <w:i/>
          <w:iCs/>
        </w:rPr>
        <w:t>$15,000 to &lt; $25,000</w:t>
      </w:r>
    </w:p>
    <w:p w14:paraId="16FF6624" w14:textId="6ED08614" w:rsidR="00691444" w:rsidRPr="00B65CAB" w:rsidRDefault="000C3B37" w:rsidP="00691444">
      <w:pPr>
        <w:pStyle w:val="COMTablefooter"/>
        <w:rPr>
          <w:i/>
          <w:iCs/>
        </w:rPr>
      </w:pPr>
      <w:r w:rsidRPr="00B65CAB">
        <w:rPr>
          <w:i/>
          <w:iCs/>
          <w:vertAlign w:val="superscript"/>
        </w:rPr>
        <w:t>2</w:t>
      </w:r>
      <w:r w:rsidR="00691444" w:rsidRPr="00B65CAB">
        <w:rPr>
          <w:i/>
          <w:iCs/>
        </w:rPr>
        <w:t>$25,000 to &lt; $35,000</w:t>
      </w:r>
    </w:p>
    <w:p w14:paraId="5EFE32EA" w14:textId="25915C81" w:rsidR="00691444" w:rsidRPr="00B65CAB" w:rsidRDefault="0065332B" w:rsidP="00691444">
      <w:pPr>
        <w:pStyle w:val="COMTablefooter"/>
        <w:rPr>
          <w:i/>
          <w:iCs/>
        </w:rPr>
      </w:pPr>
      <w:r w:rsidRPr="00B65CAB">
        <w:rPr>
          <w:i/>
          <w:iCs/>
          <w:vertAlign w:val="superscript"/>
        </w:rPr>
        <w:t>3</w:t>
      </w:r>
      <w:r w:rsidR="00691444" w:rsidRPr="00B65CAB">
        <w:rPr>
          <w:i/>
          <w:iCs/>
        </w:rPr>
        <w:t>$35,000 to &lt; $45,000</w:t>
      </w:r>
    </w:p>
    <w:p w14:paraId="136A5922" w14:textId="25E24D56" w:rsidR="00C41AE1" w:rsidRDefault="66B636BA" w:rsidP="00641FB3">
      <w:pPr>
        <w:pStyle w:val="COMESnumberedpara"/>
      </w:pPr>
      <w:r>
        <w:t>T</w:t>
      </w:r>
      <w:r w:rsidR="0003B785">
        <w:t xml:space="preserve">he multivariate analyses </w:t>
      </w:r>
      <w:r>
        <w:t xml:space="preserve">based on data from the SELECT trial </w:t>
      </w:r>
      <w:r w:rsidR="0003B785">
        <w:t>indicated that there are minimal differences in the cost</w:t>
      </w:r>
      <w:r w:rsidR="0A117BF8">
        <w:t xml:space="preserve"> </w:t>
      </w:r>
      <w:r w:rsidR="0003B785">
        <w:t>effectiveness of treatment between BMI subgroups ≥35</w:t>
      </w:r>
      <w:r w:rsidR="0A117BF8">
        <w:t> </w:t>
      </w:r>
      <w:r w:rsidR="0003B785">
        <w:t>kg/m</w:t>
      </w:r>
      <w:r w:rsidR="0003B785" w:rsidRPr="0A99B0B1">
        <w:rPr>
          <w:vertAlign w:val="superscript"/>
        </w:rPr>
        <w:t>2</w:t>
      </w:r>
      <w:r w:rsidR="0003B785">
        <w:t xml:space="preserve"> and ≥40 kg/m</w:t>
      </w:r>
      <w:r w:rsidR="0003B785" w:rsidRPr="0A99B0B1">
        <w:rPr>
          <w:vertAlign w:val="superscript"/>
        </w:rPr>
        <w:t>2</w:t>
      </w:r>
      <w:r w:rsidR="0003B785">
        <w:t xml:space="preserve">, </w:t>
      </w:r>
      <w:r w:rsidR="22F777FE">
        <w:t xml:space="preserve">and </w:t>
      </w:r>
      <w:proofErr w:type="gramStart"/>
      <w:r w:rsidR="0003B785">
        <w:t>both of these</w:t>
      </w:r>
      <w:proofErr w:type="gramEnd"/>
      <w:r w:rsidR="0003B785">
        <w:t xml:space="preserve"> groups appear more cost effective than the overall population</w:t>
      </w:r>
      <w:r w:rsidR="3D93FE19">
        <w:t>,</w:t>
      </w:r>
      <w:r w:rsidR="0003B785">
        <w:t xml:space="preserve"> largely due to the impact of BMI</w:t>
      </w:r>
      <w:r w:rsidR="722B5548">
        <w:t>-related QALY loss</w:t>
      </w:r>
      <w:r w:rsidR="0003B785">
        <w:t xml:space="preserve">. The </w:t>
      </w:r>
      <w:r w:rsidR="0003B785">
        <w:lastRenderedPageBreak/>
        <w:t>multivariate analyses were associated with substantially higher incremental cost</w:t>
      </w:r>
      <w:r w:rsidR="0A117BF8">
        <w:t xml:space="preserve"> </w:t>
      </w:r>
      <w:r w:rsidR="0003B785">
        <w:t xml:space="preserve">effectiveness ratios than estimated in the base case </w:t>
      </w:r>
      <w:r w:rsidR="275C22B5">
        <w:t xml:space="preserve">(and modified base case as per PSCR) </w:t>
      </w:r>
      <w:r w:rsidR="0003B785">
        <w:t>analysis.</w:t>
      </w:r>
    </w:p>
    <w:p w14:paraId="160E9BEE" w14:textId="789B0BC4" w:rsidR="00E7094E" w:rsidRPr="000D5C85" w:rsidRDefault="6147A79E" w:rsidP="008F1BD8">
      <w:pPr>
        <w:pStyle w:val="COMESnumberedpara"/>
      </w:pPr>
      <w:bookmarkStart w:id="57" w:name="_Ref211604174"/>
      <w:bookmarkStart w:id="58" w:name="_Ref211251009"/>
      <w:r>
        <w:t xml:space="preserve">The ESC considered </w:t>
      </w:r>
      <w:r w:rsidR="66921F69">
        <w:t>the multivariate analyses proposed by the evaluation were informative</w:t>
      </w:r>
      <w:r w:rsidR="0B1D37B4">
        <w:t xml:space="preserve"> and suggested </w:t>
      </w:r>
      <w:r w:rsidR="124AB737">
        <w:t>r</w:t>
      </w:r>
      <w:r w:rsidR="16D169B6">
        <w:t xml:space="preserve">eversion to baseline BMI </w:t>
      </w:r>
      <w:r w:rsidR="38191C7E">
        <w:t>in</w:t>
      </w:r>
      <w:r w:rsidR="3D38E286">
        <w:t xml:space="preserve"> patients who have discontinued semaglutide treatment</w:t>
      </w:r>
      <w:r w:rsidR="124AB737">
        <w:t xml:space="preserve"> was also required. Additional</w:t>
      </w:r>
      <w:r w:rsidR="0703C50D">
        <w:t xml:space="preserve"> consideration should also be given to </w:t>
      </w:r>
      <w:r w:rsidR="4262A9D7">
        <w:t xml:space="preserve">including </w:t>
      </w:r>
      <w:r w:rsidR="16474297">
        <w:t xml:space="preserve">the following </w:t>
      </w:r>
      <w:r w:rsidR="50AF5898">
        <w:t>Steps in th</w:t>
      </w:r>
      <w:r w:rsidR="753E819E">
        <w:t>e MVSA to assess the impact on the ICERs</w:t>
      </w:r>
      <w:r w:rsidR="16474297">
        <w:t>:</w:t>
      </w:r>
      <w:r w:rsidR="0D037513">
        <w:t xml:space="preserve"> only including differences in risk for outcomes with nominally significant results</w:t>
      </w:r>
      <w:r w:rsidR="5C382F1F">
        <w:t xml:space="preserve"> (</w:t>
      </w:r>
      <w:r w:rsidR="3543164B">
        <w:t>for</w:t>
      </w:r>
      <w:r w:rsidR="5331A79C">
        <w:t xml:space="preserve"> the </w:t>
      </w:r>
      <w:r w:rsidR="62E0E851">
        <w:t xml:space="preserve">ITT </w:t>
      </w:r>
      <w:r w:rsidR="35964853">
        <w:t>population</w:t>
      </w:r>
      <w:r w:rsidR="5331A79C">
        <w:t xml:space="preserve"> this included </w:t>
      </w:r>
      <w:r w:rsidR="4EAEA4F5">
        <w:t>non-fatal myocardial infarction and coronary revascularisation only</w:t>
      </w:r>
      <w:proofErr w:type="gramStart"/>
      <w:r w:rsidR="3543164B">
        <w:t>)</w:t>
      </w:r>
      <w:r w:rsidR="524E14E8">
        <w:t>,</w:t>
      </w:r>
      <w:r w:rsidR="0D037513">
        <w:t xml:space="preserve"> and</w:t>
      </w:r>
      <w:proofErr w:type="gramEnd"/>
      <w:r w:rsidR="0D037513">
        <w:t xml:space="preserve"> removing </w:t>
      </w:r>
      <w:r w:rsidR="01D4FA38">
        <w:t xml:space="preserve">external published sources for </w:t>
      </w:r>
      <w:r w:rsidR="0D037513">
        <w:t>BMI disutility values.</w:t>
      </w:r>
      <w:bookmarkEnd w:id="57"/>
      <w:r w:rsidR="0D037513">
        <w:t xml:space="preserve"> </w:t>
      </w:r>
      <w:bookmarkEnd w:id="58"/>
      <w:r w:rsidR="0083216F">
        <w:t>The PBAC noted the pre-PBAC response</w:t>
      </w:r>
      <w:r w:rsidR="001E0827">
        <w:t xml:space="preserve"> raised that t</w:t>
      </w:r>
      <w:r w:rsidR="001E0827" w:rsidRPr="001E0827">
        <w:t>he SELECT trial was not adequately powered to detect differences in individual CV outcomes.</w:t>
      </w:r>
      <w:r w:rsidR="00471923">
        <w:t xml:space="preserve"> It was </w:t>
      </w:r>
      <w:r w:rsidR="00334D2F">
        <w:t>also noted in the response</w:t>
      </w:r>
      <w:r w:rsidR="00471923">
        <w:t xml:space="preserve"> that</w:t>
      </w:r>
      <w:r w:rsidR="004F1C75">
        <w:t xml:space="preserve"> </w:t>
      </w:r>
      <w:r w:rsidR="007E59D6">
        <w:t xml:space="preserve">for </w:t>
      </w:r>
      <w:r w:rsidR="004F1C75">
        <w:t>the</w:t>
      </w:r>
      <w:r w:rsidR="00967DF2">
        <w:t xml:space="preserve"> </w:t>
      </w:r>
      <w:proofErr w:type="spellStart"/>
      <w:r w:rsidR="00967DF2" w:rsidRPr="00471923">
        <w:t>evolocumab</w:t>
      </w:r>
      <w:proofErr w:type="spellEnd"/>
      <w:r w:rsidR="00967DF2" w:rsidRPr="00471923">
        <w:t xml:space="preserve"> submission</w:t>
      </w:r>
      <w:r w:rsidR="007E59D6">
        <w:t>,</w:t>
      </w:r>
      <w:r w:rsidR="00967DF2" w:rsidRPr="00471923">
        <w:t xml:space="preserve"> </w:t>
      </w:r>
      <w:r w:rsidR="00967DF2">
        <w:t xml:space="preserve">the </w:t>
      </w:r>
      <w:r w:rsidR="00967DF2" w:rsidRPr="00471923">
        <w:t xml:space="preserve">PBAC </w:t>
      </w:r>
      <w:r w:rsidR="00967DF2">
        <w:t>had previously considered</w:t>
      </w:r>
      <w:r w:rsidR="00967DF2" w:rsidRPr="00471923">
        <w:t xml:space="preserve"> </w:t>
      </w:r>
      <w:r w:rsidR="00471923" w:rsidRPr="00471923">
        <w:t xml:space="preserve">the modelling of differences in CV death without a statistically significant difference in the pivotal FOURIER trial [HR: 1.05 (95% CI 0.88-1.25); Table 7 of the July 2022 </w:t>
      </w:r>
      <w:proofErr w:type="spellStart"/>
      <w:r w:rsidR="00471923" w:rsidRPr="00471923">
        <w:t>evolocumab</w:t>
      </w:r>
      <w:proofErr w:type="spellEnd"/>
      <w:r w:rsidR="00471923" w:rsidRPr="00471923">
        <w:t xml:space="preserve"> PSD</w:t>
      </w:r>
      <w:r w:rsidR="004226DE">
        <w:t>.</w:t>
      </w:r>
      <w:r w:rsidR="001E0827" w:rsidRPr="001E0827">
        <w:t xml:space="preserve"> </w:t>
      </w:r>
      <w:r w:rsidR="4D421F82">
        <w:t xml:space="preserve">The PBAC noted that </w:t>
      </w:r>
      <w:r w:rsidR="70198E95">
        <w:t>the pre-PBAC response had claimed that costs include</w:t>
      </w:r>
      <w:r w:rsidR="675CCB3B">
        <w:t>d</w:t>
      </w:r>
      <w:r w:rsidR="70198E95">
        <w:t xml:space="preserve"> in the model were conservative and that </w:t>
      </w:r>
      <w:r w:rsidR="675CCB3B">
        <w:t xml:space="preserve">in particular the cost of stroke was underestimated. The PBAC noted that </w:t>
      </w:r>
      <w:r w:rsidR="4F7FFF0B">
        <w:t xml:space="preserve">multivariate sensitivity analyses that </w:t>
      </w:r>
      <w:r w:rsidR="1AF82BD2">
        <w:t>decreased the cost</w:t>
      </w:r>
      <w:r w:rsidR="11D1124D">
        <w:t>s</w:t>
      </w:r>
      <w:r w:rsidR="1AF82BD2">
        <w:t xml:space="preserve"> of myocardial infarction </w:t>
      </w:r>
      <w:r w:rsidR="11D1124D">
        <w:t>and increased the cost of stroke events had a minimal impact on the ICER (data not shown)</w:t>
      </w:r>
      <w:r w:rsidR="1CCADFBB">
        <w:t xml:space="preserve"> </w:t>
      </w:r>
      <w:r w:rsidR="5474A511">
        <w:t xml:space="preserve">and </w:t>
      </w:r>
      <w:r w:rsidR="1CCADFBB">
        <w:t xml:space="preserve">advised that no variation from the resubmission base case was required for </w:t>
      </w:r>
      <w:r w:rsidR="35050ACE">
        <w:t>these</w:t>
      </w:r>
      <w:r w:rsidR="1CCADFBB">
        <w:t xml:space="preserve"> </w:t>
      </w:r>
      <w:r w:rsidR="68BA765A">
        <w:t>costs</w:t>
      </w:r>
      <w:r w:rsidR="65D1D67D">
        <w:t>.</w:t>
      </w:r>
    </w:p>
    <w:p w14:paraId="24E77340" w14:textId="5F3F973B" w:rsidR="000D5C85" w:rsidRPr="00032F7A" w:rsidRDefault="24F80141" w:rsidP="00D129C3">
      <w:pPr>
        <w:pStyle w:val="COMESnumberedpara"/>
      </w:pPr>
      <w:bookmarkStart w:id="59" w:name="_Ref211604112"/>
      <w:bookmarkStart w:id="60" w:name="_Ref214275709"/>
      <w:r w:rsidRPr="00D31B2F">
        <w:t xml:space="preserve">The ESC </w:t>
      </w:r>
      <w:r w:rsidR="3AB09903" w:rsidRPr="00D31B2F">
        <w:t>also requested t</w:t>
      </w:r>
      <w:r w:rsidR="3AB09903" w:rsidRPr="00D31B2F">
        <w:rPr>
          <w:snapToGrid w:val="0"/>
        </w:rPr>
        <w:t xml:space="preserve">he Sponsor provide ICERs for the </w:t>
      </w:r>
      <w:r w:rsidR="02D08828" w:rsidRPr="00D31B2F">
        <w:rPr>
          <w:snapToGrid w:val="0"/>
        </w:rPr>
        <w:t xml:space="preserve">multivariate analyses specified in paragraph </w:t>
      </w:r>
      <w:r w:rsidR="00817088" w:rsidRPr="00D31B2F">
        <w:rPr>
          <w:snapToGrid w:val="0"/>
        </w:rPr>
        <w:fldChar w:fldCharType="begin"/>
      </w:r>
      <w:r w:rsidR="00817088" w:rsidRPr="00D31B2F">
        <w:rPr>
          <w:snapToGrid w:val="0"/>
        </w:rPr>
        <w:instrText xml:space="preserve"> REF _Ref211604174 \r \h </w:instrText>
      </w:r>
      <w:r w:rsidR="00D31B2F">
        <w:rPr>
          <w:snapToGrid w:val="0"/>
        </w:rPr>
        <w:instrText xml:space="preserve"> \* MERGEFORMAT </w:instrText>
      </w:r>
      <w:r w:rsidR="00817088" w:rsidRPr="00D31B2F">
        <w:rPr>
          <w:snapToGrid w:val="0"/>
        </w:rPr>
      </w:r>
      <w:r w:rsidR="00817088" w:rsidRPr="00D31B2F">
        <w:rPr>
          <w:snapToGrid w:val="0"/>
        </w:rPr>
        <w:fldChar w:fldCharType="separate"/>
      </w:r>
      <w:r w:rsidR="004F1BBD">
        <w:rPr>
          <w:snapToGrid w:val="0"/>
        </w:rPr>
        <w:t>6.79</w:t>
      </w:r>
      <w:r w:rsidR="00817088" w:rsidRPr="00D31B2F">
        <w:rPr>
          <w:snapToGrid w:val="0"/>
        </w:rPr>
        <w:fldChar w:fldCharType="end"/>
      </w:r>
      <w:r w:rsidR="02D08828" w:rsidRPr="00D31B2F">
        <w:rPr>
          <w:snapToGrid w:val="0"/>
        </w:rPr>
        <w:t xml:space="preserve"> for </w:t>
      </w:r>
      <w:r w:rsidR="3AB09903" w:rsidRPr="00D31B2F">
        <w:rPr>
          <w:snapToGrid w:val="0"/>
        </w:rPr>
        <w:t>BMI 27</w:t>
      </w:r>
      <w:r w:rsidR="7067D585" w:rsidRPr="0A99B0B1">
        <w:rPr>
          <w:snapToGrid w:val="0"/>
        </w:rPr>
        <w:t>‒</w:t>
      </w:r>
      <w:r w:rsidR="3AB09903" w:rsidRPr="00D31B2F">
        <w:rPr>
          <w:snapToGrid w:val="0"/>
        </w:rPr>
        <w:t>35</w:t>
      </w:r>
      <w:r w:rsidR="02D08828" w:rsidRPr="00D31B2F">
        <w:rPr>
          <w:snapToGrid w:val="0"/>
        </w:rPr>
        <w:t xml:space="preserve"> kg/m</w:t>
      </w:r>
      <w:r w:rsidR="02D08828" w:rsidRPr="00D31B2F">
        <w:rPr>
          <w:snapToGrid w:val="0"/>
          <w:vertAlign w:val="superscript"/>
        </w:rPr>
        <w:t>2</w:t>
      </w:r>
      <w:r w:rsidR="3AB09903" w:rsidRPr="00D31B2F">
        <w:rPr>
          <w:snapToGrid w:val="0"/>
        </w:rPr>
        <w:t>, and 35</w:t>
      </w:r>
      <w:r w:rsidR="7067D585" w:rsidRPr="0A99B0B1">
        <w:rPr>
          <w:snapToGrid w:val="0"/>
        </w:rPr>
        <w:t>‒</w:t>
      </w:r>
      <w:r w:rsidR="3AB09903" w:rsidRPr="00D31B2F">
        <w:rPr>
          <w:snapToGrid w:val="0"/>
        </w:rPr>
        <w:t xml:space="preserve">40 </w:t>
      </w:r>
      <w:r w:rsidR="02D08828" w:rsidRPr="00D31B2F">
        <w:rPr>
          <w:snapToGrid w:val="0"/>
        </w:rPr>
        <w:t>kg/m</w:t>
      </w:r>
      <w:r w:rsidR="02D08828" w:rsidRPr="00D31B2F">
        <w:rPr>
          <w:snapToGrid w:val="0"/>
          <w:vertAlign w:val="superscript"/>
        </w:rPr>
        <w:t>2</w:t>
      </w:r>
      <w:r w:rsidR="02D08828" w:rsidRPr="00D31B2F">
        <w:rPr>
          <w:snapToGrid w:val="0"/>
        </w:rPr>
        <w:t xml:space="preserve"> </w:t>
      </w:r>
      <w:r w:rsidR="3AB09903" w:rsidRPr="00D31B2F">
        <w:rPr>
          <w:snapToGrid w:val="0"/>
        </w:rPr>
        <w:t>sub-groups (rather than</w:t>
      </w:r>
      <w:r w:rsidR="01DC7B59" w:rsidRPr="00D31B2F">
        <w:rPr>
          <w:snapToGrid w:val="0"/>
        </w:rPr>
        <w:t xml:space="preserve"> </w:t>
      </w:r>
      <w:r w:rsidR="01DC7B59" w:rsidRPr="00D31B2F">
        <w:t>≥</w:t>
      </w:r>
      <w:r w:rsidR="3AB09903" w:rsidRPr="00D31B2F">
        <w:rPr>
          <w:snapToGrid w:val="0"/>
        </w:rPr>
        <w:t>27</w:t>
      </w:r>
      <w:r w:rsidR="01DC7B59" w:rsidRPr="00D31B2F">
        <w:t xml:space="preserve"> </w:t>
      </w:r>
      <w:r w:rsidR="01DC7B59" w:rsidRPr="00D31B2F">
        <w:rPr>
          <w:snapToGrid w:val="0"/>
        </w:rPr>
        <w:t>kg/m</w:t>
      </w:r>
      <w:r w:rsidR="01DC7B59" w:rsidRPr="00D31B2F">
        <w:rPr>
          <w:snapToGrid w:val="0"/>
          <w:vertAlign w:val="superscript"/>
        </w:rPr>
        <w:t>2</w:t>
      </w:r>
      <w:r w:rsidR="3AB09903" w:rsidRPr="00D31B2F">
        <w:rPr>
          <w:snapToGrid w:val="0"/>
        </w:rPr>
        <w:t xml:space="preserve">, and </w:t>
      </w:r>
      <w:r w:rsidR="01DC7B59" w:rsidRPr="00D31B2F">
        <w:t>≥</w:t>
      </w:r>
      <w:r w:rsidR="3AB09903" w:rsidRPr="00D31B2F">
        <w:rPr>
          <w:snapToGrid w:val="0"/>
        </w:rPr>
        <w:t>35</w:t>
      </w:r>
      <w:r w:rsidR="01DC7B59" w:rsidRPr="00D31B2F">
        <w:t xml:space="preserve"> </w:t>
      </w:r>
      <w:r w:rsidR="01DC7B59" w:rsidRPr="00D31B2F">
        <w:rPr>
          <w:snapToGrid w:val="0"/>
        </w:rPr>
        <w:t>kg/m</w:t>
      </w:r>
      <w:r w:rsidR="01DC7B59" w:rsidRPr="00D31B2F">
        <w:rPr>
          <w:snapToGrid w:val="0"/>
          <w:vertAlign w:val="superscript"/>
        </w:rPr>
        <w:t>2</w:t>
      </w:r>
      <w:r w:rsidR="3AB09903" w:rsidRPr="00D31B2F">
        <w:rPr>
          <w:snapToGrid w:val="0"/>
        </w:rPr>
        <w:t>, which includes the higher categories).</w:t>
      </w:r>
      <w:bookmarkEnd w:id="59"/>
      <w:r w:rsidR="155958BE" w:rsidRPr="00D31B2F">
        <w:rPr>
          <w:snapToGrid w:val="0"/>
        </w:rPr>
        <w:t xml:space="preserve"> Alternatively, </w:t>
      </w:r>
      <w:r w:rsidR="000B66B1">
        <w:rPr>
          <w:snapToGrid w:val="0"/>
        </w:rPr>
        <w:t xml:space="preserve">to </w:t>
      </w:r>
      <w:r w:rsidR="155958BE" w:rsidRPr="00D31B2F">
        <w:rPr>
          <w:snapToGrid w:val="0"/>
        </w:rPr>
        <w:t>at least assess the impact of respecifying the subgroups on the base case ICERs.</w:t>
      </w:r>
      <w:r w:rsidR="10CDAD43">
        <w:rPr>
          <w:snapToGrid w:val="0"/>
        </w:rPr>
        <w:t xml:space="preserve"> The pre-PBAC </w:t>
      </w:r>
      <w:proofErr w:type="gramStart"/>
      <w:r w:rsidR="10CDAD43">
        <w:rPr>
          <w:snapToGrid w:val="0"/>
        </w:rPr>
        <w:t xml:space="preserve">response </w:t>
      </w:r>
      <w:r w:rsidR="320EB7AB">
        <w:rPr>
          <w:snapToGrid w:val="0"/>
        </w:rPr>
        <w:t xml:space="preserve"> </w:t>
      </w:r>
      <w:r w:rsidR="3DF1F738">
        <w:rPr>
          <w:snapToGrid w:val="0"/>
        </w:rPr>
        <w:t>stated</w:t>
      </w:r>
      <w:proofErr w:type="gramEnd"/>
      <w:r w:rsidR="3DF1F738">
        <w:rPr>
          <w:snapToGrid w:val="0"/>
        </w:rPr>
        <w:t xml:space="preserve"> that ICERs</w:t>
      </w:r>
      <w:r w:rsidR="269F3BC5">
        <w:rPr>
          <w:snapToGrid w:val="0"/>
        </w:rPr>
        <w:t xml:space="preserve"> for the </w:t>
      </w:r>
      <w:r w:rsidR="269F3BC5" w:rsidRPr="00D31B2F">
        <w:rPr>
          <w:snapToGrid w:val="0"/>
        </w:rPr>
        <w:t>BMI 27</w:t>
      </w:r>
      <w:r w:rsidR="269F3BC5" w:rsidRPr="0A99B0B1">
        <w:rPr>
          <w:snapToGrid w:val="0"/>
        </w:rPr>
        <w:t>‒</w:t>
      </w:r>
      <w:r w:rsidR="269F3BC5" w:rsidRPr="00D31B2F">
        <w:rPr>
          <w:snapToGrid w:val="0"/>
        </w:rPr>
        <w:t>35 kg/m</w:t>
      </w:r>
      <w:r w:rsidR="269F3BC5" w:rsidRPr="00D31B2F">
        <w:rPr>
          <w:snapToGrid w:val="0"/>
          <w:vertAlign w:val="superscript"/>
        </w:rPr>
        <w:t>2</w:t>
      </w:r>
      <w:r w:rsidR="269F3BC5" w:rsidRPr="00D31B2F">
        <w:rPr>
          <w:snapToGrid w:val="0"/>
        </w:rPr>
        <w:t xml:space="preserve"> and 35</w:t>
      </w:r>
      <w:r w:rsidR="269F3BC5" w:rsidRPr="0A99B0B1">
        <w:rPr>
          <w:snapToGrid w:val="0"/>
        </w:rPr>
        <w:t>‒</w:t>
      </w:r>
      <w:r w:rsidR="269F3BC5" w:rsidRPr="00D31B2F">
        <w:rPr>
          <w:snapToGrid w:val="0"/>
        </w:rPr>
        <w:t>40 kg/m</w:t>
      </w:r>
      <w:r w:rsidR="269F3BC5" w:rsidRPr="00D31B2F">
        <w:rPr>
          <w:snapToGrid w:val="0"/>
          <w:vertAlign w:val="superscript"/>
        </w:rPr>
        <w:t>2</w:t>
      </w:r>
      <w:r w:rsidR="269F3BC5" w:rsidRPr="00D31B2F">
        <w:rPr>
          <w:snapToGrid w:val="0"/>
        </w:rPr>
        <w:t xml:space="preserve"> sub-groups</w:t>
      </w:r>
      <w:r w:rsidR="7F579798">
        <w:rPr>
          <w:snapToGrid w:val="0"/>
        </w:rPr>
        <w:t xml:space="preserve"> could not be calculated based on the ESC’s respecified </w:t>
      </w:r>
      <w:r w:rsidR="10274BD3">
        <w:rPr>
          <w:snapToGrid w:val="0"/>
        </w:rPr>
        <w:t xml:space="preserve">multivariate analyses. </w:t>
      </w:r>
      <w:r w:rsidR="34E1B469">
        <w:rPr>
          <w:snapToGrid w:val="0"/>
        </w:rPr>
        <w:t xml:space="preserve">The </w:t>
      </w:r>
      <w:r w:rsidR="5C8CCC14">
        <w:rPr>
          <w:snapToGrid w:val="0"/>
        </w:rPr>
        <w:t xml:space="preserve">pre-PBAC response  </w:t>
      </w:r>
      <w:r w:rsidR="4B04A354">
        <w:rPr>
          <w:snapToGrid w:val="0"/>
        </w:rPr>
        <w:t>reported</w:t>
      </w:r>
      <w:r w:rsidR="71C1E70C">
        <w:rPr>
          <w:snapToGrid w:val="0"/>
        </w:rPr>
        <w:t xml:space="preserve"> ICERs of </w:t>
      </w:r>
      <w:r w:rsidR="003C146A" w:rsidRPr="003C146A">
        <w:rPr>
          <w:snapToGrid w:val="0"/>
        </w:rPr>
        <w:t>$35,000 to &lt; $45,000</w:t>
      </w:r>
      <w:r w:rsidR="00015EEB">
        <w:rPr>
          <w:snapToGrid w:val="0"/>
        </w:rPr>
        <w:t xml:space="preserve"> </w:t>
      </w:r>
      <w:r w:rsidR="1CA7E25C">
        <w:rPr>
          <w:snapToGrid w:val="0"/>
        </w:rPr>
        <w:t xml:space="preserve">and </w:t>
      </w:r>
      <w:r w:rsidR="00727207" w:rsidRPr="00727207">
        <w:rPr>
          <w:snapToGrid w:val="0"/>
        </w:rPr>
        <w:t>$25,000 to &lt; $35,000</w:t>
      </w:r>
      <w:r w:rsidR="00015EEB">
        <w:rPr>
          <w:snapToGrid w:val="0"/>
        </w:rPr>
        <w:t xml:space="preserve"> </w:t>
      </w:r>
      <w:r w:rsidR="126D1881">
        <w:rPr>
          <w:snapToGrid w:val="0"/>
        </w:rPr>
        <w:t xml:space="preserve">per QALY gained for the </w:t>
      </w:r>
      <w:r w:rsidR="126D1881" w:rsidRPr="00D31B2F">
        <w:rPr>
          <w:snapToGrid w:val="0"/>
        </w:rPr>
        <w:t>BMI 27</w:t>
      </w:r>
      <w:r w:rsidR="126D1881" w:rsidRPr="0A99B0B1">
        <w:rPr>
          <w:snapToGrid w:val="0"/>
        </w:rPr>
        <w:t>‒</w:t>
      </w:r>
      <w:r w:rsidR="126D1881" w:rsidRPr="00D31B2F">
        <w:rPr>
          <w:snapToGrid w:val="0"/>
        </w:rPr>
        <w:t>35 kg/m</w:t>
      </w:r>
      <w:r w:rsidR="126D1881" w:rsidRPr="00D31B2F">
        <w:rPr>
          <w:snapToGrid w:val="0"/>
          <w:vertAlign w:val="superscript"/>
        </w:rPr>
        <w:t>2</w:t>
      </w:r>
      <w:r w:rsidR="126D1881" w:rsidRPr="00D31B2F">
        <w:rPr>
          <w:snapToGrid w:val="0"/>
        </w:rPr>
        <w:t xml:space="preserve"> and 35</w:t>
      </w:r>
      <w:r w:rsidR="126D1881" w:rsidRPr="0A99B0B1">
        <w:rPr>
          <w:snapToGrid w:val="0"/>
        </w:rPr>
        <w:t>‒</w:t>
      </w:r>
      <w:r w:rsidR="126D1881" w:rsidRPr="00D31B2F">
        <w:rPr>
          <w:snapToGrid w:val="0"/>
        </w:rPr>
        <w:t>40 kg/m</w:t>
      </w:r>
      <w:r w:rsidR="126D1881" w:rsidRPr="00D31B2F">
        <w:rPr>
          <w:snapToGrid w:val="0"/>
          <w:vertAlign w:val="superscript"/>
        </w:rPr>
        <w:t>2</w:t>
      </w:r>
      <w:r w:rsidR="126D1881" w:rsidRPr="00D31B2F">
        <w:rPr>
          <w:snapToGrid w:val="0"/>
        </w:rPr>
        <w:t xml:space="preserve"> sub-groups</w:t>
      </w:r>
      <w:r w:rsidR="126D1881">
        <w:rPr>
          <w:snapToGrid w:val="0"/>
        </w:rPr>
        <w:t xml:space="preserve"> respectively using </w:t>
      </w:r>
      <w:r w:rsidR="5A2CA3B5">
        <w:rPr>
          <w:snapToGrid w:val="0"/>
        </w:rPr>
        <w:t>submission base case assumptions (</w:t>
      </w:r>
      <w:r w:rsidR="00424411">
        <w:t xml:space="preserve">which </w:t>
      </w:r>
      <w:r w:rsidR="00424411" w:rsidRPr="00EC7F7F">
        <w:t>apply CVD, diabetes and CKD diabetes risk inflators based on Khan (2018), Zhang (2020) and Kang (2020</w:t>
      </w:r>
      <w:r w:rsidR="00424411">
        <w:t>)</w:t>
      </w:r>
      <w:r w:rsidR="00424411" w:rsidRPr="00EC7F7F">
        <w:t xml:space="preserve"> respectively, and BMI-based disutilities based on Luah (2024).</w:t>
      </w:r>
      <w:r w:rsidR="547A416D">
        <w:rPr>
          <w:snapToGrid w:val="0"/>
        </w:rPr>
        <w:t xml:space="preserve">) </w:t>
      </w:r>
      <w:r w:rsidR="7129CAE6">
        <w:rPr>
          <w:snapToGrid w:val="0"/>
        </w:rPr>
        <w:t>The</w:t>
      </w:r>
      <w:r w:rsidR="20FA3A88">
        <w:rPr>
          <w:snapToGrid w:val="0"/>
        </w:rPr>
        <w:t xml:space="preserve">se ICERs </w:t>
      </w:r>
      <w:r w:rsidR="6589EE2A">
        <w:rPr>
          <w:snapToGrid w:val="0"/>
        </w:rPr>
        <w:t>show the i</w:t>
      </w:r>
      <w:r w:rsidR="3E312655">
        <w:rPr>
          <w:snapToGrid w:val="0"/>
        </w:rPr>
        <w:t xml:space="preserve">mpact of expanding beyond the </w:t>
      </w:r>
      <w:r w:rsidR="20FA3A88">
        <w:rPr>
          <w:snapToGrid w:val="0"/>
        </w:rPr>
        <w:t xml:space="preserve">submission base </w:t>
      </w:r>
      <w:r w:rsidR="3E312655">
        <w:rPr>
          <w:snapToGrid w:val="0"/>
        </w:rPr>
        <w:t xml:space="preserve">case which was </w:t>
      </w:r>
      <w:r w:rsidR="20FA3A88">
        <w:rPr>
          <w:snapToGrid w:val="0"/>
        </w:rPr>
        <w:t xml:space="preserve">for the BMI </w:t>
      </w:r>
      <w:r w:rsidR="20FA3A88" w:rsidRPr="00421363">
        <w:rPr>
          <w:snapToGrid w:val="0"/>
        </w:rPr>
        <w:t>≥40 kg/m</w:t>
      </w:r>
      <w:r w:rsidR="20FA3A88" w:rsidRPr="000F626F">
        <w:rPr>
          <w:snapToGrid w:val="0"/>
          <w:vertAlign w:val="superscript"/>
        </w:rPr>
        <w:t>2</w:t>
      </w:r>
      <w:r w:rsidR="20FA3A88">
        <w:rPr>
          <w:snapToGrid w:val="0"/>
        </w:rPr>
        <w:t xml:space="preserve"> </w:t>
      </w:r>
      <w:r w:rsidR="6AD39F19">
        <w:rPr>
          <w:snapToGrid w:val="0"/>
        </w:rPr>
        <w:t xml:space="preserve">group, which had an ICER of </w:t>
      </w:r>
      <w:r w:rsidR="00FD5C09" w:rsidRPr="00FD5C09">
        <w:t>$15,000 to &lt; $25,000</w:t>
      </w:r>
      <w:r w:rsidR="00015EEB">
        <w:t xml:space="preserve"> </w:t>
      </w:r>
      <w:r w:rsidR="6AD39F19" w:rsidRPr="0A99B0B1">
        <w:t>per QALY gained.</w:t>
      </w:r>
      <w:bookmarkEnd w:id="60"/>
    </w:p>
    <w:p w14:paraId="3C6064AB" w14:textId="2E201162" w:rsidR="00032F7A" w:rsidRDefault="00273270" w:rsidP="00345343">
      <w:pPr>
        <w:pStyle w:val="COMESnumberedpara"/>
      </w:pPr>
      <w:r>
        <w:t xml:space="preserve">The PBAC </w:t>
      </w:r>
      <w:r w:rsidR="003950CE">
        <w:t>requested</w:t>
      </w:r>
      <w:r w:rsidR="00156A0E">
        <w:t xml:space="preserve"> the additional multivariate </w:t>
      </w:r>
      <w:r w:rsidR="00156A0E" w:rsidRPr="00517BA3">
        <w:t>analyses shown in</w:t>
      </w:r>
      <w:r w:rsidR="003950CE" w:rsidRPr="00517BA3">
        <w:t xml:space="preserve"> </w:t>
      </w:r>
      <w:r w:rsidR="00156A0E" w:rsidRPr="00517BA3">
        <w:t xml:space="preserve"> </w:t>
      </w:r>
      <w:r w:rsidR="00AA60FA" w:rsidRPr="00517BA3">
        <w:fldChar w:fldCharType="begin"/>
      </w:r>
      <w:r w:rsidR="00AA60FA" w:rsidRPr="00517BA3">
        <w:instrText xml:space="preserve"> REF _Ref213935729 \h </w:instrText>
      </w:r>
      <w:r w:rsidR="00070A47" w:rsidRPr="00517BA3">
        <w:instrText xml:space="preserve"> \* MERGEFORMAT </w:instrText>
      </w:r>
      <w:r w:rsidR="00AA60FA" w:rsidRPr="00517BA3">
        <w:fldChar w:fldCharType="separate"/>
      </w:r>
      <w:r w:rsidR="004F1BBD" w:rsidRPr="00AA60FA">
        <w:t xml:space="preserve">Table </w:t>
      </w:r>
      <w:r w:rsidR="004F1BBD">
        <w:rPr>
          <w:noProof/>
        </w:rPr>
        <w:t>17</w:t>
      </w:r>
      <w:r w:rsidR="00AA60FA" w:rsidRPr="00517BA3">
        <w:fldChar w:fldCharType="end"/>
      </w:r>
      <w:r w:rsidR="00AA60FA" w:rsidRPr="00517BA3">
        <w:t>.</w:t>
      </w:r>
      <w:r w:rsidR="006F4584">
        <w:t xml:space="preserve"> </w:t>
      </w:r>
    </w:p>
    <w:p w14:paraId="09F91BBE" w14:textId="77777777" w:rsidR="00AA60FA" w:rsidRDefault="00AA60FA" w:rsidP="00AA60FA">
      <w:pPr>
        <w:pStyle w:val="COMESnumberedpara"/>
        <w:numPr>
          <w:ilvl w:val="0"/>
          <w:numId w:val="0"/>
        </w:numPr>
      </w:pPr>
    </w:p>
    <w:p w14:paraId="33BA0002" w14:textId="3592127C" w:rsidR="00860AB5" w:rsidRPr="00AA60FA" w:rsidRDefault="00AA60FA" w:rsidP="00AA60FA">
      <w:pPr>
        <w:pStyle w:val="Caption"/>
        <w:rPr>
          <w:rFonts w:ascii="Aptos" w:hAnsi="Aptos" w:cs="Aptos"/>
          <w:sz w:val="24"/>
        </w:rPr>
      </w:pPr>
      <w:bookmarkStart w:id="61" w:name="_Ref213935729"/>
      <w:r w:rsidRPr="00AA60FA">
        <w:lastRenderedPageBreak/>
        <w:t xml:space="preserve">Table </w:t>
      </w:r>
      <w:r w:rsidR="005448C5">
        <w:fldChar w:fldCharType="begin"/>
      </w:r>
      <w:r w:rsidR="005448C5">
        <w:instrText xml:space="preserve"> SEQ Table \* ARABIC </w:instrText>
      </w:r>
      <w:r w:rsidR="005448C5">
        <w:fldChar w:fldCharType="separate"/>
      </w:r>
      <w:r w:rsidR="004F1BBD">
        <w:rPr>
          <w:noProof/>
        </w:rPr>
        <w:t>17</w:t>
      </w:r>
      <w:r w:rsidR="005448C5">
        <w:rPr>
          <w:noProof/>
        </w:rPr>
        <w:fldChar w:fldCharType="end"/>
      </w:r>
      <w:bookmarkEnd w:id="61"/>
      <w:r w:rsidRPr="00AA60FA">
        <w:t xml:space="preserve"> Results of multivariate sensitivity analyses requested by PBAC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Results of multivariate sensitivity analyses requested by PBAC"/>
      </w:tblPr>
      <w:tblGrid>
        <w:gridCol w:w="3649"/>
        <w:gridCol w:w="1789"/>
        <w:gridCol w:w="1789"/>
        <w:gridCol w:w="1790"/>
      </w:tblGrid>
      <w:tr w:rsidR="00860AB5" w:rsidRPr="00AA60FA" w14:paraId="0D0BCF1A" w14:textId="77777777" w:rsidTr="001D57FB">
        <w:trPr>
          <w:tblHeader/>
        </w:trPr>
        <w:tc>
          <w:tcPr>
            <w:tcW w:w="13780" w:type="dxa"/>
            <w:vMerge w:val="restart"/>
            <w:tcMar>
              <w:top w:w="0" w:type="dxa"/>
              <w:left w:w="28" w:type="dxa"/>
              <w:bottom w:w="0" w:type="dxa"/>
              <w:right w:w="28" w:type="dxa"/>
            </w:tcMar>
            <w:vAlign w:val="center"/>
            <w:hideMark/>
          </w:tcPr>
          <w:p w14:paraId="019F285E" w14:textId="77777777" w:rsidR="00860AB5" w:rsidRPr="00AA60FA" w:rsidRDefault="00860AB5" w:rsidP="00AA60FA">
            <w:pPr>
              <w:pStyle w:val="TableText"/>
              <w:rPr>
                <w:b/>
                <w:bCs w:val="0"/>
              </w:rPr>
            </w:pPr>
            <w:r w:rsidRPr="00AA60FA">
              <w:rPr>
                <w:b/>
                <w:bCs w:val="0"/>
              </w:rPr>
              <w:t>Analyses</w:t>
            </w:r>
          </w:p>
        </w:tc>
        <w:tc>
          <w:tcPr>
            <w:tcW w:w="17515" w:type="dxa"/>
            <w:gridSpan w:val="3"/>
            <w:tcMar>
              <w:top w:w="0" w:type="dxa"/>
              <w:left w:w="28" w:type="dxa"/>
              <w:bottom w:w="0" w:type="dxa"/>
              <w:right w:w="28" w:type="dxa"/>
            </w:tcMar>
            <w:vAlign w:val="center"/>
            <w:hideMark/>
          </w:tcPr>
          <w:p w14:paraId="51DC573E" w14:textId="77777777" w:rsidR="00860AB5" w:rsidRPr="00AA60FA" w:rsidRDefault="00860AB5" w:rsidP="00AA60FA">
            <w:pPr>
              <w:pStyle w:val="TableText"/>
              <w:jc w:val="center"/>
              <w:rPr>
                <w:b/>
                <w:bCs w:val="0"/>
              </w:rPr>
            </w:pPr>
            <w:r w:rsidRPr="00AA60FA">
              <w:rPr>
                <w:b/>
                <w:bCs w:val="0"/>
              </w:rPr>
              <w:t>ICER (% change from base case)</w:t>
            </w:r>
          </w:p>
        </w:tc>
      </w:tr>
      <w:tr w:rsidR="00860AB5" w:rsidRPr="00AA60FA" w14:paraId="35651119" w14:textId="77777777" w:rsidTr="001D57FB">
        <w:trPr>
          <w:tblHeader/>
        </w:trPr>
        <w:tc>
          <w:tcPr>
            <w:tcW w:w="0" w:type="auto"/>
            <w:vMerge/>
            <w:vAlign w:val="center"/>
            <w:hideMark/>
          </w:tcPr>
          <w:p w14:paraId="1914D4C4" w14:textId="77777777" w:rsidR="00860AB5" w:rsidRPr="00AA60FA" w:rsidRDefault="00860AB5" w:rsidP="00AA60FA">
            <w:pPr>
              <w:pStyle w:val="TableText"/>
              <w:rPr>
                <w:rFonts w:ascii="Aptos" w:eastAsiaTheme="minorHAnsi" w:hAnsi="Aptos" w:cs="Aptos"/>
                <w:b/>
                <w:bCs w:val="0"/>
                <w:sz w:val="24"/>
              </w:rPr>
            </w:pPr>
          </w:p>
        </w:tc>
        <w:tc>
          <w:tcPr>
            <w:tcW w:w="5837" w:type="dxa"/>
            <w:tcMar>
              <w:top w:w="0" w:type="dxa"/>
              <w:left w:w="28" w:type="dxa"/>
              <w:bottom w:w="0" w:type="dxa"/>
              <w:right w:w="28" w:type="dxa"/>
            </w:tcMar>
            <w:vAlign w:val="center"/>
            <w:hideMark/>
          </w:tcPr>
          <w:p w14:paraId="4F331F25" w14:textId="77777777" w:rsidR="00860AB5" w:rsidRPr="00AA60FA" w:rsidRDefault="00860AB5" w:rsidP="00AA60FA">
            <w:pPr>
              <w:pStyle w:val="TableText"/>
              <w:jc w:val="center"/>
              <w:rPr>
                <w:b/>
                <w:bCs w:val="0"/>
              </w:rPr>
            </w:pPr>
            <w:r w:rsidRPr="00AA60FA">
              <w:rPr>
                <w:b/>
                <w:bCs w:val="0"/>
              </w:rPr>
              <w:t>CVD and BMI</w:t>
            </w:r>
          </w:p>
          <w:p w14:paraId="773EB444" w14:textId="77777777" w:rsidR="00860AB5" w:rsidRPr="00AA60FA" w:rsidRDefault="00860AB5" w:rsidP="00AA60FA">
            <w:pPr>
              <w:pStyle w:val="TableText"/>
              <w:jc w:val="center"/>
              <w:rPr>
                <w:b/>
                <w:bCs w:val="0"/>
              </w:rPr>
            </w:pPr>
            <w:r w:rsidRPr="00AA60FA">
              <w:rPr>
                <w:b/>
                <w:bCs w:val="0"/>
              </w:rPr>
              <w:t>≥27 kg/m</w:t>
            </w:r>
            <w:r w:rsidRPr="00AA60FA">
              <w:rPr>
                <w:b/>
                <w:bCs w:val="0"/>
                <w:vertAlign w:val="superscript"/>
              </w:rPr>
              <w:t>2</w:t>
            </w:r>
          </w:p>
        </w:tc>
        <w:tc>
          <w:tcPr>
            <w:tcW w:w="5837" w:type="dxa"/>
            <w:tcMar>
              <w:top w:w="0" w:type="dxa"/>
              <w:left w:w="28" w:type="dxa"/>
              <w:bottom w:w="0" w:type="dxa"/>
              <w:right w:w="28" w:type="dxa"/>
            </w:tcMar>
            <w:vAlign w:val="center"/>
            <w:hideMark/>
          </w:tcPr>
          <w:p w14:paraId="3B968F23" w14:textId="77777777" w:rsidR="00860AB5" w:rsidRPr="00AA60FA" w:rsidRDefault="00860AB5" w:rsidP="00AA60FA">
            <w:pPr>
              <w:pStyle w:val="TableText"/>
              <w:jc w:val="center"/>
              <w:rPr>
                <w:b/>
                <w:bCs w:val="0"/>
              </w:rPr>
            </w:pPr>
            <w:r w:rsidRPr="00AA60FA">
              <w:rPr>
                <w:b/>
                <w:bCs w:val="0"/>
              </w:rPr>
              <w:t>CVD and BMI</w:t>
            </w:r>
          </w:p>
          <w:p w14:paraId="19FE0410" w14:textId="77777777" w:rsidR="00860AB5" w:rsidRPr="00AA60FA" w:rsidRDefault="00860AB5" w:rsidP="00AA60FA">
            <w:pPr>
              <w:pStyle w:val="TableText"/>
              <w:jc w:val="center"/>
              <w:rPr>
                <w:b/>
                <w:bCs w:val="0"/>
              </w:rPr>
            </w:pPr>
            <w:r w:rsidRPr="00AA60FA">
              <w:rPr>
                <w:b/>
                <w:bCs w:val="0"/>
              </w:rPr>
              <w:t>≥35 kg/m</w:t>
            </w:r>
            <w:r w:rsidRPr="00AA60FA">
              <w:rPr>
                <w:b/>
                <w:bCs w:val="0"/>
                <w:vertAlign w:val="superscript"/>
              </w:rPr>
              <w:t>2</w:t>
            </w:r>
          </w:p>
        </w:tc>
        <w:tc>
          <w:tcPr>
            <w:tcW w:w="5841" w:type="dxa"/>
            <w:tcMar>
              <w:top w:w="0" w:type="dxa"/>
              <w:left w:w="28" w:type="dxa"/>
              <w:bottom w:w="0" w:type="dxa"/>
              <w:right w:w="28" w:type="dxa"/>
            </w:tcMar>
            <w:vAlign w:val="center"/>
            <w:hideMark/>
          </w:tcPr>
          <w:p w14:paraId="40EEA531" w14:textId="77777777" w:rsidR="00860AB5" w:rsidRPr="00AA60FA" w:rsidRDefault="00860AB5" w:rsidP="00AA60FA">
            <w:pPr>
              <w:pStyle w:val="TableText"/>
              <w:jc w:val="center"/>
              <w:rPr>
                <w:b/>
                <w:bCs w:val="0"/>
              </w:rPr>
            </w:pPr>
            <w:r w:rsidRPr="00AA60FA">
              <w:rPr>
                <w:b/>
                <w:bCs w:val="0"/>
              </w:rPr>
              <w:t>CVD and BMI</w:t>
            </w:r>
          </w:p>
          <w:p w14:paraId="1E44184D" w14:textId="77777777" w:rsidR="00860AB5" w:rsidRPr="00AA60FA" w:rsidRDefault="00860AB5" w:rsidP="00AA60FA">
            <w:pPr>
              <w:pStyle w:val="TableText"/>
              <w:jc w:val="center"/>
              <w:rPr>
                <w:b/>
                <w:bCs w:val="0"/>
              </w:rPr>
            </w:pPr>
            <w:r w:rsidRPr="00AA60FA">
              <w:rPr>
                <w:b/>
                <w:bCs w:val="0"/>
              </w:rPr>
              <w:t>≥40 kg/m</w:t>
            </w:r>
            <w:r w:rsidRPr="00AA60FA">
              <w:rPr>
                <w:b/>
                <w:bCs w:val="0"/>
                <w:vertAlign w:val="superscript"/>
              </w:rPr>
              <w:t>2</w:t>
            </w:r>
          </w:p>
        </w:tc>
      </w:tr>
      <w:tr w:rsidR="00860AB5" w:rsidRPr="00AA60FA" w14:paraId="545D5118" w14:textId="77777777" w:rsidTr="001D57FB">
        <w:trPr>
          <w:tblHeader/>
        </w:trPr>
        <w:tc>
          <w:tcPr>
            <w:tcW w:w="13780" w:type="dxa"/>
            <w:tcMar>
              <w:top w:w="0" w:type="dxa"/>
              <w:left w:w="28" w:type="dxa"/>
              <w:bottom w:w="0" w:type="dxa"/>
              <w:right w:w="28" w:type="dxa"/>
            </w:tcMar>
            <w:hideMark/>
          </w:tcPr>
          <w:p w14:paraId="014DBEBB" w14:textId="77777777" w:rsidR="00860AB5" w:rsidRPr="00AA60FA" w:rsidRDefault="00860AB5" w:rsidP="00AA60FA">
            <w:pPr>
              <w:pStyle w:val="TableText"/>
              <w:rPr>
                <w:b/>
                <w:bCs w:val="0"/>
              </w:rPr>
            </w:pPr>
            <w:r w:rsidRPr="00AA60FA">
              <w:rPr>
                <w:b/>
                <w:bCs w:val="0"/>
              </w:rPr>
              <w:t>Base case</w:t>
            </w:r>
          </w:p>
        </w:tc>
        <w:tc>
          <w:tcPr>
            <w:tcW w:w="5837" w:type="dxa"/>
            <w:tcMar>
              <w:top w:w="0" w:type="dxa"/>
              <w:left w:w="28" w:type="dxa"/>
              <w:bottom w:w="0" w:type="dxa"/>
              <w:right w:w="28" w:type="dxa"/>
            </w:tcMar>
            <w:hideMark/>
          </w:tcPr>
          <w:p w14:paraId="1E9ACCD3" w14:textId="4F02CDD6" w:rsidR="00860AB5" w:rsidRPr="00AA60FA" w:rsidRDefault="00860AB5" w:rsidP="00AA60FA">
            <w:pPr>
              <w:pStyle w:val="TableText"/>
              <w:jc w:val="center"/>
              <w:rPr>
                <w:b/>
                <w:bCs w:val="0"/>
              </w:rPr>
            </w:pPr>
            <w:r w:rsidRPr="00AA60FA">
              <w:rPr>
                <w:b/>
                <w:bCs w:val="0"/>
              </w:rPr>
              <w:t>$</w:t>
            </w:r>
            <w:r w:rsidR="005E35AF" w:rsidRPr="005E35AF">
              <w:rPr>
                <w:b/>
                <w:bCs w:val="0"/>
                <w:highlight w:val="black"/>
              </w:rPr>
              <w:t>&amp;&amp;&amp;&amp;</w:t>
            </w:r>
          </w:p>
        </w:tc>
        <w:tc>
          <w:tcPr>
            <w:tcW w:w="5837" w:type="dxa"/>
            <w:tcMar>
              <w:top w:w="0" w:type="dxa"/>
              <w:left w:w="28" w:type="dxa"/>
              <w:bottom w:w="0" w:type="dxa"/>
              <w:right w:w="28" w:type="dxa"/>
            </w:tcMar>
            <w:hideMark/>
          </w:tcPr>
          <w:p w14:paraId="33B079AB" w14:textId="34AE651C" w:rsidR="00860AB5" w:rsidRPr="00AA60FA" w:rsidRDefault="00860AB5" w:rsidP="00AA60FA">
            <w:pPr>
              <w:pStyle w:val="TableText"/>
              <w:jc w:val="center"/>
              <w:rPr>
                <w:b/>
                <w:bCs w:val="0"/>
              </w:rPr>
            </w:pPr>
            <w:r w:rsidRPr="00AA60FA">
              <w:rPr>
                <w:b/>
                <w:bCs w:val="0"/>
              </w:rPr>
              <w:t>$</w:t>
            </w:r>
            <w:r w:rsidR="005E35AF" w:rsidRPr="005E35AF">
              <w:rPr>
                <w:b/>
                <w:bCs w:val="0"/>
                <w:highlight w:val="black"/>
              </w:rPr>
              <w:t>&amp;&amp;&amp;&amp;</w:t>
            </w:r>
            <w:r w:rsidR="00CE0F2F">
              <w:rPr>
                <w:vertAlign w:val="superscript"/>
              </w:rPr>
              <w:t>2</w:t>
            </w:r>
          </w:p>
        </w:tc>
        <w:tc>
          <w:tcPr>
            <w:tcW w:w="5841" w:type="dxa"/>
            <w:tcMar>
              <w:top w:w="0" w:type="dxa"/>
              <w:left w:w="28" w:type="dxa"/>
              <w:bottom w:w="0" w:type="dxa"/>
              <w:right w:w="28" w:type="dxa"/>
            </w:tcMar>
            <w:hideMark/>
          </w:tcPr>
          <w:p w14:paraId="14387140" w14:textId="6F5FBAF3" w:rsidR="00860AB5" w:rsidRPr="00AA60FA" w:rsidRDefault="00860AB5" w:rsidP="00AA60FA">
            <w:pPr>
              <w:pStyle w:val="TableText"/>
              <w:jc w:val="center"/>
              <w:rPr>
                <w:b/>
                <w:bCs w:val="0"/>
              </w:rPr>
            </w:pPr>
            <w:r w:rsidRPr="00AA60FA">
              <w:rPr>
                <w:b/>
                <w:bCs w:val="0"/>
              </w:rPr>
              <w:t>$</w:t>
            </w:r>
            <w:r w:rsidR="005E35AF" w:rsidRPr="005E35AF">
              <w:rPr>
                <w:b/>
                <w:bCs w:val="0"/>
                <w:highlight w:val="black"/>
              </w:rPr>
              <w:t>&amp;&amp;&amp;&amp;</w:t>
            </w:r>
            <w:r w:rsidR="00CE0F2F">
              <w:rPr>
                <w:vertAlign w:val="superscript"/>
              </w:rPr>
              <w:t>1</w:t>
            </w:r>
          </w:p>
        </w:tc>
      </w:tr>
      <w:tr w:rsidR="00860AB5" w:rsidRPr="00AA60FA" w14:paraId="15A15AC1" w14:textId="77777777" w:rsidTr="001D57FB">
        <w:tc>
          <w:tcPr>
            <w:tcW w:w="13780" w:type="dxa"/>
            <w:tcMar>
              <w:top w:w="0" w:type="dxa"/>
              <w:left w:w="28" w:type="dxa"/>
              <w:bottom w:w="0" w:type="dxa"/>
              <w:right w:w="28" w:type="dxa"/>
            </w:tcMar>
            <w:hideMark/>
          </w:tcPr>
          <w:p w14:paraId="1AFCE7B1" w14:textId="77777777" w:rsidR="00860AB5" w:rsidRPr="00AA60FA" w:rsidRDefault="00860AB5" w:rsidP="00AA60FA">
            <w:pPr>
              <w:pStyle w:val="TableText"/>
            </w:pPr>
            <w:r w:rsidRPr="00AA60FA">
              <w:t>Step 1: Baseline utility scores from the SELECT trial</w:t>
            </w:r>
          </w:p>
        </w:tc>
        <w:tc>
          <w:tcPr>
            <w:tcW w:w="5837" w:type="dxa"/>
            <w:tcMar>
              <w:top w:w="0" w:type="dxa"/>
              <w:left w:w="28" w:type="dxa"/>
              <w:bottom w:w="0" w:type="dxa"/>
              <w:right w:w="28" w:type="dxa"/>
            </w:tcMar>
            <w:hideMark/>
          </w:tcPr>
          <w:p w14:paraId="7351248D" w14:textId="439FE637" w:rsidR="00860AB5" w:rsidRPr="00AA60FA" w:rsidRDefault="00860AB5" w:rsidP="00AA60FA">
            <w:pPr>
              <w:pStyle w:val="TableText"/>
              <w:jc w:val="center"/>
            </w:pPr>
            <w:r w:rsidRPr="00AA60FA">
              <w:t>$</w:t>
            </w:r>
            <w:r w:rsidR="005E35AF" w:rsidRPr="005E35AF">
              <w:rPr>
                <w:highlight w:val="black"/>
              </w:rPr>
              <w:t>&amp;&amp;&amp;&amp;</w:t>
            </w:r>
            <w:r w:rsidR="00CE0F2F">
              <w:rPr>
                <w:vertAlign w:val="superscript"/>
              </w:rPr>
              <w:t>2</w:t>
            </w:r>
            <w:r w:rsidRPr="00AA60FA">
              <w:t xml:space="preserve"> (</w:t>
            </w:r>
            <w:r w:rsidRPr="00015EEB">
              <w:t>-</w:t>
            </w:r>
            <w:r w:rsidR="005E35AF" w:rsidRPr="005E35AF">
              <w:rPr>
                <w:highlight w:val="black"/>
              </w:rPr>
              <w:t>&amp;&amp;&amp;&amp;</w:t>
            </w:r>
            <w:r w:rsidRPr="00AA60FA">
              <w:t>%)</w:t>
            </w:r>
          </w:p>
        </w:tc>
        <w:tc>
          <w:tcPr>
            <w:tcW w:w="5837" w:type="dxa"/>
            <w:tcMar>
              <w:top w:w="0" w:type="dxa"/>
              <w:left w:w="28" w:type="dxa"/>
              <w:bottom w:w="0" w:type="dxa"/>
              <w:right w:w="28" w:type="dxa"/>
            </w:tcMar>
            <w:hideMark/>
          </w:tcPr>
          <w:p w14:paraId="0AF4185B" w14:textId="04DBAECF" w:rsidR="00860AB5" w:rsidRPr="00AA60FA" w:rsidRDefault="00860AB5" w:rsidP="00AA60FA">
            <w:pPr>
              <w:pStyle w:val="TableText"/>
              <w:jc w:val="center"/>
            </w:pPr>
            <w:r w:rsidRPr="00AA60FA">
              <w:t>$</w:t>
            </w:r>
            <w:r w:rsidR="005E35AF" w:rsidRPr="005E35AF">
              <w:rPr>
                <w:highlight w:val="black"/>
              </w:rPr>
              <w:t>&amp;&amp;&amp;&amp;</w:t>
            </w:r>
            <w:r w:rsidR="00CE0F2F">
              <w:rPr>
                <w:vertAlign w:val="superscript"/>
              </w:rPr>
              <w:t>2</w:t>
            </w:r>
            <w:r w:rsidRPr="00AA60FA">
              <w:t xml:space="preserve"> (</w:t>
            </w:r>
            <w:r w:rsidR="005E35AF" w:rsidRPr="005E35AF">
              <w:rPr>
                <w:highlight w:val="black"/>
              </w:rPr>
              <w:t>&amp;&amp;&amp;&amp;</w:t>
            </w:r>
            <w:r w:rsidRPr="00AA60FA">
              <w:t>%)</w:t>
            </w:r>
          </w:p>
        </w:tc>
        <w:tc>
          <w:tcPr>
            <w:tcW w:w="5841" w:type="dxa"/>
            <w:tcMar>
              <w:top w:w="0" w:type="dxa"/>
              <w:left w:w="28" w:type="dxa"/>
              <w:bottom w:w="0" w:type="dxa"/>
              <w:right w:w="28" w:type="dxa"/>
            </w:tcMar>
            <w:hideMark/>
          </w:tcPr>
          <w:p w14:paraId="51571A86" w14:textId="7D54161E" w:rsidR="00860AB5" w:rsidRPr="00AA60FA" w:rsidRDefault="00860AB5" w:rsidP="00AA60FA">
            <w:pPr>
              <w:pStyle w:val="TableText"/>
              <w:jc w:val="center"/>
            </w:pPr>
            <w:r w:rsidRPr="00AA60FA">
              <w:t>$</w:t>
            </w:r>
            <w:r w:rsidR="005E35AF" w:rsidRPr="005E35AF">
              <w:rPr>
                <w:highlight w:val="black"/>
              </w:rPr>
              <w:t>&amp;&amp;&amp;&amp;</w:t>
            </w:r>
            <w:r w:rsidR="00CE0F2F">
              <w:rPr>
                <w:vertAlign w:val="superscript"/>
              </w:rPr>
              <w:t>1</w:t>
            </w:r>
            <w:r w:rsidRPr="00AA60FA">
              <w:t xml:space="preserve"> (</w:t>
            </w:r>
            <w:r w:rsidRPr="00015EEB">
              <w:t>+</w:t>
            </w:r>
            <w:r w:rsidR="005E35AF" w:rsidRPr="005E35AF">
              <w:rPr>
                <w:highlight w:val="black"/>
              </w:rPr>
              <w:t>&amp;&amp;&amp;&amp;</w:t>
            </w:r>
            <w:r w:rsidRPr="00AA60FA">
              <w:t>%)</w:t>
            </w:r>
          </w:p>
        </w:tc>
      </w:tr>
      <w:tr w:rsidR="00860AB5" w:rsidRPr="00AA60FA" w14:paraId="7F47DC56" w14:textId="77777777" w:rsidTr="001D57FB">
        <w:tc>
          <w:tcPr>
            <w:tcW w:w="13780" w:type="dxa"/>
            <w:tcMar>
              <w:top w:w="0" w:type="dxa"/>
              <w:left w:w="28" w:type="dxa"/>
              <w:bottom w:w="0" w:type="dxa"/>
              <w:right w:w="28" w:type="dxa"/>
            </w:tcMar>
            <w:hideMark/>
          </w:tcPr>
          <w:p w14:paraId="6A2349F2" w14:textId="77777777" w:rsidR="00860AB5" w:rsidRPr="00AA60FA" w:rsidRDefault="00860AB5" w:rsidP="00AA60FA">
            <w:pPr>
              <w:pStyle w:val="TableText"/>
            </w:pPr>
            <w:r w:rsidRPr="00AA60FA">
              <w:t>Step 2: As for Step 1, and including BMI risk multipliers for cardiovascular events and diabetes based on data from the SELECT trial</w:t>
            </w:r>
          </w:p>
        </w:tc>
        <w:tc>
          <w:tcPr>
            <w:tcW w:w="5837" w:type="dxa"/>
            <w:tcMar>
              <w:top w:w="0" w:type="dxa"/>
              <w:left w:w="28" w:type="dxa"/>
              <w:bottom w:w="0" w:type="dxa"/>
              <w:right w:w="28" w:type="dxa"/>
            </w:tcMar>
            <w:vAlign w:val="center"/>
            <w:hideMark/>
          </w:tcPr>
          <w:p w14:paraId="66D8ACB7" w14:textId="418F6DA3" w:rsidR="00860AB5" w:rsidRPr="00AA60FA" w:rsidRDefault="00860AB5" w:rsidP="00AA60FA">
            <w:pPr>
              <w:pStyle w:val="TableText"/>
              <w:jc w:val="center"/>
            </w:pPr>
            <w:r w:rsidRPr="00AA60FA">
              <w:t>$</w:t>
            </w:r>
            <w:r w:rsidR="005E35AF" w:rsidRPr="005E35AF">
              <w:rPr>
                <w:highlight w:val="black"/>
              </w:rPr>
              <w:t>&amp;&amp;&amp;&amp;</w:t>
            </w:r>
            <w:r w:rsidR="00CE0F2F">
              <w:rPr>
                <w:vertAlign w:val="superscript"/>
              </w:rPr>
              <w:t>2</w:t>
            </w:r>
            <w:r w:rsidRPr="00AA60FA">
              <w:t xml:space="preserve"> (</w:t>
            </w:r>
            <w:r w:rsidRPr="00015EEB">
              <w:t>-</w:t>
            </w:r>
            <w:r w:rsidR="005E35AF" w:rsidRPr="005E35AF">
              <w:rPr>
                <w:highlight w:val="black"/>
              </w:rPr>
              <w:t>&amp;&amp;&amp;&amp;</w:t>
            </w:r>
            <w:r w:rsidRPr="00AA60FA">
              <w:t>%)</w:t>
            </w:r>
          </w:p>
        </w:tc>
        <w:tc>
          <w:tcPr>
            <w:tcW w:w="5837" w:type="dxa"/>
            <w:tcMar>
              <w:top w:w="0" w:type="dxa"/>
              <w:left w:w="28" w:type="dxa"/>
              <w:bottom w:w="0" w:type="dxa"/>
              <w:right w:w="28" w:type="dxa"/>
            </w:tcMar>
            <w:vAlign w:val="center"/>
            <w:hideMark/>
          </w:tcPr>
          <w:p w14:paraId="2166E696" w14:textId="045682F9" w:rsidR="00860AB5" w:rsidRPr="00AA60FA" w:rsidRDefault="00860AB5" w:rsidP="00AA60FA">
            <w:pPr>
              <w:pStyle w:val="TableText"/>
              <w:jc w:val="center"/>
            </w:pPr>
            <w:r w:rsidRPr="00AA60FA">
              <w:t>$</w:t>
            </w:r>
            <w:r w:rsidR="005E35AF" w:rsidRPr="005E35AF">
              <w:rPr>
                <w:highlight w:val="black"/>
              </w:rPr>
              <w:t>&amp;&amp;&amp;&amp;</w:t>
            </w:r>
            <w:r w:rsidR="00CE0F2F">
              <w:rPr>
                <w:vertAlign w:val="superscript"/>
              </w:rPr>
              <w:t>2</w:t>
            </w:r>
            <w:r w:rsidRPr="00AA60FA">
              <w:t xml:space="preserve"> (</w:t>
            </w:r>
            <w:r w:rsidRPr="00015EEB">
              <w:t>+</w:t>
            </w:r>
            <w:r w:rsidR="005E35AF" w:rsidRPr="005E35AF">
              <w:rPr>
                <w:highlight w:val="black"/>
              </w:rPr>
              <w:t>&amp;&amp;&amp;&amp;</w:t>
            </w:r>
            <w:r w:rsidRPr="00AA60FA">
              <w:t>%)</w:t>
            </w:r>
          </w:p>
        </w:tc>
        <w:tc>
          <w:tcPr>
            <w:tcW w:w="5841" w:type="dxa"/>
            <w:tcMar>
              <w:top w:w="0" w:type="dxa"/>
              <w:left w:w="28" w:type="dxa"/>
              <w:bottom w:w="0" w:type="dxa"/>
              <w:right w:w="28" w:type="dxa"/>
            </w:tcMar>
            <w:vAlign w:val="center"/>
            <w:hideMark/>
          </w:tcPr>
          <w:p w14:paraId="03A8D6DF" w14:textId="413C84DD" w:rsidR="00860AB5" w:rsidRPr="00AA60FA" w:rsidRDefault="00860AB5" w:rsidP="00AA60FA">
            <w:pPr>
              <w:pStyle w:val="TableText"/>
              <w:jc w:val="center"/>
            </w:pPr>
            <w:r w:rsidRPr="00AA60FA">
              <w:t>$</w:t>
            </w:r>
            <w:r w:rsidR="005E35AF" w:rsidRPr="005E35AF">
              <w:rPr>
                <w:highlight w:val="black"/>
              </w:rPr>
              <w:t>&amp;&amp;&amp;&amp;</w:t>
            </w:r>
            <w:r w:rsidR="00CE0F2F">
              <w:rPr>
                <w:vertAlign w:val="superscript"/>
              </w:rPr>
              <w:t>2</w:t>
            </w:r>
            <w:r w:rsidRPr="00AA60FA">
              <w:t xml:space="preserve"> (</w:t>
            </w:r>
            <w:r w:rsidRPr="00015EEB">
              <w:t>+</w:t>
            </w:r>
            <w:r w:rsidR="005E35AF" w:rsidRPr="005E35AF">
              <w:rPr>
                <w:highlight w:val="black"/>
              </w:rPr>
              <w:t>&amp;&amp;&amp;&amp;</w:t>
            </w:r>
            <w:r w:rsidRPr="00AA60FA">
              <w:t>%)</w:t>
            </w:r>
          </w:p>
        </w:tc>
      </w:tr>
      <w:tr w:rsidR="00860AB5" w:rsidRPr="00AA60FA" w14:paraId="056AD337" w14:textId="77777777" w:rsidTr="001D57FB">
        <w:tc>
          <w:tcPr>
            <w:tcW w:w="13780" w:type="dxa"/>
            <w:tcMar>
              <w:top w:w="0" w:type="dxa"/>
              <w:left w:w="28" w:type="dxa"/>
              <w:bottom w:w="0" w:type="dxa"/>
              <w:right w:w="28" w:type="dxa"/>
            </w:tcMar>
            <w:hideMark/>
          </w:tcPr>
          <w:p w14:paraId="02DCB958" w14:textId="77777777" w:rsidR="00860AB5" w:rsidRPr="00AA60FA" w:rsidRDefault="00860AB5" w:rsidP="00AA60FA">
            <w:pPr>
              <w:pStyle w:val="TableText"/>
            </w:pPr>
            <w:r w:rsidRPr="00AA60FA">
              <w:t>Step 3: As for Step 2, and halving coronary revascularisation acute event costs</w:t>
            </w:r>
          </w:p>
        </w:tc>
        <w:tc>
          <w:tcPr>
            <w:tcW w:w="5837" w:type="dxa"/>
            <w:tcMar>
              <w:top w:w="0" w:type="dxa"/>
              <w:left w:w="28" w:type="dxa"/>
              <w:bottom w:w="0" w:type="dxa"/>
              <w:right w:w="28" w:type="dxa"/>
            </w:tcMar>
            <w:vAlign w:val="center"/>
            <w:hideMark/>
          </w:tcPr>
          <w:p w14:paraId="68BF203C" w14:textId="37033D7B" w:rsidR="00860AB5" w:rsidRPr="00AA60FA" w:rsidRDefault="00860AB5" w:rsidP="00AA60FA">
            <w:pPr>
              <w:pStyle w:val="TableText"/>
              <w:jc w:val="center"/>
            </w:pPr>
            <w:r w:rsidRPr="00AA60FA">
              <w:t>$</w:t>
            </w:r>
            <w:r w:rsidR="005E35AF" w:rsidRPr="005E35AF">
              <w:rPr>
                <w:highlight w:val="black"/>
              </w:rPr>
              <w:t>&amp;&amp;&amp;&amp;</w:t>
            </w:r>
            <w:r w:rsidR="00CE0F2F">
              <w:rPr>
                <w:vertAlign w:val="superscript"/>
              </w:rPr>
              <w:t>2</w:t>
            </w:r>
            <w:r w:rsidRPr="00AA60FA">
              <w:t xml:space="preserve"> (</w:t>
            </w:r>
            <w:r w:rsidRPr="00015EEB">
              <w:t>+</w:t>
            </w:r>
            <w:r w:rsidR="005E35AF" w:rsidRPr="005E35AF">
              <w:rPr>
                <w:highlight w:val="black"/>
              </w:rPr>
              <w:t>&amp;&amp;&amp;&amp;</w:t>
            </w:r>
            <w:r w:rsidRPr="00AA60FA">
              <w:t>%)</w:t>
            </w:r>
          </w:p>
        </w:tc>
        <w:tc>
          <w:tcPr>
            <w:tcW w:w="5837" w:type="dxa"/>
            <w:tcMar>
              <w:top w:w="0" w:type="dxa"/>
              <w:left w:w="28" w:type="dxa"/>
              <w:bottom w:w="0" w:type="dxa"/>
              <w:right w:w="28" w:type="dxa"/>
            </w:tcMar>
            <w:vAlign w:val="center"/>
            <w:hideMark/>
          </w:tcPr>
          <w:p w14:paraId="074491A4" w14:textId="64779F1B" w:rsidR="00860AB5" w:rsidRPr="00AA60FA" w:rsidRDefault="00860AB5" w:rsidP="00AA60FA">
            <w:pPr>
              <w:pStyle w:val="TableText"/>
              <w:jc w:val="center"/>
            </w:pPr>
            <w:r w:rsidRPr="00AA60FA">
              <w:t>$</w:t>
            </w:r>
            <w:r w:rsidR="005E35AF" w:rsidRPr="005E35AF">
              <w:rPr>
                <w:highlight w:val="black"/>
              </w:rPr>
              <w:t>&amp;&amp;&amp;&amp;</w:t>
            </w:r>
            <w:r w:rsidR="00CE0F2F">
              <w:rPr>
                <w:vertAlign w:val="superscript"/>
              </w:rPr>
              <w:t>2</w:t>
            </w:r>
            <w:r w:rsidRPr="00AA60FA">
              <w:t xml:space="preserve"> (</w:t>
            </w:r>
            <w:r w:rsidRPr="00015EEB">
              <w:t>+</w:t>
            </w:r>
            <w:r w:rsidR="005E35AF" w:rsidRPr="005E35AF">
              <w:rPr>
                <w:highlight w:val="black"/>
              </w:rPr>
              <w:t>&amp;&amp;&amp;&amp;</w:t>
            </w:r>
            <w:r w:rsidRPr="00AA60FA">
              <w:t>%)</w:t>
            </w:r>
          </w:p>
        </w:tc>
        <w:tc>
          <w:tcPr>
            <w:tcW w:w="5841" w:type="dxa"/>
            <w:tcMar>
              <w:top w:w="0" w:type="dxa"/>
              <w:left w:w="28" w:type="dxa"/>
              <w:bottom w:w="0" w:type="dxa"/>
              <w:right w:w="28" w:type="dxa"/>
            </w:tcMar>
            <w:vAlign w:val="center"/>
            <w:hideMark/>
          </w:tcPr>
          <w:p w14:paraId="6C940403" w14:textId="22A73E2A" w:rsidR="00860AB5" w:rsidRPr="00AA60FA" w:rsidRDefault="00860AB5" w:rsidP="00AA60FA">
            <w:pPr>
              <w:pStyle w:val="TableText"/>
              <w:jc w:val="center"/>
            </w:pPr>
            <w:r w:rsidRPr="00AA60FA">
              <w:t>$</w:t>
            </w:r>
            <w:r w:rsidR="005E35AF" w:rsidRPr="005E35AF">
              <w:rPr>
                <w:highlight w:val="black"/>
              </w:rPr>
              <w:t>&amp;&amp;&amp;&amp;</w:t>
            </w:r>
            <w:r w:rsidR="00CE0F2F">
              <w:rPr>
                <w:vertAlign w:val="superscript"/>
              </w:rPr>
              <w:t>2</w:t>
            </w:r>
            <w:r w:rsidRPr="00AA60FA">
              <w:t xml:space="preserve"> (</w:t>
            </w:r>
            <w:r w:rsidRPr="00015EEB">
              <w:t>+</w:t>
            </w:r>
            <w:r w:rsidR="005E35AF" w:rsidRPr="005E35AF">
              <w:rPr>
                <w:highlight w:val="black"/>
              </w:rPr>
              <w:t>&amp;&amp;&amp;&amp;</w:t>
            </w:r>
            <w:r w:rsidRPr="00AA60FA">
              <w:t>%)</w:t>
            </w:r>
          </w:p>
        </w:tc>
      </w:tr>
      <w:tr w:rsidR="00860AB5" w:rsidRPr="00AA60FA" w14:paraId="3B48C9AA" w14:textId="77777777" w:rsidTr="001D57FB">
        <w:tc>
          <w:tcPr>
            <w:tcW w:w="13780" w:type="dxa"/>
            <w:tcMar>
              <w:top w:w="0" w:type="dxa"/>
              <w:left w:w="28" w:type="dxa"/>
              <w:bottom w:w="0" w:type="dxa"/>
              <w:right w:w="28" w:type="dxa"/>
            </w:tcMar>
            <w:hideMark/>
          </w:tcPr>
          <w:p w14:paraId="6E359CA6" w14:textId="77777777" w:rsidR="00860AB5" w:rsidRPr="00AA60FA" w:rsidRDefault="4A123A22" w:rsidP="00AA60FA">
            <w:pPr>
              <w:pStyle w:val="TableText"/>
            </w:pPr>
            <w:r>
              <w:t>Step 4: As for Step 3, with CKD treatment effects limited to early-stage disease (consistent with PSCR)</w:t>
            </w:r>
          </w:p>
        </w:tc>
        <w:tc>
          <w:tcPr>
            <w:tcW w:w="5837" w:type="dxa"/>
            <w:tcMar>
              <w:top w:w="0" w:type="dxa"/>
              <w:left w:w="28" w:type="dxa"/>
              <w:bottom w:w="0" w:type="dxa"/>
              <w:right w:w="28" w:type="dxa"/>
            </w:tcMar>
            <w:vAlign w:val="center"/>
            <w:hideMark/>
          </w:tcPr>
          <w:p w14:paraId="19C78AF0" w14:textId="4E9EEB2E" w:rsidR="00860AB5" w:rsidRPr="00AA60FA" w:rsidRDefault="00860AB5" w:rsidP="00AA60FA">
            <w:pPr>
              <w:pStyle w:val="TableText"/>
              <w:jc w:val="center"/>
            </w:pPr>
            <w:r w:rsidRPr="00AA60FA">
              <w:t>$</w:t>
            </w:r>
            <w:r w:rsidR="005E35AF" w:rsidRPr="005E35AF">
              <w:rPr>
                <w:highlight w:val="black"/>
              </w:rPr>
              <w:t>&amp;&amp;&amp;&amp;</w:t>
            </w:r>
            <w:r w:rsidR="00FB2F35">
              <w:rPr>
                <w:vertAlign w:val="superscript"/>
              </w:rPr>
              <w:t>2</w:t>
            </w:r>
            <w:r w:rsidRPr="00AA60FA">
              <w:t xml:space="preserve"> </w:t>
            </w:r>
            <w:r w:rsidRPr="00015EEB">
              <w:t>(+</w:t>
            </w:r>
            <w:r w:rsidR="005E35AF" w:rsidRPr="005E35AF">
              <w:rPr>
                <w:highlight w:val="black"/>
              </w:rPr>
              <w:t>&amp;&amp;&amp;&amp;</w:t>
            </w:r>
            <w:r w:rsidRPr="00AA60FA">
              <w:t>%)</w:t>
            </w:r>
          </w:p>
        </w:tc>
        <w:tc>
          <w:tcPr>
            <w:tcW w:w="5837" w:type="dxa"/>
            <w:tcMar>
              <w:top w:w="0" w:type="dxa"/>
              <w:left w:w="28" w:type="dxa"/>
              <w:bottom w:w="0" w:type="dxa"/>
              <w:right w:w="28" w:type="dxa"/>
            </w:tcMar>
            <w:vAlign w:val="center"/>
            <w:hideMark/>
          </w:tcPr>
          <w:p w14:paraId="1729CBC4" w14:textId="4DFC6CD4" w:rsidR="00860AB5" w:rsidRPr="00AA60FA" w:rsidRDefault="00860AB5" w:rsidP="00AA60FA">
            <w:pPr>
              <w:pStyle w:val="TableText"/>
              <w:jc w:val="center"/>
            </w:pPr>
            <w:r w:rsidRPr="00AA60FA">
              <w:t>$</w:t>
            </w:r>
            <w:r w:rsidR="005E35AF" w:rsidRPr="005E35AF">
              <w:rPr>
                <w:highlight w:val="black"/>
              </w:rPr>
              <w:t>&amp;&amp;&amp;&amp;</w:t>
            </w:r>
            <w:r w:rsidR="00FB2F35">
              <w:rPr>
                <w:vertAlign w:val="superscript"/>
              </w:rPr>
              <w:t>2</w:t>
            </w:r>
            <w:r w:rsidRPr="00AA60FA">
              <w:t xml:space="preserve"> </w:t>
            </w:r>
            <w:r w:rsidRPr="00015EEB">
              <w:t>(+</w:t>
            </w:r>
            <w:r w:rsidR="005E35AF" w:rsidRPr="005E35AF">
              <w:rPr>
                <w:highlight w:val="black"/>
              </w:rPr>
              <w:t>&amp;&amp;&amp;&amp;</w:t>
            </w:r>
            <w:r w:rsidRPr="00AA60FA">
              <w:t>%)</w:t>
            </w:r>
          </w:p>
        </w:tc>
        <w:tc>
          <w:tcPr>
            <w:tcW w:w="5841" w:type="dxa"/>
            <w:tcMar>
              <w:top w:w="0" w:type="dxa"/>
              <w:left w:w="28" w:type="dxa"/>
              <w:bottom w:w="0" w:type="dxa"/>
              <w:right w:w="28" w:type="dxa"/>
            </w:tcMar>
            <w:vAlign w:val="center"/>
            <w:hideMark/>
          </w:tcPr>
          <w:p w14:paraId="397AE8FB" w14:textId="2BBD59E6" w:rsidR="00860AB5" w:rsidRPr="00AA60FA" w:rsidRDefault="4A123A22" w:rsidP="00AA60FA">
            <w:pPr>
              <w:pStyle w:val="TableText"/>
              <w:jc w:val="center"/>
            </w:pPr>
            <w:r>
              <w:t>$</w:t>
            </w:r>
            <w:r w:rsidR="005E35AF" w:rsidRPr="005E35AF">
              <w:rPr>
                <w:highlight w:val="black"/>
              </w:rPr>
              <w:t>&amp;&amp;&amp;&amp;</w:t>
            </w:r>
            <w:r w:rsidR="00FB2F35">
              <w:rPr>
                <w:vertAlign w:val="superscript"/>
              </w:rPr>
              <w:t>2</w:t>
            </w:r>
            <w:r>
              <w:t xml:space="preserve"> (</w:t>
            </w:r>
            <w:r w:rsidRPr="00015EEB">
              <w:t>+</w:t>
            </w:r>
            <w:r w:rsidR="005E35AF" w:rsidRPr="005E35AF">
              <w:rPr>
                <w:highlight w:val="black"/>
              </w:rPr>
              <w:t>&amp;&amp;&amp;&amp;</w:t>
            </w:r>
            <w:r>
              <w:t>%)</w:t>
            </w:r>
          </w:p>
        </w:tc>
      </w:tr>
      <w:tr w:rsidR="00860AB5" w:rsidRPr="00AA60FA" w14:paraId="1F10BC2B" w14:textId="77777777" w:rsidTr="001D57FB">
        <w:tc>
          <w:tcPr>
            <w:tcW w:w="13780" w:type="dxa"/>
            <w:tcMar>
              <w:top w:w="0" w:type="dxa"/>
              <w:left w:w="28" w:type="dxa"/>
              <w:bottom w:w="0" w:type="dxa"/>
              <w:right w:w="28" w:type="dxa"/>
            </w:tcMar>
            <w:hideMark/>
          </w:tcPr>
          <w:p w14:paraId="726D487C" w14:textId="77777777" w:rsidR="00860AB5" w:rsidRPr="00AA60FA" w:rsidRDefault="00860AB5" w:rsidP="00AA60FA">
            <w:pPr>
              <w:pStyle w:val="TableText"/>
            </w:pPr>
            <w:r w:rsidRPr="00AA60FA">
              <w:t>Step 5a: As for Step 4, with no retained BMI treatment effects after discontinuation</w:t>
            </w:r>
          </w:p>
        </w:tc>
        <w:tc>
          <w:tcPr>
            <w:tcW w:w="5837" w:type="dxa"/>
            <w:tcMar>
              <w:top w:w="0" w:type="dxa"/>
              <w:left w:w="28" w:type="dxa"/>
              <w:bottom w:w="0" w:type="dxa"/>
              <w:right w:w="28" w:type="dxa"/>
            </w:tcMar>
            <w:vAlign w:val="center"/>
            <w:hideMark/>
          </w:tcPr>
          <w:p w14:paraId="6582B30F" w14:textId="16D5134C" w:rsidR="00860AB5" w:rsidRPr="00AA60FA" w:rsidRDefault="00860AB5" w:rsidP="00AA60FA">
            <w:pPr>
              <w:pStyle w:val="TableText"/>
              <w:jc w:val="center"/>
            </w:pPr>
            <w:r w:rsidRPr="00AA60FA">
              <w:t>$</w:t>
            </w:r>
            <w:r w:rsidR="005E35AF" w:rsidRPr="005E35AF">
              <w:rPr>
                <w:highlight w:val="black"/>
              </w:rPr>
              <w:t>&amp;&amp;&amp;&amp;</w:t>
            </w:r>
            <w:r w:rsidR="00FB2F35">
              <w:rPr>
                <w:vertAlign w:val="superscript"/>
              </w:rPr>
              <w:t>2</w:t>
            </w:r>
            <w:r w:rsidRPr="00AA60FA">
              <w:t xml:space="preserve"> (</w:t>
            </w:r>
            <w:r w:rsidRPr="00015EEB">
              <w:t>+</w:t>
            </w:r>
            <w:r w:rsidR="005E35AF" w:rsidRPr="005E35AF">
              <w:rPr>
                <w:highlight w:val="black"/>
              </w:rPr>
              <w:t>&amp;&amp;&amp;&amp;</w:t>
            </w:r>
            <w:r w:rsidRPr="00AA60FA">
              <w:t>%)</w:t>
            </w:r>
          </w:p>
        </w:tc>
        <w:tc>
          <w:tcPr>
            <w:tcW w:w="5837" w:type="dxa"/>
            <w:tcMar>
              <w:top w:w="0" w:type="dxa"/>
              <w:left w:w="28" w:type="dxa"/>
              <w:bottom w:w="0" w:type="dxa"/>
              <w:right w:w="28" w:type="dxa"/>
            </w:tcMar>
            <w:vAlign w:val="center"/>
            <w:hideMark/>
          </w:tcPr>
          <w:p w14:paraId="621C2395" w14:textId="5233DE11" w:rsidR="00860AB5" w:rsidRPr="00AA60FA" w:rsidRDefault="00860AB5" w:rsidP="00AA60FA">
            <w:pPr>
              <w:pStyle w:val="TableText"/>
              <w:jc w:val="center"/>
            </w:pPr>
            <w:r w:rsidRPr="00AA60FA">
              <w:t>$</w:t>
            </w:r>
            <w:r w:rsidR="005E35AF" w:rsidRPr="005E35AF">
              <w:rPr>
                <w:highlight w:val="black"/>
              </w:rPr>
              <w:t>&amp;&amp;&amp;&amp;</w:t>
            </w:r>
            <w:r w:rsidRPr="00AA60FA">
              <w:t xml:space="preserve"> (</w:t>
            </w:r>
            <w:r w:rsidRPr="00015EEB">
              <w:t>+</w:t>
            </w:r>
            <w:r w:rsidR="005E35AF" w:rsidRPr="005E35AF">
              <w:rPr>
                <w:highlight w:val="black"/>
              </w:rPr>
              <w:t>&amp;&amp;&amp;&amp;</w:t>
            </w:r>
            <w:r w:rsidRPr="00AA60FA">
              <w:t>%)</w:t>
            </w:r>
          </w:p>
        </w:tc>
        <w:tc>
          <w:tcPr>
            <w:tcW w:w="5841" w:type="dxa"/>
            <w:tcMar>
              <w:top w:w="0" w:type="dxa"/>
              <w:left w:w="28" w:type="dxa"/>
              <w:bottom w:w="0" w:type="dxa"/>
              <w:right w:w="28" w:type="dxa"/>
            </w:tcMar>
            <w:vAlign w:val="center"/>
            <w:hideMark/>
          </w:tcPr>
          <w:p w14:paraId="6C8E02DD" w14:textId="46091D60" w:rsidR="00860AB5" w:rsidRPr="00AA60FA" w:rsidRDefault="00860AB5" w:rsidP="00AA60FA">
            <w:pPr>
              <w:pStyle w:val="TableText"/>
              <w:jc w:val="center"/>
            </w:pPr>
            <w:r w:rsidRPr="00AA60FA">
              <w:t>$</w:t>
            </w:r>
            <w:r w:rsidR="005E35AF" w:rsidRPr="005E35AF">
              <w:rPr>
                <w:highlight w:val="black"/>
              </w:rPr>
              <w:t>&amp;&amp;&amp;&amp;</w:t>
            </w:r>
            <w:r w:rsidRPr="00AA60FA">
              <w:t xml:space="preserve"> </w:t>
            </w:r>
            <w:r w:rsidRPr="00015EEB">
              <w:t>(+</w:t>
            </w:r>
            <w:r w:rsidR="005E35AF" w:rsidRPr="005E35AF">
              <w:rPr>
                <w:highlight w:val="black"/>
              </w:rPr>
              <w:t>&amp;&amp;&amp;&amp;</w:t>
            </w:r>
            <w:r w:rsidRPr="00AA60FA">
              <w:t>%)</w:t>
            </w:r>
          </w:p>
        </w:tc>
      </w:tr>
      <w:tr w:rsidR="00860AB5" w:rsidRPr="00AA60FA" w14:paraId="0088399E" w14:textId="77777777" w:rsidTr="001D57FB">
        <w:tc>
          <w:tcPr>
            <w:tcW w:w="13780" w:type="dxa"/>
            <w:tcMar>
              <w:top w:w="0" w:type="dxa"/>
              <w:left w:w="28" w:type="dxa"/>
              <w:bottom w:w="0" w:type="dxa"/>
              <w:right w:w="28" w:type="dxa"/>
            </w:tcMar>
            <w:hideMark/>
          </w:tcPr>
          <w:p w14:paraId="600F760A" w14:textId="77777777" w:rsidR="00860AB5" w:rsidRPr="00AA60FA" w:rsidRDefault="00860AB5" w:rsidP="00AA60FA">
            <w:pPr>
              <w:pStyle w:val="TableText"/>
            </w:pPr>
            <w:r w:rsidRPr="00AA60FA">
              <w:t>Step 5b: As for Step 4, with 10% of BMI treatment effects maintained after discontinuation</w:t>
            </w:r>
          </w:p>
        </w:tc>
        <w:tc>
          <w:tcPr>
            <w:tcW w:w="5837" w:type="dxa"/>
            <w:tcMar>
              <w:top w:w="0" w:type="dxa"/>
              <w:left w:w="28" w:type="dxa"/>
              <w:bottom w:w="0" w:type="dxa"/>
              <w:right w:w="28" w:type="dxa"/>
            </w:tcMar>
            <w:vAlign w:val="center"/>
            <w:hideMark/>
          </w:tcPr>
          <w:p w14:paraId="4C305538" w14:textId="7C2AAC81" w:rsidR="00860AB5" w:rsidRPr="00AA60FA" w:rsidRDefault="00860AB5" w:rsidP="00AA60FA">
            <w:pPr>
              <w:pStyle w:val="TableText"/>
              <w:jc w:val="center"/>
            </w:pPr>
            <w:r w:rsidRPr="00AA60FA">
              <w:t>$</w:t>
            </w:r>
            <w:r w:rsidR="005E35AF" w:rsidRPr="005E35AF">
              <w:rPr>
                <w:highlight w:val="black"/>
              </w:rPr>
              <w:t>&amp;&amp;&amp;&amp;</w:t>
            </w:r>
            <w:r w:rsidR="00FB2F35">
              <w:rPr>
                <w:vertAlign w:val="superscript"/>
              </w:rPr>
              <w:t>2</w:t>
            </w:r>
            <w:r w:rsidRPr="00AA60FA">
              <w:t xml:space="preserve"> </w:t>
            </w:r>
            <w:r w:rsidRPr="00015EEB">
              <w:t>(+</w:t>
            </w:r>
            <w:r w:rsidR="005E35AF" w:rsidRPr="005E35AF">
              <w:rPr>
                <w:highlight w:val="black"/>
              </w:rPr>
              <w:t>&amp;&amp;&amp;&amp;</w:t>
            </w:r>
            <w:r w:rsidRPr="00AA60FA">
              <w:t>%)</w:t>
            </w:r>
          </w:p>
        </w:tc>
        <w:tc>
          <w:tcPr>
            <w:tcW w:w="5837" w:type="dxa"/>
            <w:tcMar>
              <w:top w:w="0" w:type="dxa"/>
              <w:left w:w="28" w:type="dxa"/>
              <w:bottom w:w="0" w:type="dxa"/>
              <w:right w:w="28" w:type="dxa"/>
            </w:tcMar>
            <w:vAlign w:val="center"/>
            <w:hideMark/>
          </w:tcPr>
          <w:p w14:paraId="75421B49" w14:textId="62382CA8" w:rsidR="00860AB5" w:rsidRPr="00AA60FA" w:rsidRDefault="00860AB5" w:rsidP="00AA60FA">
            <w:pPr>
              <w:pStyle w:val="TableText"/>
              <w:jc w:val="center"/>
            </w:pPr>
            <w:r w:rsidRPr="00AA60FA">
              <w:t>$</w:t>
            </w:r>
            <w:r w:rsidR="005E35AF" w:rsidRPr="005E35AF">
              <w:rPr>
                <w:highlight w:val="black"/>
              </w:rPr>
              <w:t>&amp;&amp;&amp;&amp;</w:t>
            </w:r>
            <w:r w:rsidR="00FB2F35">
              <w:rPr>
                <w:vertAlign w:val="superscript"/>
              </w:rPr>
              <w:t>2</w:t>
            </w:r>
            <w:r w:rsidRPr="00AA60FA">
              <w:t xml:space="preserve"> (</w:t>
            </w:r>
            <w:r w:rsidRPr="00015EEB">
              <w:t>+</w:t>
            </w:r>
            <w:r w:rsidR="005E35AF" w:rsidRPr="005E35AF">
              <w:rPr>
                <w:highlight w:val="black"/>
              </w:rPr>
              <w:t>&amp;&amp;&amp;&amp;</w:t>
            </w:r>
            <w:r w:rsidRPr="00AA60FA">
              <w:t>%)</w:t>
            </w:r>
          </w:p>
        </w:tc>
        <w:tc>
          <w:tcPr>
            <w:tcW w:w="5841" w:type="dxa"/>
            <w:tcMar>
              <w:top w:w="0" w:type="dxa"/>
              <w:left w:w="28" w:type="dxa"/>
              <w:bottom w:w="0" w:type="dxa"/>
              <w:right w:w="28" w:type="dxa"/>
            </w:tcMar>
            <w:vAlign w:val="center"/>
            <w:hideMark/>
          </w:tcPr>
          <w:p w14:paraId="041DA67A" w14:textId="2BF3FC56" w:rsidR="00860AB5" w:rsidRPr="00AA60FA" w:rsidRDefault="00860AB5" w:rsidP="00AA60FA">
            <w:pPr>
              <w:pStyle w:val="TableText"/>
              <w:jc w:val="center"/>
            </w:pPr>
            <w:r w:rsidRPr="00AA60FA">
              <w:t>$</w:t>
            </w:r>
            <w:r w:rsidR="005E35AF" w:rsidRPr="005E35AF">
              <w:rPr>
                <w:highlight w:val="black"/>
              </w:rPr>
              <w:t>&amp;&amp;&amp;&amp;</w:t>
            </w:r>
            <w:r w:rsidRPr="00AA60FA">
              <w:t xml:space="preserve"> (</w:t>
            </w:r>
            <w:r w:rsidRPr="00015EEB">
              <w:t>+</w:t>
            </w:r>
            <w:r w:rsidR="005E35AF" w:rsidRPr="005E35AF">
              <w:rPr>
                <w:highlight w:val="black"/>
              </w:rPr>
              <w:t>&amp;&amp;&amp;&amp;</w:t>
            </w:r>
            <w:r w:rsidRPr="00AA60FA">
              <w:t>%)</w:t>
            </w:r>
          </w:p>
        </w:tc>
      </w:tr>
      <w:tr w:rsidR="00860AB5" w:rsidRPr="00AA60FA" w14:paraId="686EA0B4" w14:textId="77777777" w:rsidTr="001D57FB">
        <w:tc>
          <w:tcPr>
            <w:tcW w:w="13780" w:type="dxa"/>
            <w:tcMar>
              <w:top w:w="0" w:type="dxa"/>
              <w:left w:w="28" w:type="dxa"/>
              <w:bottom w:w="0" w:type="dxa"/>
              <w:right w:w="28" w:type="dxa"/>
            </w:tcMar>
            <w:hideMark/>
          </w:tcPr>
          <w:p w14:paraId="051704B8" w14:textId="77777777" w:rsidR="00860AB5" w:rsidRPr="00AA60FA" w:rsidRDefault="00860AB5" w:rsidP="00AA60FA">
            <w:pPr>
              <w:pStyle w:val="TableText"/>
            </w:pPr>
            <w:r w:rsidRPr="00AA60FA">
              <w:t>Step 5c: As for Step 4, with 20% of BMI treatment effects maintained after discontinuation</w:t>
            </w:r>
          </w:p>
        </w:tc>
        <w:tc>
          <w:tcPr>
            <w:tcW w:w="5837" w:type="dxa"/>
            <w:tcMar>
              <w:top w:w="0" w:type="dxa"/>
              <w:left w:w="28" w:type="dxa"/>
              <w:bottom w:w="0" w:type="dxa"/>
              <w:right w:w="28" w:type="dxa"/>
            </w:tcMar>
            <w:vAlign w:val="center"/>
            <w:hideMark/>
          </w:tcPr>
          <w:p w14:paraId="5F1CC1A9" w14:textId="34ED67A1" w:rsidR="00860AB5" w:rsidRPr="00AA60FA" w:rsidRDefault="00860AB5" w:rsidP="00AA60FA">
            <w:pPr>
              <w:pStyle w:val="TableText"/>
              <w:jc w:val="center"/>
            </w:pPr>
            <w:r w:rsidRPr="00AA60FA">
              <w:t>$</w:t>
            </w:r>
            <w:r w:rsidR="005E35AF" w:rsidRPr="005E35AF">
              <w:rPr>
                <w:highlight w:val="black"/>
              </w:rPr>
              <w:t>&amp;&amp;&amp;&amp;</w:t>
            </w:r>
            <w:r w:rsidR="00FB2F35">
              <w:rPr>
                <w:vertAlign w:val="superscript"/>
              </w:rPr>
              <w:t>2</w:t>
            </w:r>
            <w:r w:rsidRPr="00AA60FA">
              <w:t xml:space="preserve"> </w:t>
            </w:r>
            <w:r w:rsidRPr="00015EEB">
              <w:t>(+</w:t>
            </w:r>
            <w:r w:rsidR="005E35AF" w:rsidRPr="005E35AF">
              <w:rPr>
                <w:highlight w:val="black"/>
              </w:rPr>
              <w:t>&amp;&amp;&amp;&amp;</w:t>
            </w:r>
            <w:r w:rsidRPr="00AA60FA">
              <w:t>%)</w:t>
            </w:r>
          </w:p>
        </w:tc>
        <w:tc>
          <w:tcPr>
            <w:tcW w:w="5837" w:type="dxa"/>
            <w:tcMar>
              <w:top w:w="0" w:type="dxa"/>
              <w:left w:w="28" w:type="dxa"/>
              <w:bottom w:w="0" w:type="dxa"/>
              <w:right w:w="28" w:type="dxa"/>
            </w:tcMar>
            <w:vAlign w:val="center"/>
            <w:hideMark/>
          </w:tcPr>
          <w:p w14:paraId="6D3E6C48" w14:textId="0EA37DE5" w:rsidR="00860AB5" w:rsidRPr="00AA60FA" w:rsidRDefault="00860AB5" w:rsidP="00AA60FA">
            <w:pPr>
              <w:pStyle w:val="TableText"/>
              <w:jc w:val="center"/>
            </w:pPr>
            <w:r w:rsidRPr="00AA60FA">
              <w:t>$</w:t>
            </w:r>
            <w:r w:rsidR="005E35AF" w:rsidRPr="005E35AF">
              <w:rPr>
                <w:highlight w:val="black"/>
              </w:rPr>
              <w:t>&amp;&amp;&amp;&amp;</w:t>
            </w:r>
            <w:r w:rsidR="00FB2F35">
              <w:rPr>
                <w:vertAlign w:val="superscript"/>
              </w:rPr>
              <w:t>2</w:t>
            </w:r>
            <w:r w:rsidRPr="00AA60FA">
              <w:t xml:space="preserve"> (</w:t>
            </w:r>
            <w:r w:rsidRPr="00015EEB">
              <w:t>+</w:t>
            </w:r>
            <w:r w:rsidR="005E35AF" w:rsidRPr="005E35AF">
              <w:rPr>
                <w:highlight w:val="black"/>
              </w:rPr>
              <w:t>&amp;&amp;&amp;&amp;</w:t>
            </w:r>
            <w:r w:rsidRPr="00AA60FA">
              <w:t>%)</w:t>
            </w:r>
          </w:p>
        </w:tc>
        <w:tc>
          <w:tcPr>
            <w:tcW w:w="5841" w:type="dxa"/>
            <w:tcMar>
              <w:top w:w="0" w:type="dxa"/>
              <w:left w:w="28" w:type="dxa"/>
              <w:bottom w:w="0" w:type="dxa"/>
              <w:right w:w="28" w:type="dxa"/>
            </w:tcMar>
            <w:vAlign w:val="center"/>
            <w:hideMark/>
          </w:tcPr>
          <w:p w14:paraId="0ECCF8BA" w14:textId="293EFD9A" w:rsidR="00860AB5" w:rsidRPr="00AA60FA" w:rsidRDefault="00860AB5" w:rsidP="00AA60FA">
            <w:pPr>
              <w:pStyle w:val="TableText"/>
              <w:jc w:val="center"/>
            </w:pPr>
            <w:r w:rsidRPr="00AA60FA">
              <w:t>$</w:t>
            </w:r>
            <w:r w:rsidR="005E35AF" w:rsidRPr="005E35AF">
              <w:rPr>
                <w:highlight w:val="black"/>
              </w:rPr>
              <w:t>&amp;&amp;&amp;&amp;</w:t>
            </w:r>
            <w:r w:rsidR="00FB2F35">
              <w:rPr>
                <w:vertAlign w:val="superscript"/>
              </w:rPr>
              <w:t>2</w:t>
            </w:r>
            <w:r w:rsidRPr="00AA60FA">
              <w:t xml:space="preserve"> </w:t>
            </w:r>
            <w:r w:rsidRPr="00015EEB">
              <w:t>(+</w:t>
            </w:r>
            <w:r w:rsidR="005E35AF" w:rsidRPr="005E35AF">
              <w:rPr>
                <w:highlight w:val="black"/>
              </w:rPr>
              <w:t>&amp;&amp;&amp;&amp;</w:t>
            </w:r>
            <w:r w:rsidRPr="00AA60FA">
              <w:t>%)</w:t>
            </w:r>
          </w:p>
        </w:tc>
      </w:tr>
    </w:tbl>
    <w:p w14:paraId="77180EE0" w14:textId="77777777" w:rsidR="00860AB5" w:rsidRDefault="00860AB5" w:rsidP="00AA60FA">
      <w:pPr>
        <w:pStyle w:val="TableFigureFooter"/>
        <w:rPr>
          <w:rFonts w:ascii="Aptos" w:eastAsiaTheme="minorHAnsi" w:hAnsi="Aptos" w:cs="Aptos"/>
        </w:rPr>
      </w:pPr>
      <w:r>
        <w:t>Source: ‘Section 3 Workbook’ provided with the resubmission.</w:t>
      </w:r>
    </w:p>
    <w:p w14:paraId="70FFA062" w14:textId="77777777" w:rsidR="00860AB5" w:rsidRDefault="00860AB5" w:rsidP="00AA60FA">
      <w:pPr>
        <w:pStyle w:val="TableFigureFooter"/>
      </w:pPr>
      <w:r>
        <w:t>Abbreviations: BMI, body mass index; CKD, chronic kidney disease; CVD, cardiovascular disease; ICER, incremental cost effectiveness ratio; QALY, quality-adjusted life year</w:t>
      </w:r>
    </w:p>
    <w:p w14:paraId="19B8B6EE" w14:textId="77777777" w:rsidR="00860AB5" w:rsidRDefault="00860AB5" w:rsidP="00AA60FA">
      <w:pPr>
        <w:pStyle w:val="TableFigureFooter"/>
      </w:pPr>
      <w:r>
        <w:t>Note: The effective DPMQs estimated for semaglutide in the resubmission were calculated using a non-standard methodology. During the evaluation, the sponsor confirmed the calculation of revised effective DPMQs estimated using standard methods. These revised prices were used in the commentary.</w:t>
      </w:r>
    </w:p>
    <w:p w14:paraId="542936B2" w14:textId="77777777" w:rsidR="00B65CAB" w:rsidRDefault="00860AB5" w:rsidP="00FA2332">
      <w:pPr>
        <w:pStyle w:val="TableFigureFooter"/>
      </w:pPr>
      <w:r>
        <w:t>Note: Calculation errors related to the application of discontinuation rates and QALY losses in patients with history of multiple events were identified during the evaluation. These errors were acknowledged by the sponsor and corrected in the commentary.</w:t>
      </w:r>
      <w:r w:rsidR="004604A4">
        <w:t xml:space="preserve"> </w:t>
      </w:r>
    </w:p>
    <w:p w14:paraId="74BE7215" w14:textId="64DB8279" w:rsidR="00FA2332" w:rsidRPr="00B65CAB" w:rsidRDefault="00B65CAB" w:rsidP="00FA2332">
      <w:pPr>
        <w:pStyle w:val="TableFigureFooter"/>
        <w:rPr>
          <w:i/>
          <w:iCs/>
        </w:rPr>
      </w:pPr>
      <w:r w:rsidRPr="00B65CAB">
        <w:rPr>
          <w:i/>
          <w:iCs/>
        </w:rPr>
        <w:t>The redacted values correspond to the following ranges:</w:t>
      </w:r>
    </w:p>
    <w:p w14:paraId="618EB6B8" w14:textId="2A11D3A4" w:rsidR="00FA2332" w:rsidRPr="00B65CAB" w:rsidRDefault="00CE0F2F" w:rsidP="00FA2332">
      <w:pPr>
        <w:pStyle w:val="TableFigureFooter"/>
        <w:rPr>
          <w:i/>
          <w:iCs/>
        </w:rPr>
      </w:pPr>
      <w:r w:rsidRPr="00B65CAB">
        <w:rPr>
          <w:i/>
          <w:iCs/>
          <w:vertAlign w:val="superscript"/>
        </w:rPr>
        <w:t>1</w:t>
      </w:r>
      <w:r w:rsidR="00FA2332" w:rsidRPr="00B65CAB">
        <w:rPr>
          <w:i/>
          <w:iCs/>
        </w:rPr>
        <w:t>$15,000 to &lt; $25,000</w:t>
      </w:r>
    </w:p>
    <w:p w14:paraId="3B048FEE" w14:textId="3095BE0C" w:rsidR="00FA2332" w:rsidRPr="00B65CAB" w:rsidRDefault="00CE0F2F" w:rsidP="00FA2332">
      <w:pPr>
        <w:pStyle w:val="TableFigureFooter"/>
        <w:rPr>
          <w:i/>
          <w:iCs/>
        </w:rPr>
      </w:pPr>
      <w:r w:rsidRPr="00B65CAB">
        <w:rPr>
          <w:i/>
          <w:iCs/>
          <w:vertAlign w:val="superscript"/>
        </w:rPr>
        <w:t>2</w:t>
      </w:r>
      <w:r w:rsidR="00FA2332" w:rsidRPr="00B65CAB">
        <w:rPr>
          <w:i/>
          <w:iCs/>
        </w:rPr>
        <w:t>$25,000 to &lt; $35,000</w:t>
      </w:r>
    </w:p>
    <w:p w14:paraId="39126432" w14:textId="6E566025" w:rsidR="00FA2332" w:rsidRPr="00B65CAB" w:rsidRDefault="00FB2F35" w:rsidP="00FA2332">
      <w:pPr>
        <w:pStyle w:val="TableFigureFooter"/>
        <w:rPr>
          <w:i/>
          <w:iCs/>
        </w:rPr>
      </w:pPr>
      <w:r w:rsidRPr="00B65CAB">
        <w:rPr>
          <w:i/>
          <w:iCs/>
          <w:vertAlign w:val="superscript"/>
        </w:rPr>
        <w:t>3</w:t>
      </w:r>
      <w:r w:rsidR="00FA2332" w:rsidRPr="00B65CAB">
        <w:rPr>
          <w:i/>
          <w:iCs/>
        </w:rPr>
        <w:t>$35,000 to &lt; $45,000</w:t>
      </w:r>
    </w:p>
    <w:p w14:paraId="472842D7" w14:textId="1603B66B" w:rsidR="00C25D9C" w:rsidRPr="0098262F" w:rsidRDefault="00C25D9C" w:rsidP="00BB732D">
      <w:pPr>
        <w:pStyle w:val="COMESSubsectionheading"/>
      </w:pPr>
      <w:bookmarkStart w:id="62" w:name="_Toc22897646"/>
      <w:bookmarkStart w:id="63" w:name="_Toc208928372"/>
      <w:r w:rsidRPr="0098262F">
        <w:t>Drug cost/patient/year</w:t>
      </w:r>
      <w:bookmarkEnd w:id="62"/>
      <w:bookmarkEnd w:id="63"/>
    </w:p>
    <w:p w14:paraId="0CB8295C" w14:textId="25803412" w:rsidR="0085648D" w:rsidRPr="00FF7EE5" w:rsidRDefault="0085648D" w:rsidP="0085648D">
      <w:pPr>
        <w:pStyle w:val="COMESnumberedpara"/>
      </w:pPr>
      <w:bookmarkStart w:id="64" w:name="_Hlk107307804"/>
      <w:r w:rsidRPr="00FF7EE5">
        <w:t xml:space="preserve">The estimated drug costs for semaglutide per patient per year are summarised in </w:t>
      </w:r>
      <w:r w:rsidR="00055136">
        <w:fldChar w:fldCharType="begin"/>
      </w:r>
      <w:r w:rsidR="00055136">
        <w:instrText xml:space="preserve"> REF _Ref206945445 \h </w:instrText>
      </w:r>
      <w:r w:rsidR="00055136">
        <w:fldChar w:fldCharType="separate"/>
      </w:r>
      <w:r w:rsidR="004F1BBD">
        <w:t xml:space="preserve">Table </w:t>
      </w:r>
      <w:r w:rsidR="004F1BBD">
        <w:rPr>
          <w:noProof/>
        </w:rPr>
        <w:t>18</w:t>
      </w:r>
      <w:r w:rsidR="00055136">
        <w:fldChar w:fldCharType="end"/>
      </w:r>
      <w:r w:rsidR="00FF7EE5" w:rsidRPr="00FF7EE5">
        <w:t>.</w:t>
      </w:r>
    </w:p>
    <w:p w14:paraId="6D365179" w14:textId="7ADA9828" w:rsidR="0085648D" w:rsidRDefault="00055136" w:rsidP="00055136">
      <w:pPr>
        <w:pStyle w:val="Caption"/>
      </w:pPr>
      <w:bookmarkStart w:id="65" w:name="_Ref206945445"/>
      <w:r>
        <w:lastRenderedPageBreak/>
        <w:t xml:space="preserve">Table </w:t>
      </w:r>
      <w:r w:rsidR="005448C5">
        <w:fldChar w:fldCharType="begin"/>
      </w:r>
      <w:r w:rsidR="005448C5">
        <w:instrText xml:space="preserve"> SEQ Table \* ARABIC </w:instrText>
      </w:r>
      <w:r w:rsidR="005448C5">
        <w:fldChar w:fldCharType="separate"/>
      </w:r>
      <w:r w:rsidR="004F1BBD">
        <w:rPr>
          <w:noProof/>
        </w:rPr>
        <w:t>18</w:t>
      </w:r>
      <w:r w:rsidR="005448C5">
        <w:rPr>
          <w:noProof/>
        </w:rPr>
        <w:fldChar w:fldCharType="end"/>
      </w:r>
      <w:bookmarkEnd w:id="65"/>
      <w:r w:rsidR="0085648D" w:rsidRPr="0076762E">
        <w:t xml:space="preserve">: Drug cost per patient </w:t>
      </w:r>
      <w:r w:rsidR="0085648D">
        <w:t>per year for semaglutide</w:t>
      </w:r>
    </w:p>
    <w:tbl>
      <w:tblPr>
        <w:tblStyle w:val="TableGrid"/>
        <w:tblW w:w="5000" w:type="pct"/>
        <w:tblCellMar>
          <w:left w:w="28" w:type="dxa"/>
          <w:right w:w="28" w:type="dxa"/>
        </w:tblCellMar>
        <w:tblLook w:val="04A0" w:firstRow="1" w:lastRow="0" w:firstColumn="1" w:lastColumn="0" w:noHBand="0" w:noVBand="1"/>
        <w:tblCaption w:val="Drug cost per patient per year for semaglutide"/>
      </w:tblPr>
      <w:tblGrid>
        <w:gridCol w:w="2254"/>
        <w:gridCol w:w="2254"/>
        <w:gridCol w:w="2254"/>
        <w:gridCol w:w="2255"/>
      </w:tblGrid>
      <w:tr w:rsidR="0085648D" w14:paraId="250D9771" w14:textId="77777777" w:rsidTr="00423F84">
        <w:tc>
          <w:tcPr>
            <w:tcW w:w="2254" w:type="dxa"/>
          </w:tcPr>
          <w:p w14:paraId="57E07562" w14:textId="77777777" w:rsidR="0085648D" w:rsidRDefault="0085648D">
            <w:pPr>
              <w:pStyle w:val="COMTableheadingrow"/>
            </w:pPr>
          </w:p>
        </w:tc>
        <w:tc>
          <w:tcPr>
            <w:tcW w:w="2254" w:type="dxa"/>
            <w:vAlign w:val="center"/>
          </w:tcPr>
          <w:p w14:paraId="59041621" w14:textId="1F71E60E" w:rsidR="0085648D" w:rsidRDefault="0085648D">
            <w:pPr>
              <w:pStyle w:val="COMTableheadingrow"/>
              <w:jc w:val="center"/>
            </w:pPr>
            <w:r>
              <w:t>SELECT</w:t>
            </w:r>
          </w:p>
        </w:tc>
        <w:tc>
          <w:tcPr>
            <w:tcW w:w="2254" w:type="dxa"/>
            <w:vAlign w:val="center"/>
          </w:tcPr>
          <w:p w14:paraId="0CD1CE8D" w14:textId="77777777" w:rsidR="0085648D" w:rsidRDefault="0085648D">
            <w:pPr>
              <w:pStyle w:val="COMTableheadingrow"/>
              <w:jc w:val="center"/>
            </w:pPr>
            <w:r>
              <w:t>Economic model</w:t>
            </w:r>
          </w:p>
        </w:tc>
        <w:tc>
          <w:tcPr>
            <w:tcW w:w="2255" w:type="dxa"/>
            <w:vAlign w:val="center"/>
          </w:tcPr>
          <w:p w14:paraId="67EDB38A" w14:textId="77777777" w:rsidR="0085648D" w:rsidRDefault="0085648D">
            <w:pPr>
              <w:pStyle w:val="COMTableheadingrow"/>
              <w:jc w:val="center"/>
            </w:pPr>
            <w:r>
              <w:t>Financial estimates</w:t>
            </w:r>
          </w:p>
        </w:tc>
      </w:tr>
      <w:tr w:rsidR="0085648D" w14:paraId="1299F317" w14:textId="77777777" w:rsidTr="00423F84">
        <w:tc>
          <w:tcPr>
            <w:tcW w:w="2254" w:type="dxa"/>
            <w:vAlign w:val="center"/>
          </w:tcPr>
          <w:p w14:paraId="15778985" w14:textId="0A9C0A4E" w:rsidR="0085648D" w:rsidRDefault="0085648D">
            <w:pPr>
              <w:pStyle w:val="COMTabletext"/>
            </w:pPr>
            <w:r>
              <w:t>Includes titration phase</w:t>
            </w:r>
          </w:p>
        </w:tc>
        <w:tc>
          <w:tcPr>
            <w:tcW w:w="2254" w:type="dxa"/>
            <w:vAlign w:val="center"/>
          </w:tcPr>
          <w:p w14:paraId="25E36106" w14:textId="32C4DA40" w:rsidR="0085648D" w:rsidRDefault="0085648D">
            <w:pPr>
              <w:pStyle w:val="COMTabletext"/>
              <w:jc w:val="center"/>
            </w:pPr>
            <w:r>
              <w:t>Yes</w:t>
            </w:r>
          </w:p>
        </w:tc>
        <w:tc>
          <w:tcPr>
            <w:tcW w:w="2254" w:type="dxa"/>
            <w:vAlign w:val="center"/>
          </w:tcPr>
          <w:p w14:paraId="1F0DF561" w14:textId="25208501" w:rsidR="0085648D" w:rsidRDefault="0085648D">
            <w:pPr>
              <w:pStyle w:val="COMTabletext"/>
              <w:jc w:val="center"/>
            </w:pPr>
            <w:r>
              <w:t>Yes</w:t>
            </w:r>
          </w:p>
        </w:tc>
        <w:tc>
          <w:tcPr>
            <w:tcW w:w="2255" w:type="dxa"/>
            <w:vAlign w:val="center"/>
          </w:tcPr>
          <w:p w14:paraId="55D62017" w14:textId="2347436D" w:rsidR="0085648D" w:rsidRDefault="0085648D" w:rsidP="0085648D">
            <w:pPr>
              <w:pStyle w:val="COMTabletext"/>
              <w:jc w:val="center"/>
            </w:pPr>
            <w:r>
              <w:t>No</w:t>
            </w:r>
          </w:p>
        </w:tc>
      </w:tr>
      <w:tr w:rsidR="0085648D" w:rsidRPr="0050111F" w14:paraId="69EC6373" w14:textId="77777777" w:rsidTr="00423F84">
        <w:tc>
          <w:tcPr>
            <w:tcW w:w="2254" w:type="dxa"/>
            <w:vAlign w:val="center"/>
          </w:tcPr>
          <w:p w14:paraId="44003F04" w14:textId="64C8CEFC" w:rsidR="0085648D" w:rsidRDefault="0085648D">
            <w:pPr>
              <w:pStyle w:val="COMTabletext"/>
            </w:pPr>
            <w:r>
              <w:t>Maintenance dose distribution</w:t>
            </w:r>
          </w:p>
        </w:tc>
        <w:tc>
          <w:tcPr>
            <w:tcW w:w="2254" w:type="dxa"/>
            <w:vAlign w:val="center"/>
          </w:tcPr>
          <w:p w14:paraId="267958F9" w14:textId="77777777" w:rsidR="0085648D" w:rsidRPr="00BC2BA8" w:rsidRDefault="0085648D" w:rsidP="0085648D">
            <w:pPr>
              <w:pStyle w:val="COMTabletext"/>
              <w:jc w:val="center"/>
              <w:rPr>
                <w:lang w:val="da-DK"/>
              </w:rPr>
            </w:pPr>
            <w:r w:rsidRPr="00BC2BA8">
              <w:rPr>
                <w:lang w:val="da-DK"/>
              </w:rPr>
              <w:t>0.25 mg: 4.69%</w:t>
            </w:r>
          </w:p>
          <w:p w14:paraId="18571C3B" w14:textId="77777777" w:rsidR="0085648D" w:rsidRPr="00BC2BA8" w:rsidRDefault="0085648D" w:rsidP="0085648D">
            <w:pPr>
              <w:pStyle w:val="COMTabletext"/>
              <w:jc w:val="center"/>
              <w:rPr>
                <w:lang w:val="da-DK"/>
              </w:rPr>
            </w:pPr>
            <w:r w:rsidRPr="00BC2BA8">
              <w:rPr>
                <w:lang w:val="da-DK"/>
              </w:rPr>
              <w:t>0.5 mg: 4.98%</w:t>
            </w:r>
          </w:p>
          <w:p w14:paraId="60E2B9C1" w14:textId="77777777" w:rsidR="0085648D" w:rsidRPr="00BC2BA8" w:rsidRDefault="0085648D" w:rsidP="0085648D">
            <w:pPr>
              <w:pStyle w:val="COMTabletext"/>
              <w:jc w:val="center"/>
              <w:rPr>
                <w:lang w:val="da-DK"/>
              </w:rPr>
            </w:pPr>
            <w:r w:rsidRPr="00BC2BA8">
              <w:rPr>
                <w:lang w:val="da-DK"/>
              </w:rPr>
              <w:t>1.0 mg: 6.56%</w:t>
            </w:r>
          </w:p>
          <w:p w14:paraId="74FD1566" w14:textId="77777777" w:rsidR="0085648D" w:rsidRPr="00BC2BA8" w:rsidRDefault="0085648D" w:rsidP="0085648D">
            <w:pPr>
              <w:pStyle w:val="COMTabletext"/>
              <w:jc w:val="center"/>
              <w:rPr>
                <w:lang w:val="da-DK"/>
              </w:rPr>
            </w:pPr>
            <w:r w:rsidRPr="00BC2BA8">
              <w:rPr>
                <w:lang w:val="da-DK"/>
              </w:rPr>
              <w:t>1.7 mg: 7.40%</w:t>
            </w:r>
          </w:p>
          <w:p w14:paraId="587E5086" w14:textId="2C2AE6A9" w:rsidR="0085648D" w:rsidRPr="00BC2BA8" w:rsidRDefault="0085648D" w:rsidP="0085648D">
            <w:pPr>
              <w:pStyle w:val="COMTabletext"/>
              <w:jc w:val="center"/>
              <w:rPr>
                <w:lang w:val="da-DK"/>
              </w:rPr>
            </w:pPr>
            <w:r w:rsidRPr="00BC2BA8">
              <w:rPr>
                <w:lang w:val="da-DK"/>
              </w:rPr>
              <w:t>2.4 mg: 76.37%</w:t>
            </w:r>
          </w:p>
        </w:tc>
        <w:tc>
          <w:tcPr>
            <w:tcW w:w="2254" w:type="dxa"/>
            <w:vAlign w:val="center"/>
          </w:tcPr>
          <w:p w14:paraId="52E416AA" w14:textId="77777777" w:rsidR="0085648D" w:rsidRPr="00BC2BA8" w:rsidRDefault="0085648D" w:rsidP="0085648D">
            <w:pPr>
              <w:pStyle w:val="COMTabletext"/>
              <w:jc w:val="center"/>
              <w:rPr>
                <w:lang w:val="da-DK"/>
              </w:rPr>
            </w:pPr>
            <w:r w:rsidRPr="00BC2BA8">
              <w:rPr>
                <w:lang w:val="da-DK"/>
              </w:rPr>
              <w:t>0.25 mg: 4.69%</w:t>
            </w:r>
          </w:p>
          <w:p w14:paraId="13465E90" w14:textId="77777777" w:rsidR="0085648D" w:rsidRPr="00BC2BA8" w:rsidRDefault="0085648D" w:rsidP="0085648D">
            <w:pPr>
              <w:pStyle w:val="COMTabletext"/>
              <w:jc w:val="center"/>
              <w:rPr>
                <w:lang w:val="da-DK"/>
              </w:rPr>
            </w:pPr>
            <w:r w:rsidRPr="00BC2BA8">
              <w:rPr>
                <w:lang w:val="da-DK"/>
              </w:rPr>
              <w:t>0.5 mg: 4.98%</w:t>
            </w:r>
          </w:p>
          <w:p w14:paraId="0DA675E2" w14:textId="77777777" w:rsidR="0085648D" w:rsidRPr="00BC2BA8" w:rsidRDefault="0085648D" w:rsidP="0085648D">
            <w:pPr>
              <w:pStyle w:val="COMTabletext"/>
              <w:jc w:val="center"/>
              <w:rPr>
                <w:lang w:val="da-DK"/>
              </w:rPr>
            </w:pPr>
            <w:r w:rsidRPr="00BC2BA8">
              <w:rPr>
                <w:lang w:val="da-DK"/>
              </w:rPr>
              <w:t>1.0 mg: 6.56%</w:t>
            </w:r>
          </w:p>
          <w:p w14:paraId="46052216" w14:textId="77777777" w:rsidR="0085648D" w:rsidRPr="00BC2BA8" w:rsidRDefault="0085648D" w:rsidP="0085648D">
            <w:pPr>
              <w:pStyle w:val="COMTabletext"/>
              <w:jc w:val="center"/>
              <w:rPr>
                <w:lang w:val="da-DK"/>
              </w:rPr>
            </w:pPr>
            <w:r w:rsidRPr="00BC2BA8">
              <w:rPr>
                <w:lang w:val="da-DK"/>
              </w:rPr>
              <w:t>1.7 mg: 7.40%</w:t>
            </w:r>
          </w:p>
          <w:p w14:paraId="00E3F6E1" w14:textId="4DF98EAB" w:rsidR="0085648D" w:rsidRPr="00BC2BA8" w:rsidRDefault="0085648D" w:rsidP="0085648D">
            <w:pPr>
              <w:pStyle w:val="COMTabletext"/>
              <w:jc w:val="center"/>
              <w:rPr>
                <w:lang w:val="da-DK"/>
              </w:rPr>
            </w:pPr>
            <w:r w:rsidRPr="00BC2BA8">
              <w:rPr>
                <w:lang w:val="da-DK"/>
              </w:rPr>
              <w:t>2.4 mg: 76.37%</w:t>
            </w:r>
          </w:p>
        </w:tc>
        <w:tc>
          <w:tcPr>
            <w:tcW w:w="2255" w:type="dxa"/>
            <w:vAlign w:val="center"/>
          </w:tcPr>
          <w:p w14:paraId="79E30671" w14:textId="77777777" w:rsidR="0085648D" w:rsidRPr="00BC2BA8" w:rsidRDefault="0085648D" w:rsidP="0085648D">
            <w:pPr>
              <w:pStyle w:val="COMTabletext"/>
              <w:jc w:val="center"/>
              <w:rPr>
                <w:lang w:val="da-DK"/>
              </w:rPr>
            </w:pPr>
            <w:r w:rsidRPr="00BC2BA8">
              <w:rPr>
                <w:lang w:val="da-DK"/>
              </w:rPr>
              <w:t>0.25 mg: 4.69%</w:t>
            </w:r>
          </w:p>
          <w:p w14:paraId="157B1277" w14:textId="77777777" w:rsidR="0085648D" w:rsidRPr="00BC2BA8" w:rsidRDefault="0085648D" w:rsidP="0085648D">
            <w:pPr>
              <w:pStyle w:val="COMTabletext"/>
              <w:jc w:val="center"/>
              <w:rPr>
                <w:lang w:val="da-DK"/>
              </w:rPr>
            </w:pPr>
            <w:r w:rsidRPr="00BC2BA8">
              <w:rPr>
                <w:lang w:val="da-DK"/>
              </w:rPr>
              <w:t>0.5 mg: 4.98%</w:t>
            </w:r>
          </w:p>
          <w:p w14:paraId="2D802AFC" w14:textId="77777777" w:rsidR="0085648D" w:rsidRPr="00BC2BA8" w:rsidRDefault="0085648D" w:rsidP="0085648D">
            <w:pPr>
              <w:pStyle w:val="COMTabletext"/>
              <w:jc w:val="center"/>
              <w:rPr>
                <w:lang w:val="da-DK"/>
              </w:rPr>
            </w:pPr>
            <w:r w:rsidRPr="00BC2BA8">
              <w:rPr>
                <w:lang w:val="da-DK"/>
              </w:rPr>
              <w:t>1.0 mg: 6.56%</w:t>
            </w:r>
          </w:p>
          <w:p w14:paraId="28FDD187" w14:textId="77777777" w:rsidR="0085648D" w:rsidRPr="00BC2BA8" w:rsidRDefault="0085648D" w:rsidP="0085648D">
            <w:pPr>
              <w:pStyle w:val="COMTabletext"/>
              <w:jc w:val="center"/>
              <w:rPr>
                <w:lang w:val="da-DK"/>
              </w:rPr>
            </w:pPr>
            <w:r w:rsidRPr="00BC2BA8">
              <w:rPr>
                <w:lang w:val="da-DK"/>
              </w:rPr>
              <w:t>1.7 mg: 7.40%</w:t>
            </w:r>
          </w:p>
          <w:p w14:paraId="4482D32E" w14:textId="2C5BE290" w:rsidR="0085648D" w:rsidRPr="00BC2BA8" w:rsidRDefault="0085648D" w:rsidP="0085648D">
            <w:pPr>
              <w:pStyle w:val="COMTabletext"/>
              <w:jc w:val="center"/>
              <w:rPr>
                <w:lang w:val="da-DK"/>
              </w:rPr>
            </w:pPr>
            <w:r w:rsidRPr="00BC2BA8">
              <w:rPr>
                <w:lang w:val="da-DK"/>
              </w:rPr>
              <w:t>2.4 mg: 76.37%</w:t>
            </w:r>
          </w:p>
        </w:tc>
      </w:tr>
      <w:tr w:rsidR="0085648D" w:rsidRPr="0050111F" w14:paraId="7EC0754E" w14:textId="77777777" w:rsidTr="00423F84">
        <w:tc>
          <w:tcPr>
            <w:tcW w:w="2254" w:type="dxa"/>
            <w:vAlign w:val="center"/>
          </w:tcPr>
          <w:p w14:paraId="5CE51062" w14:textId="77777777" w:rsidR="000341EE" w:rsidRDefault="0085648D">
            <w:pPr>
              <w:pStyle w:val="COMTabletext"/>
            </w:pPr>
            <w:r>
              <w:t xml:space="preserve">Cost per 28 days </w:t>
            </w:r>
          </w:p>
          <w:p w14:paraId="370F7FF0" w14:textId="6F279752" w:rsidR="0085648D" w:rsidRDefault="0085648D">
            <w:pPr>
              <w:pStyle w:val="COMTabletext"/>
            </w:pPr>
            <w:r>
              <w:t>(effective DPMQ)</w:t>
            </w:r>
          </w:p>
        </w:tc>
        <w:tc>
          <w:tcPr>
            <w:tcW w:w="2254" w:type="dxa"/>
            <w:vAlign w:val="center"/>
          </w:tcPr>
          <w:p w14:paraId="68ABF812" w14:textId="77777777" w:rsidR="0085648D" w:rsidRDefault="0085648D">
            <w:pPr>
              <w:pStyle w:val="COMTabletext"/>
              <w:jc w:val="center"/>
            </w:pPr>
            <w:r>
              <w:t>-</w:t>
            </w:r>
          </w:p>
        </w:tc>
        <w:tc>
          <w:tcPr>
            <w:tcW w:w="2254" w:type="dxa"/>
            <w:vAlign w:val="center"/>
          </w:tcPr>
          <w:p w14:paraId="7EBDFB5F" w14:textId="6EB2BC15" w:rsidR="005E35AF" w:rsidRPr="005E35AF" w:rsidRDefault="008C106E" w:rsidP="008C106E">
            <w:pPr>
              <w:pStyle w:val="COMTabletext"/>
              <w:jc w:val="center"/>
              <w:rPr>
                <w:lang w:val="da-DK"/>
              </w:rPr>
            </w:pPr>
            <w:r w:rsidRPr="00F81436">
              <w:rPr>
                <w:lang w:val="da-DK"/>
              </w:rPr>
              <w:t>0.25 mg: $</w:t>
            </w:r>
            <w:r w:rsidR="005E35AF" w:rsidRPr="005E35AF">
              <w:rPr>
                <w:highlight w:val="black"/>
                <w:lang w:val="da-DK"/>
              </w:rPr>
              <w:t>&amp;&amp;&amp;&amp;</w:t>
            </w:r>
          </w:p>
          <w:p w14:paraId="7CC6CB43" w14:textId="76E95E4C" w:rsidR="005E35AF" w:rsidRPr="005E35AF" w:rsidRDefault="008C106E" w:rsidP="008C106E">
            <w:pPr>
              <w:pStyle w:val="COMTabletext"/>
              <w:jc w:val="center"/>
              <w:rPr>
                <w:lang w:val="da-DK"/>
              </w:rPr>
            </w:pPr>
            <w:r w:rsidRPr="00F81436">
              <w:rPr>
                <w:lang w:val="da-DK"/>
              </w:rPr>
              <w:t>0.5 mg: $</w:t>
            </w:r>
            <w:r w:rsidR="005E35AF" w:rsidRPr="005E35AF">
              <w:rPr>
                <w:highlight w:val="black"/>
                <w:lang w:val="da-DK"/>
              </w:rPr>
              <w:t>&amp;&amp;&amp;&amp;</w:t>
            </w:r>
          </w:p>
          <w:p w14:paraId="32D29223" w14:textId="5AF0672B" w:rsidR="005E35AF" w:rsidRPr="005E35AF" w:rsidRDefault="008C106E" w:rsidP="008C106E">
            <w:pPr>
              <w:pStyle w:val="COMTabletext"/>
              <w:jc w:val="center"/>
              <w:rPr>
                <w:lang w:val="da-DK"/>
              </w:rPr>
            </w:pPr>
            <w:r w:rsidRPr="005B2E4F">
              <w:rPr>
                <w:lang w:val="da-DK"/>
              </w:rPr>
              <w:t>1.0 mg: $</w:t>
            </w:r>
            <w:r w:rsidR="005E35AF" w:rsidRPr="005E35AF">
              <w:rPr>
                <w:highlight w:val="black"/>
                <w:lang w:val="da-DK"/>
              </w:rPr>
              <w:t>&amp;&amp;&amp;&amp;</w:t>
            </w:r>
          </w:p>
          <w:p w14:paraId="7C4DC33F" w14:textId="0BF188D1" w:rsidR="005E35AF" w:rsidRPr="005E35AF" w:rsidRDefault="008C106E" w:rsidP="008C106E">
            <w:pPr>
              <w:pStyle w:val="COMTabletext"/>
              <w:jc w:val="center"/>
              <w:rPr>
                <w:lang w:val="da-DK"/>
              </w:rPr>
            </w:pPr>
            <w:r w:rsidRPr="005B2E4F">
              <w:rPr>
                <w:lang w:val="da-DK"/>
              </w:rPr>
              <w:t>1.7 mg: $</w:t>
            </w:r>
            <w:r w:rsidR="005E35AF" w:rsidRPr="005E35AF">
              <w:rPr>
                <w:highlight w:val="black"/>
                <w:lang w:val="da-DK"/>
              </w:rPr>
              <w:t>&amp;&amp;&amp;&amp;</w:t>
            </w:r>
          </w:p>
          <w:p w14:paraId="600C62AF" w14:textId="2C8D9DF9" w:rsidR="0085648D" w:rsidRPr="005F3F95" w:rsidRDefault="008C106E" w:rsidP="008C106E">
            <w:pPr>
              <w:pStyle w:val="COMTabletext"/>
              <w:jc w:val="center"/>
              <w:rPr>
                <w:lang w:val="da-DK"/>
              </w:rPr>
            </w:pPr>
            <w:r w:rsidRPr="005B2E4F">
              <w:rPr>
                <w:lang w:val="da-DK"/>
              </w:rPr>
              <w:t>2.4 mg: $</w:t>
            </w:r>
            <w:r w:rsidR="005E35AF" w:rsidRPr="005E35AF">
              <w:rPr>
                <w:highlight w:val="black"/>
                <w:lang w:val="da-DK"/>
              </w:rPr>
              <w:t>&amp;&amp;&amp;&amp;</w:t>
            </w:r>
          </w:p>
        </w:tc>
        <w:tc>
          <w:tcPr>
            <w:tcW w:w="2255" w:type="dxa"/>
            <w:vAlign w:val="center"/>
          </w:tcPr>
          <w:p w14:paraId="2CD94518" w14:textId="151D7088" w:rsidR="005E35AF" w:rsidRPr="005E35AF" w:rsidRDefault="008C106E" w:rsidP="008C106E">
            <w:pPr>
              <w:pStyle w:val="COMTabletext"/>
              <w:jc w:val="center"/>
              <w:rPr>
                <w:lang w:val="da-DK"/>
              </w:rPr>
            </w:pPr>
            <w:r w:rsidRPr="005B2E4F">
              <w:rPr>
                <w:lang w:val="da-DK"/>
              </w:rPr>
              <w:t>0.25 mg: $</w:t>
            </w:r>
            <w:r w:rsidR="005E35AF" w:rsidRPr="005E35AF">
              <w:rPr>
                <w:highlight w:val="black"/>
                <w:lang w:val="da-DK"/>
              </w:rPr>
              <w:t>&amp;&amp;&amp;&amp;</w:t>
            </w:r>
          </w:p>
          <w:p w14:paraId="4A499423" w14:textId="41310A2B" w:rsidR="005E35AF" w:rsidRPr="005E35AF" w:rsidRDefault="008C106E" w:rsidP="008C106E">
            <w:pPr>
              <w:pStyle w:val="COMTabletext"/>
              <w:jc w:val="center"/>
              <w:rPr>
                <w:lang w:val="da-DK"/>
              </w:rPr>
            </w:pPr>
            <w:r w:rsidRPr="005B2E4F">
              <w:rPr>
                <w:lang w:val="da-DK"/>
              </w:rPr>
              <w:t>0.5 mg: $</w:t>
            </w:r>
            <w:r w:rsidR="005E35AF" w:rsidRPr="005E35AF">
              <w:rPr>
                <w:highlight w:val="black"/>
                <w:lang w:val="da-DK"/>
              </w:rPr>
              <w:t>&amp;&amp;&amp;&amp;</w:t>
            </w:r>
          </w:p>
          <w:p w14:paraId="70CE068E" w14:textId="2687AC2A" w:rsidR="005E35AF" w:rsidRPr="005E35AF" w:rsidRDefault="008C106E" w:rsidP="008C106E">
            <w:pPr>
              <w:pStyle w:val="COMTabletext"/>
              <w:jc w:val="center"/>
              <w:rPr>
                <w:lang w:val="da-DK"/>
              </w:rPr>
            </w:pPr>
            <w:r w:rsidRPr="005B2E4F">
              <w:rPr>
                <w:lang w:val="da-DK"/>
              </w:rPr>
              <w:t>1.0 mg: $</w:t>
            </w:r>
            <w:r w:rsidR="005E35AF" w:rsidRPr="005E35AF">
              <w:rPr>
                <w:highlight w:val="black"/>
                <w:lang w:val="da-DK"/>
              </w:rPr>
              <w:t>&amp;&amp;&amp;&amp;</w:t>
            </w:r>
          </w:p>
          <w:p w14:paraId="0C35CF27" w14:textId="03E5F1B6" w:rsidR="005E35AF" w:rsidRPr="005E35AF" w:rsidRDefault="008C106E" w:rsidP="008C106E">
            <w:pPr>
              <w:pStyle w:val="COMTabletext"/>
              <w:jc w:val="center"/>
              <w:rPr>
                <w:lang w:val="da-DK"/>
              </w:rPr>
            </w:pPr>
            <w:r w:rsidRPr="005B2E4F">
              <w:rPr>
                <w:lang w:val="da-DK"/>
              </w:rPr>
              <w:t>1.7 mg: $</w:t>
            </w:r>
            <w:r w:rsidR="005E35AF" w:rsidRPr="005E35AF">
              <w:rPr>
                <w:highlight w:val="black"/>
                <w:lang w:val="da-DK"/>
              </w:rPr>
              <w:t>&amp;&amp;&amp;&amp;</w:t>
            </w:r>
          </w:p>
          <w:p w14:paraId="4973E90D" w14:textId="083BD0B9" w:rsidR="0085648D" w:rsidRPr="005F3F95" w:rsidRDefault="008C106E" w:rsidP="008C106E">
            <w:pPr>
              <w:pStyle w:val="COMTabletext"/>
              <w:jc w:val="center"/>
              <w:rPr>
                <w:lang w:val="da-DK"/>
              </w:rPr>
            </w:pPr>
            <w:r w:rsidRPr="005B2E4F">
              <w:rPr>
                <w:lang w:val="da-DK"/>
              </w:rPr>
              <w:t>2.4 mg: $</w:t>
            </w:r>
            <w:r w:rsidR="005E35AF" w:rsidRPr="005E35AF">
              <w:rPr>
                <w:highlight w:val="black"/>
                <w:lang w:val="da-DK"/>
              </w:rPr>
              <w:t>&amp;&amp;&amp;&amp;</w:t>
            </w:r>
          </w:p>
        </w:tc>
      </w:tr>
      <w:tr w:rsidR="008E71D1" w14:paraId="1AAC4C37" w14:textId="77777777" w:rsidTr="00423F84">
        <w:tc>
          <w:tcPr>
            <w:tcW w:w="2254" w:type="dxa"/>
            <w:vAlign w:val="center"/>
          </w:tcPr>
          <w:p w14:paraId="33FE4B6D" w14:textId="77AA642C" w:rsidR="008E71D1" w:rsidRPr="00507610" w:rsidRDefault="008E71D1">
            <w:pPr>
              <w:pStyle w:val="COMTabletext"/>
            </w:pPr>
            <w:r>
              <w:t>Proportion of patients on treatment</w:t>
            </w:r>
            <w:r w:rsidR="00507610">
              <w:t xml:space="preserve"> (censored for end-of-trial/</w:t>
            </w:r>
            <w:r w:rsidR="00507610" w:rsidRPr="00507610">
              <w:t>end-of-treatment period</w:t>
            </w:r>
            <w:r w:rsidR="00507610">
              <w:t>)</w:t>
            </w:r>
          </w:p>
        </w:tc>
        <w:tc>
          <w:tcPr>
            <w:tcW w:w="2254" w:type="dxa"/>
            <w:vAlign w:val="center"/>
          </w:tcPr>
          <w:p w14:paraId="2885505D" w14:textId="5CBDB086" w:rsidR="008E71D1" w:rsidRDefault="0069716C">
            <w:pPr>
              <w:pStyle w:val="COMTabletext"/>
              <w:jc w:val="center"/>
            </w:pPr>
            <w:r>
              <w:t>12 months:</w:t>
            </w:r>
            <w:r w:rsidR="00CB27A2">
              <w:t xml:space="preserve"> 8</w:t>
            </w:r>
            <w:r w:rsidR="00A207A3">
              <w:t>7</w:t>
            </w:r>
            <w:r w:rsidR="00CB27A2">
              <w:t>%</w:t>
            </w:r>
          </w:p>
          <w:p w14:paraId="77B6AA4A" w14:textId="7E71F26F" w:rsidR="0069716C" w:rsidRDefault="0069716C">
            <w:pPr>
              <w:pStyle w:val="COMTabletext"/>
              <w:jc w:val="center"/>
            </w:pPr>
            <w:r>
              <w:t>24 months:</w:t>
            </w:r>
            <w:r w:rsidR="00CB27A2">
              <w:t xml:space="preserve"> 82%</w:t>
            </w:r>
          </w:p>
          <w:p w14:paraId="3DA053FD" w14:textId="04E00AC7" w:rsidR="0069716C" w:rsidRDefault="0069716C">
            <w:pPr>
              <w:pStyle w:val="COMTabletext"/>
              <w:jc w:val="center"/>
            </w:pPr>
            <w:r>
              <w:t>36 months:</w:t>
            </w:r>
            <w:r w:rsidR="00CB27A2">
              <w:t xml:space="preserve"> 7</w:t>
            </w:r>
            <w:r w:rsidR="00A207A3">
              <w:t>6</w:t>
            </w:r>
            <w:r w:rsidR="00CB27A2">
              <w:t>%</w:t>
            </w:r>
          </w:p>
        </w:tc>
        <w:tc>
          <w:tcPr>
            <w:tcW w:w="2254" w:type="dxa"/>
            <w:vAlign w:val="center"/>
          </w:tcPr>
          <w:p w14:paraId="0DF17C91" w14:textId="35B0F804" w:rsidR="00CB27A2" w:rsidRDefault="00CB27A2" w:rsidP="00CB27A2">
            <w:pPr>
              <w:pStyle w:val="COMTabletext"/>
              <w:jc w:val="center"/>
            </w:pPr>
            <w:r>
              <w:t>12 months: 8</w:t>
            </w:r>
            <w:r w:rsidR="000C1D29">
              <w:t>8</w:t>
            </w:r>
            <w:r>
              <w:t>%</w:t>
            </w:r>
          </w:p>
          <w:p w14:paraId="0444719D" w14:textId="77777777" w:rsidR="00CB27A2" w:rsidRDefault="00CB27A2" w:rsidP="00CB27A2">
            <w:pPr>
              <w:pStyle w:val="COMTabletext"/>
              <w:jc w:val="center"/>
            </w:pPr>
            <w:r>
              <w:t>24 months: 82%</w:t>
            </w:r>
          </w:p>
          <w:p w14:paraId="4AC2DE03" w14:textId="74A42506" w:rsidR="008E71D1" w:rsidRDefault="00CB27A2" w:rsidP="00CB27A2">
            <w:pPr>
              <w:pStyle w:val="COMTabletext"/>
              <w:jc w:val="center"/>
            </w:pPr>
            <w:r>
              <w:t>36 months: 7</w:t>
            </w:r>
            <w:r w:rsidR="00A207A3">
              <w:t>6</w:t>
            </w:r>
            <w:r>
              <w:t>%</w:t>
            </w:r>
          </w:p>
        </w:tc>
        <w:tc>
          <w:tcPr>
            <w:tcW w:w="2255" w:type="dxa"/>
            <w:vAlign w:val="center"/>
          </w:tcPr>
          <w:p w14:paraId="30CBEF69" w14:textId="0A3AF00A" w:rsidR="008E71D1" w:rsidRDefault="002513D2">
            <w:pPr>
              <w:pStyle w:val="COMTabletext"/>
              <w:jc w:val="center"/>
            </w:pPr>
            <w:r>
              <w:t>Uptake, discontinuation and reinitiation abstracted to a combined utilisation rate</w:t>
            </w:r>
          </w:p>
        </w:tc>
      </w:tr>
      <w:tr w:rsidR="0085648D" w14:paraId="7B9ACAC9" w14:textId="77777777" w:rsidTr="00423F84">
        <w:tc>
          <w:tcPr>
            <w:tcW w:w="2254" w:type="dxa"/>
            <w:vAlign w:val="center"/>
          </w:tcPr>
          <w:p w14:paraId="26A27FDF" w14:textId="5F673834" w:rsidR="0085648D" w:rsidRPr="00760881" w:rsidRDefault="0085648D">
            <w:pPr>
              <w:pStyle w:val="COMTabletext"/>
            </w:pPr>
            <w:r>
              <w:t>Cost per year</w:t>
            </w:r>
          </w:p>
        </w:tc>
        <w:tc>
          <w:tcPr>
            <w:tcW w:w="2254" w:type="dxa"/>
            <w:vAlign w:val="center"/>
          </w:tcPr>
          <w:p w14:paraId="431051D2" w14:textId="77777777" w:rsidR="0085648D" w:rsidRDefault="0085648D">
            <w:pPr>
              <w:pStyle w:val="COMTabletext"/>
              <w:jc w:val="center"/>
            </w:pPr>
            <w:r>
              <w:t>-</w:t>
            </w:r>
          </w:p>
        </w:tc>
        <w:tc>
          <w:tcPr>
            <w:tcW w:w="2254" w:type="dxa"/>
            <w:vAlign w:val="center"/>
          </w:tcPr>
          <w:p w14:paraId="2AB7C56F" w14:textId="4944CD29" w:rsidR="005E35AF" w:rsidRPr="005E35AF" w:rsidRDefault="002513D2">
            <w:pPr>
              <w:pStyle w:val="COMTabletext"/>
              <w:jc w:val="center"/>
            </w:pPr>
            <w:r w:rsidRPr="005B2E4F">
              <w:t>First</w:t>
            </w:r>
            <w:r w:rsidR="008E71D1" w:rsidRPr="005B2E4F">
              <w:t xml:space="preserve"> year: $</w:t>
            </w:r>
            <w:r w:rsidR="005E35AF" w:rsidRPr="005E35AF">
              <w:rPr>
                <w:highlight w:val="black"/>
              </w:rPr>
              <w:t>&amp;&amp;&amp;&amp;</w:t>
            </w:r>
          </w:p>
          <w:p w14:paraId="7DAB773E" w14:textId="05E252D6" w:rsidR="008E71D1" w:rsidRPr="00BB4A84" w:rsidRDefault="008E71D1">
            <w:pPr>
              <w:pStyle w:val="COMTabletext"/>
              <w:jc w:val="center"/>
            </w:pPr>
            <w:r w:rsidRPr="005B2E4F">
              <w:t>Subsequent years: $</w:t>
            </w:r>
            <w:r w:rsidR="005E35AF" w:rsidRPr="005E35AF">
              <w:rPr>
                <w:highlight w:val="black"/>
              </w:rPr>
              <w:t>&amp;&amp;&amp;&amp;</w:t>
            </w:r>
            <w:r w:rsidR="005E35AF" w:rsidRPr="005E35AF">
              <w:t xml:space="preserve"> </w:t>
            </w:r>
            <w:r w:rsidR="002513D2" w:rsidRPr="00BB4A84">
              <w:t>(declines over time with treatment discontinuation)</w:t>
            </w:r>
          </w:p>
        </w:tc>
        <w:tc>
          <w:tcPr>
            <w:tcW w:w="2255" w:type="dxa"/>
            <w:vAlign w:val="center"/>
          </w:tcPr>
          <w:p w14:paraId="2F246558" w14:textId="05908977" w:rsidR="0085648D" w:rsidRPr="00BB4A84" w:rsidRDefault="008E71D1">
            <w:pPr>
              <w:pStyle w:val="COMTabletext"/>
              <w:jc w:val="center"/>
            </w:pPr>
            <w:r w:rsidRPr="00BB4A84">
              <w:t>All years</w:t>
            </w:r>
            <w:r w:rsidRPr="005B2E4F">
              <w:t>:</w:t>
            </w:r>
            <w:r w:rsidR="002513D2" w:rsidRPr="005B2E4F">
              <w:t xml:space="preserve"> $</w:t>
            </w:r>
            <w:r w:rsidR="005E35AF" w:rsidRPr="005E35AF">
              <w:rPr>
                <w:highlight w:val="black"/>
              </w:rPr>
              <w:t>&amp;&amp;&amp;&amp;</w:t>
            </w:r>
          </w:p>
          <w:p w14:paraId="5F3E7EFE" w14:textId="4F766F18" w:rsidR="002513D2" w:rsidRPr="00BB4A84" w:rsidRDefault="002513D2">
            <w:pPr>
              <w:pStyle w:val="COMTabletext"/>
              <w:jc w:val="center"/>
            </w:pPr>
            <w:r w:rsidRPr="00BB4A84">
              <w:t>(applies to all treated patients)</w:t>
            </w:r>
          </w:p>
        </w:tc>
      </w:tr>
    </w:tbl>
    <w:p w14:paraId="25BA0AA0" w14:textId="2F5BDC59" w:rsidR="0085648D" w:rsidRDefault="0085648D" w:rsidP="00124423">
      <w:pPr>
        <w:pStyle w:val="TableFooter"/>
      </w:pPr>
      <w:r w:rsidRPr="0076762E">
        <w:t xml:space="preserve">Source: </w:t>
      </w:r>
      <w:r>
        <w:t xml:space="preserve">Constructed during the evaluation using the Section 3 </w:t>
      </w:r>
      <w:r w:rsidR="00507610">
        <w:t xml:space="preserve">and </w:t>
      </w:r>
      <w:r>
        <w:t>Section 4 Excel workbooks</w:t>
      </w:r>
      <w:r w:rsidR="00507610">
        <w:t xml:space="preserve"> provided with</w:t>
      </w:r>
      <w:r>
        <w:t xml:space="preserve"> the resubmission. </w:t>
      </w:r>
    </w:p>
    <w:p w14:paraId="35EBC45C" w14:textId="0CD2A2A2" w:rsidR="00153CA7" w:rsidRPr="00D31B2F" w:rsidRDefault="00153CA7" w:rsidP="00124423">
      <w:pPr>
        <w:pStyle w:val="TableFooter"/>
        <w:rPr>
          <w:iCs/>
        </w:rPr>
      </w:pPr>
      <w:r w:rsidRPr="00D31B2F">
        <w:rPr>
          <w:iCs/>
        </w:rPr>
        <w:t xml:space="preserve">Note: The effective DPMQs estimated for semaglutide in the resubmission were calculated using a non-standard methodology. During the evaluation, the sponsor confirmed the calculation of revised effective DPMQs estimated using standard methods. These revised prices were used in the </w:t>
      </w:r>
      <w:r w:rsidR="002B446E" w:rsidRPr="00D31B2F">
        <w:rPr>
          <w:iCs/>
        </w:rPr>
        <w:t>evaluation</w:t>
      </w:r>
      <w:r w:rsidRPr="00D31B2F">
        <w:rPr>
          <w:iCs/>
        </w:rPr>
        <w:t>.</w:t>
      </w:r>
    </w:p>
    <w:p w14:paraId="268768EF" w14:textId="553378E3" w:rsidR="00B60939" w:rsidRPr="0098262F" w:rsidRDefault="00B60939" w:rsidP="002B05A1">
      <w:pPr>
        <w:pStyle w:val="COMESSubsectionheading"/>
      </w:pPr>
      <w:bookmarkStart w:id="66" w:name="_Toc22897647"/>
      <w:bookmarkStart w:id="67" w:name="_Toc208928373"/>
      <w:bookmarkEnd w:id="64"/>
      <w:r w:rsidRPr="0098262F">
        <w:t>Estimated PBS usage &amp; financial implications</w:t>
      </w:r>
      <w:bookmarkEnd w:id="66"/>
      <w:bookmarkEnd w:id="67"/>
    </w:p>
    <w:p w14:paraId="2A5A4FC8" w14:textId="3E048B52" w:rsidR="007F6F88" w:rsidRPr="007F6F88" w:rsidRDefault="007F6F88" w:rsidP="007F6F88">
      <w:pPr>
        <w:pStyle w:val="COMESnumberedpara"/>
      </w:pPr>
      <w:bookmarkStart w:id="68" w:name="_Toc22897648"/>
      <w:bookmarkStart w:id="69" w:name="_Toc208928374"/>
      <w:r w:rsidRPr="007F6F88">
        <w:t>Th</w:t>
      </w:r>
      <w:r w:rsidR="00F35F9C">
        <w:t>e</w:t>
      </w:r>
      <w:r w:rsidRPr="007F6F88">
        <w:t xml:space="preserve"> resubmission w</w:t>
      </w:r>
      <w:r w:rsidR="00F35F9C">
        <w:t>as</w:t>
      </w:r>
      <w:r w:rsidRPr="007F6F88">
        <w:t xml:space="preserve"> considered by DUSC. </w:t>
      </w:r>
    </w:p>
    <w:p w14:paraId="65B382A5" w14:textId="77777777" w:rsidR="007F6F88" w:rsidRPr="007F6F88" w:rsidRDefault="007F6F88" w:rsidP="007F6F88">
      <w:pPr>
        <w:pStyle w:val="COMESnumberedpara"/>
      </w:pPr>
      <w:r w:rsidRPr="007F6F88">
        <w:t>The resubmission used an epidemiological approach to estimate the utilisation and financial impact of listing semaglutide on the PBS/RPBS for patients with established cardiovascular disease who are overweight or obese.</w:t>
      </w:r>
    </w:p>
    <w:p w14:paraId="32A7EFB9" w14:textId="099D2CEF" w:rsidR="007F6F88" w:rsidRPr="002F5F36" w:rsidRDefault="007F6F88" w:rsidP="007F6F88">
      <w:pPr>
        <w:pStyle w:val="COMESnumberedpara"/>
      </w:pPr>
      <w:r w:rsidRPr="007F6F88">
        <w:t xml:space="preserve">The key inputs used to derive the financial implications are presented in </w:t>
      </w:r>
      <w:r w:rsidRPr="002F5F36">
        <w:fldChar w:fldCharType="begin"/>
      </w:r>
      <w:r w:rsidRPr="002F5F36">
        <w:instrText xml:space="preserve"> REF _Ref206945468 \h </w:instrText>
      </w:r>
      <w:r w:rsidR="002F5F36">
        <w:instrText xml:space="preserve"> \* MERGEFORMAT </w:instrText>
      </w:r>
      <w:r w:rsidRPr="002F5F36">
        <w:fldChar w:fldCharType="separate"/>
      </w:r>
      <w:r w:rsidR="004F1BBD" w:rsidRPr="004F1BBD">
        <w:t>Table 19</w:t>
      </w:r>
      <w:r w:rsidRPr="002F5F36">
        <w:fldChar w:fldCharType="end"/>
      </w:r>
      <w:r w:rsidRPr="002F5F36">
        <w:t>.</w:t>
      </w:r>
    </w:p>
    <w:p w14:paraId="6FA468BE" w14:textId="22079165" w:rsidR="007F6F88" w:rsidRPr="007F6F88" w:rsidRDefault="007F6F88" w:rsidP="007F6F88">
      <w:pPr>
        <w:keepNext/>
        <w:jc w:val="left"/>
        <w:rPr>
          <w:rFonts w:ascii="Arial Narrow" w:eastAsiaTheme="majorEastAsia" w:hAnsi="Arial Narrow" w:cstheme="majorBidi"/>
          <w:b/>
          <w:bCs/>
          <w:sz w:val="20"/>
        </w:rPr>
      </w:pPr>
      <w:bookmarkStart w:id="70" w:name="_Ref206945468"/>
      <w:r w:rsidRPr="007F6F88">
        <w:rPr>
          <w:rFonts w:ascii="Arial Narrow" w:eastAsiaTheme="majorEastAsia" w:hAnsi="Arial Narrow" w:cstheme="majorBidi"/>
          <w:b/>
          <w:bCs/>
          <w:sz w:val="20"/>
        </w:rPr>
        <w:lastRenderedPageBreak/>
        <w:t xml:space="preserve">Table </w:t>
      </w:r>
      <w:r w:rsidRPr="007F6F88">
        <w:rPr>
          <w:rFonts w:ascii="Arial Narrow" w:eastAsiaTheme="majorEastAsia" w:hAnsi="Arial Narrow" w:cstheme="majorBidi"/>
          <w:b/>
          <w:bCs/>
          <w:sz w:val="20"/>
        </w:rPr>
        <w:fldChar w:fldCharType="begin"/>
      </w:r>
      <w:r w:rsidRPr="007F6F88">
        <w:rPr>
          <w:rFonts w:ascii="Arial Narrow" w:eastAsiaTheme="majorEastAsia" w:hAnsi="Arial Narrow" w:cstheme="majorBidi"/>
          <w:b/>
          <w:bCs/>
          <w:sz w:val="20"/>
        </w:rPr>
        <w:instrText xml:space="preserve"> SEQ Table \* ARABIC </w:instrText>
      </w:r>
      <w:r w:rsidRPr="007F6F88">
        <w:rPr>
          <w:rFonts w:ascii="Arial Narrow" w:eastAsiaTheme="majorEastAsia" w:hAnsi="Arial Narrow" w:cstheme="majorBidi"/>
          <w:b/>
          <w:bCs/>
          <w:sz w:val="20"/>
        </w:rPr>
        <w:fldChar w:fldCharType="separate"/>
      </w:r>
      <w:r w:rsidR="004F1BBD">
        <w:rPr>
          <w:rFonts w:ascii="Arial Narrow" w:eastAsiaTheme="majorEastAsia" w:hAnsi="Arial Narrow" w:cstheme="majorBidi"/>
          <w:b/>
          <w:bCs/>
          <w:noProof/>
          <w:sz w:val="20"/>
        </w:rPr>
        <w:t>19</w:t>
      </w:r>
      <w:r w:rsidRPr="007F6F88">
        <w:rPr>
          <w:rFonts w:ascii="Arial Narrow" w:eastAsiaTheme="majorEastAsia" w:hAnsi="Arial Narrow" w:cstheme="majorBidi"/>
          <w:b/>
          <w:bCs/>
          <w:noProof/>
          <w:sz w:val="20"/>
        </w:rPr>
        <w:fldChar w:fldCharType="end"/>
      </w:r>
      <w:bookmarkEnd w:id="70"/>
      <w:r w:rsidRPr="007F6F88">
        <w:rPr>
          <w:rFonts w:ascii="Arial Narrow" w:eastAsiaTheme="majorEastAsia" w:hAnsi="Arial Narrow" w:cstheme="majorBidi"/>
          <w:b/>
          <w:bCs/>
          <w:sz w:val="20"/>
        </w:rPr>
        <w:t>: Key inputs for the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inputs for the financial estimates"/>
      </w:tblPr>
      <w:tblGrid>
        <w:gridCol w:w="1540"/>
        <w:gridCol w:w="4557"/>
        <w:gridCol w:w="2920"/>
      </w:tblGrid>
      <w:tr w:rsidR="007F6F88" w:rsidRPr="007F6F88" w14:paraId="1D458F90" w14:textId="77777777" w:rsidTr="006E014B">
        <w:trPr>
          <w:tblHeader/>
        </w:trPr>
        <w:tc>
          <w:tcPr>
            <w:tcW w:w="1540" w:type="dxa"/>
            <w:vAlign w:val="center"/>
          </w:tcPr>
          <w:p w14:paraId="11532761" w14:textId="77777777" w:rsidR="007F6F88" w:rsidRPr="007F6F88" w:rsidRDefault="007F6F88" w:rsidP="007F6F88">
            <w:pPr>
              <w:keepLines/>
              <w:jc w:val="left"/>
              <w:rPr>
                <w:rFonts w:ascii="Arial Narrow" w:hAnsi="Arial Narrow"/>
                <w:b/>
                <w:bCs/>
                <w:sz w:val="20"/>
                <w:szCs w:val="20"/>
              </w:rPr>
            </w:pPr>
            <w:r w:rsidRPr="007F6F88">
              <w:rPr>
                <w:rFonts w:ascii="Arial Narrow" w:hAnsi="Arial Narrow"/>
                <w:b/>
                <w:bCs/>
                <w:sz w:val="20"/>
                <w:szCs w:val="20"/>
              </w:rPr>
              <w:t>Data</w:t>
            </w:r>
          </w:p>
        </w:tc>
        <w:tc>
          <w:tcPr>
            <w:tcW w:w="4557" w:type="dxa"/>
            <w:vAlign w:val="center"/>
          </w:tcPr>
          <w:p w14:paraId="3E1A6C83" w14:textId="77777777" w:rsidR="007F6F88" w:rsidRPr="007F6F88" w:rsidRDefault="007F6F88" w:rsidP="007F6F88">
            <w:pPr>
              <w:keepLines/>
              <w:jc w:val="center"/>
              <w:rPr>
                <w:rFonts w:ascii="Arial Narrow" w:hAnsi="Arial Narrow"/>
                <w:b/>
                <w:bCs/>
                <w:sz w:val="20"/>
                <w:szCs w:val="20"/>
              </w:rPr>
            </w:pPr>
            <w:r w:rsidRPr="007F6F88">
              <w:rPr>
                <w:rFonts w:ascii="Arial Narrow" w:hAnsi="Arial Narrow"/>
                <w:b/>
                <w:bCs/>
                <w:sz w:val="20"/>
                <w:szCs w:val="20"/>
              </w:rPr>
              <w:t>Value/source</w:t>
            </w:r>
          </w:p>
        </w:tc>
        <w:tc>
          <w:tcPr>
            <w:tcW w:w="2920" w:type="dxa"/>
            <w:vAlign w:val="center"/>
          </w:tcPr>
          <w:p w14:paraId="16C1A0E1" w14:textId="77777777" w:rsidR="007F6F88" w:rsidRPr="007F6F88" w:rsidRDefault="007F6F88" w:rsidP="007F6F88">
            <w:pPr>
              <w:keepLines/>
              <w:jc w:val="center"/>
              <w:rPr>
                <w:rFonts w:ascii="Arial Narrow" w:hAnsi="Arial Narrow"/>
                <w:b/>
                <w:bCs/>
                <w:sz w:val="20"/>
                <w:szCs w:val="20"/>
              </w:rPr>
            </w:pPr>
            <w:r w:rsidRPr="007F6F88">
              <w:rPr>
                <w:rFonts w:ascii="Arial Narrow" w:hAnsi="Arial Narrow"/>
                <w:b/>
                <w:bCs/>
                <w:sz w:val="20"/>
                <w:szCs w:val="20"/>
              </w:rPr>
              <w:t>Comment</w:t>
            </w:r>
          </w:p>
        </w:tc>
      </w:tr>
      <w:tr w:rsidR="007F6F88" w:rsidRPr="007F6F88" w14:paraId="4B9A83B3" w14:textId="77777777" w:rsidTr="006E014B">
        <w:trPr>
          <w:trHeight w:val="5998"/>
        </w:trPr>
        <w:tc>
          <w:tcPr>
            <w:tcW w:w="1540" w:type="dxa"/>
            <w:vAlign w:val="center"/>
          </w:tcPr>
          <w:p w14:paraId="10A14728" w14:textId="77777777" w:rsidR="007F6F88" w:rsidRPr="007F6F88" w:rsidRDefault="007F6F88" w:rsidP="007F6F88">
            <w:pPr>
              <w:keepLines/>
              <w:jc w:val="left"/>
              <w:rPr>
                <w:rFonts w:ascii="Arial Narrow" w:eastAsiaTheme="majorEastAsia" w:hAnsi="Arial Narrow" w:cstheme="majorBidi"/>
                <w:bCs/>
                <w:sz w:val="20"/>
              </w:rPr>
            </w:pPr>
            <w:r w:rsidRPr="007F6F88">
              <w:rPr>
                <w:rFonts w:ascii="Arial Narrow" w:eastAsiaTheme="majorEastAsia" w:hAnsi="Arial Narrow" w:cstheme="majorBidi"/>
                <w:bCs/>
                <w:sz w:val="20"/>
              </w:rPr>
              <w:t>Prevalence of CVD and overweight/ obesity</w:t>
            </w:r>
          </w:p>
          <w:p w14:paraId="163373B8" w14:textId="77777777" w:rsidR="007F6F88" w:rsidRPr="007F6F88" w:rsidRDefault="007F6F88" w:rsidP="007F6F88">
            <w:pPr>
              <w:keepNext/>
              <w:keepLines/>
              <w:jc w:val="left"/>
              <w:rPr>
                <w:rFonts w:ascii="Arial Narrow" w:eastAsiaTheme="majorEastAsia" w:hAnsi="Arial Narrow" w:cstheme="majorBidi"/>
                <w:bCs/>
                <w:sz w:val="20"/>
              </w:rPr>
            </w:pPr>
          </w:p>
        </w:tc>
        <w:tc>
          <w:tcPr>
            <w:tcW w:w="4557" w:type="dxa"/>
            <w:vAlign w:val="center"/>
          </w:tcPr>
          <w:p w14:paraId="4EEB176F" w14:textId="77777777" w:rsidR="007F6F88" w:rsidRPr="007F6F88" w:rsidRDefault="007F6F88" w:rsidP="007F6F88">
            <w:pPr>
              <w:keepLines/>
              <w:spacing w:after="120"/>
              <w:jc w:val="left"/>
              <w:rPr>
                <w:rFonts w:ascii="Arial Narrow" w:eastAsiaTheme="majorEastAsia" w:hAnsi="Arial Narrow" w:cstheme="majorBidi"/>
                <w:bCs/>
                <w:sz w:val="20"/>
              </w:rPr>
            </w:pPr>
            <w:r w:rsidRPr="007F6F88">
              <w:rPr>
                <w:rFonts w:ascii="Arial Narrow" w:eastAsiaTheme="majorEastAsia" w:hAnsi="Arial Narrow" w:cstheme="majorBidi"/>
                <w:bCs/>
                <w:sz w:val="20"/>
              </w:rPr>
              <w:t>Prevalence of CVD and BMI ≥27 kg/m</w:t>
            </w:r>
            <w:r w:rsidRPr="007F6F88">
              <w:rPr>
                <w:rFonts w:ascii="Arial Narrow" w:eastAsiaTheme="majorEastAsia" w:hAnsi="Arial Narrow" w:cstheme="majorBidi"/>
                <w:bCs/>
                <w:sz w:val="20"/>
                <w:vertAlign w:val="superscript"/>
              </w:rPr>
              <w:t xml:space="preserve">2 </w:t>
            </w:r>
            <w:r w:rsidRPr="007F6F88">
              <w:rPr>
                <w:rFonts w:ascii="Arial Narrow" w:eastAsiaTheme="majorEastAsia" w:hAnsi="Arial Narrow" w:cstheme="majorBidi"/>
                <w:bCs/>
                <w:sz w:val="20"/>
              </w:rPr>
              <w:t xml:space="preserve">increasing from 2.62% in Year 1 to 2.81% in Year 6. </w:t>
            </w:r>
          </w:p>
          <w:p w14:paraId="2BEEE301" w14:textId="77777777" w:rsidR="007F6F88" w:rsidRPr="007F6F88" w:rsidRDefault="007F6F88" w:rsidP="007F6F88">
            <w:pPr>
              <w:keepLines/>
              <w:spacing w:after="120"/>
              <w:jc w:val="left"/>
              <w:rPr>
                <w:rFonts w:ascii="Arial Narrow" w:eastAsiaTheme="majorEastAsia" w:hAnsi="Arial Narrow" w:cstheme="majorBidi"/>
                <w:bCs/>
                <w:sz w:val="20"/>
              </w:rPr>
            </w:pPr>
            <w:r w:rsidRPr="007F6F88">
              <w:rPr>
                <w:rFonts w:ascii="Arial Narrow" w:eastAsiaTheme="majorEastAsia" w:hAnsi="Arial Narrow" w:cstheme="majorBidi"/>
                <w:bCs/>
                <w:sz w:val="20"/>
              </w:rPr>
              <w:t>Prevalence of CVD and BMI ≥35 kg/m</w:t>
            </w:r>
            <w:r w:rsidRPr="007F6F88">
              <w:rPr>
                <w:rFonts w:ascii="Arial Narrow" w:eastAsiaTheme="majorEastAsia" w:hAnsi="Arial Narrow" w:cstheme="majorBidi"/>
                <w:bCs/>
                <w:sz w:val="20"/>
                <w:vertAlign w:val="superscript"/>
              </w:rPr>
              <w:t xml:space="preserve">2 </w:t>
            </w:r>
            <w:r w:rsidRPr="007F6F88">
              <w:rPr>
                <w:rFonts w:ascii="Arial Narrow" w:eastAsiaTheme="majorEastAsia" w:hAnsi="Arial Narrow" w:cstheme="majorBidi"/>
                <w:bCs/>
                <w:sz w:val="20"/>
              </w:rPr>
              <w:t xml:space="preserve">increasing from 0.71% in Year 1 to 0.76% in Year 6. </w:t>
            </w:r>
          </w:p>
          <w:p w14:paraId="06876380" w14:textId="77777777" w:rsidR="007F6F88" w:rsidRPr="007F6F88" w:rsidRDefault="007F6F88" w:rsidP="007F6F88">
            <w:pPr>
              <w:keepLines/>
              <w:spacing w:after="120"/>
              <w:jc w:val="left"/>
              <w:rPr>
                <w:rFonts w:ascii="Arial Narrow" w:eastAsiaTheme="majorEastAsia" w:hAnsi="Arial Narrow" w:cstheme="majorBidi"/>
                <w:bCs/>
                <w:sz w:val="20"/>
              </w:rPr>
            </w:pPr>
            <w:r w:rsidRPr="007F6F88">
              <w:rPr>
                <w:rFonts w:ascii="Arial Narrow" w:eastAsiaTheme="majorEastAsia" w:hAnsi="Arial Narrow" w:cstheme="majorBidi"/>
                <w:bCs/>
                <w:sz w:val="20"/>
              </w:rPr>
              <w:t>Prevalence of CVD and BMI ≥40 kg/m</w:t>
            </w:r>
            <w:r w:rsidRPr="007F6F88">
              <w:rPr>
                <w:rFonts w:ascii="Arial Narrow" w:eastAsiaTheme="majorEastAsia" w:hAnsi="Arial Narrow" w:cstheme="majorBidi"/>
                <w:bCs/>
                <w:sz w:val="20"/>
                <w:vertAlign w:val="superscript"/>
              </w:rPr>
              <w:t xml:space="preserve">2 </w:t>
            </w:r>
            <w:r w:rsidRPr="007F6F88">
              <w:rPr>
                <w:rFonts w:ascii="Arial Narrow" w:eastAsiaTheme="majorEastAsia" w:hAnsi="Arial Narrow" w:cstheme="majorBidi"/>
                <w:bCs/>
                <w:sz w:val="20"/>
              </w:rPr>
              <w:t xml:space="preserve">increasing from 0.28% in Year 1 to 0.30% in Year 6. </w:t>
            </w:r>
          </w:p>
          <w:p w14:paraId="1300D994" w14:textId="77777777" w:rsidR="007F6F88" w:rsidRPr="007F6F88" w:rsidRDefault="007F6F88" w:rsidP="007F6F88">
            <w:pPr>
              <w:keepLines/>
              <w:spacing w:after="120"/>
              <w:jc w:val="left"/>
              <w:rPr>
                <w:rFonts w:ascii="Arial Narrow" w:eastAsiaTheme="majorEastAsia" w:hAnsi="Arial Narrow" w:cstheme="majorBidi"/>
                <w:bCs/>
                <w:sz w:val="20"/>
              </w:rPr>
            </w:pPr>
            <w:r w:rsidRPr="007F6F88">
              <w:rPr>
                <w:rFonts w:ascii="Arial Narrow" w:eastAsiaTheme="majorEastAsia" w:hAnsi="Arial Narrow" w:cstheme="majorBidi"/>
                <w:bCs/>
                <w:sz w:val="20"/>
              </w:rPr>
              <w:t>Australian National Health Survey (2022). Based on the proportion of patients who were overweight (25 to &lt;30 kg/m</w:t>
            </w:r>
            <w:r w:rsidRPr="007F6F88">
              <w:rPr>
                <w:rFonts w:ascii="Arial Narrow" w:eastAsiaTheme="majorEastAsia" w:hAnsi="Arial Narrow" w:cstheme="majorBidi"/>
                <w:bCs/>
                <w:sz w:val="20"/>
                <w:vertAlign w:val="superscript"/>
              </w:rPr>
              <w:t>2</w:t>
            </w:r>
            <w:r w:rsidRPr="007F6F88">
              <w:rPr>
                <w:rFonts w:ascii="Arial Narrow" w:eastAsiaTheme="majorEastAsia" w:hAnsi="Arial Narrow" w:cstheme="majorBidi"/>
                <w:bCs/>
                <w:sz w:val="20"/>
              </w:rPr>
              <w:t>) or had Class I (30 to &lt;35 kg/m</w:t>
            </w:r>
            <w:r w:rsidRPr="007F6F88">
              <w:rPr>
                <w:rFonts w:ascii="Arial Narrow" w:eastAsiaTheme="majorEastAsia" w:hAnsi="Arial Narrow" w:cstheme="majorBidi"/>
                <w:bCs/>
                <w:sz w:val="20"/>
                <w:vertAlign w:val="superscript"/>
              </w:rPr>
              <w:t>2</w:t>
            </w:r>
            <w:r w:rsidRPr="007F6F88">
              <w:rPr>
                <w:rFonts w:ascii="Arial Narrow" w:eastAsiaTheme="majorEastAsia" w:hAnsi="Arial Narrow" w:cstheme="majorBidi"/>
                <w:bCs/>
                <w:sz w:val="20"/>
              </w:rPr>
              <w:t>), Class 2 (35 to &lt;40 kg/m</w:t>
            </w:r>
            <w:r w:rsidRPr="007F6F88">
              <w:rPr>
                <w:rFonts w:ascii="Arial Narrow" w:eastAsiaTheme="majorEastAsia" w:hAnsi="Arial Narrow" w:cstheme="majorBidi"/>
                <w:bCs/>
                <w:sz w:val="20"/>
                <w:vertAlign w:val="superscript"/>
              </w:rPr>
              <w:t>2</w:t>
            </w:r>
            <w:r w:rsidRPr="007F6F88">
              <w:rPr>
                <w:rFonts w:ascii="Arial Narrow" w:eastAsiaTheme="majorEastAsia" w:hAnsi="Arial Narrow" w:cstheme="majorBidi"/>
                <w:bCs/>
                <w:sz w:val="20"/>
              </w:rPr>
              <w:t>) or Class 3 (≥40 kg/m</w:t>
            </w:r>
            <w:r w:rsidRPr="007F6F88">
              <w:rPr>
                <w:rFonts w:ascii="Arial Narrow" w:eastAsiaTheme="majorEastAsia" w:hAnsi="Arial Narrow" w:cstheme="majorBidi"/>
                <w:bCs/>
                <w:sz w:val="20"/>
                <w:vertAlign w:val="superscript"/>
              </w:rPr>
              <w:t>2</w:t>
            </w:r>
            <w:r w:rsidRPr="007F6F88">
              <w:rPr>
                <w:rFonts w:ascii="Arial Narrow" w:eastAsiaTheme="majorEastAsia" w:hAnsi="Arial Narrow" w:cstheme="majorBidi"/>
                <w:bCs/>
                <w:sz w:val="20"/>
              </w:rPr>
              <w:t>) obesity AND a self-reported history of heart attack, stroke or diseases of the arteries, arterioles and capillaries.</w:t>
            </w:r>
          </w:p>
          <w:p w14:paraId="22A7BF76" w14:textId="77777777" w:rsidR="007F6F88" w:rsidRPr="007F6F88" w:rsidRDefault="007F6F88" w:rsidP="007F6F88">
            <w:pPr>
              <w:keepLines/>
              <w:spacing w:after="120"/>
              <w:jc w:val="left"/>
              <w:rPr>
                <w:rFonts w:ascii="Arial Narrow" w:eastAsiaTheme="majorEastAsia" w:hAnsi="Arial Narrow" w:cstheme="majorBidi"/>
                <w:bCs/>
                <w:sz w:val="20"/>
              </w:rPr>
            </w:pPr>
            <w:r w:rsidRPr="007F6F88">
              <w:rPr>
                <w:rFonts w:ascii="Arial Narrow" w:eastAsiaTheme="majorEastAsia" w:hAnsi="Arial Narrow" w:cstheme="majorBidi"/>
                <w:bCs/>
                <w:sz w:val="20"/>
              </w:rPr>
              <w:t>60% of patients in the overweight BMI category were assumed to have BMI values ≥27 kg/m</w:t>
            </w:r>
            <w:r w:rsidRPr="007F6F88">
              <w:rPr>
                <w:rFonts w:ascii="Arial Narrow" w:eastAsiaTheme="majorEastAsia" w:hAnsi="Arial Narrow" w:cstheme="majorBidi"/>
                <w:bCs/>
                <w:sz w:val="20"/>
                <w:vertAlign w:val="superscript"/>
              </w:rPr>
              <w:t>2</w:t>
            </w:r>
            <w:r w:rsidRPr="007F6F88">
              <w:rPr>
                <w:rFonts w:ascii="Arial Narrow" w:eastAsiaTheme="majorEastAsia" w:hAnsi="Arial Narrow" w:cstheme="majorBidi"/>
                <w:bCs/>
                <w:sz w:val="20"/>
              </w:rPr>
              <w:t>.</w:t>
            </w:r>
          </w:p>
          <w:p w14:paraId="1868CA4A" w14:textId="77777777" w:rsidR="007F6F88" w:rsidRPr="007F6F88" w:rsidRDefault="007F6F88" w:rsidP="007F6F88">
            <w:pPr>
              <w:keepLines/>
              <w:spacing w:after="120"/>
              <w:jc w:val="left"/>
              <w:rPr>
                <w:rFonts w:ascii="Arial Narrow" w:eastAsiaTheme="majorEastAsia" w:hAnsi="Arial Narrow" w:cstheme="majorBidi"/>
                <w:bCs/>
                <w:sz w:val="20"/>
              </w:rPr>
            </w:pPr>
            <w:r w:rsidRPr="007F6F88">
              <w:rPr>
                <w:rFonts w:ascii="Arial Narrow" w:eastAsiaTheme="majorEastAsia" w:hAnsi="Arial Narrow" w:cstheme="majorBidi"/>
                <w:bCs/>
                <w:sz w:val="20"/>
              </w:rPr>
              <w:t>Estimates do not include adjustments for the lower BMI thresholds (-2.5 kg/m</w:t>
            </w:r>
            <w:r w:rsidRPr="007F6F88">
              <w:rPr>
                <w:rFonts w:ascii="Arial Narrow" w:eastAsiaTheme="majorEastAsia" w:hAnsi="Arial Narrow" w:cstheme="majorBidi"/>
                <w:bCs/>
                <w:sz w:val="20"/>
                <w:vertAlign w:val="superscript"/>
              </w:rPr>
              <w:t>2</w:t>
            </w:r>
            <w:r w:rsidRPr="007F6F88">
              <w:rPr>
                <w:rFonts w:ascii="Arial Narrow" w:eastAsiaTheme="majorEastAsia" w:hAnsi="Arial Narrow" w:cstheme="majorBidi"/>
                <w:bCs/>
                <w:sz w:val="20"/>
              </w:rPr>
              <w:t xml:space="preserve"> than other populations) in patients of Asian or Aboriginal and Torres Strait Islander descent. </w:t>
            </w:r>
          </w:p>
          <w:p w14:paraId="07254A1C" w14:textId="77777777" w:rsidR="007F6F88" w:rsidRPr="007F6F88" w:rsidRDefault="007F6F88" w:rsidP="007F6F88">
            <w:pPr>
              <w:keepLines/>
              <w:jc w:val="left"/>
              <w:rPr>
                <w:rFonts w:ascii="Arial Narrow" w:eastAsiaTheme="majorEastAsia" w:hAnsi="Arial Narrow" w:cstheme="majorBidi"/>
                <w:bCs/>
                <w:sz w:val="20"/>
              </w:rPr>
            </w:pPr>
            <w:r w:rsidRPr="007F6F88">
              <w:rPr>
                <w:rFonts w:ascii="Arial Narrow" w:eastAsiaTheme="majorEastAsia" w:hAnsi="Arial Narrow" w:cstheme="majorBidi"/>
                <w:bCs/>
                <w:sz w:val="20"/>
              </w:rPr>
              <w:t>An annualised increase in the prevalence of overweight/ obesity in the Australian population (relative 1.4% increase per year) was estimated based on the difference in the proportion of the Australian population with obesity in the 2012 National Health Survey (27.5%) versus the 2022 National Health Survey (31.6%).</w:t>
            </w:r>
          </w:p>
        </w:tc>
        <w:tc>
          <w:tcPr>
            <w:tcW w:w="2920" w:type="dxa"/>
            <w:vAlign w:val="center"/>
          </w:tcPr>
          <w:p w14:paraId="13FB9CD3" w14:textId="77777777" w:rsidR="007F6F88" w:rsidRDefault="007F6F88" w:rsidP="007F6F88">
            <w:pPr>
              <w:keepNext/>
              <w:widowControl w:val="0"/>
              <w:jc w:val="left"/>
              <w:rPr>
                <w:rFonts w:ascii="Arial Narrow" w:eastAsiaTheme="majorEastAsia" w:hAnsi="Arial Narrow" w:cstheme="majorBidi"/>
                <w:bCs/>
                <w:i/>
                <w:iCs/>
                <w:sz w:val="20"/>
              </w:rPr>
            </w:pPr>
            <w:r w:rsidRPr="007F6F88">
              <w:rPr>
                <w:rFonts w:ascii="Arial Narrow" w:eastAsiaTheme="majorEastAsia" w:hAnsi="Arial Narrow" w:cstheme="majorBidi"/>
                <w:bCs/>
                <w:sz w:val="20"/>
              </w:rPr>
              <w:t>This was appropriate but may underestimate the eligible patient population given that approximately 20% of the Australian population (based on the 2021 Census) identify themselves as Aboriginal or Torres Strait Islander (3.2%), East Asian (10.9%) or Central/Southern Asian (6.5%) and who would have lower BMI thresholds than the general population</w:t>
            </w:r>
            <w:r w:rsidRPr="007F6F88">
              <w:rPr>
                <w:rFonts w:ascii="Arial Narrow" w:eastAsiaTheme="majorEastAsia" w:hAnsi="Arial Narrow" w:cstheme="majorBidi"/>
                <w:bCs/>
                <w:i/>
                <w:iCs/>
                <w:sz w:val="20"/>
              </w:rPr>
              <w:t>.</w:t>
            </w:r>
          </w:p>
          <w:p w14:paraId="63A3FA15" w14:textId="77777777" w:rsidR="00E3772C" w:rsidRDefault="00E3772C" w:rsidP="007F6F88">
            <w:pPr>
              <w:keepNext/>
              <w:widowControl w:val="0"/>
              <w:jc w:val="left"/>
              <w:rPr>
                <w:rFonts w:ascii="Arial Narrow" w:eastAsiaTheme="majorEastAsia" w:hAnsi="Arial Narrow" w:cstheme="majorBidi"/>
                <w:bCs/>
                <w:i/>
                <w:iCs/>
                <w:sz w:val="20"/>
              </w:rPr>
            </w:pPr>
          </w:p>
          <w:p w14:paraId="24BDE9AC" w14:textId="77777777" w:rsidR="00E3772C" w:rsidRPr="00E3772C" w:rsidRDefault="00E3772C" w:rsidP="00E3772C">
            <w:pPr>
              <w:keepNext/>
              <w:widowControl w:val="0"/>
              <w:jc w:val="left"/>
              <w:rPr>
                <w:rFonts w:ascii="Arial Narrow" w:eastAsiaTheme="majorEastAsia" w:hAnsi="Arial Narrow" w:cstheme="majorBidi"/>
                <w:bCs/>
                <w:sz w:val="20"/>
              </w:rPr>
            </w:pPr>
            <w:r w:rsidRPr="00E3772C">
              <w:rPr>
                <w:rFonts w:ascii="Arial Narrow" w:eastAsiaTheme="majorEastAsia" w:hAnsi="Arial Narrow" w:cstheme="majorBidi"/>
                <w:bCs/>
                <w:sz w:val="20"/>
              </w:rPr>
              <w:t xml:space="preserve">DUSC commented that if 20% of the Australian population would be eligible under a lower BMI threshold, then the number of eligible patients would be underestimated. </w:t>
            </w:r>
          </w:p>
          <w:p w14:paraId="24BA307F" w14:textId="77777777" w:rsidR="00E3772C" w:rsidRPr="00E3772C" w:rsidRDefault="00E3772C" w:rsidP="00E3772C">
            <w:pPr>
              <w:keepNext/>
              <w:widowControl w:val="0"/>
              <w:jc w:val="left"/>
              <w:rPr>
                <w:rFonts w:ascii="Arial Narrow" w:eastAsiaTheme="majorEastAsia" w:hAnsi="Arial Narrow" w:cstheme="majorBidi"/>
                <w:bCs/>
                <w:sz w:val="20"/>
              </w:rPr>
            </w:pPr>
          </w:p>
          <w:p w14:paraId="15E336C8" w14:textId="4BF0BB8A" w:rsidR="00E3772C" w:rsidRPr="00E3772C" w:rsidRDefault="00E3772C" w:rsidP="00E3772C">
            <w:pPr>
              <w:keepNext/>
              <w:widowControl w:val="0"/>
              <w:jc w:val="left"/>
              <w:rPr>
                <w:rFonts w:ascii="Arial Narrow" w:eastAsiaTheme="majorEastAsia" w:hAnsi="Arial Narrow" w:cstheme="majorBidi"/>
                <w:bCs/>
                <w:sz w:val="20"/>
              </w:rPr>
            </w:pPr>
            <w:r w:rsidRPr="00E3772C">
              <w:rPr>
                <w:rFonts w:ascii="Arial Narrow" w:eastAsiaTheme="majorEastAsia" w:hAnsi="Arial Narrow" w:cstheme="majorBidi"/>
                <w:bCs/>
                <w:sz w:val="20"/>
              </w:rPr>
              <w:t>DUSC noted that although the prevalence of obesity has been increasing, the prevalence of CVD has been declining over time</w:t>
            </w:r>
            <w:r w:rsidRPr="00E3772C">
              <w:rPr>
                <w:rStyle w:val="FootnoteReference"/>
                <w:rFonts w:ascii="Arial Narrow" w:eastAsiaTheme="majorEastAsia" w:hAnsi="Arial Narrow" w:cstheme="majorBidi"/>
                <w:bCs/>
                <w:sz w:val="20"/>
              </w:rPr>
              <w:footnoteReference w:id="3"/>
            </w:r>
            <w:r w:rsidRPr="00E3772C">
              <w:rPr>
                <w:rFonts w:ascii="Arial Narrow" w:eastAsiaTheme="majorEastAsia" w:hAnsi="Arial Narrow" w:cstheme="majorBidi"/>
                <w:bCs/>
                <w:sz w:val="20"/>
                <w:vertAlign w:val="superscript"/>
              </w:rPr>
              <w:t>,</w:t>
            </w:r>
            <w:r w:rsidRPr="00E3772C">
              <w:rPr>
                <w:rStyle w:val="FootnoteReference"/>
                <w:rFonts w:ascii="Arial Narrow" w:eastAsiaTheme="majorEastAsia" w:hAnsi="Arial Narrow" w:cstheme="majorBidi"/>
                <w:bCs/>
                <w:sz w:val="20"/>
              </w:rPr>
              <w:footnoteReference w:id="4"/>
            </w:r>
            <w:r w:rsidRPr="00E3772C">
              <w:rPr>
                <w:rFonts w:ascii="Arial Narrow" w:eastAsiaTheme="majorEastAsia" w:hAnsi="Arial Narrow" w:cstheme="majorBidi"/>
                <w:bCs/>
                <w:sz w:val="20"/>
              </w:rPr>
              <w:t>. DUSC considered the use of GLP-1</w:t>
            </w:r>
            <w:r w:rsidR="00D57EA2">
              <w:rPr>
                <w:rFonts w:ascii="Arial Narrow" w:eastAsiaTheme="majorEastAsia" w:hAnsi="Arial Narrow" w:cstheme="majorBidi"/>
                <w:bCs/>
                <w:sz w:val="20"/>
              </w:rPr>
              <w:t xml:space="preserve"> analogues</w:t>
            </w:r>
            <w:r w:rsidRPr="00E3772C">
              <w:rPr>
                <w:rFonts w:ascii="Arial Narrow" w:eastAsiaTheme="majorEastAsia" w:hAnsi="Arial Narrow" w:cstheme="majorBidi"/>
                <w:bCs/>
                <w:sz w:val="20"/>
              </w:rPr>
              <w:t xml:space="preserve"> for T2D could prevent primary CVD and that the rate of decrease of CVD could increase over time.</w:t>
            </w:r>
          </w:p>
          <w:p w14:paraId="3C98C3C0" w14:textId="77777777" w:rsidR="00E3772C" w:rsidRPr="007F6F88" w:rsidRDefault="00E3772C" w:rsidP="007F6F88">
            <w:pPr>
              <w:keepNext/>
              <w:widowControl w:val="0"/>
              <w:jc w:val="left"/>
              <w:rPr>
                <w:rFonts w:ascii="Arial Narrow" w:eastAsiaTheme="majorEastAsia" w:hAnsi="Arial Narrow" w:cstheme="majorBidi"/>
                <w:bCs/>
                <w:i/>
                <w:iCs/>
                <w:sz w:val="20"/>
              </w:rPr>
            </w:pPr>
          </w:p>
        </w:tc>
      </w:tr>
      <w:tr w:rsidR="007F6F88" w:rsidRPr="007F6F88" w14:paraId="12D9C258" w14:textId="77777777" w:rsidTr="006E014B">
        <w:trPr>
          <w:trHeight w:val="2558"/>
        </w:trPr>
        <w:tc>
          <w:tcPr>
            <w:tcW w:w="1540" w:type="dxa"/>
            <w:vAlign w:val="center"/>
          </w:tcPr>
          <w:p w14:paraId="01BB59E6" w14:textId="77777777" w:rsidR="007F6F88" w:rsidRPr="007F6F88" w:rsidRDefault="007F6F88" w:rsidP="007F6F88">
            <w:pPr>
              <w:keepNext/>
              <w:keepLines/>
              <w:jc w:val="left"/>
              <w:rPr>
                <w:rFonts w:ascii="Arial Narrow" w:eastAsiaTheme="majorEastAsia" w:hAnsi="Arial Narrow" w:cstheme="majorBidi"/>
                <w:bCs/>
                <w:sz w:val="20"/>
              </w:rPr>
            </w:pPr>
            <w:r w:rsidRPr="007F6F88">
              <w:rPr>
                <w:rFonts w:ascii="Arial Narrow" w:eastAsiaTheme="majorEastAsia" w:hAnsi="Arial Narrow" w:cstheme="majorBidi"/>
                <w:bCs/>
                <w:sz w:val="20"/>
              </w:rPr>
              <w:lastRenderedPageBreak/>
              <w:t xml:space="preserve">Semaglutide utilisation rate </w:t>
            </w:r>
          </w:p>
          <w:p w14:paraId="0B74874D" w14:textId="77777777" w:rsidR="007F6F88" w:rsidRPr="007F6F88" w:rsidRDefault="007F6F88" w:rsidP="007F6F88">
            <w:pPr>
              <w:keepNext/>
              <w:keepLines/>
              <w:jc w:val="left"/>
              <w:rPr>
                <w:rFonts w:ascii="Arial Narrow" w:eastAsiaTheme="majorEastAsia" w:hAnsi="Arial Narrow" w:cstheme="majorBidi"/>
                <w:bCs/>
                <w:sz w:val="20"/>
              </w:rPr>
            </w:pPr>
          </w:p>
        </w:tc>
        <w:tc>
          <w:tcPr>
            <w:tcW w:w="4557" w:type="dxa"/>
            <w:vAlign w:val="center"/>
          </w:tcPr>
          <w:p w14:paraId="1077580A" w14:textId="216E57F7" w:rsidR="007F6F88" w:rsidRPr="007F6F88" w:rsidRDefault="007F6F88" w:rsidP="007F6F88">
            <w:pPr>
              <w:keepLines/>
              <w:spacing w:after="120"/>
              <w:jc w:val="left"/>
              <w:rPr>
                <w:rFonts w:ascii="Arial Narrow" w:eastAsiaTheme="majorEastAsia" w:hAnsi="Arial Narrow" w:cstheme="majorBidi"/>
                <w:bCs/>
                <w:sz w:val="20"/>
              </w:rPr>
            </w:pPr>
            <w:r w:rsidRPr="007F6F88">
              <w:rPr>
                <w:rFonts w:ascii="Arial Narrow" w:eastAsiaTheme="majorEastAsia" w:hAnsi="Arial Narrow" w:cstheme="majorBidi"/>
                <w:bCs/>
                <w:sz w:val="20"/>
              </w:rPr>
              <w:t>Utilisation rate in patients with CVD and BMI ≥27 kg/m</w:t>
            </w:r>
            <w:r w:rsidRPr="007F6F88">
              <w:rPr>
                <w:rFonts w:ascii="Arial Narrow" w:eastAsiaTheme="majorEastAsia" w:hAnsi="Arial Narrow" w:cstheme="majorBidi"/>
                <w:bCs/>
                <w:sz w:val="20"/>
                <w:vertAlign w:val="superscript"/>
              </w:rPr>
              <w:t xml:space="preserve">2 </w:t>
            </w:r>
            <w:r w:rsidRPr="007F6F88">
              <w:rPr>
                <w:rFonts w:ascii="Arial Narrow" w:eastAsiaTheme="majorEastAsia" w:hAnsi="Arial Narrow" w:cstheme="majorBidi"/>
                <w:bCs/>
                <w:sz w:val="20"/>
              </w:rPr>
              <w:t xml:space="preserve">increasing from </w:t>
            </w:r>
            <w:r w:rsidR="005E35AF" w:rsidRPr="005E35AF">
              <w:rPr>
                <w:rFonts w:ascii="Arial Narrow" w:eastAsiaTheme="majorEastAsia" w:hAnsi="Arial Narrow" w:cstheme="majorBidi"/>
                <w:bCs/>
                <w:sz w:val="20"/>
                <w:highlight w:val="black"/>
              </w:rPr>
              <w:t>&amp;&amp;&amp;&amp;</w:t>
            </w:r>
            <w:r w:rsidRPr="005B75B1">
              <w:rPr>
                <w:rFonts w:ascii="Arial Narrow" w:eastAsiaTheme="majorEastAsia" w:hAnsi="Arial Narrow" w:cstheme="majorBidi"/>
                <w:bCs/>
                <w:sz w:val="20"/>
              </w:rPr>
              <w:t>% in</w:t>
            </w:r>
            <w:r w:rsidRPr="007F6F88">
              <w:rPr>
                <w:rFonts w:ascii="Arial Narrow" w:eastAsiaTheme="majorEastAsia" w:hAnsi="Arial Narrow" w:cstheme="majorBidi"/>
                <w:bCs/>
                <w:sz w:val="20"/>
              </w:rPr>
              <w:t xml:space="preserve"> Year 1 to </w:t>
            </w:r>
            <w:r w:rsidR="005E35AF" w:rsidRPr="005E35AF">
              <w:rPr>
                <w:rFonts w:ascii="Arial Narrow" w:eastAsiaTheme="majorEastAsia" w:hAnsi="Arial Narrow" w:cstheme="majorBidi"/>
                <w:bCs/>
                <w:sz w:val="20"/>
                <w:highlight w:val="black"/>
              </w:rPr>
              <w:t>&amp;&amp;&amp;&amp;</w:t>
            </w:r>
            <w:r w:rsidRPr="005B75B1">
              <w:rPr>
                <w:rFonts w:ascii="Arial Narrow" w:eastAsiaTheme="majorEastAsia" w:hAnsi="Arial Narrow" w:cstheme="majorBidi"/>
                <w:bCs/>
                <w:sz w:val="20"/>
              </w:rPr>
              <w:t>% in</w:t>
            </w:r>
            <w:r w:rsidRPr="007F6F88">
              <w:rPr>
                <w:rFonts w:ascii="Arial Narrow" w:eastAsiaTheme="majorEastAsia" w:hAnsi="Arial Narrow" w:cstheme="majorBidi"/>
                <w:bCs/>
                <w:sz w:val="20"/>
              </w:rPr>
              <w:t xml:space="preserve"> Year 6.</w:t>
            </w:r>
          </w:p>
          <w:p w14:paraId="4D79318B" w14:textId="484E6DB7" w:rsidR="007F6F88" w:rsidRPr="007F6F88" w:rsidRDefault="007F6F88" w:rsidP="007F6F88">
            <w:pPr>
              <w:keepLines/>
              <w:spacing w:after="120"/>
              <w:jc w:val="left"/>
              <w:rPr>
                <w:rFonts w:ascii="Arial Narrow" w:eastAsiaTheme="majorEastAsia" w:hAnsi="Arial Narrow" w:cstheme="majorBidi"/>
                <w:bCs/>
                <w:sz w:val="20"/>
              </w:rPr>
            </w:pPr>
            <w:r w:rsidRPr="007F6F88">
              <w:rPr>
                <w:rFonts w:ascii="Arial Narrow" w:eastAsiaTheme="majorEastAsia" w:hAnsi="Arial Narrow" w:cstheme="majorBidi"/>
                <w:bCs/>
                <w:sz w:val="20"/>
              </w:rPr>
              <w:t>Utilisation rate in patients with CVD and BMI ≥35 kg/m</w:t>
            </w:r>
            <w:r w:rsidRPr="007F6F88">
              <w:rPr>
                <w:rFonts w:ascii="Arial Narrow" w:eastAsiaTheme="majorEastAsia" w:hAnsi="Arial Narrow" w:cstheme="majorBidi"/>
                <w:bCs/>
                <w:sz w:val="20"/>
                <w:vertAlign w:val="superscript"/>
              </w:rPr>
              <w:t xml:space="preserve">2 </w:t>
            </w:r>
            <w:r w:rsidRPr="007F6F88">
              <w:rPr>
                <w:rFonts w:ascii="Arial Narrow" w:eastAsiaTheme="majorEastAsia" w:hAnsi="Arial Narrow" w:cstheme="majorBidi"/>
                <w:bCs/>
                <w:sz w:val="20"/>
              </w:rPr>
              <w:t xml:space="preserve">increasing from </w:t>
            </w:r>
            <w:r w:rsidR="005E35AF" w:rsidRPr="005E35AF">
              <w:rPr>
                <w:rFonts w:ascii="Arial Narrow" w:eastAsiaTheme="majorEastAsia" w:hAnsi="Arial Narrow" w:cstheme="majorBidi"/>
                <w:bCs/>
                <w:sz w:val="20"/>
                <w:highlight w:val="black"/>
              </w:rPr>
              <w:t>&amp;&amp;&amp;&amp;</w:t>
            </w:r>
            <w:r w:rsidRPr="005B75B1">
              <w:rPr>
                <w:rFonts w:ascii="Arial Narrow" w:eastAsiaTheme="majorEastAsia" w:hAnsi="Arial Narrow" w:cstheme="majorBidi"/>
                <w:bCs/>
                <w:sz w:val="20"/>
              </w:rPr>
              <w:t>% in Year</w:t>
            </w:r>
            <w:r w:rsidRPr="007F6F88">
              <w:rPr>
                <w:rFonts w:ascii="Arial Narrow" w:eastAsiaTheme="majorEastAsia" w:hAnsi="Arial Narrow" w:cstheme="majorBidi"/>
                <w:bCs/>
                <w:sz w:val="20"/>
              </w:rPr>
              <w:t xml:space="preserve"> 1 to </w:t>
            </w:r>
            <w:r w:rsidR="005E35AF" w:rsidRPr="005E35AF">
              <w:rPr>
                <w:rFonts w:ascii="Arial Narrow" w:eastAsiaTheme="majorEastAsia" w:hAnsi="Arial Narrow" w:cstheme="majorBidi"/>
                <w:bCs/>
                <w:sz w:val="20"/>
                <w:highlight w:val="black"/>
              </w:rPr>
              <w:t>&amp;&amp;&amp;&amp;</w:t>
            </w:r>
            <w:r w:rsidRPr="005B75B1">
              <w:rPr>
                <w:rFonts w:ascii="Arial Narrow" w:eastAsiaTheme="majorEastAsia" w:hAnsi="Arial Narrow" w:cstheme="majorBidi"/>
                <w:bCs/>
                <w:sz w:val="20"/>
              </w:rPr>
              <w:t>% in</w:t>
            </w:r>
            <w:r w:rsidRPr="007F6F88">
              <w:rPr>
                <w:rFonts w:ascii="Arial Narrow" w:eastAsiaTheme="majorEastAsia" w:hAnsi="Arial Narrow" w:cstheme="majorBidi"/>
                <w:bCs/>
                <w:sz w:val="20"/>
              </w:rPr>
              <w:t xml:space="preserve"> Year 6.</w:t>
            </w:r>
          </w:p>
          <w:p w14:paraId="3D6E7BBF" w14:textId="2E2102E9" w:rsidR="007F6F88" w:rsidRPr="007F6F88" w:rsidRDefault="007F6F88" w:rsidP="007F6F88">
            <w:pPr>
              <w:keepLines/>
              <w:spacing w:after="120"/>
              <w:jc w:val="left"/>
              <w:rPr>
                <w:rFonts w:ascii="Arial Narrow" w:eastAsiaTheme="majorEastAsia" w:hAnsi="Arial Narrow" w:cstheme="majorBidi"/>
                <w:bCs/>
                <w:sz w:val="20"/>
              </w:rPr>
            </w:pPr>
            <w:r w:rsidRPr="007F6F88">
              <w:rPr>
                <w:rFonts w:ascii="Arial Narrow" w:eastAsiaTheme="majorEastAsia" w:hAnsi="Arial Narrow" w:cstheme="majorBidi"/>
                <w:bCs/>
                <w:sz w:val="20"/>
              </w:rPr>
              <w:t>Utilisation rate in patients with CVD and BMI ≥40 kg/m</w:t>
            </w:r>
            <w:r w:rsidRPr="007F6F88">
              <w:rPr>
                <w:rFonts w:ascii="Arial Narrow" w:eastAsiaTheme="majorEastAsia" w:hAnsi="Arial Narrow" w:cstheme="majorBidi"/>
                <w:bCs/>
                <w:sz w:val="20"/>
                <w:vertAlign w:val="superscript"/>
              </w:rPr>
              <w:t xml:space="preserve">2 </w:t>
            </w:r>
            <w:r w:rsidRPr="007F6F88">
              <w:rPr>
                <w:rFonts w:ascii="Arial Narrow" w:eastAsiaTheme="majorEastAsia" w:hAnsi="Arial Narrow" w:cstheme="majorBidi"/>
                <w:bCs/>
                <w:sz w:val="20"/>
              </w:rPr>
              <w:t xml:space="preserve">increasing from </w:t>
            </w:r>
            <w:r w:rsidR="005E35AF" w:rsidRPr="005E35AF">
              <w:rPr>
                <w:rFonts w:ascii="Arial Narrow" w:eastAsiaTheme="majorEastAsia" w:hAnsi="Arial Narrow" w:cstheme="majorBidi"/>
                <w:bCs/>
                <w:sz w:val="20"/>
                <w:highlight w:val="black"/>
              </w:rPr>
              <w:t>&amp;&amp;&amp;&amp;</w:t>
            </w:r>
            <w:r w:rsidRPr="005B75B1">
              <w:rPr>
                <w:rFonts w:ascii="Arial Narrow" w:eastAsiaTheme="majorEastAsia" w:hAnsi="Arial Narrow" w:cstheme="majorBidi"/>
                <w:bCs/>
                <w:sz w:val="20"/>
              </w:rPr>
              <w:t>% in</w:t>
            </w:r>
            <w:r w:rsidRPr="007F6F88">
              <w:rPr>
                <w:rFonts w:ascii="Arial Narrow" w:eastAsiaTheme="majorEastAsia" w:hAnsi="Arial Narrow" w:cstheme="majorBidi"/>
                <w:bCs/>
                <w:sz w:val="20"/>
              </w:rPr>
              <w:t xml:space="preserve"> Year 1 to </w:t>
            </w:r>
            <w:r w:rsidR="005E35AF" w:rsidRPr="005E35AF">
              <w:rPr>
                <w:rFonts w:ascii="Arial Narrow" w:eastAsiaTheme="majorEastAsia" w:hAnsi="Arial Narrow" w:cstheme="majorBidi"/>
                <w:bCs/>
                <w:sz w:val="20"/>
                <w:highlight w:val="black"/>
              </w:rPr>
              <w:t>&amp;&amp;&amp;&amp;</w:t>
            </w:r>
            <w:r w:rsidRPr="005B75B1">
              <w:rPr>
                <w:rFonts w:ascii="Arial Narrow" w:eastAsiaTheme="majorEastAsia" w:hAnsi="Arial Narrow" w:cstheme="majorBidi"/>
                <w:bCs/>
                <w:sz w:val="20"/>
              </w:rPr>
              <w:t>% in</w:t>
            </w:r>
            <w:r w:rsidRPr="007F6F88">
              <w:rPr>
                <w:rFonts w:ascii="Arial Narrow" w:eastAsiaTheme="majorEastAsia" w:hAnsi="Arial Narrow" w:cstheme="majorBidi"/>
                <w:bCs/>
                <w:sz w:val="20"/>
              </w:rPr>
              <w:t xml:space="preserve"> Year 6.</w:t>
            </w:r>
          </w:p>
          <w:p w14:paraId="528E333D" w14:textId="77777777" w:rsidR="007F6F88" w:rsidRPr="007F6F88" w:rsidRDefault="007F6F88" w:rsidP="007F6F88">
            <w:pPr>
              <w:keepLines/>
              <w:jc w:val="left"/>
              <w:rPr>
                <w:rFonts w:ascii="Arial Narrow" w:eastAsiaTheme="majorEastAsia" w:hAnsi="Arial Narrow" w:cstheme="majorBidi"/>
                <w:bCs/>
                <w:sz w:val="20"/>
              </w:rPr>
            </w:pPr>
            <w:r w:rsidRPr="007F6F88">
              <w:rPr>
                <w:rFonts w:ascii="Arial Narrow" w:eastAsiaTheme="majorEastAsia" w:hAnsi="Arial Narrow" w:cstheme="majorBidi"/>
                <w:bCs/>
                <w:sz w:val="20"/>
              </w:rPr>
              <w:t>Assumption. The resubmission claimed that this was informed by market research and the sponsor’s experience in other international settings (no documentation was provided with the resubmission).</w:t>
            </w:r>
          </w:p>
        </w:tc>
        <w:tc>
          <w:tcPr>
            <w:tcW w:w="2920" w:type="dxa"/>
            <w:vAlign w:val="center"/>
          </w:tcPr>
          <w:p w14:paraId="2ACAD442" w14:textId="77777777" w:rsidR="007F6F88" w:rsidRDefault="007F6F88" w:rsidP="007F6F88">
            <w:pPr>
              <w:keepNext/>
              <w:widowControl w:val="0"/>
              <w:jc w:val="left"/>
              <w:rPr>
                <w:rFonts w:ascii="Arial Narrow" w:eastAsiaTheme="majorEastAsia" w:hAnsi="Arial Narrow" w:cstheme="majorBidi"/>
                <w:bCs/>
                <w:sz w:val="20"/>
              </w:rPr>
            </w:pPr>
            <w:r w:rsidRPr="007F6F88">
              <w:rPr>
                <w:rFonts w:ascii="Arial Narrow" w:eastAsiaTheme="majorEastAsia" w:hAnsi="Arial Narrow" w:cstheme="majorBidi"/>
                <w:bCs/>
                <w:sz w:val="20"/>
              </w:rPr>
              <w:t>Given the abstract nature of the utilisation rates (which covers treatment initiation, discontinuation and re-initiation) it was not possible to validate these estimates with other published data sources.</w:t>
            </w:r>
          </w:p>
          <w:p w14:paraId="53D73C67" w14:textId="77777777" w:rsidR="00E3772C" w:rsidRDefault="00E3772C" w:rsidP="007F6F88">
            <w:pPr>
              <w:keepNext/>
              <w:widowControl w:val="0"/>
              <w:jc w:val="left"/>
              <w:rPr>
                <w:rFonts w:ascii="Arial Narrow" w:eastAsiaTheme="majorEastAsia" w:hAnsi="Arial Narrow" w:cstheme="majorBidi"/>
                <w:bCs/>
                <w:sz w:val="20"/>
              </w:rPr>
            </w:pPr>
          </w:p>
          <w:p w14:paraId="0335187C" w14:textId="77777777" w:rsidR="00E3772C" w:rsidRPr="00E3772C" w:rsidRDefault="00E3772C" w:rsidP="00E3772C">
            <w:pPr>
              <w:keepNext/>
              <w:widowControl w:val="0"/>
              <w:jc w:val="left"/>
              <w:rPr>
                <w:rFonts w:ascii="Arial Narrow" w:eastAsiaTheme="majorEastAsia" w:hAnsi="Arial Narrow" w:cstheme="majorBidi"/>
                <w:bCs/>
                <w:sz w:val="20"/>
              </w:rPr>
            </w:pPr>
            <w:r w:rsidRPr="00E3772C">
              <w:rPr>
                <w:rFonts w:ascii="Arial Narrow" w:eastAsiaTheme="majorEastAsia" w:hAnsi="Arial Narrow" w:cstheme="majorBidi"/>
                <w:bCs/>
                <w:sz w:val="20"/>
              </w:rPr>
              <w:t xml:space="preserve">DUSC noted that there was no market research, information from private sales, or PBS Ozempic data or international data provided with the resubmission and that these rates could not be validated. </w:t>
            </w:r>
          </w:p>
          <w:p w14:paraId="26F8F117" w14:textId="77777777" w:rsidR="00E3772C" w:rsidRPr="00E3772C" w:rsidRDefault="00E3772C" w:rsidP="00E3772C">
            <w:pPr>
              <w:keepNext/>
              <w:widowControl w:val="0"/>
              <w:jc w:val="left"/>
              <w:rPr>
                <w:rFonts w:ascii="Arial Narrow" w:eastAsiaTheme="majorEastAsia" w:hAnsi="Arial Narrow" w:cstheme="majorBidi"/>
                <w:bCs/>
                <w:sz w:val="20"/>
              </w:rPr>
            </w:pPr>
          </w:p>
          <w:p w14:paraId="3745C0FF" w14:textId="77777777" w:rsidR="00E3772C" w:rsidRDefault="00E3772C" w:rsidP="00E3772C">
            <w:pPr>
              <w:keepNext/>
              <w:widowControl w:val="0"/>
              <w:jc w:val="left"/>
              <w:rPr>
                <w:rFonts w:ascii="Arial Narrow" w:eastAsiaTheme="majorEastAsia" w:hAnsi="Arial Narrow" w:cstheme="majorBidi"/>
                <w:bCs/>
                <w:sz w:val="20"/>
              </w:rPr>
            </w:pPr>
            <w:r w:rsidRPr="00E3772C">
              <w:rPr>
                <w:rFonts w:ascii="Arial Narrow" w:eastAsiaTheme="majorEastAsia" w:hAnsi="Arial Narrow" w:cstheme="majorBidi"/>
                <w:bCs/>
                <w:sz w:val="20"/>
              </w:rPr>
              <w:t xml:space="preserve">DUSC considered the utilisation rates for BMI&gt;40 </w:t>
            </w:r>
            <w:proofErr w:type="gramStart"/>
            <w:r w:rsidRPr="00E3772C">
              <w:rPr>
                <w:rFonts w:ascii="Arial Narrow" w:eastAsiaTheme="majorEastAsia" w:hAnsi="Arial Narrow" w:cstheme="majorBidi"/>
                <w:bCs/>
                <w:sz w:val="20"/>
              </w:rPr>
              <w:t>were</w:t>
            </w:r>
            <w:proofErr w:type="gramEnd"/>
            <w:r w:rsidRPr="00E3772C">
              <w:rPr>
                <w:rFonts w:ascii="Arial Narrow" w:eastAsiaTheme="majorEastAsia" w:hAnsi="Arial Narrow" w:cstheme="majorBidi"/>
                <w:bCs/>
                <w:sz w:val="20"/>
              </w:rPr>
              <w:t xml:space="preserve"> overestimated and the rates for BMI &gt;27 were underestimated in later years.</w:t>
            </w:r>
          </w:p>
          <w:p w14:paraId="4159B560" w14:textId="77777777" w:rsidR="00E3772C" w:rsidRDefault="00E3772C" w:rsidP="00E3772C">
            <w:pPr>
              <w:keepNext/>
              <w:widowControl w:val="0"/>
              <w:jc w:val="left"/>
              <w:rPr>
                <w:rFonts w:ascii="Arial Narrow" w:eastAsiaTheme="majorEastAsia" w:hAnsi="Arial Narrow" w:cstheme="majorBidi"/>
                <w:bCs/>
                <w:sz w:val="20"/>
              </w:rPr>
            </w:pPr>
          </w:p>
          <w:p w14:paraId="345097BB" w14:textId="77777777" w:rsidR="00E3772C" w:rsidRPr="007F6F88" w:rsidRDefault="00E3772C" w:rsidP="00E3772C">
            <w:pPr>
              <w:keepNext/>
              <w:widowControl w:val="0"/>
              <w:jc w:val="left"/>
              <w:rPr>
                <w:rFonts w:ascii="Arial Narrow" w:eastAsiaTheme="majorEastAsia" w:hAnsi="Arial Narrow" w:cstheme="majorBidi"/>
                <w:bCs/>
                <w:sz w:val="20"/>
              </w:rPr>
            </w:pPr>
          </w:p>
        </w:tc>
      </w:tr>
      <w:tr w:rsidR="00E3772C" w:rsidRPr="007F6F88" w14:paraId="31B160A3" w14:textId="77777777" w:rsidTr="006E014B">
        <w:tc>
          <w:tcPr>
            <w:tcW w:w="1540" w:type="dxa"/>
            <w:vAlign w:val="center"/>
          </w:tcPr>
          <w:p w14:paraId="21B9242D" w14:textId="4C7F3232" w:rsidR="00E3772C" w:rsidRPr="007F6F88" w:rsidRDefault="00E3772C" w:rsidP="007F6F88">
            <w:pPr>
              <w:keepLines/>
              <w:jc w:val="left"/>
              <w:rPr>
                <w:rFonts w:ascii="Arial Narrow" w:eastAsiaTheme="majorEastAsia" w:hAnsi="Arial Narrow" w:cstheme="majorBidi"/>
                <w:bCs/>
                <w:sz w:val="20"/>
              </w:rPr>
            </w:pPr>
            <w:r w:rsidRPr="00230537">
              <w:rPr>
                <w:rFonts w:ascii="Arial Narrow" w:eastAsiaTheme="majorEastAsia" w:hAnsi="Arial Narrow" w:cstheme="majorBidi"/>
                <w:bCs/>
                <w:sz w:val="20"/>
              </w:rPr>
              <w:t>Semaglutide scripts per patient per year</w:t>
            </w:r>
          </w:p>
        </w:tc>
        <w:tc>
          <w:tcPr>
            <w:tcW w:w="4557" w:type="dxa"/>
            <w:vAlign w:val="center"/>
          </w:tcPr>
          <w:p w14:paraId="56ADA12C" w14:textId="34CB930C" w:rsidR="00E3772C" w:rsidRPr="007F6F88" w:rsidRDefault="00E3772C" w:rsidP="007F6F88">
            <w:pPr>
              <w:keepLines/>
              <w:spacing w:after="120"/>
              <w:jc w:val="left"/>
              <w:rPr>
                <w:rFonts w:ascii="Arial Narrow" w:eastAsiaTheme="majorEastAsia" w:hAnsi="Arial Narrow" w:cstheme="majorBidi"/>
                <w:bCs/>
                <w:sz w:val="20"/>
              </w:rPr>
            </w:pPr>
            <w:r>
              <w:rPr>
                <w:rFonts w:ascii="Arial Narrow" w:eastAsiaTheme="majorEastAsia" w:hAnsi="Arial Narrow" w:cstheme="majorBidi"/>
                <w:bCs/>
                <w:sz w:val="20"/>
              </w:rPr>
              <w:t xml:space="preserve">12: Assumption. </w:t>
            </w:r>
            <w:r w:rsidRPr="00230537">
              <w:rPr>
                <w:rFonts w:ascii="Arial Narrow" w:eastAsiaTheme="majorEastAsia" w:hAnsi="Arial Narrow" w:cstheme="majorBidi"/>
                <w:bCs/>
                <w:sz w:val="20"/>
              </w:rPr>
              <w:t>Based on one script per month</w:t>
            </w:r>
            <w:r>
              <w:rPr>
                <w:rFonts w:ascii="Arial Narrow" w:eastAsiaTheme="majorEastAsia" w:hAnsi="Arial Narrow" w:cstheme="majorBidi"/>
                <w:bCs/>
                <w:sz w:val="20"/>
              </w:rPr>
              <w:t xml:space="preserve"> </w:t>
            </w:r>
          </w:p>
        </w:tc>
        <w:tc>
          <w:tcPr>
            <w:tcW w:w="2920" w:type="dxa"/>
            <w:vAlign w:val="center"/>
          </w:tcPr>
          <w:p w14:paraId="5E0CF21E" w14:textId="0BE4F8AA" w:rsidR="00E3772C" w:rsidRPr="007F6F88" w:rsidRDefault="00E3772C" w:rsidP="00E3772C">
            <w:pPr>
              <w:keepNext/>
              <w:widowControl w:val="0"/>
              <w:jc w:val="left"/>
              <w:rPr>
                <w:rFonts w:ascii="Arial Narrow" w:eastAsiaTheme="majorEastAsia" w:hAnsi="Arial Narrow" w:cstheme="majorBidi"/>
                <w:bCs/>
                <w:sz w:val="20"/>
              </w:rPr>
            </w:pPr>
            <w:r w:rsidRPr="00E3772C">
              <w:rPr>
                <w:rFonts w:ascii="Arial Narrow" w:eastAsiaTheme="majorEastAsia" w:hAnsi="Arial Narrow" w:cstheme="majorBidi"/>
                <w:bCs/>
                <w:sz w:val="20"/>
              </w:rPr>
              <w:t xml:space="preserve">DUSC noted that a patient would need 13 scripts for a full year of </w:t>
            </w:r>
            <w:r w:rsidR="00386B86" w:rsidRPr="00E3772C">
              <w:rPr>
                <w:rFonts w:ascii="Arial Narrow" w:eastAsiaTheme="majorEastAsia" w:hAnsi="Arial Narrow" w:cstheme="majorBidi"/>
                <w:bCs/>
                <w:sz w:val="20"/>
              </w:rPr>
              <w:t>treatment but</w:t>
            </w:r>
            <w:r w:rsidRPr="00E3772C">
              <w:rPr>
                <w:rFonts w:ascii="Arial Narrow" w:eastAsiaTheme="majorEastAsia" w:hAnsi="Arial Narrow" w:cstheme="majorBidi"/>
                <w:bCs/>
                <w:sz w:val="20"/>
              </w:rPr>
              <w:t xml:space="preserve"> considered it unlikely that this would correctly estimate the number of scripts supplied per year. DUSC considered that this value should be modelled from the semaglutide for T2D PBS data (7.0 to 8.5) to account for patients initiating, pausing or discontinuing treatment through each year.</w:t>
            </w:r>
          </w:p>
        </w:tc>
      </w:tr>
      <w:tr w:rsidR="007F6F88" w:rsidRPr="007F6F88" w14:paraId="4C9ED308" w14:textId="77777777" w:rsidTr="006E014B">
        <w:tc>
          <w:tcPr>
            <w:tcW w:w="1540" w:type="dxa"/>
            <w:vAlign w:val="center"/>
          </w:tcPr>
          <w:p w14:paraId="4701628A" w14:textId="77777777" w:rsidR="007F6F88" w:rsidRPr="007F6F88" w:rsidRDefault="007F6F88" w:rsidP="007F6F88">
            <w:pPr>
              <w:keepLines/>
              <w:jc w:val="left"/>
              <w:rPr>
                <w:rFonts w:ascii="Arial Narrow" w:eastAsiaTheme="majorEastAsia" w:hAnsi="Arial Narrow" w:cstheme="majorBidi"/>
                <w:bCs/>
                <w:sz w:val="20"/>
              </w:rPr>
            </w:pPr>
            <w:r w:rsidRPr="007F6F88">
              <w:rPr>
                <w:rFonts w:ascii="Arial Narrow" w:eastAsiaTheme="majorEastAsia" w:hAnsi="Arial Narrow" w:cstheme="majorBidi"/>
                <w:bCs/>
                <w:sz w:val="20"/>
              </w:rPr>
              <w:t>Dose distribution of semaglutide scripts</w:t>
            </w:r>
          </w:p>
        </w:tc>
        <w:tc>
          <w:tcPr>
            <w:tcW w:w="4557" w:type="dxa"/>
            <w:vAlign w:val="center"/>
          </w:tcPr>
          <w:p w14:paraId="1B2E274B" w14:textId="77777777" w:rsidR="007F6F88" w:rsidRPr="005F3F95" w:rsidRDefault="007F6F88" w:rsidP="007F6F88">
            <w:pPr>
              <w:keepLines/>
              <w:spacing w:after="120"/>
              <w:jc w:val="left"/>
              <w:rPr>
                <w:rFonts w:ascii="Arial Narrow" w:eastAsiaTheme="majorEastAsia" w:hAnsi="Arial Narrow" w:cstheme="majorBidi"/>
                <w:sz w:val="20"/>
                <w:lang w:val="da-DK"/>
              </w:rPr>
            </w:pPr>
            <w:r w:rsidRPr="005F3F95">
              <w:rPr>
                <w:rFonts w:ascii="Arial Narrow" w:eastAsiaTheme="majorEastAsia" w:hAnsi="Arial Narrow" w:cstheme="majorBidi"/>
                <w:sz w:val="20"/>
                <w:lang w:val="da-DK"/>
              </w:rPr>
              <w:t>0.25 mg: 4.69%; 0.5 mg: 4.98%; 1.0 mg: 6.56%; 1.7 mg: 7.40%; 2.4 mg: 76.37%</w:t>
            </w:r>
          </w:p>
          <w:p w14:paraId="54A635F2" w14:textId="77777777" w:rsidR="007F6F88" w:rsidRPr="007F6F88" w:rsidRDefault="007F6F88" w:rsidP="007F6F88">
            <w:pPr>
              <w:keepLines/>
              <w:spacing w:after="120"/>
              <w:jc w:val="left"/>
              <w:rPr>
                <w:rFonts w:ascii="Arial Narrow" w:eastAsiaTheme="majorEastAsia" w:hAnsi="Arial Narrow" w:cstheme="majorBidi"/>
                <w:bCs/>
                <w:sz w:val="20"/>
              </w:rPr>
            </w:pPr>
            <w:r w:rsidRPr="007F6F88">
              <w:rPr>
                <w:rFonts w:ascii="Arial Narrow" w:eastAsiaTheme="majorEastAsia" w:hAnsi="Arial Narrow" w:cstheme="majorBidi"/>
                <w:bCs/>
                <w:sz w:val="20"/>
              </w:rPr>
              <w:t>Based on the distribution of doses at the end of the titration period (Week 20) in the SELECT ITT population (patients with CVD and BMI ≥27).</w:t>
            </w:r>
          </w:p>
          <w:p w14:paraId="07706C9E" w14:textId="77777777" w:rsidR="007F6F88" w:rsidRPr="007F6F88" w:rsidRDefault="007F6F88" w:rsidP="007F6F88">
            <w:pPr>
              <w:keepLines/>
              <w:jc w:val="left"/>
              <w:rPr>
                <w:rFonts w:ascii="Arial Narrow" w:eastAsiaTheme="majorEastAsia" w:hAnsi="Arial Narrow" w:cstheme="majorBidi"/>
                <w:bCs/>
                <w:sz w:val="20"/>
              </w:rPr>
            </w:pPr>
            <w:r w:rsidRPr="007F6F88">
              <w:rPr>
                <w:rFonts w:ascii="Arial Narrow" w:eastAsiaTheme="majorEastAsia" w:hAnsi="Arial Narrow" w:cstheme="majorBidi"/>
                <w:bCs/>
                <w:sz w:val="20"/>
              </w:rPr>
              <w:t xml:space="preserve">As a simplified prevalence model, the utilisation estimates are based on maintenance doses and do not account for dose titration. </w:t>
            </w:r>
          </w:p>
        </w:tc>
        <w:tc>
          <w:tcPr>
            <w:tcW w:w="2920" w:type="dxa"/>
            <w:vAlign w:val="center"/>
          </w:tcPr>
          <w:p w14:paraId="7F03ABDB" w14:textId="77777777" w:rsidR="007F6F88" w:rsidRPr="007F6F88" w:rsidRDefault="007F6F88" w:rsidP="007F6F88">
            <w:pPr>
              <w:keepNext/>
              <w:widowControl w:val="0"/>
              <w:spacing w:after="120"/>
              <w:jc w:val="left"/>
              <w:rPr>
                <w:rFonts w:ascii="Arial Narrow" w:eastAsiaTheme="majorEastAsia" w:hAnsi="Arial Narrow" w:cstheme="majorBidi"/>
                <w:bCs/>
                <w:sz w:val="20"/>
              </w:rPr>
            </w:pPr>
            <w:r w:rsidRPr="007F6F88">
              <w:rPr>
                <w:rFonts w:ascii="Arial Narrow" w:eastAsiaTheme="majorEastAsia" w:hAnsi="Arial Narrow" w:cstheme="majorBidi"/>
                <w:bCs/>
                <w:sz w:val="20"/>
              </w:rPr>
              <w:t xml:space="preserve">It was unclear whether the dose distribution observed in the trial setting would be representative of doses used in clinical practice. </w:t>
            </w:r>
          </w:p>
          <w:p w14:paraId="5A035F8B" w14:textId="77777777" w:rsidR="007F6F88" w:rsidRDefault="007F6F88" w:rsidP="007F6F88">
            <w:pPr>
              <w:keepNext/>
              <w:widowControl w:val="0"/>
              <w:jc w:val="left"/>
              <w:rPr>
                <w:rFonts w:ascii="Arial Narrow" w:eastAsiaTheme="majorEastAsia" w:hAnsi="Arial Narrow" w:cstheme="majorBidi"/>
                <w:bCs/>
                <w:sz w:val="20"/>
              </w:rPr>
            </w:pPr>
            <w:r w:rsidRPr="007F6F88">
              <w:rPr>
                <w:rFonts w:ascii="Arial Narrow" w:eastAsiaTheme="majorEastAsia" w:hAnsi="Arial Narrow" w:cstheme="majorBidi"/>
                <w:bCs/>
                <w:sz w:val="20"/>
              </w:rPr>
              <w:t>Additionally, it was unclear whether the subgroup populations with higher baseline BMI would have the same dose distribution as the overall trial population.</w:t>
            </w:r>
          </w:p>
          <w:p w14:paraId="003A8A32" w14:textId="77777777" w:rsidR="00E3772C" w:rsidRDefault="00E3772C" w:rsidP="007F6F88">
            <w:pPr>
              <w:keepNext/>
              <w:widowControl w:val="0"/>
              <w:jc w:val="left"/>
              <w:rPr>
                <w:rFonts w:ascii="Arial Narrow" w:eastAsiaTheme="majorEastAsia" w:hAnsi="Arial Narrow" w:cstheme="majorBidi"/>
                <w:bCs/>
                <w:i/>
                <w:iCs/>
                <w:sz w:val="20"/>
              </w:rPr>
            </w:pPr>
          </w:p>
          <w:p w14:paraId="60D44E65" w14:textId="77777777" w:rsidR="00E3772C" w:rsidRPr="00E3772C" w:rsidRDefault="00E3772C" w:rsidP="00E3772C">
            <w:pPr>
              <w:keepNext/>
              <w:widowControl w:val="0"/>
              <w:jc w:val="left"/>
              <w:rPr>
                <w:rFonts w:ascii="Arial Narrow" w:eastAsiaTheme="majorEastAsia" w:hAnsi="Arial Narrow" w:cstheme="majorBidi"/>
                <w:bCs/>
                <w:sz w:val="20"/>
              </w:rPr>
            </w:pPr>
            <w:r w:rsidRPr="00E3772C">
              <w:rPr>
                <w:rFonts w:ascii="Arial Narrow" w:eastAsiaTheme="majorEastAsia" w:hAnsi="Arial Narrow" w:cstheme="majorBidi"/>
                <w:bCs/>
                <w:sz w:val="20"/>
              </w:rPr>
              <w:t xml:space="preserve">DUSC commented that most observational studies have shown slower time to reach to maintenance doses than seen in clinical trials. </w:t>
            </w:r>
            <w:r w:rsidRPr="00E3772C">
              <w:rPr>
                <w:rFonts w:ascii="Arial Narrow" w:eastAsiaTheme="majorEastAsia" w:hAnsi="Arial Narrow" w:cstheme="majorBidi"/>
                <w:bCs/>
                <w:sz w:val="20"/>
                <w:lang w:val="en-US"/>
              </w:rPr>
              <w:t xml:space="preserve"> </w:t>
            </w:r>
          </w:p>
          <w:p w14:paraId="4BD0554E" w14:textId="32DE214B" w:rsidR="00E3772C" w:rsidRPr="00E3772C" w:rsidRDefault="00E3772C" w:rsidP="00E3772C">
            <w:pPr>
              <w:keepNext/>
              <w:widowControl w:val="0"/>
              <w:jc w:val="left"/>
              <w:rPr>
                <w:rFonts w:ascii="Arial Narrow" w:eastAsiaTheme="majorEastAsia" w:hAnsi="Arial Narrow" w:cstheme="majorBidi"/>
                <w:bCs/>
                <w:sz w:val="20"/>
              </w:rPr>
            </w:pPr>
            <w:r w:rsidRPr="00E3772C">
              <w:rPr>
                <w:rFonts w:ascii="Arial Narrow" w:eastAsiaTheme="majorEastAsia" w:hAnsi="Arial Narrow" w:cstheme="majorBidi"/>
                <w:bCs/>
                <w:sz w:val="20"/>
              </w:rPr>
              <w:t xml:space="preserve">DUSC considered the proportion of </w:t>
            </w:r>
            <w:r w:rsidR="00611B37">
              <w:rPr>
                <w:rFonts w:ascii="Arial Narrow" w:eastAsiaTheme="majorEastAsia" w:hAnsi="Arial Narrow" w:cstheme="majorBidi"/>
                <w:bCs/>
                <w:sz w:val="20"/>
              </w:rPr>
              <w:br/>
            </w:r>
            <w:r w:rsidRPr="00E3772C">
              <w:rPr>
                <w:rFonts w:ascii="Arial Narrow" w:eastAsiaTheme="majorEastAsia" w:hAnsi="Arial Narrow" w:cstheme="majorBidi"/>
                <w:bCs/>
                <w:sz w:val="20"/>
              </w:rPr>
              <w:t xml:space="preserve">2.4 mg use was overestimated. DUSC considered the proportion of patients on lower doses could be as high as 30%, but more likely 20-25% in the Australian context. </w:t>
            </w:r>
          </w:p>
          <w:p w14:paraId="126566AF" w14:textId="77777777" w:rsidR="00E3772C" w:rsidRPr="00E3772C" w:rsidRDefault="00E3772C" w:rsidP="00E3772C">
            <w:pPr>
              <w:keepNext/>
              <w:widowControl w:val="0"/>
              <w:jc w:val="left"/>
              <w:rPr>
                <w:rFonts w:ascii="Arial Narrow" w:eastAsiaTheme="majorEastAsia" w:hAnsi="Arial Narrow" w:cstheme="majorBidi"/>
                <w:bCs/>
                <w:sz w:val="20"/>
              </w:rPr>
            </w:pPr>
          </w:p>
          <w:p w14:paraId="5720F6C7" w14:textId="57285394" w:rsidR="00E3772C" w:rsidRPr="00E3772C" w:rsidRDefault="00E3772C" w:rsidP="00E3772C">
            <w:pPr>
              <w:keepNext/>
              <w:widowControl w:val="0"/>
              <w:jc w:val="left"/>
              <w:rPr>
                <w:rFonts w:ascii="Arial Narrow" w:eastAsiaTheme="majorEastAsia" w:hAnsi="Arial Narrow" w:cstheme="majorBidi"/>
                <w:bCs/>
                <w:sz w:val="20"/>
              </w:rPr>
            </w:pPr>
            <w:r w:rsidRPr="00E3772C">
              <w:rPr>
                <w:rFonts w:ascii="Arial Narrow" w:eastAsiaTheme="majorEastAsia" w:hAnsi="Arial Narrow" w:cstheme="majorBidi"/>
                <w:bCs/>
                <w:sz w:val="20"/>
              </w:rPr>
              <w:t xml:space="preserve">DUSC commented that the dose </w:t>
            </w:r>
            <w:r w:rsidRPr="00E3772C">
              <w:rPr>
                <w:rFonts w:ascii="Arial Narrow" w:eastAsiaTheme="majorEastAsia" w:hAnsi="Arial Narrow" w:cstheme="majorBidi"/>
                <w:bCs/>
                <w:sz w:val="20"/>
              </w:rPr>
              <w:lastRenderedPageBreak/>
              <w:t>distribution will change over time as years 2</w:t>
            </w:r>
            <w:r w:rsidR="006C0436">
              <w:rPr>
                <w:rFonts w:eastAsiaTheme="majorEastAsia" w:cs="Calibri"/>
                <w:bCs/>
                <w:sz w:val="20"/>
              </w:rPr>
              <w:t>‒</w:t>
            </w:r>
            <w:r w:rsidRPr="00E3772C">
              <w:rPr>
                <w:rFonts w:ascii="Arial Narrow" w:eastAsiaTheme="majorEastAsia" w:hAnsi="Arial Narrow" w:cstheme="majorBidi"/>
                <w:bCs/>
                <w:sz w:val="20"/>
              </w:rPr>
              <w:t>6 will include more people on maintenance vs titration doses. DUSC suggested it may be preferable to model and account for titration doses among initiators.</w:t>
            </w:r>
          </w:p>
          <w:p w14:paraId="4AE4F52E" w14:textId="77777777" w:rsidR="00E3772C" w:rsidRPr="007F6F88" w:rsidRDefault="00E3772C" w:rsidP="007F6F88">
            <w:pPr>
              <w:keepNext/>
              <w:widowControl w:val="0"/>
              <w:jc w:val="left"/>
              <w:rPr>
                <w:rFonts w:ascii="Arial Narrow" w:eastAsiaTheme="majorEastAsia" w:hAnsi="Arial Narrow" w:cstheme="majorBidi"/>
                <w:bCs/>
                <w:i/>
                <w:iCs/>
                <w:sz w:val="20"/>
              </w:rPr>
            </w:pPr>
          </w:p>
        </w:tc>
      </w:tr>
    </w:tbl>
    <w:p w14:paraId="0412B446" w14:textId="77777777" w:rsidR="007F6F88" w:rsidRPr="007F6F88" w:rsidRDefault="007F6F88" w:rsidP="007F6F88">
      <w:pPr>
        <w:widowControl w:val="0"/>
        <w:spacing w:after="120"/>
        <w:contextualSpacing/>
        <w:rPr>
          <w:rFonts w:ascii="Arial Narrow" w:hAnsi="Arial Narrow"/>
          <w:snapToGrid w:val="0"/>
          <w:sz w:val="18"/>
          <w:szCs w:val="22"/>
          <w:lang w:eastAsia="en-US"/>
        </w:rPr>
      </w:pPr>
      <w:r w:rsidRPr="007F6F88">
        <w:rPr>
          <w:rFonts w:ascii="Arial Narrow" w:hAnsi="Arial Narrow"/>
          <w:snapToGrid w:val="0"/>
          <w:sz w:val="18"/>
          <w:szCs w:val="22"/>
          <w:lang w:eastAsia="en-US"/>
        </w:rPr>
        <w:lastRenderedPageBreak/>
        <w:t>Source: Section 4, pp213-224 of the resubmission</w:t>
      </w:r>
    </w:p>
    <w:p w14:paraId="5C9A9727" w14:textId="77777777" w:rsidR="007F6F88" w:rsidRPr="007F6F88" w:rsidRDefault="007F6F88" w:rsidP="007F6F88">
      <w:pPr>
        <w:widowControl w:val="0"/>
        <w:spacing w:after="120"/>
        <w:contextualSpacing/>
        <w:rPr>
          <w:rFonts w:ascii="Arial Narrow" w:hAnsi="Arial Narrow"/>
          <w:snapToGrid w:val="0"/>
          <w:sz w:val="18"/>
          <w:szCs w:val="22"/>
          <w:lang w:eastAsia="en-US"/>
        </w:rPr>
      </w:pPr>
      <w:r w:rsidRPr="007F6F88">
        <w:rPr>
          <w:rFonts w:ascii="Arial Narrow" w:hAnsi="Arial Narrow"/>
          <w:snapToGrid w:val="0"/>
          <w:sz w:val="18"/>
          <w:szCs w:val="22"/>
          <w:lang w:eastAsia="en-US"/>
        </w:rPr>
        <w:t>Abbreviations: BMI, body mass index; CVD, cardiovascular disease</w:t>
      </w:r>
    </w:p>
    <w:p w14:paraId="31A59613" w14:textId="249A8BD4" w:rsidR="007F6F88" w:rsidRPr="007F6F88" w:rsidRDefault="007F6F88" w:rsidP="007F6F88">
      <w:pPr>
        <w:pStyle w:val="COMESnumberedpara"/>
      </w:pPr>
      <w:r w:rsidRPr="007F6F88">
        <w:t xml:space="preserve">The estimated utilisation and financial implications of listing semaglutide on the PBS/RPBS for patients with established cardiovascular disease who were overweight or obese is summarised in </w:t>
      </w:r>
      <w:r w:rsidRPr="007F6F88">
        <w:fldChar w:fldCharType="begin"/>
      </w:r>
      <w:r w:rsidRPr="007F6F88">
        <w:instrText xml:space="preserve"> REF _Ref206945487 \h </w:instrText>
      </w:r>
      <w:r>
        <w:instrText xml:space="preserve"> \* MERGEFORMAT </w:instrText>
      </w:r>
      <w:r w:rsidRPr="007F6F88">
        <w:fldChar w:fldCharType="separate"/>
      </w:r>
      <w:r w:rsidR="004F1BBD" w:rsidRPr="004F1BBD">
        <w:t>Table 20</w:t>
      </w:r>
      <w:r w:rsidRPr="007F6F88">
        <w:fldChar w:fldCharType="end"/>
      </w:r>
      <w:r w:rsidRPr="007F6F88">
        <w:t>.</w:t>
      </w:r>
    </w:p>
    <w:p w14:paraId="67B0CA36" w14:textId="69387B42" w:rsidR="007F6F88" w:rsidRPr="007F6F88" w:rsidRDefault="007F6F88" w:rsidP="008A0848">
      <w:pPr>
        <w:keepNext/>
        <w:jc w:val="left"/>
        <w:rPr>
          <w:rFonts w:ascii="Arial Narrow" w:eastAsiaTheme="majorEastAsia" w:hAnsi="Arial Narrow" w:cstheme="majorBidi"/>
          <w:b/>
          <w:bCs/>
          <w:sz w:val="20"/>
        </w:rPr>
      </w:pPr>
      <w:bookmarkStart w:id="71" w:name="_Ref206945487"/>
      <w:r w:rsidRPr="007F6F88">
        <w:rPr>
          <w:rFonts w:ascii="Arial Narrow" w:eastAsiaTheme="majorEastAsia" w:hAnsi="Arial Narrow" w:cstheme="majorBidi"/>
          <w:b/>
          <w:bCs/>
          <w:sz w:val="20"/>
        </w:rPr>
        <w:t xml:space="preserve">Table </w:t>
      </w:r>
      <w:r w:rsidRPr="007F6F88">
        <w:rPr>
          <w:rFonts w:ascii="Arial Narrow" w:eastAsiaTheme="majorEastAsia" w:hAnsi="Arial Narrow" w:cstheme="majorBidi"/>
          <w:b/>
          <w:bCs/>
          <w:sz w:val="20"/>
        </w:rPr>
        <w:fldChar w:fldCharType="begin"/>
      </w:r>
      <w:r w:rsidRPr="007F6F88">
        <w:rPr>
          <w:rFonts w:ascii="Arial Narrow" w:eastAsiaTheme="majorEastAsia" w:hAnsi="Arial Narrow" w:cstheme="majorBidi"/>
          <w:b/>
          <w:bCs/>
          <w:sz w:val="20"/>
        </w:rPr>
        <w:instrText xml:space="preserve"> SEQ Table \* ARABIC </w:instrText>
      </w:r>
      <w:r w:rsidRPr="007F6F88">
        <w:rPr>
          <w:rFonts w:ascii="Arial Narrow" w:eastAsiaTheme="majorEastAsia" w:hAnsi="Arial Narrow" w:cstheme="majorBidi"/>
          <w:b/>
          <w:bCs/>
          <w:sz w:val="20"/>
        </w:rPr>
        <w:fldChar w:fldCharType="separate"/>
      </w:r>
      <w:r w:rsidR="004F1BBD">
        <w:rPr>
          <w:rFonts w:ascii="Arial Narrow" w:eastAsiaTheme="majorEastAsia" w:hAnsi="Arial Narrow" w:cstheme="majorBidi"/>
          <w:b/>
          <w:bCs/>
          <w:noProof/>
          <w:sz w:val="20"/>
        </w:rPr>
        <w:t>20</w:t>
      </w:r>
      <w:r w:rsidRPr="007F6F88">
        <w:rPr>
          <w:rFonts w:ascii="Arial Narrow" w:eastAsiaTheme="majorEastAsia" w:hAnsi="Arial Narrow" w:cstheme="majorBidi"/>
          <w:b/>
          <w:bCs/>
          <w:noProof/>
          <w:sz w:val="20"/>
        </w:rPr>
        <w:fldChar w:fldCharType="end"/>
      </w:r>
      <w:bookmarkEnd w:id="71"/>
      <w:r w:rsidRPr="007F6F88">
        <w:rPr>
          <w:rFonts w:ascii="Arial Narrow" w:eastAsiaTheme="majorEastAsia" w:hAnsi="Arial Narrow" w:cstheme="majorBidi"/>
          <w:b/>
          <w:bCs/>
          <w:sz w:val="20"/>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Estimated use and financial implications"/>
      </w:tblPr>
      <w:tblGrid>
        <w:gridCol w:w="2015"/>
        <w:gridCol w:w="1100"/>
        <w:gridCol w:w="1100"/>
        <w:gridCol w:w="1200"/>
        <w:gridCol w:w="1201"/>
        <w:gridCol w:w="1200"/>
        <w:gridCol w:w="1201"/>
      </w:tblGrid>
      <w:tr w:rsidR="00064A73" w:rsidRPr="006626D9" w14:paraId="0BAD3114" w14:textId="77777777" w:rsidTr="00064A73">
        <w:trPr>
          <w:tblHeader/>
        </w:trPr>
        <w:tc>
          <w:tcPr>
            <w:tcW w:w="2015" w:type="dxa"/>
            <w:vAlign w:val="center"/>
          </w:tcPr>
          <w:p w14:paraId="60929D9D" w14:textId="77777777" w:rsidR="00064A73" w:rsidRPr="006626D9" w:rsidRDefault="00064A73" w:rsidP="008A0848">
            <w:pPr>
              <w:keepNext/>
              <w:jc w:val="center"/>
              <w:rPr>
                <w:rFonts w:ascii="Arial Narrow" w:eastAsiaTheme="majorEastAsia" w:hAnsi="Arial Narrow" w:cs="Times New Roman"/>
                <w:b/>
                <w:sz w:val="20"/>
              </w:rPr>
            </w:pPr>
          </w:p>
        </w:tc>
        <w:tc>
          <w:tcPr>
            <w:tcW w:w="1100" w:type="dxa"/>
            <w:vAlign w:val="center"/>
          </w:tcPr>
          <w:p w14:paraId="73B57AF4" w14:textId="77777777" w:rsidR="00064A73" w:rsidRPr="006626D9" w:rsidRDefault="00064A73" w:rsidP="008A0848">
            <w:pPr>
              <w:keepNext/>
              <w:jc w:val="center"/>
              <w:rPr>
                <w:rFonts w:ascii="Arial Narrow" w:eastAsiaTheme="majorEastAsia" w:hAnsi="Arial Narrow" w:cs="Times New Roman"/>
                <w:b/>
                <w:sz w:val="20"/>
              </w:rPr>
            </w:pPr>
            <w:r w:rsidRPr="006626D9">
              <w:rPr>
                <w:rFonts w:ascii="Arial Narrow" w:eastAsiaTheme="majorEastAsia" w:hAnsi="Arial Narrow" w:cs="Times New Roman"/>
                <w:b/>
                <w:sz w:val="20"/>
              </w:rPr>
              <w:t xml:space="preserve">Year 1 </w:t>
            </w:r>
          </w:p>
        </w:tc>
        <w:tc>
          <w:tcPr>
            <w:tcW w:w="1100" w:type="dxa"/>
            <w:vAlign w:val="center"/>
          </w:tcPr>
          <w:p w14:paraId="143AEA90" w14:textId="77777777" w:rsidR="00064A73" w:rsidRPr="006626D9" w:rsidRDefault="00064A73" w:rsidP="008A0848">
            <w:pPr>
              <w:keepNext/>
              <w:jc w:val="center"/>
              <w:rPr>
                <w:rFonts w:ascii="Arial Narrow" w:eastAsiaTheme="majorEastAsia" w:hAnsi="Arial Narrow" w:cs="Times New Roman"/>
                <w:b/>
                <w:sz w:val="20"/>
              </w:rPr>
            </w:pPr>
            <w:r w:rsidRPr="006626D9">
              <w:rPr>
                <w:rFonts w:ascii="Arial Narrow" w:eastAsiaTheme="majorEastAsia" w:hAnsi="Arial Narrow" w:cs="Times New Roman"/>
                <w:b/>
                <w:sz w:val="20"/>
              </w:rPr>
              <w:t xml:space="preserve">Year 2 </w:t>
            </w:r>
          </w:p>
        </w:tc>
        <w:tc>
          <w:tcPr>
            <w:tcW w:w="1200" w:type="dxa"/>
            <w:vAlign w:val="center"/>
          </w:tcPr>
          <w:p w14:paraId="33455CF9" w14:textId="77777777" w:rsidR="00064A73" w:rsidRPr="006626D9" w:rsidRDefault="00064A73" w:rsidP="008A0848">
            <w:pPr>
              <w:keepNext/>
              <w:jc w:val="center"/>
              <w:rPr>
                <w:rFonts w:ascii="Arial Narrow" w:eastAsiaTheme="majorEastAsia" w:hAnsi="Arial Narrow" w:cs="Times New Roman"/>
                <w:b/>
                <w:sz w:val="20"/>
              </w:rPr>
            </w:pPr>
            <w:r w:rsidRPr="006626D9">
              <w:rPr>
                <w:rFonts w:ascii="Arial Narrow" w:eastAsiaTheme="majorEastAsia" w:hAnsi="Arial Narrow" w:cs="Times New Roman"/>
                <w:b/>
                <w:sz w:val="20"/>
              </w:rPr>
              <w:t xml:space="preserve">Year 3 </w:t>
            </w:r>
          </w:p>
        </w:tc>
        <w:tc>
          <w:tcPr>
            <w:tcW w:w="1201" w:type="dxa"/>
            <w:vAlign w:val="center"/>
          </w:tcPr>
          <w:p w14:paraId="070C7AF3" w14:textId="77777777" w:rsidR="00064A73" w:rsidRPr="006626D9" w:rsidRDefault="00064A73" w:rsidP="008A0848">
            <w:pPr>
              <w:keepNext/>
              <w:jc w:val="center"/>
              <w:rPr>
                <w:rFonts w:ascii="Arial Narrow" w:eastAsiaTheme="majorEastAsia" w:hAnsi="Arial Narrow" w:cs="Times New Roman"/>
                <w:b/>
                <w:sz w:val="20"/>
              </w:rPr>
            </w:pPr>
            <w:r w:rsidRPr="006626D9">
              <w:rPr>
                <w:rFonts w:ascii="Arial Narrow" w:eastAsiaTheme="majorEastAsia" w:hAnsi="Arial Narrow" w:cs="Times New Roman"/>
                <w:b/>
                <w:sz w:val="20"/>
              </w:rPr>
              <w:t xml:space="preserve">Year 4 </w:t>
            </w:r>
          </w:p>
        </w:tc>
        <w:tc>
          <w:tcPr>
            <w:tcW w:w="1200" w:type="dxa"/>
            <w:vAlign w:val="center"/>
          </w:tcPr>
          <w:p w14:paraId="04D5827D" w14:textId="77777777" w:rsidR="00064A73" w:rsidRPr="006626D9" w:rsidRDefault="00064A73" w:rsidP="008A0848">
            <w:pPr>
              <w:keepNext/>
              <w:jc w:val="center"/>
              <w:rPr>
                <w:rFonts w:ascii="Arial Narrow" w:eastAsiaTheme="majorEastAsia" w:hAnsi="Arial Narrow" w:cs="Times New Roman"/>
                <w:b/>
                <w:sz w:val="20"/>
              </w:rPr>
            </w:pPr>
            <w:r w:rsidRPr="006626D9">
              <w:rPr>
                <w:rFonts w:ascii="Arial Narrow" w:eastAsiaTheme="majorEastAsia" w:hAnsi="Arial Narrow" w:cs="Times New Roman"/>
                <w:b/>
                <w:sz w:val="20"/>
              </w:rPr>
              <w:t xml:space="preserve">Year 5 </w:t>
            </w:r>
          </w:p>
        </w:tc>
        <w:tc>
          <w:tcPr>
            <w:tcW w:w="1201" w:type="dxa"/>
            <w:vAlign w:val="center"/>
          </w:tcPr>
          <w:p w14:paraId="0DFBB075" w14:textId="77777777" w:rsidR="00064A73" w:rsidRPr="006626D9" w:rsidRDefault="00064A73" w:rsidP="008A0848">
            <w:pPr>
              <w:keepNext/>
              <w:jc w:val="center"/>
              <w:rPr>
                <w:rFonts w:ascii="Arial Narrow" w:eastAsiaTheme="majorEastAsia" w:hAnsi="Arial Narrow" w:cs="Times New Roman"/>
                <w:b/>
                <w:sz w:val="20"/>
              </w:rPr>
            </w:pPr>
            <w:r w:rsidRPr="006626D9">
              <w:rPr>
                <w:rFonts w:ascii="Arial Narrow" w:eastAsiaTheme="majorEastAsia" w:hAnsi="Arial Narrow" w:cs="Times New Roman"/>
                <w:b/>
                <w:sz w:val="20"/>
              </w:rPr>
              <w:t xml:space="preserve">Year 6 </w:t>
            </w:r>
          </w:p>
        </w:tc>
      </w:tr>
      <w:tr w:rsidR="00064A73" w:rsidRPr="006626D9" w14:paraId="5C3D8483" w14:textId="77777777" w:rsidTr="00064A73">
        <w:trPr>
          <w:trHeight w:val="53"/>
        </w:trPr>
        <w:tc>
          <w:tcPr>
            <w:tcW w:w="9017" w:type="dxa"/>
            <w:gridSpan w:val="7"/>
            <w:vAlign w:val="center"/>
          </w:tcPr>
          <w:p w14:paraId="0E408511" w14:textId="77777777" w:rsidR="00064A73" w:rsidRPr="006626D9" w:rsidRDefault="00064A73" w:rsidP="008A0848">
            <w:pPr>
              <w:keepNext/>
              <w:rPr>
                <w:rFonts w:ascii="Arial Narrow" w:eastAsiaTheme="majorEastAsia" w:hAnsi="Arial Narrow"/>
                <w:b/>
                <w:color w:val="000000"/>
                <w:sz w:val="20"/>
              </w:rPr>
            </w:pPr>
            <w:r w:rsidRPr="006626D9">
              <w:rPr>
                <w:rFonts w:ascii="Arial Narrow" w:eastAsiaTheme="majorEastAsia" w:hAnsi="Arial Narrow"/>
                <w:b/>
                <w:color w:val="000000"/>
                <w:sz w:val="20"/>
              </w:rPr>
              <w:t>Patients with CVD and BMI ≥27 kg/m</w:t>
            </w:r>
            <w:r w:rsidRPr="006626D9">
              <w:rPr>
                <w:rFonts w:ascii="Arial Narrow" w:eastAsiaTheme="majorEastAsia" w:hAnsi="Arial Narrow"/>
                <w:b/>
                <w:color w:val="000000"/>
                <w:sz w:val="20"/>
                <w:vertAlign w:val="superscript"/>
              </w:rPr>
              <w:t>2</w:t>
            </w:r>
          </w:p>
        </w:tc>
      </w:tr>
      <w:tr w:rsidR="00064A73" w:rsidRPr="006626D9" w14:paraId="7B153A33" w14:textId="77777777" w:rsidTr="00064A73">
        <w:tc>
          <w:tcPr>
            <w:tcW w:w="2015" w:type="dxa"/>
            <w:vAlign w:val="center"/>
          </w:tcPr>
          <w:p w14:paraId="3F117D4A" w14:textId="77777777" w:rsidR="00064A73" w:rsidRPr="006626D9" w:rsidRDefault="00064A73" w:rsidP="008A0848">
            <w:pPr>
              <w:keepNext/>
              <w:jc w:val="left"/>
              <w:rPr>
                <w:rFonts w:ascii="Arial Narrow" w:eastAsiaTheme="majorEastAsia" w:hAnsi="Arial Narrow" w:cstheme="majorBidi"/>
                <w:bCs/>
                <w:sz w:val="20"/>
              </w:rPr>
            </w:pPr>
            <w:r w:rsidRPr="006626D9">
              <w:rPr>
                <w:rFonts w:ascii="Arial Narrow" w:eastAsiaTheme="majorEastAsia" w:hAnsi="Arial Narrow" w:cstheme="majorBidi"/>
                <w:bCs/>
                <w:sz w:val="20"/>
              </w:rPr>
              <w:t>Eligible patients</w:t>
            </w:r>
          </w:p>
        </w:tc>
        <w:tc>
          <w:tcPr>
            <w:tcW w:w="1100" w:type="dxa"/>
            <w:vAlign w:val="center"/>
          </w:tcPr>
          <w:p w14:paraId="1D0068B6" w14:textId="24CB65AE" w:rsidR="00064A73" w:rsidRPr="00A872A6"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A872A6">
              <w:rPr>
                <w:rFonts w:ascii="Arial Narrow" w:hAnsi="Arial Narrow"/>
                <w:sz w:val="18"/>
                <w:szCs w:val="22"/>
                <w:vertAlign w:val="superscript"/>
              </w:rPr>
              <w:t>13</w:t>
            </w:r>
          </w:p>
        </w:tc>
        <w:tc>
          <w:tcPr>
            <w:tcW w:w="1100" w:type="dxa"/>
            <w:vAlign w:val="center"/>
          </w:tcPr>
          <w:p w14:paraId="33BDC604" w14:textId="26091CE4" w:rsidR="00064A73" w:rsidRPr="00A872A6"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A872A6">
              <w:rPr>
                <w:rFonts w:ascii="Arial Narrow" w:hAnsi="Arial Narrow"/>
                <w:sz w:val="18"/>
                <w:szCs w:val="22"/>
                <w:vertAlign w:val="superscript"/>
              </w:rPr>
              <w:t>13</w:t>
            </w:r>
          </w:p>
        </w:tc>
        <w:tc>
          <w:tcPr>
            <w:tcW w:w="1200" w:type="dxa"/>
            <w:vAlign w:val="center"/>
          </w:tcPr>
          <w:p w14:paraId="12624E43" w14:textId="6CE8ACDB" w:rsidR="00064A73" w:rsidRPr="00A872A6"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A872A6">
              <w:rPr>
                <w:rFonts w:ascii="Arial Narrow" w:hAnsi="Arial Narrow"/>
                <w:sz w:val="18"/>
                <w:szCs w:val="22"/>
                <w:vertAlign w:val="superscript"/>
              </w:rPr>
              <w:t>14</w:t>
            </w:r>
          </w:p>
        </w:tc>
        <w:tc>
          <w:tcPr>
            <w:tcW w:w="1201" w:type="dxa"/>
            <w:vAlign w:val="center"/>
          </w:tcPr>
          <w:p w14:paraId="60612CC4" w14:textId="641E736B" w:rsidR="00064A73" w:rsidRPr="00A872A6"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A872A6">
              <w:rPr>
                <w:rFonts w:ascii="Arial Narrow" w:hAnsi="Arial Narrow"/>
                <w:sz w:val="18"/>
                <w:szCs w:val="22"/>
                <w:vertAlign w:val="superscript"/>
              </w:rPr>
              <w:t>14</w:t>
            </w:r>
          </w:p>
        </w:tc>
        <w:tc>
          <w:tcPr>
            <w:tcW w:w="1200" w:type="dxa"/>
            <w:vAlign w:val="center"/>
          </w:tcPr>
          <w:p w14:paraId="0AFF3F89" w14:textId="23298F78" w:rsidR="00064A73" w:rsidRPr="00A872A6"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A872A6">
              <w:rPr>
                <w:rFonts w:ascii="Arial Narrow" w:hAnsi="Arial Narrow"/>
                <w:sz w:val="18"/>
                <w:szCs w:val="22"/>
                <w:vertAlign w:val="superscript"/>
              </w:rPr>
              <w:t>14</w:t>
            </w:r>
          </w:p>
        </w:tc>
        <w:tc>
          <w:tcPr>
            <w:tcW w:w="1201" w:type="dxa"/>
            <w:vAlign w:val="center"/>
          </w:tcPr>
          <w:p w14:paraId="7D35268F" w14:textId="03B5E0EA" w:rsidR="00064A73" w:rsidRPr="00A872A6"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A872A6">
              <w:rPr>
                <w:rFonts w:ascii="Arial Narrow" w:hAnsi="Arial Narrow"/>
                <w:sz w:val="18"/>
                <w:szCs w:val="22"/>
                <w:vertAlign w:val="superscript"/>
              </w:rPr>
              <w:t>14</w:t>
            </w:r>
          </w:p>
        </w:tc>
      </w:tr>
      <w:tr w:rsidR="00064A73" w:rsidRPr="006626D9" w14:paraId="78D0DA30" w14:textId="77777777" w:rsidTr="00064A73">
        <w:tc>
          <w:tcPr>
            <w:tcW w:w="2015" w:type="dxa"/>
            <w:vAlign w:val="center"/>
          </w:tcPr>
          <w:p w14:paraId="7866B946" w14:textId="77777777" w:rsidR="00064A73" w:rsidRPr="006626D9" w:rsidRDefault="00064A73" w:rsidP="008A0848">
            <w:pPr>
              <w:keepNext/>
              <w:jc w:val="left"/>
              <w:rPr>
                <w:rFonts w:ascii="Arial Narrow" w:eastAsiaTheme="majorEastAsia" w:hAnsi="Arial Narrow" w:cstheme="majorBidi"/>
                <w:bCs/>
                <w:sz w:val="20"/>
              </w:rPr>
            </w:pPr>
            <w:r w:rsidRPr="006626D9">
              <w:rPr>
                <w:rFonts w:ascii="Arial Narrow" w:eastAsiaTheme="majorEastAsia" w:hAnsi="Arial Narrow" w:cstheme="majorBidi"/>
                <w:bCs/>
                <w:sz w:val="20"/>
              </w:rPr>
              <w:t>Treated patients</w:t>
            </w:r>
          </w:p>
        </w:tc>
        <w:tc>
          <w:tcPr>
            <w:tcW w:w="1100" w:type="dxa"/>
            <w:vAlign w:val="center"/>
          </w:tcPr>
          <w:p w14:paraId="17DEB149" w14:textId="6325F610" w:rsidR="00064A73" w:rsidRPr="0031090B"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31090B">
              <w:rPr>
                <w:rFonts w:ascii="Arial Narrow" w:hAnsi="Arial Narrow"/>
                <w:sz w:val="18"/>
                <w:szCs w:val="22"/>
                <w:vertAlign w:val="superscript"/>
              </w:rPr>
              <w:t>10</w:t>
            </w:r>
          </w:p>
        </w:tc>
        <w:tc>
          <w:tcPr>
            <w:tcW w:w="1100" w:type="dxa"/>
            <w:vAlign w:val="center"/>
          </w:tcPr>
          <w:p w14:paraId="554404ED" w14:textId="1D2DD911" w:rsidR="00064A73" w:rsidRPr="0031090B"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31090B">
              <w:rPr>
                <w:rFonts w:ascii="Arial Narrow" w:hAnsi="Arial Narrow"/>
                <w:sz w:val="18"/>
                <w:szCs w:val="22"/>
                <w:vertAlign w:val="superscript"/>
              </w:rPr>
              <w:t>10</w:t>
            </w:r>
          </w:p>
        </w:tc>
        <w:tc>
          <w:tcPr>
            <w:tcW w:w="1200" w:type="dxa"/>
            <w:vAlign w:val="center"/>
          </w:tcPr>
          <w:p w14:paraId="2D7DD5E9" w14:textId="5CE4D4D6" w:rsidR="00064A73" w:rsidRPr="0031090B"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31090B">
              <w:rPr>
                <w:rFonts w:ascii="Arial Narrow" w:hAnsi="Arial Narrow"/>
                <w:sz w:val="18"/>
                <w:szCs w:val="22"/>
                <w:vertAlign w:val="superscript"/>
              </w:rPr>
              <w:t>10</w:t>
            </w:r>
          </w:p>
        </w:tc>
        <w:tc>
          <w:tcPr>
            <w:tcW w:w="1201" w:type="dxa"/>
            <w:vAlign w:val="center"/>
          </w:tcPr>
          <w:p w14:paraId="4F840F01" w14:textId="35E05DA0" w:rsidR="00064A73" w:rsidRPr="001C36CA"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1C36CA">
              <w:rPr>
                <w:rFonts w:ascii="Arial Narrow" w:hAnsi="Arial Narrow"/>
                <w:sz w:val="18"/>
                <w:szCs w:val="22"/>
                <w:vertAlign w:val="superscript"/>
              </w:rPr>
              <w:t>11</w:t>
            </w:r>
          </w:p>
        </w:tc>
        <w:tc>
          <w:tcPr>
            <w:tcW w:w="1200" w:type="dxa"/>
            <w:vAlign w:val="center"/>
          </w:tcPr>
          <w:p w14:paraId="18407E85" w14:textId="4420DC9E" w:rsidR="00064A73" w:rsidRPr="001C36CA"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1C36CA">
              <w:rPr>
                <w:rFonts w:ascii="Arial Narrow" w:hAnsi="Arial Narrow"/>
                <w:sz w:val="18"/>
                <w:szCs w:val="22"/>
                <w:vertAlign w:val="superscript"/>
              </w:rPr>
              <w:t>11</w:t>
            </w:r>
          </w:p>
        </w:tc>
        <w:tc>
          <w:tcPr>
            <w:tcW w:w="1201" w:type="dxa"/>
            <w:vAlign w:val="center"/>
          </w:tcPr>
          <w:p w14:paraId="7D427008" w14:textId="47B4BBCC" w:rsidR="00064A73" w:rsidRPr="001C36CA"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1C36CA">
              <w:rPr>
                <w:rFonts w:ascii="Arial Narrow" w:hAnsi="Arial Narrow"/>
                <w:sz w:val="18"/>
                <w:szCs w:val="22"/>
                <w:vertAlign w:val="superscript"/>
              </w:rPr>
              <w:t>11</w:t>
            </w:r>
          </w:p>
        </w:tc>
      </w:tr>
      <w:tr w:rsidR="00064A73" w:rsidRPr="006626D9" w14:paraId="72116A26" w14:textId="77777777" w:rsidTr="00064A73">
        <w:tc>
          <w:tcPr>
            <w:tcW w:w="2015" w:type="dxa"/>
            <w:vAlign w:val="center"/>
          </w:tcPr>
          <w:p w14:paraId="7F4F6A3B" w14:textId="77777777" w:rsidR="00064A73" w:rsidRPr="006626D9" w:rsidRDefault="00064A73" w:rsidP="008A0848">
            <w:pPr>
              <w:keepNext/>
              <w:jc w:val="left"/>
              <w:rPr>
                <w:rFonts w:ascii="Arial Narrow" w:eastAsiaTheme="majorEastAsia" w:hAnsi="Arial Narrow" w:cstheme="majorBidi"/>
                <w:bCs/>
                <w:sz w:val="20"/>
              </w:rPr>
            </w:pPr>
            <w:r w:rsidRPr="006626D9">
              <w:rPr>
                <w:rFonts w:ascii="Arial Narrow" w:eastAsiaTheme="majorEastAsia" w:hAnsi="Arial Narrow" w:cstheme="majorBidi"/>
                <w:bCs/>
                <w:sz w:val="20"/>
              </w:rPr>
              <w:t>Total scripts</w:t>
            </w:r>
          </w:p>
        </w:tc>
        <w:tc>
          <w:tcPr>
            <w:tcW w:w="1100" w:type="dxa"/>
            <w:vAlign w:val="center"/>
          </w:tcPr>
          <w:p w14:paraId="24AB50F2" w14:textId="2C8CA56A" w:rsidR="00064A73" w:rsidRPr="00B76D5C"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B76D5C">
              <w:rPr>
                <w:rFonts w:ascii="Arial Narrow" w:hAnsi="Arial Narrow"/>
                <w:sz w:val="18"/>
                <w:szCs w:val="22"/>
                <w:vertAlign w:val="superscript"/>
              </w:rPr>
              <w:t>17</w:t>
            </w:r>
          </w:p>
        </w:tc>
        <w:tc>
          <w:tcPr>
            <w:tcW w:w="1100" w:type="dxa"/>
            <w:vAlign w:val="center"/>
          </w:tcPr>
          <w:p w14:paraId="5B4D22F6" w14:textId="231B87BB" w:rsidR="00064A73" w:rsidRPr="00B76D5C"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B76D5C">
              <w:rPr>
                <w:rFonts w:ascii="Arial Narrow" w:hAnsi="Arial Narrow"/>
                <w:sz w:val="18"/>
                <w:szCs w:val="22"/>
                <w:vertAlign w:val="superscript"/>
              </w:rPr>
              <w:t>17</w:t>
            </w:r>
          </w:p>
        </w:tc>
        <w:tc>
          <w:tcPr>
            <w:tcW w:w="1200" w:type="dxa"/>
            <w:vAlign w:val="center"/>
          </w:tcPr>
          <w:p w14:paraId="39432969" w14:textId="23F2DBCC" w:rsidR="00064A73" w:rsidRPr="00B76D5C"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B76D5C">
              <w:rPr>
                <w:rFonts w:ascii="Arial Narrow" w:hAnsi="Arial Narrow"/>
                <w:sz w:val="18"/>
                <w:szCs w:val="22"/>
                <w:vertAlign w:val="superscript"/>
              </w:rPr>
              <w:t>18</w:t>
            </w:r>
          </w:p>
        </w:tc>
        <w:tc>
          <w:tcPr>
            <w:tcW w:w="1201" w:type="dxa"/>
            <w:vAlign w:val="center"/>
          </w:tcPr>
          <w:p w14:paraId="60986627" w14:textId="52CC3543" w:rsidR="00064A73" w:rsidRPr="00B76D5C"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B76D5C">
              <w:rPr>
                <w:rFonts w:ascii="Arial Narrow" w:hAnsi="Arial Narrow"/>
                <w:sz w:val="18"/>
                <w:szCs w:val="22"/>
                <w:vertAlign w:val="superscript"/>
              </w:rPr>
              <w:t>18</w:t>
            </w:r>
          </w:p>
        </w:tc>
        <w:tc>
          <w:tcPr>
            <w:tcW w:w="1200" w:type="dxa"/>
            <w:vAlign w:val="center"/>
          </w:tcPr>
          <w:p w14:paraId="5193CB2C" w14:textId="2C67BCB5" w:rsidR="00064A73" w:rsidRPr="00AB648A"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AB648A">
              <w:rPr>
                <w:rFonts w:ascii="Arial Narrow" w:hAnsi="Arial Narrow"/>
                <w:sz w:val="18"/>
                <w:szCs w:val="22"/>
                <w:vertAlign w:val="superscript"/>
              </w:rPr>
              <w:t>19</w:t>
            </w:r>
          </w:p>
        </w:tc>
        <w:tc>
          <w:tcPr>
            <w:tcW w:w="1201" w:type="dxa"/>
            <w:vAlign w:val="center"/>
          </w:tcPr>
          <w:p w14:paraId="2DE62B21" w14:textId="1C37486A" w:rsidR="00064A73" w:rsidRPr="00AB648A"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AB648A">
              <w:rPr>
                <w:rFonts w:ascii="Arial Narrow" w:hAnsi="Arial Narrow"/>
                <w:sz w:val="18"/>
                <w:szCs w:val="22"/>
                <w:vertAlign w:val="superscript"/>
              </w:rPr>
              <w:t>19</w:t>
            </w:r>
          </w:p>
        </w:tc>
      </w:tr>
      <w:tr w:rsidR="00064A73" w:rsidRPr="006626D9" w14:paraId="4CA67FBA" w14:textId="77777777" w:rsidTr="00064A73">
        <w:tc>
          <w:tcPr>
            <w:tcW w:w="2015" w:type="dxa"/>
            <w:vAlign w:val="center"/>
          </w:tcPr>
          <w:p w14:paraId="212239DB" w14:textId="77777777" w:rsidR="00064A73" w:rsidRPr="006626D9" w:rsidRDefault="00064A73" w:rsidP="008A0848">
            <w:pPr>
              <w:keepNext/>
              <w:jc w:val="left"/>
              <w:rPr>
                <w:rFonts w:ascii="Arial Narrow" w:eastAsiaTheme="majorEastAsia" w:hAnsi="Arial Narrow" w:cstheme="majorBidi"/>
                <w:bCs/>
                <w:sz w:val="20"/>
              </w:rPr>
            </w:pPr>
            <w:r w:rsidRPr="006626D9">
              <w:rPr>
                <w:rFonts w:ascii="Arial Narrow" w:eastAsiaTheme="majorEastAsia" w:hAnsi="Arial Narrow" w:cstheme="majorBidi"/>
                <w:bCs/>
                <w:sz w:val="20"/>
              </w:rPr>
              <w:t>Net PBS/RPBS cost</w:t>
            </w:r>
          </w:p>
        </w:tc>
        <w:tc>
          <w:tcPr>
            <w:tcW w:w="1100" w:type="dxa"/>
          </w:tcPr>
          <w:p w14:paraId="39123863" w14:textId="643667B7" w:rsidR="00064A73" w:rsidRPr="004E7803" w:rsidRDefault="005E35AF" w:rsidP="008A0848">
            <w:pPr>
              <w:keepNext/>
              <w:keepLines/>
              <w:jc w:val="center"/>
              <w:rPr>
                <w:rFonts w:ascii="Arial Narrow" w:eastAsiaTheme="majorEastAsia" w:hAnsi="Arial Narrow" w:cstheme="majorBidi"/>
                <w:bCs/>
                <w:sz w:val="19"/>
                <w:szCs w:val="19"/>
              </w:rPr>
            </w:pPr>
            <w:r w:rsidRPr="005E35AF">
              <w:rPr>
                <w:rFonts w:ascii="Arial Narrow" w:eastAsiaTheme="majorEastAsia" w:hAnsi="Arial Narrow" w:cstheme="majorBidi"/>
                <w:bCs/>
                <w:sz w:val="19"/>
                <w:szCs w:val="19"/>
                <w:highlight w:val="black"/>
              </w:rPr>
              <w:t>&amp;&amp;&amp;&amp;</w:t>
            </w:r>
            <w:r w:rsidR="004E7803" w:rsidRPr="004E7803">
              <w:rPr>
                <w:rFonts w:ascii="Arial Narrow" w:hAnsi="Arial Narrow"/>
                <w:sz w:val="19"/>
                <w:szCs w:val="19"/>
                <w:vertAlign w:val="superscript"/>
              </w:rPr>
              <w:t>17</w:t>
            </w:r>
          </w:p>
        </w:tc>
        <w:tc>
          <w:tcPr>
            <w:tcW w:w="1100" w:type="dxa"/>
          </w:tcPr>
          <w:p w14:paraId="0B09FFCA" w14:textId="269554CE" w:rsidR="00064A73" w:rsidRPr="004E7803" w:rsidRDefault="005E35AF" w:rsidP="008A0848">
            <w:pPr>
              <w:keepNext/>
              <w:keepLines/>
              <w:jc w:val="center"/>
              <w:rPr>
                <w:rFonts w:ascii="Arial Narrow" w:eastAsiaTheme="majorEastAsia" w:hAnsi="Arial Narrow" w:cstheme="majorBidi"/>
                <w:bCs/>
                <w:sz w:val="19"/>
                <w:szCs w:val="19"/>
              </w:rPr>
            </w:pPr>
            <w:r w:rsidRPr="005E35AF">
              <w:rPr>
                <w:rFonts w:ascii="Arial Narrow" w:eastAsiaTheme="majorEastAsia" w:hAnsi="Arial Narrow" w:cstheme="majorBidi"/>
                <w:bCs/>
                <w:sz w:val="19"/>
                <w:szCs w:val="19"/>
                <w:highlight w:val="black"/>
              </w:rPr>
              <w:t>&amp;&amp;&amp;&amp;</w:t>
            </w:r>
            <w:r w:rsidR="004E7803" w:rsidRPr="004E7803">
              <w:rPr>
                <w:rFonts w:ascii="Arial Narrow" w:hAnsi="Arial Narrow"/>
                <w:sz w:val="19"/>
                <w:szCs w:val="19"/>
                <w:vertAlign w:val="superscript"/>
              </w:rPr>
              <w:t>18</w:t>
            </w:r>
          </w:p>
        </w:tc>
        <w:tc>
          <w:tcPr>
            <w:tcW w:w="1200" w:type="dxa"/>
          </w:tcPr>
          <w:p w14:paraId="19A6A959" w14:textId="2BA76106" w:rsidR="00064A73" w:rsidRPr="006626D9" w:rsidRDefault="005E35AF" w:rsidP="008A0848">
            <w:pPr>
              <w:keepNext/>
              <w:keepLines/>
              <w:jc w:val="center"/>
              <w:rPr>
                <w:rFonts w:ascii="Arial Narrow" w:eastAsiaTheme="majorEastAsia" w:hAnsi="Arial Narrow" w:cstheme="majorBidi"/>
                <w:bCs/>
                <w:sz w:val="20"/>
              </w:rPr>
            </w:pPr>
            <w:r w:rsidRPr="005E35AF">
              <w:rPr>
                <w:rFonts w:ascii="Arial Narrow" w:eastAsiaTheme="majorEastAsia" w:hAnsi="Arial Narrow" w:cstheme="majorBidi"/>
                <w:bCs/>
                <w:sz w:val="20"/>
                <w:highlight w:val="black"/>
              </w:rPr>
              <w:t>&amp;&amp;&amp;&amp;</w:t>
            </w:r>
            <w:r w:rsidR="00E4243B">
              <w:rPr>
                <w:rFonts w:ascii="Arial Narrow" w:hAnsi="Arial Narrow"/>
                <w:sz w:val="18"/>
                <w:szCs w:val="22"/>
                <w:vertAlign w:val="superscript"/>
              </w:rPr>
              <w:t>19</w:t>
            </w:r>
          </w:p>
        </w:tc>
        <w:tc>
          <w:tcPr>
            <w:tcW w:w="1201" w:type="dxa"/>
          </w:tcPr>
          <w:p w14:paraId="29BB8151" w14:textId="2FBD0FB3" w:rsidR="00064A73" w:rsidRPr="006626D9" w:rsidRDefault="005E35AF" w:rsidP="008A0848">
            <w:pPr>
              <w:keepNext/>
              <w:keepLines/>
              <w:jc w:val="center"/>
              <w:rPr>
                <w:rFonts w:ascii="Arial Narrow" w:eastAsiaTheme="majorEastAsia" w:hAnsi="Arial Narrow" w:cstheme="majorBidi"/>
                <w:bCs/>
                <w:sz w:val="20"/>
              </w:rPr>
            </w:pPr>
            <w:r w:rsidRPr="005E35AF">
              <w:rPr>
                <w:rFonts w:ascii="Arial Narrow" w:eastAsiaTheme="majorEastAsia" w:hAnsi="Arial Narrow" w:cstheme="majorBidi"/>
                <w:bCs/>
                <w:sz w:val="20"/>
                <w:highlight w:val="black"/>
              </w:rPr>
              <w:t>&amp;&amp;&amp;&amp;</w:t>
            </w:r>
            <w:r w:rsidR="00E4243B">
              <w:rPr>
                <w:rFonts w:ascii="Arial Narrow" w:hAnsi="Arial Narrow"/>
                <w:sz w:val="18"/>
                <w:szCs w:val="22"/>
                <w:vertAlign w:val="superscript"/>
              </w:rPr>
              <w:t>20</w:t>
            </w:r>
          </w:p>
        </w:tc>
        <w:tc>
          <w:tcPr>
            <w:tcW w:w="1200" w:type="dxa"/>
          </w:tcPr>
          <w:p w14:paraId="195CCCEE" w14:textId="1A5EB372" w:rsidR="00064A73" w:rsidRPr="006626D9" w:rsidRDefault="00064A73" w:rsidP="008A0848">
            <w:pPr>
              <w:keepNext/>
              <w:keepLines/>
              <w:jc w:val="center"/>
              <w:rPr>
                <w:rFonts w:ascii="Arial Narrow" w:eastAsiaTheme="majorEastAsia" w:hAnsi="Arial Narrow" w:cstheme="majorBidi"/>
                <w:bCs/>
                <w:sz w:val="20"/>
              </w:rPr>
            </w:pPr>
            <w:r w:rsidRPr="006626D9">
              <w:rPr>
                <w:rFonts w:ascii="Arial Narrow" w:eastAsiaTheme="majorEastAsia" w:hAnsi="Arial Narrow" w:cstheme="majorBidi"/>
                <w:bCs/>
                <w:sz w:val="20"/>
              </w:rPr>
              <w:t>$</w:t>
            </w:r>
            <w:r w:rsidR="005E35AF" w:rsidRPr="005E35AF">
              <w:rPr>
                <w:rFonts w:ascii="Arial Narrow" w:eastAsiaTheme="majorEastAsia" w:hAnsi="Arial Narrow" w:cstheme="majorBidi"/>
                <w:bCs/>
                <w:sz w:val="20"/>
                <w:highlight w:val="black"/>
              </w:rPr>
              <w:t>&amp;&amp;&amp;&amp;</w:t>
            </w:r>
            <w:r w:rsidR="00E4243B">
              <w:rPr>
                <w:rFonts w:ascii="Arial Narrow" w:hAnsi="Arial Narrow"/>
                <w:sz w:val="18"/>
                <w:szCs w:val="22"/>
                <w:vertAlign w:val="superscript"/>
              </w:rPr>
              <w:t>21</w:t>
            </w:r>
          </w:p>
        </w:tc>
        <w:tc>
          <w:tcPr>
            <w:tcW w:w="1201" w:type="dxa"/>
          </w:tcPr>
          <w:p w14:paraId="182E8B66" w14:textId="102618FC" w:rsidR="00064A73" w:rsidRPr="006626D9" w:rsidRDefault="005E35AF" w:rsidP="008A0848">
            <w:pPr>
              <w:keepNext/>
              <w:keepLines/>
              <w:jc w:val="center"/>
              <w:rPr>
                <w:rFonts w:ascii="Arial Narrow" w:eastAsiaTheme="majorEastAsia" w:hAnsi="Arial Narrow" w:cstheme="majorBidi"/>
                <w:bCs/>
                <w:sz w:val="20"/>
              </w:rPr>
            </w:pPr>
            <w:r w:rsidRPr="005E35AF">
              <w:rPr>
                <w:rFonts w:ascii="Arial Narrow" w:eastAsiaTheme="majorEastAsia" w:hAnsi="Arial Narrow" w:cstheme="majorBidi"/>
                <w:bCs/>
                <w:sz w:val="20"/>
                <w:highlight w:val="black"/>
              </w:rPr>
              <w:t>&amp;&amp;&amp;&amp;</w:t>
            </w:r>
            <w:r w:rsidR="00E4243B">
              <w:rPr>
                <w:rFonts w:ascii="Arial Narrow" w:hAnsi="Arial Narrow"/>
                <w:sz w:val="18"/>
                <w:szCs w:val="22"/>
                <w:vertAlign w:val="superscript"/>
              </w:rPr>
              <w:t>19</w:t>
            </w:r>
          </w:p>
        </w:tc>
      </w:tr>
      <w:tr w:rsidR="00064A73" w:rsidRPr="006626D9" w14:paraId="5F9E1C88" w14:textId="77777777" w:rsidTr="00064A73">
        <w:tc>
          <w:tcPr>
            <w:tcW w:w="9017" w:type="dxa"/>
            <w:gridSpan w:val="7"/>
            <w:vAlign w:val="center"/>
          </w:tcPr>
          <w:p w14:paraId="2A7EDAD6" w14:textId="77777777" w:rsidR="00064A73" w:rsidRPr="006626D9" w:rsidRDefault="00064A73" w:rsidP="008A0848">
            <w:pPr>
              <w:keepNext/>
              <w:rPr>
                <w:rFonts w:ascii="Arial Narrow" w:eastAsiaTheme="majorEastAsia" w:hAnsi="Arial Narrow" w:cstheme="majorBidi"/>
                <w:b/>
                <w:sz w:val="20"/>
              </w:rPr>
            </w:pPr>
            <w:r w:rsidRPr="006626D9">
              <w:rPr>
                <w:rFonts w:ascii="Arial Narrow" w:eastAsiaTheme="majorEastAsia" w:hAnsi="Arial Narrow"/>
                <w:b/>
                <w:color w:val="000000"/>
                <w:sz w:val="20"/>
              </w:rPr>
              <w:t>Patients with CVD and BMI ≥35 kg/m</w:t>
            </w:r>
            <w:r w:rsidRPr="006626D9">
              <w:rPr>
                <w:rFonts w:ascii="Arial Narrow" w:eastAsiaTheme="majorEastAsia" w:hAnsi="Arial Narrow"/>
                <w:b/>
                <w:color w:val="000000"/>
                <w:sz w:val="20"/>
                <w:vertAlign w:val="superscript"/>
              </w:rPr>
              <w:t>2</w:t>
            </w:r>
          </w:p>
        </w:tc>
      </w:tr>
      <w:tr w:rsidR="00064A73" w:rsidRPr="006626D9" w14:paraId="7B75D629" w14:textId="77777777" w:rsidTr="00064A73">
        <w:tc>
          <w:tcPr>
            <w:tcW w:w="2015" w:type="dxa"/>
            <w:vAlign w:val="center"/>
          </w:tcPr>
          <w:p w14:paraId="4FB9709C" w14:textId="77777777" w:rsidR="00064A73" w:rsidRPr="006626D9" w:rsidRDefault="00064A73" w:rsidP="008A0848">
            <w:pPr>
              <w:keepNext/>
              <w:jc w:val="left"/>
              <w:rPr>
                <w:rFonts w:ascii="Arial Narrow" w:eastAsiaTheme="majorEastAsia" w:hAnsi="Arial Narrow" w:cstheme="majorBidi"/>
                <w:bCs/>
                <w:sz w:val="20"/>
              </w:rPr>
            </w:pPr>
            <w:r w:rsidRPr="006626D9">
              <w:rPr>
                <w:rFonts w:ascii="Arial Narrow" w:eastAsiaTheme="majorEastAsia" w:hAnsi="Arial Narrow" w:cstheme="majorBidi"/>
                <w:bCs/>
                <w:sz w:val="20"/>
              </w:rPr>
              <w:t>Eligible patients</w:t>
            </w:r>
          </w:p>
        </w:tc>
        <w:tc>
          <w:tcPr>
            <w:tcW w:w="1100" w:type="dxa"/>
            <w:vAlign w:val="center"/>
          </w:tcPr>
          <w:p w14:paraId="1821FD65" w14:textId="2F54AEDD" w:rsidR="00064A73" w:rsidRPr="00AF5CF3"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AF5CF3">
              <w:rPr>
                <w:rFonts w:ascii="Arial Narrow" w:hAnsi="Arial Narrow"/>
                <w:sz w:val="18"/>
                <w:szCs w:val="22"/>
                <w:vertAlign w:val="superscript"/>
              </w:rPr>
              <w:t>10</w:t>
            </w:r>
          </w:p>
        </w:tc>
        <w:tc>
          <w:tcPr>
            <w:tcW w:w="1100" w:type="dxa"/>
            <w:vAlign w:val="center"/>
          </w:tcPr>
          <w:p w14:paraId="6B02D4AB" w14:textId="499C206E" w:rsidR="00064A73" w:rsidRPr="00AF5CF3"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AF5CF3">
              <w:rPr>
                <w:rFonts w:ascii="Arial Narrow" w:hAnsi="Arial Narrow"/>
                <w:sz w:val="18"/>
                <w:szCs w:val="22"/>
                <w:vertAlign w:val="superscript"/>
              </w:rPr>
              <w:t>10</w:t>
            </w:r>
          </w:p>
        </w:tc>
        <w:tc>
          <w:tcPr>
            <w:tcW w:w="1200" w:type="dxa"/>
            <w:vAlign w:val="center"/>
          </w:tcPr>
          <w:p w14:paraId="66A5A12D" w14:textId="4166CB76" w:rsidR="00064A73" w:rsidRPr="00AF5CF3"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AF5CF3">
              <w:rPr>
                <w:rFonts w:ascii="Arial Narrow" w:hAnsi="Arial Narrow"/>
                <w:sz w:val="18"/>
                <w:szCs w:val="22"/>
                <w:vertAlign w:val="superscript"/>
              </w:rPr>
              <w:t>10</w:t>
            </w:r>
          </w:p>
        </w:tc>
        <w:tc>
          <w:tcPr>
            <w:tcW w:w="1201" w:type="dxa"/>
            <w:vAlign w:val="center"/>
          </w:tcPr>
          <w:p w14:paraId="7B251B54" w14:textId="2E1DF249" w:rsidR="00064A73" w:rsidRPr="00AF5CF3"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AF5CF3">
              <w:rPr>
                <w:rFonts w:ascii="Arial Narrow" w:hAnsi="Arial Narrow"/>
                <w:sz w:val="18"/>
                <w:szCs w:val="22"/>
                <w:vertAlign w:val="superscript"/>
              </w:rPr>
              <w:t>10</w:t>
            </w:r>
          </w:p>
        </w:tc>
        <w:tc>
          <w:tcPr>
            <w:tcW w:w="1200" w:type="dxa"/>
            <w:vAlign w:val="center"/>
          </w:tcPr>
          <w:p w14:paraId="59965981" w14:textId="54FA17DE" w:rsidR="00064A73" w:rsidRPr="00AF5CF3"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31090B">
              <w:rPr>
                <w:rFonts w:ascii="Arial Narrow" w:hAnsi="Arial Narrow"/>
                <w:sz w:val="18"/>
                <w:szCs w:val="22"/>
                <w:vertAlign w:val="superscript"/>
              </w:rPr>
              <w:t>10</w:t>
            </w:r>
          </w:p>
        </w:tc>
        <w:tc>
          <w:tcPr>
            <w:tcW w:w="1201" w:type="dxa"/>
            <w:vAlign w:val="center"/>
          </w:tcPr>
          <w:p w14:paraId="77F48A98" w14:textId="58831862" w:rsidR="00064A73" w:rsidRPr="00AF5CF3"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31090B">
              <w:rPr>
                <w:rFonts w:ascii="Arial Narrow" w:hAnsi="Arial Narrow"/>
                <w:sz w:val="18"/>
                <w:szCs w:val="22"/>
                <w:vertAlign w:val="superscript"/>
              </w:rPr>
              <w:t>10</w:t>
            </w:r>
          </w:p>
        </w:tc>
      </w:tr>
      <w:tr w:rsidR="00064A73" w:rsidRPr="006626D9" w14:paraId="2F095C36" w14:textId="77777777" w:rsidTr="00064A73">
        <w:tc>
          <w:tcPr>
            <w:tcW w:w="2015" w:type="dxa"/>
            <w:vAlign w:val="center"/>
          </w:tcPr>
          <w:p w14:paraId="72A5E74A" w14:textId="77777777" w:rsidR="00064A73" w:rsidRPr="006626D9" w:rsidRDefault="00064A73" w:rsidP="008A0848">
            <w:pPr>
              <w:keepNext/>
              <w:jc w:val="left"/>
              <w:rPr>
                <w:rFonts w:ascii="Arial Narrow" w:eastAsiaTheme="majorEastAsia" w:hAnsi="Arial Narrow" w:cstheme="majorBidi"/>
                <w:bCs/>
                <w:sz w:val="20"/>
              </w:rPr>
            </w:pPr>
            <w:r w:rsidRPr="006626D9">
              <w:rPr>
                <w:rFonts w:ascii="Arial Narrow" w:eastAsiaTheme="majorEastAsia" w:hAnsi="Arial Narrow" w:cstheme="majorBidi"/>
                <w:bCs/>
                <w:sz w:val="20"/>
              </w:rPr>
              <w:t>Treated patients</w:t>
            </w:r>
          </w:p>
        </w:tc>
        <w:tc>
          <w:tcPr>
            <w:tcW w:w="1100" w:type="dxa"/>
            <w:vAlign w:val="center"/>
          </w:tcPr>
          <w:p w14:paraId="61A70096" w14:textId="39B5C240" w:rsidR="00064A73" w:rsidRPr="00AF5CF3" w:rsidRDefault="005E35AF" w:rsidP="008A0848">
            <w:pPr>
              <w:keepNext/>
              <w:keepLines/>
              <w:jc w:val="center"/>
              <w:rPr>
                <w:rFonts w:ascii="Arial Narrow" w:eastAsiaTheme="majorEastAsia" w:hAnsi="Arial Narrow" w:cstheme="majorBidi"/>
                <w:bCs/>
                <w:sz w:val="20"/>
                <w:vertAlign w:val="superscript"/>
              </w:rPr>
            </w:pPr>
            <w:r w:rsidRPr="005E35AF">
              <w:rPr>
                <w:rFonts w:ascii="Arial Narrow" w:eastAsiaTheme="majorEastAsia" w:hAnsi="Arial Narrow" w:cstheme="majorBidi"/>
                <w:bCs/>
                <w:sz w:val="20"/>
                <w:highlight w:val="black"/>
              </w:rPr>
              <w:t>&amp;&amp;&amp;&amp;</w:t>
            </w:r>
            <w:r w:rsidR="00AF5CF3">
              <w:rPr>
                <w:rFonts w:ascii="Arial Narrow" w:eastAsiaTheme="majorEastAsia" w:hAnsi="Arial Narrow" w:cstheme="majorBidi"/>
                <w:bCs/>
                <w:sz w:val="20"/>
                <w:vertAlign w:val="superscript"/>
              </w:rPr>
              <w:t>2</w:t>
            </w:r>
          </w:p>
        </w:tc>
        <w:tc>
          <w:tcPr>
            <w:tcW w:w="1100" w:type="dxa"/>
            <w:vAlign w:val="center"/>
          </w:tcPr>
          <w:p w14:paraId="5ECE5A53" w14:textId="0379D3B7" w:rsidR="00064A73" w:rsidRPr="006626D9" w:rsidRDefault="005E35AF" w:rsidP="008A0848">
            <w:pPr>
              <w:keepNext/>
              <w:keepLines/>
              <w:jc w:val="center"/>
              <w:rPr>
                <w:rFonts w:ascii="Arial Narrow" w:eastAsiaTheme="majorEastAsia" w:hAnsi="Arial Narrow" w:cstheme="majorBidi"/>
                <w:bCs/>
                <w:sz w:val="20"/>
              </w:rPr>
            </w:pPr>
            <w:r w:rsidRPr="005E35AF">
              <w:rPr>
                <w:rFonts w:ascii="Arial Narrow" w:eastAsiaTheme="majorEastAsia" w:hAnsi="Arial Narrow" w:cstheme="majorBidi"/>
                <w:bCs/>
                <w:sz w:val="20"/>
                <w:highlight w:val="black"/>
              </w:rPr>
              <w:t>&amp;&amp;&amp;&amp;</w:t>
            </w:r>
            <w:r w:rsidR="00AF5CF3">
              <w:rPr>
                <w:rFonts w:ascii="Arial Narrow" w:hAnsi="Arial Narrow"/>
                <w:sz w:val="18"/>
                <w:szCs w:val="22"/>
                <w:vertAlign w:val="superscript"/>
              </w:rPr>
              <w:t>6</w:t>
            </w:r>
          </w:p>
        </w:tc>
        <w:tc>
          <w:tcPr>
            <w:tcW w:w="1200" w:type="dxa"/>
            <w:vAlign w:val="center"/>
          </w:tcPr>
          <w:p w14:paraId="2D6C0835" w14:textId="04E960E5" w:rsidR="00064A73" w:rsidRPr="006626D9" w:rsidRDefault="005E35AF" w:rsidP="008A0848">
            <w:pPr>
              <w:keepNext/>
              <w:keepLines/>
              <w:jc w:val="center"/>
              <w:rPr>
                <w:rFonts w:ascii="Arial Narrow" w:eastAsiaTheme="majorEastAsia" w:hAnsi="Arial Narrow" w:cstheme="majorBidi"/>
                <w:bCs/>
                <w:sz w:val="20"/>
              </w:rPr>
            </w:pPr>
            <w:r w:rsidRPr="005E35AF">
              <w:rPr>
                <w:rFonts w:ascii="Arial Narrow" w:eastAsiaTheme="majorEastAsia" w:hAnsi="Arial Narrow" w:cstheme="majorBidi"/>
                <w:bCs/>
                <w:sz w:val="20"/>
                <w:highlight w:val="black"/>
              </w:rPr>
              <w:t>&amp;&amp;&amp;&amp;</w:t>
            </w:r>
            <w:r w:rsidR="00AF5CF3">
              <w:rPr>
                <w:rFonts w:ascii="Arial Narrow" w:hAnsi="Arial Narrow"/>
                <w:sz w:val="18"/>
                <w:szCs w:val="22"/>
                <w:vertAlign w:val="superscript"/>
              </w:rPr>
              <w:t>7</w:t>
            </w:r>
          </w:p>
        </w:tc>
        <w:tc>
          <w:tcPr>
            <w:tcW w:w="1201" w:type="dxa"/>
            <w:vAlign w:val="center"/>
          </w:tcPr>
          <w:p w14:paraId="24839BDE" w14:textId="3FACA63D" w:rsidR="00064A73" w:rsidRPr="006626D9" w:rsidRDefault="005E35AF" w:rsidP="008A0848">
            <w:pPr>
              <w:keepNext/>
              <w:keepLines/>
              <w:jc w:val="center"/>
              <w:rPr>
                <w:rFonts w:ascii="Arial Narrow" w:eastAsiaTheme="majorEastAsia" w:hAnsi="Arial Narrow" w:cstheme="majorBidi"/>
                <w:bCs/>
                <w:sz w:val="20"/>
              </w:rPr>
            </w:pPr>
            <w:r w:rsidRPr="005E35AF">
              <w:rPr>
                <w:rFonts w:ascii="Arial Narrow" w:eastAsiaTheme="majorEastAsia" w:hAnsi="Arial Narrow" w:cstheme="majorBidi"/>
                <w:bCs/>
                <w:sz w:val="20"/>
                <w:highlight w:val="black"/>
              </w:rPr>
              <w:t>&amp;&amp;&amp;&amp;</w:t>
            </w:r>
            <w:r w:rsidR="00AF5CF3">
              <w:rPr>
                <w:rFonts w:ascii="Arial Narrow" w:hAnsi="Arial Narrow"/>
                <w:sz w:val="18"/>
                <w:szCs w:val="22"/>
                <w:vertAlign w:val="superscript"/>
              </w:rPr>
              <w:t>10</w:t>
            </w:r>
          </w:p>
        </w:tc>
        <w:tc>
          <w:tcPr>
            <w:tcW w:w="1200" w:type="dxa"/>
            <w:vAlign w:val="center"/>
          </w:tcPr>
          <w:p w14:paraId="67FF597B" w14:textId="0392BC6B" w:rsidR="00064A73" w:rsidRPr="00AF5CF3"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AF5CF3">
              <w:rPr>
                <w:rFonts w:ascii="Arial Narrow" w:hAnsi="Arial Narrow"/>
                <w:sz w:val="18"/>
                <w:szCs w:val="22"/>
                <w:vertAlign w:val="superscript"/>
              </w:rPr>
              <w:t>10</w:t>
            </w:r>
          </w:p>
        </w:tc>
        <w:tc>
          <w:tcPr>
            <w:tcW w:w="1201" w:type="dxa"/>
            <w:vAlign w:val="center"/>
          </w:tcPr>
          <w:p w14:paraId="4A18A89D" w14:textId="20CD007D" w:rsidR="00064A73" w:rsidRPr="00AF5CF3"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AF5CF3">
              <w:rPr>
                <w:rFonts w:ascii="Arial Narrow" w:hAnsi="Arial Narrow"/>
                <w:sz w:val="18"/>
                <w:szCs w:val="22"/>
                <w:vertAlign w:val="superscript"/>
              </w:rPr>
              <w:t>10</w:t>
            </w:r>
          </w:p>
        </w:tc>
      </w:tr>
      <w:tr w:rsidR="00064A73" w:rsidRPr="006626D9" w14:paraId="62456F5B" w14:textId="77777777" w:rsidTr="00064A73">
        <w:tc>
          <w:tcPr>
            <w:tcW w:w="2015" w:type="dxa"/>
            <w:vAlign w:val="center"/>
          </w:tcPr>
          <w:p w14:paraId="152360E8" w14:textId="77777777" w:rsidR="00064A73" w:rsidRPr="006626D9" w:rsidRDefault="00064A73" w:rsidP="008A0848">
            <w:pPr>
              <w:keepNext/>
              <w:jc w:val="left"/>
              <w:rPr>
                <w:rFonts w:ascii="Arial Narrow" w:eastAsiaTheme="majorEastAsia" w:hAnsi="Arial Narrow" w:cstheme="majorBidi"/>
                <w:bCs/>
                <w:sz w:val="20"/>
              </w:rPr>
            </w:pPr>
            <w:r w:rsidRPr="006626D9">
              <w:rPr>
                <w:rFonts w:ascii="Arial Narrow" w:eastAsiaTheme="majorEastAsia" w:hAnsi="Arial Narrow" w:cstheme="majorBidi"/>
                <w:bCs/>
                <w:sz w:val="20"/>
              </w:rPr>
              <w:t>Total scripts</w:t>
            </w:r>
          </w:p>
        </w:tc>
        <w:tc>
          <w:tcPr>
            <w:tcW w:w="1100" w:type="dxa"/>
            <w:vAlign w:val="center"/>
          </w:tcPr>
          <w:p w14:paraId="09495D3B" w14:textId="3A7285AC" w:rsidR="00064A73" w:rsidRPr="00A872A6" w:rsidRDefault="005E35AF" w:rsidP="008A0848">
            <w:pPr>
              <w:keepNext/>
              <w:keepLines/>
              <w:jc w:val="center"/>
              <w:rPr>
                <w:rFonts w:ascii="Arial Narrow" w:eastAsiaTheme="majorEastAsia" w:hAnsi="Arial Narrow" w:cstheme="majorBidi"/>
                <w:bCs/>
                <w:sz w:val="20"/>
                <w:vertAlign w:val="superscript"/>
              </w:rPr>
            </w:pPr>
            <w:r w:rsidRPr="005E35AF">
              <w:rPr>
                <w:rFonts w:ascii="Arial Narrow" w:eastAsiaTheme="majorEastAsia" w:hAnsi="Arial Narrow" w:cstheme="majorBidi"/>
                <w:bCs/>
                <w:sz w:val="20"/>
                <w:highlight w:val="black"/>
              </w:rPr>
              <w:t>&amp;&amp;&amp;&amp;</w:t>
            </w:r>
            <w:r w:rsidR="00A872A6">
              <w:rPr>
                <w:rFonts w:ascii="Arial Narrow" w:eastAsiaTheme="majorEastAsia" w:hAnsi="Arial Narrow" w:cstheme="majorBidi"/>
                <w:bCs/>
                <w:sz w:val="20"/>
                <w:vertAlign w:val="superscript"/>
              </w:rPr>
              <w:t>14</w:t>
            </w:r>
          </w:p>
        </w:tc>
        <w:tc>
          <w:tcPr>
            <w:tcW w:w="1100" w:type="dxa"/>
            <w:vAlign w:val="center"/>
          </w:tcPr>
          <w:p w14:paraId="5E8A55B5" w14:textId="5CC9682C" w:rsidR="00064A73" w:rsidRPr="00B76D5C"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B76D5C">
              <w:rPr>
                <w:rFonts w:ascii="Arial Narrow" w:hAnsi="Arial Narrow"/>
                <w:sz w:val="18"/>
                <w:szCs w:val="22"/>
                <w:vertAlign w:val="superscript"/>
              </w:rPr>
              <w:t>17</w:t>
            </w:r>
          </w:p>
        </w:tc>
        <w:tc>
          <w:tcPr>
            <w:tcW w:w="1200" w:type="dxa"/>
            <w:vAlign w:val="center"/>
          </w:tcPr>
          <w:p w14:paraId="7C06E036" w14:textId="782C627A" w:rsidR="00064A73" w:rsidRPr="00B76D5C"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B76D5C">
              <w:rPr>
                <w:rFonts w:ascii="Arial Narrow" w:hAnsi="Arial Narrow"/>
                <w:sz w:val="18"/>
                <w:szCs w:val="22"/>
                <w:vertAlign w:val="superscript"/>
              </w:rPr>
              <w:t>17</w:t>
            </w:r>
          </w:p>
        </w:tc>
        <w:tc>
          <w:tcPr>
            <w:tcW w:w="1201" w:type="dxa"/>
            <w:vAlign w:val="center"/>
          </w:tcPr>
          <w:p w14:paraId="2ED46131" w14:textId="55391942" w:rsidR="00064A73" w:rsidRPr="00B76D5C"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B76D5C">
              <w:rPr>
                <w:rFonts w:ascii="Arial Narrow" w:hAnsi="Arial Narrow"/>
                <w:sz w:val="18"/>
                <w:szCs w:val="22"/>
                <w:vertAlign w:val="superscript"/>
              </w:rPr>
              <w:t>17</w:t>
            </w:r>
          </w:p>
        </w:tc>
        <w:tc>
          <w:tcPr>
            <w:tcW w:w="1200" w:type="dxa"/>
            <w:vAlign w:val="center"/>
          </w:tcPr>
          <w:p w14:paraId="24A16C18" w14:textId="09989B2E" w:rsidR="00064A73" w:rsidRPr="00B76D5C"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B76D5C">
              <w:rPr>
                <w:rFonts w:ascii="Arial Narrow" w:hAnsi="Arial Narrow"/>
                <w:sz w:val="18"/>
                <w:szCs w:val="22"/>
                <w:vertAlign w:val="superscript"/>
              </w:rPr>
              <w:t>17</w:t>
            </w:r>
          </w:p>
        </w:tc>
        <w:tc>
          <w:tcPr>
            <w:tcW w:w="1201" w:type="dxa"/>
            <w:vAlign w:val="center"/>
          </w:tcPr>
          <w:p w14:paraId="5FBC9FA5" w14:textId="338CBC65" w:rsidR="00064A73" w:rsidRPr="00B76D5C"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B76D5C">
              <w:rPr>
                <w:rFonts w:ascii="Arial Narrow" w:hAnsi="Arial Narrow"/>
                <w:sz w:val="18"/>
                <w:szCs w:val="22"/>
                <w:vertAlign w:val="superscript"/>
              </w:rPr>
              <w:t>17</w:t>
            </w:r>
          </w:p>
        </w:tc>
      </w:tr>
      <w:tr w:rsidR="00064A73" w:rsidRPr="006626D9" w14:paraId="576D85E4" w14:textId="77777777" w:rsidTr="00064A73">
        <w:tc>
          <w:tcPr>
            <w:tcW w:w="2015" w:type="dxa"/>
            <w:vAlign w:val="center"/>
          </w:tcPr>
          <w:p w14:paraId="1CCDDDE9" w14:textId="77777777" w:rsidR="00064A73" w:rsidRPr="006626D9" w:rsidRDefault="00064A73" w:rsidP="008A0848">
            <w:pPr>
              <w:keepNext/>
              <w:jc w:val="left"/>
              <w:rPr>
                <w:rFonts w:ascii="Arial Narrow" w:eastAsiaTheme="majorEastAsia" w:hAnsi="Arial Narrow" w:cstheme="majorBidi"/>
                <w:bCs/>
                <w:sz w:val="20"/>
              </w:rPr>
            </w:pPr>
            <w:r w:rsidRPr="006626D9">
              <w:rPr>
                <w:rFonts w:ascii="Arial Narrow" w:eastAsiaTheme="majorEastAsia" w:hAnsi="Arial Narrow" w:cstheme="majorBidi"/>
                <w:bCs/>
                <w:sz w:val="20"/>
              </w:rPr>
              <w:t>Net PBS/RPBS cost</w:t>
            </w:r>
          </w:p>
        </w:tc>
        <w:tc>
          <w:tcPr>
            <w:tcW w:w="1100" w:type="dxa"/>
            <w:vAlign w:val="center"/>
          </w:tcPr>
          <w:p w14:paraId="20C7040B" w14:textId="3BCF2B51" w:rsidR="00064A73" w:rsidRPr="009D55FA" w:rsidRDefault="005E35AF" w:rsidP="008A0848">
            <w:pPr>
              <w:keepNext/>
              <w:keepLines/>
              <w:jc w:val="center"/>
              <w:rPr>
                <w:rFonts w:ascii="Arial Narrow" w:eastAsiaTheme="majorEastAsia" w:hAnsi="Arial Narrow" w:cstheme="majorBidi"/>
                <w:bCs/>
                <w:sz w:val="19"/>
                <w:szCs w:val="19"/>
              </w:rPr>
            </w:pPr>
            <w:r w:rsidRPr="005E35AF">
              <w:rPr>
                <w:rFonts w:ascii="Arial Narrow" w:eastAsiaTheme="majorEastAsia" w:hAnsi="Arial Narrow" w:cstheme="majorBidi"/>
                <w:bCs/>
                <w:sz w:val="19"/>
                <w:szCs w:val="19"/>
                <w:highlight w:val="black"/>
              </w:rPr>
              <w:t>&amp;&amp;&amp;&amp;</w:t>
            </w:r>
            <w:r w:rsidR="009D55FA" w:rsidRPr="009D55FA">
              <w:rPr>
                <w:rFonts w:ascii="Arial Narrow" w:hAnsi="Arial Narrow"/>
                <w:sz w:val="19"/>
                <w:szCs w:val="19"/>
                <w:vertAlign w:val="superscript"/>
              </w:rPr>
              <w:t>15</w:t>
            </w:r>
          </w:p>
        </w:tc>
        <w:tc>
          <w:tcPr>
            <w:tcW w:w="1100" w:type="dxa"/>
            <w:vAlign w:val="center"/>
          </w:tcPr>
          <w:p w14:paraId="0DF2F004" w14:textId="26740AA0" w:rsidR="00064A73" w:rsidRPr="009D55FA" w:rsidRDefault="005E35AF" w:rsidP="008A0848">
            <w:pPr>
              <w:keepNext/>
              <w:keepLines/>
              <w:jc w:val="center"/>
              <w:rPr>
                <w:rFonts w:ascii="Arial Narrow" w:eastAsiaTheme="majorEastAsia" w:hAnsi="Arial Narrow" w:cstheme="majorBidi"/>
                <w:bCs/>
                <w:sz w:val="19"/>
                <w:szCs w:val="19"/>
                <w:highlight w:val="darkGray"/>
              </w:rPr>
            </w:pPr>
            <w:r w:rsidRPr="005E35AF">
              <w:rPr>
                <w:rFonts w:ascii="Arial Narrow" w:eastAsiaTheme="majorEastAsia" w:hAnsi="Arial Narrow" w:cstheme="majorBidi"/>
                <w:bCs/>
                <w:sz w:val="19"/>
                <w:szCs w:val="19"/>
                <w:highlight w:val="black"/>
              </w:rPr>
              <w:t>&amp;&amp;&amp;&amp;</w:t>
            </w:r>
            <w:r w:rsidR="009D55FA" w:rsidRPr="009D55FA">
              <w:rPr>
                <w:rFonts w:ascii="Arial Narrow" w:hAnsi="Arial Narrow"/>
                <w:sz w:val="19"/>
                <w:szCs w:val="19"/>
                <w:vertAlign w:val="superscript"/>
              </w:rPr>
              <w:t>16</w:t>
            </w:r>
          </w:p>
        </w:tc>
        <w:tc>
          <w:tcPr>
            <w:tcW w:w="1200" w:type="dxa"/>
            <w:vAlign w:val="center"/>
          </w:tcPr>
          <w:p w14:paraId="3BEE9103" w14:textId="40A77ECF" w:rsidR="00064A73" w:rsidRPr="009D55FA" w:rsidRDefault="005E35AF" w:rsidP="008A0848">
            <w:pPr>
              <w:keepNext/>
              <w:keepLines/>
              <w:jc w:val="center"/>
              <w:rPr>
                <w:rFonts w:ascii="Arial Narrow" w:eastAsiaTheme="majorEastAsia" w:hAnsi="Arial Narrow" w:cstheme="majorBidi"/>
                <w:bCs/>
                <w:sz w:val="19"/>
                <w:szCs w:val="19"/>
                <w:highlight w:val="darkGray"/>
              </w:rPr>
            </w:pPr>
            <w:r w:rsidRPr="005E35AF">
              <w:rPr>
                <w:rFonts w:ascii="Arial Narrow" w:eastAsiaTheme="majorEastAsia" w:hAnsi="Arial Narrow" w:cstheme="majorBidi"/>
                <w:bCs/>
                <w:sz w:val="19"/>
                <w:szCs w:val="19"/>
                <w:highlight w:val="black"/>
              </w:rPr>
              <w:t>&amp;&amp;&amp;&amp;</w:t>
            </w:r>
            <w:r w:rsidR="009D55FA" w:rsidRPr="009D55FA">
              <w:rPr>
                <w:rFonts w:ascii="Arial Narrow" w:hAnsi="Arial Narrow"/>
                <w:sz w:val="19"/>
                <w:szCs w:val="19"/>
                <w:vertAlign w:val="superscript"/>
              </w:rPr>
              <w:t>16</w:t>
            </w:r>
          </w:p>
        </w:tc>
        <w:tc>
          <w:tcPr>
            <w:tcW w:w="1201" w:type="dxa"/>
            <w:vAlign w:val="center"/>
          </w:tcPr>
          <w:p w14:paraId="4A3DE579" w14:textId="6A75243E" w:rsidR="00064A73" w:rsidRPr="004E7803"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4E7803">
              <w:rPr>
                <w:rFonts w:ascii="Arial Narrow" w:hAnsi="Arial Narrow"/>
                <w:sz w:val="18"/>
                <w:szCs w:val="22"/>
                <w:vertAlign w:val="superscript"/>
              </w:rPr>
              <w:t>17</w:t>
            </w:r>
          </w:p>
        </w:tc>
        <w:tc>
          <w:tcPr>
            <w:tcW w:w="1200" w:type="dxa"/>
            <w:vAlign w:val="center"/>
          </w:tcPr>
          <w:p w14:paraId="43993470" w14:textId="2C8071A0" w:rsidR="00064A73" w:rsidRPr="004E7803"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4E7803">
              <w:rPr>
                <w:rFonts w:ascii="Arial Narrow" w:hAnsi="Arial Narrow"/>
                <w:sz w:val="18"/>
                <w:szCs w:val="22"/>
                <w:vertAlign w:val="superscript"/>
              </w:rPr>
              <w:t>17</w:t>
            </w:r>
          </w:p>
        </w:tc>
        <w:tc>
          <w:tcPr>
            <w:tcW w:w="1201" w:type="dxa"/>
            <w:vAlign w:val="center"/>
          </w:tcPr>
          <w:p w14:paraId="677D9297" w14:textId="019A7BDF" w:rsidR="00064A73" w:rsidRPr="004E7803"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4E7803">
              <w:rPr>
                <w:rFonts w:ascii="Arial Narrow" w:hAnsi="Arial Narrow"/>
                <w:sz w:val="18"/>
                <w:szCs w:val="22"/>
                <w:vertAlign w:val="superscript"/>
              </w:rPr>
              <w:t>17</w:t>
            </w:r>
          </w:p>
        </w:tc>
      </w:tr>
      <w:tr w:rsidR="00064A73" w:rsidRPr="006626D9" w14:paraId="34FDC4E2" w14:textId="77777777" w:rsidTr="00064A73">
        <w:tc>
          <w:tcPr>
            <w:tcW w:w="9017" w:type="dxa"/>
            <w:gridSpan w:val="7"/>
            <w:vAlign w:val="center"/>
          </w:tcPr>
          <w:p w14:paraId="1FB67045" w14:textId="77777777" w:rsidR="00064A73" w:rsidRPr="006626D9" w:rsidRDefault="00064A73" w:rsidP="008A0848">
            <w:pPr>
              <w:keepNext/>
              <w:rPr>
                <w:rFonts w:ascii="Arial Narrow" w:eastAsiaTheme="majorEastAsia" w:hAnsi="Arial Narrow" w:cstheme="majorBidi"/>
                <w:b/>
                <w:sz w:val="20"/>
              </w:rPr>
            </w:pPr>
            <w:r w:rsidRPr="006626D9">
              <w:rPr>
                <w:rFonts w:ascii="Arial Narrow" w:eastAsiaTheme="majorEastAsia" w:hAnsi="Arial Narrow"/>
                <w:b/>
                <w:color w:val="000000"/>
                <w:sz w:val="20"/>
              </w:rPr>
              <w:t>Patients with CVD and BMI ≥40 kg/m</w:t>
            </w:r>
            <w:r w:rsidRPr="006626D9">
              <w:rPr>
                <w:rFonts w:ascii="Arial Narrow" w:eastAsiaTheme="majorEastAsia" w:hAnsi="Arial Narrow"/>
                <w:b/>
                <w:color w:val="000000"/>
                <w:sz w:val="20"/>
                <w:vertAlign w:val="superscript"/>
              </w:rPr>
              <w:t>2</w:t>
            </w:r>
          </w:p>
        </w:tc>
      </w:tr>
      <w:tr w:rsidR="00064A73" w:rsidRPr="006626D9" w14:paraId="28693DF2" w14:textId="77777777" w:rsidTr="00064A73">
        <w:tc>
          <w:tcPr>
            <w:tcW w:w="2015" w:type="dxa"/>
            <w:vAlign w:val="center"/>
          </w:tcPr>
          <w:p w14:paraId="0676E653" w14:textId="77777777" w:rsidR="00064A73" w:rsidRPr="006626D9" w:rsidRDefault="00064A73" w:rsidP="008A0848">
            <w:pPr>
              <w:keepNext/>
              <w:jc w:val="left"/>
              <w:rPr>
                <w:rFonts w:ascii="Arial Narrow" w:eastAsiaTheme="majorEastAsia" w:hAnsi="Arial Narrow" w:cstheme="majorBidi"/>
                <w:bCs/>
                <w:sz w:val="20"/>
              </w:rPr>
            </w:pPr>
            <w:r w:rsidRPr="006626D9">
              <w:rPr>
                <w:rFonts w:ascii="Arial Narrow" w:eastAsiaTheme="majorEastAsia" w:hAnsi="Arial Narrow" w:cstheme="majorBidi"/>
                <w:bCs/>
                <w:sz w:val="20"/>
              </w:rPr>
              <w:t>Eligible patients</w:t>
            </w:r>
          </w:p>
        </w:tc>
        <w:tc>
          <w:tcPr>
            <w:tcW w:w="1100" w:type="dxa"/>
            <w:vAlign w:val="center"/>
          </w:tcPr>
          <w:p w14:paraId="1A6EB7ED" w14:textId="697EEE49" w:rsidR="00064A73" w:rsidRPr="009F17FE"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9F17FE">
              <w:rPr>
                <w:rFonts w:ascii="Arial Narrow" w:hAnsi="Arial Narrow"/>
                <w:sz w:val="18"/>
                <w:szCs w:val="22"/>
                <w:vertAlign w:val="superscript"/>
              </w:rPr>
              <w:t>4</w:t>
            </w:r>
          </w:p>
        </w:tc>
        <w:tc>
          <w:tcPr>
            <w:tcW w:w="1100" w:type="dxa"/>
            <w:vAlign w:val="center"/>
          </w:tcPr>
          <w:p w14:paraId="2492B44C" w14:textId="1A1AC88A" w:rsidR="00064A73" w:rsidRPr="009F17FE"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9F17FE">
              <w:rPr>
                <w:rFonts w:ascii="Arial Narrow" w:hAnsi="Arial Narrow"/>
                <w:sz w:val="18"/>
                <w:szCs w:val="22"/>
                <w:vertAlign w:val="superscript"/>
              </w:rPr>
              <w:t>4</w:t>
            </w:r>
          </w:p>
        </w:tc>
        <w:tc>
          <w:tcPr>
            <w:tcW w:w="1200" w:type="dxa"/>
            <w:vAlign w:val="center"/>
          </w:tcPr>
          <w:p w14:paraId="2B1BA01A" w14:textId="69536095" w:rsidR="00064A73" w:rsidRPr="009F17FE"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9F17FE">
              <w:rPr>
                <w:rFonts w:ascii="Arial Narrow" w:hAnsi="Arial Narrow"/>
                <w:sz w:val="18"/>
                <w:szCs w:val="22"/>
                <w:vertAlign w:val="superscript"/>
              </w:rPr>
              <w:t>4</w:t>
            </w:r>
          </w:p>
        </w:tc>
        <w:tc>
          <w:tcPr>
            <w:tcW w:w="1201" w:type="dxa"/>
            <w:vAlign w:val="center"/>
          </w:tcPr>
          <w:p w14:paraId="5DD9CCC7" w14:textId="10766F56" w:rsidR="00064A73" w:rsidRPr="009F17FE"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9F17FE">
              <w:rPr>
                <w:rFonts w:ascii="Arial Narrow" w:hAnsi="Arial Narrow"/>
                <w:sz w:val="18"/>
                <w:szCs w:val="22"/>
                <w:vertAlign w:val="superscript"/>
              </w:rPr>
              <w:t>4</w:t>
            </w:r>
          </w:p>
        </w:tc>
        <w:tc>
          <w:tcPr>
            <w:tcW w:w="1200" w:type="dxa"/>
            <w:vAlign w:val="center"/>
          </w:tcPr>
          <w:p w14:paraId="0791C523" w14:textId="706569F5" w:rsidR="00064A73" w:rsidRPr="009F17FE"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9F17FE">
              <w:rPr>
                <w:rFonts w:ascii="Arial Narrow" w:hAnsi="Arial Narrow"/>
                <w:sz w:val="18"/>
                <w:szCs w:val="22"/>
                <w:vertAlign w:val="superscript"/>
              </w:rPr>
              <w:t>4</w:t>
            </w:r>
          </w:p>
        </w:tc>
        <w:tc>
          <w:tcPr>
            <w:tcW w:w="1201" w:type="dxa"/>
            <w:vAlign w:val="center"/>
          </w:tcPr>
          <w:p w14:paraId="7E449731" w14:textId="512AFDBE" w:rsidR="00064A73" w:rsidRPr="006626D9" w:rsidRDefault="005E35AF" w:rsidP="008A0848">
            <w:pPr>
              <w:keepNext/>
              <w:keepLines/>
              <w:jc w:val="center"/>
              <w:rPr>
                <w:rFonts w:ascii="Arial Narrow" w:eastAsiaTheme="majorEastAsia" w:hAnsi="Arial Narrow" w:cstheme="majorBidi"/>
                <w:bCs/>
                <w:sz w:val="20"/>
              </w:rPr>
            </w:pPr>
            <w:r w:rsidRPr="005E35AF">
              <w:rPr>
                <w:rFonts w:ascii="Arial Narrow" w:eastAsiaTheme="majorEastAsia" w:hAnsi="Arial Narrow" w:cstheme="majorBidi"/>
                <w:bCs/>
                <w:sz w:val="20"/>
                <w:highlight w:val="black"/>
              </w:rPr>
              <w:t>&amp;&amp;&amp;&amp;</w:t>
            </w:r>
            <w:r w:rsidR="009F17FE">
              <w:rPr>
                <w:rFonts w:ascii="Arial Narrow" w:hAnsi="Arial Narrow"/>
                <w:sz w:val="18"/>
                <w:szCs w:val="22"/>
                <w:vertAlign w:val="superscript"/>
              </w:rPr>
              <w:t>5</w:t>
            </w:r>
          </w:p>
        </w:tc>
      </w:tr>
      <w:tr w:rsidR="00064A73" w:rsidRPr="006626D9" w14:paraId="25A06B76" w14:textId="77777777" w:rsidTr="00064A73">
        <w:tc>
          <w:tcPr>
            <w:tcW w:w="2015" w:type="dxa"/>
            <w:vAlign w:val="center"/>
          </w:tcPr>
          <w:p w14:paraId="687A2C3A" w14:textId="77777777" w:rsidR="00064A73" w:rsidRPr="006626D9" w:rsidRDefault="00064A73" w:rsidP="008A0848">
            <w:pPr>
              <w:keepNext/>
              <w:jc w:val="left"/>
              <w:rPr>
                <w:rFonts w:ascii="Arial Narrow" w:eastAsiaTheme="majorEastAsia" w:hAnsi="Arial Narrow" w:cstheme="majorBidi"/>
                <w:bCs/>
                <w:sz w:val="20"/>
              </w:rPr>
            </w:pPr>
            <w:r w:rsidRPr="006626D9">
              <w:rPr>
                <w:rFonts w:ascii="Arial Narrow" w:eastAsiaTheme="majorEastAsia" w:hAnsi="Arial Narrow" w:cstheme="majorBidi"/>
                <w:bCs/>
                <w:sz w:val="20"/>
              </w:rPr>
              <w:t>Treated patients</w:t>
            </w:r>
          </w:p>
        </w:tc>
        <w:tc>
          <w:tcPr>
            <w:tcW w:w="1100" w:type="dxa"/>
            <w:vAlign w:val="center"/>
          </w:tcPr>
          <w:p w14:paraId="31FF9991" w14:textId="584D8348" w:rsidR="00064A73" w:rsidRPr="006626D9" w:rsidRDefault="005E35AF" w:rsidP="008A0848">
            <w:pPr>
              <w:keepNext/>
              <w:keepLines/>
              <w:jc w:val="center"/>
              <w:rPr>
                <w:rFonts w:ascii="Arial Narrow" w:eastAsiaTheme="majorEastAsia" w:hAnsi="Arial Narrow" w:cstheme="majorBidi"/>
                <w:bCs/>
                <w:sz w:val="20"/>
              </w:rPr>
            </w:pPr>
            <w:r w:rsidRPr="005E35AF">
              <w:rPr>
                <w:rFonts w:ascii="Arial Narrow" w:eastAsiaTheme="majorEastAsia" w:hAnsi="Arial Narrow" w:cstheme="majorBidi"/>
                <w:bCs/>
                <w:sz w:val="20"/>
                <w:highlight w:val="black"/>
              </w:rPr>
              <w:t>&amp;&amp;&amp;&amp;</w:t>
            </w:r>
            <w:r w:rsidR="00641D43">
              <w:rPr>
                <w:rFonts w:ascii="Arial Narrow" w:hAnsi="Arial Narrow"/>
                <w:sz w:val="18"/>
                <w:szCs w:val="22"/>
                <w:vertAlign w:val="superscript"/>
              </w:rPr>
              <w:t>1</w:t>
            </w:r>
          </w:p>
        </w:tc>
        <w:tc>
          <w:tcPr>
            <w:tcW w:w="1100" w:type="dxa"/>
            <w:vAlign w:val="center"/>
          </w:tcPr>
          <w:p w14:paraId="35B32A1D" w14:textId="408E1A4F" w:rsidR="00064A73" w:rsidRPr="00641D43"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641D43">
              <w:rPr>
                <w:rFonts w:ascii="Arial Narrow" w:hAnsi="Arial Narrow"/>
                <w:sz w:val="18"/>
                <w:szCs w:val="22"/>
                <w:vertAlign w:val="superscript"/>
              </w:rPr>
              <w:t>1</w:t>
            </w:r>
          </w:p>
        </w:tc>
        <w:tc>
          <w:tcPr>
            <w:tcW w:w="1200" w:type="dxa"/>
            <w:vAlign w:val="center"/>
          </w:tcPr>
          <w:p w14:paraId="35637D97" w14:textId="1BEC9A95" w:rsidR="00064A73" w:rsidRPr="006626D9" w:rsidRDefault="005E35AF" w:rsidP="008A0848">
            <w:pPr>
              <w:keepNext/>
              <w:keepLines/>
              <w:jc w:val="center"/>
              <w:rPr>
                <w:rFonts w:ascii="Arial Narrow" w:eastAsiaTheme="majorEastAsia" w:hAnsi="Arial Narrow" w:cstheme="majorBidi"/>
                <w:bCs/>
                <w:sz w:val="20"/>
              </w:rPr>
            </w:pPr>
            <w:r w:rsidRPr="005E35AF">
              <w:rPr>
                <w:rFonts w:ascii="Arial Narrow" w:eastAsiaTheme="majorEastAsia" w:hAnsi="Arial Narrow" w:cstheme="majorBidi"/>
                <w:bCs/>
                <w:sz w:val="20"/>
                <w:highlight w:val="black"/>
              </w:rPr>
              <w:t>&amp;&amp;&amp;&amp;</w:t>
            </w:r>
            <w:r w:rsidR="00641D43">
              <w:rPr>
                <w:rFonts w:ascii="Arial Narrow" w:hAnsi="Arial Narrow"/>
                <w:sz w:val="18"/>
                <w:szCs w:val="22"/>
                <w:vertAlign w:val="superscript"/>
              </w:rPr>
              <w:t>2</w:t>
            </w:r>
          </w:p>
        </w:tc>
        <w:tc>
          <w:tcPr>
            <w:tcW w:w="1201" w:type="dxa"/>
            <w:vAlign w:val="center"/>
          </w:tcPr>
          <w:p w14:paraId="44D5E8A4" w14:textId="2E01D715" w:rsidR="00064A73" w:rsidRPr="006626D9" w:rsidRDefault="005E35AF" w:rsidP="008A0848">
            <w:pPr>
              <w:keepNext/>
              <w:keepLines/>
              <w:jc w:val="center"/>
              <w:rPr>
                <w:rFonts w:ascii="Arial Narrow" w:eastAsiaTheme="majorEastAsia" w:hAnsi="Arial Narrow" w:cstheme="majorBidi"/>
                <w:bCs/>
                <w:sz w:val="20"/>
              </w:rPr>
            </w:pPr>
            <w:r w:rsidRPr="005E35AF">
              <w:rPr>
                <w:rFonts w:ascii="Arial Narrow" w:eastAsiaTheme="majorEastAsia" w:hAnsi="Arial Narrow" w:cstheme="majorBidi"/>
                <w:bCs/>
                <w:sz w:val="20"/>
                <w:highlight w:val="black"/>
              </w:rPr>
              <w:t>&amp;&amp;&amp;&amp;</w:t>
            </w:r>
            <w:r w:rsidR="00641D43">
              <w:rPr>
                <w:rFonts w:ascii="Arial Narrow" w:hAnsi="Arial Narrow"/>
                <w:sz w:val="18"/>
                <w:szCs w:val="22"/>
                <w:vertAlign w:val="superscript"/>
              </w:rPr>
              <w:t>3</w:t>
            </w:r>
          </w:p>
        </w:tc>
        <w:tc>
          <w:tcPr>
            <w:tcW w:w="1200" w:type="dxa"/>
            <w:vAlign w:val="center"/>
          </w:tcPr>
          <w:p w14:paraId="5D4AACCD" w14:textId="2F43B553" w:rsidR="00064A73" w:rsidRPr="006626D9" w:rsidRDefault="005E35AF" w:rsidP="008A0848">
            <w:pPr>
              <w:keepNext/>
              <w:keepLines/>
              <w:jc w:val="center"/>
              <w:rPr>
                <w:rFonts w:ascii="Arial Narrow" w:eastAsiaTheme="majorEastAsia" w:hAnsi="Arial Narrow" w:cstheme="majorBidi"/>
                <w:bCs/>
                <w:sz w:val="20"/>
              </w:rPr>
            </w:pPr>
            <w:r w:rsidRPr="005E35AF">
              <w:rPr>
                <w:rFonts w:ascii="Arial Narrow" w:eastAsiaTheme="majorEastAsia" w:hAnsi="Arial Narrow" w:cstheme="majorBidi"/>
                <w:bCs/>
                <w:sz w:val="20"/>
                <w:highlight w:val="black"/>
              </w:rPr>
              <w:t>&amp;&amp;&amp;&amp;</w:t>
            </w:r>
            <w:r w:rsidR="00641D43">
              <w:rPr>
                <w:rFonts w:ascii="Arial Narrow" w:hAnsi="Arial Narrow"/>
                <w:sz w:val="18"/>
                <w:szCs w:val="22"/>
                <w:vertAlign w:val="superscript"/>
              </w:rPr>
              <w:t>3</w:t>
            </w:r>
          </w:p>
        </w:tc>
        <w:tc>
          <w:tcPr>
            <w:tcW w:w="1201" w:type="dxa"/>
            <w:vAlign w:val="center"/>
          </w:tcPr>
          <w:p w14:paraId="14D40A6B" w14:textId="57618B30" w:rsidR="00064A73" w:rsidRPr="006626D9" w:rsidRDefault="005E35AF" w:rsidP="008A0848">
            <w:pPr>
              <w:keepNext/>
              <w:keepLines/>
              <w:jc w:val="center"/>
              <w:rPr>
                <w:rFonts w:ascii="Arial Narrow" w:eastAsiaTheme="majorEastAsia" w:hAnsi="Arial Narrow" w:cstheme="majorBidi"/>
                <w:bCs/>
                <w:sz w:val="20"/>
              </w:rPr>
            </w:pPr>
            <w:r w:rsidRPr="005E35AF">
              <w:rPr>
                <w:rFonts w:ascii="Arial Narrow" w:eastAsiaTheme="majorEastAsia" w:hAnsi="Arial Narrow" w:cstheme="majorBidi"/>
                <w:bCs/>
                <w:sz w:val="20"/>
                <w:highlight w:val="black"/>
              </w:rPr>
              <w:t>&amp;&amp;&amp;&amp;</w:t>
            </w:r>
            <w:r w:rsidR="00641D43">
              <w:rPr>
                <w:rFonts w:ascii="Arial Narrow" w:hAnsi="Arial Narrow"/>
                <w:sz w:val="18"/>
                <w:szCs w:val="22"/>
                <w:vertAlign w:val="superscript"/>
              </w:rPr>
              <w:t>4</w:t>
            </w:r>
          </w:p>
        </w:tc>
      </w:tr>
      <w:tr w:rsidR="00064A73" w:rsidRPr="006626D9" w14:paraId="22F34905" w14:textId="77777777" w:rsidTr="00064A73">
        <w:tc>
          <w:tcPr>
            <w:tcW w:w="2015" w:type="dxa"/>
            <w:vAlign w:val="center"/>
          </w:tcPr>
          <w:p w14:paraId="16475760" w14:textId="77777777" w:rsidR="00064A73" w:rsidRPr="006626D9" w:rsidRDefault="00064A73" w:rsidP="008A0848">
            <w:pPr>
              <w:keepNext/>
              <w:jc w:val="left"/>
              <w:rPr>
                <w:rFonts w:ascii="Arial Narrow" w:eastAsiaTheme="majorEastAsia" w:hAnsi="Arial Narrow" w:cstheme="majorBidi"/>
                <w:bCs/>
                <w:sz w:val="20"/>
              </w:rPr>
            </w:pPr>
            <w:r w:rsidRPr="006626D9">
              <w:rPr>
                <w:rFonts w:ascii="Arial Narrow" w:eastAsiaTheme="majorEastAsia" w:hAnsi="Arial Narrow" w:cstheme="majorBidi"/>
                <w:bCs/>
                <w:sz w:val="20"/>
              </w:rPr>
              <w:t>Total scripts</w:t>
            </w:r>
          </w:p>
        </w:tc>
        <w:tc>
          <w:tcPr>
            <w:tcW w:w="1100" w:type="dxa"/>
            <w:vAlign w:val="center"/>
          </w:tcPr>
          <w:p w14:paraId="49EFB89E" w14:textId="3F3C5735" w:rsidR="00064A73" w:rsidRPr="001C36CA"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1C36CA">
              <w:rPr>
                <w:rFonts w:ascii="Arial Narrow" w:hAnsi="Arial Narrow"/>
                <w:sz w:val="18"/>
                <w:szCs w:val="22"/>
                <w:vertAlign w:val="superscript"/>
              </w:rPr>
              <w:t>12</w:t>
            </w:r>
          </w:p>
        </w:tc>
        <w:tc>
          <w:tcPr>
            <w:tcW w:w="1100" w:type="dxa"/>
            <w:vAlign w:val="center"/>
          </w:tcPr>
          <w:p w14:paraId="0C8A6ED3" w14:textId="220E0765" w:rsidR="00064A73" w:rsidRPr="001C36CA"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1C36CA">
              <w:rPr>
                <w:rFonts w:ascii="Arial Narrow" w:hAnsi="Arial Narrow"/>
                <w:sz w:val="18"/>
                <w:szCs w:val="22"/>
                <w:vertAlign w:val="superscript"/>
              </w:rPr>
              <w:t>12</w:t>
            </w:r>
          </w:p>
        </w:tc>
        <w:tc>
          <w:tcPr>
            <w:tcW w:w="1200" w:type="dxa"/>
            <w:vAlign w:val="center"/>
          </w:tcPr>
          <w:p w14:paraId="35CA5DEF" w14:textId="69B7A28C" w:rsidR="00064A73" w:rsidRPr="006626D9" w:rsidRDefault="005E35AF" w:rsidP="008A0848">
            <w:pPr>
              <w:keepNext/>
              <w:keepLines/>
              <w:jc w:val="center"/>
              <w:rPr>
                <w:rFonts w:ascii="Arial Narrow" w:eastAsiaTheme="majorEastAsia" w:hAnsi="Arial Narrow" w:cstheme="majorBidi"/>
                <w:bCs/>
                <w:sz w:val="20"/>
              </w:rPr>
            </w:pPr>
            <w:r w:rsidRPr="005E35AF">
              <w:rPr>
                <w:rFonts w:ascii="Arial Narrow" w:eastAsiaTheme="majorEastAsia" w:hAnsi="Arial Narrow" w:cstheme="majorBidi"/>
                <w:bCs/>
                <w:sz w:val="20"/>
                <w:highlight w:val="black"/>
              </w:rPr>
              <w:t>&amp;&amp;&amp;&amp;</w:t>
            </w:r>
            <w:r w:rsidR="00A872A6">
              <w:rPr>
                <w:rFonts w:ascii="Arial Narrow" w:hAnsi="Arial Narrow"/>
                <w:sz w:val="18"/>
                <w:szCs w:val="22"/>
                <w:vertAlign w:val="superscript"/>
              </w:rPr>
              <w:t>14</w:t>
            </w:r>
          </w:p>
        </w:tc>
        <w:tc>
          <w:tcPr>
            <w:tcW w:w="1201" w:type="dxa"/>
            <w:vAlign w:val="center"/>
          </w:tcPr>
          <w:p w14:paraId="2F826607" w14:textId="6F4FC813" w:rsidR="00064A73" w:rsidRPr="00A872A6"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A872A6">
              <w:rPr>
                <w:rFonts w:ascii="Arial Narrow" w:hAnsi="Arial Narrow"/>
                <w:sz w:val="18"/>
                <w:szCs w:val="22"/>
                <w:vertAlign w:val="superscript"/>
              </w:rPr>
              <w:t>15</w:t>
            </w:r>
          </w:p>
        </w:tc>
        <w:tc>
          <w:tcPr>
            <w:tcW w:w="1200" w:type="dxa"/>
            <w:vAlign w:val="center"/>
          </w:tcPr>
          <w:p w14:paraId="3890E9F8" w14:textId="4B919A5F" w:rsidR="00064A73" w:rsidRPr="00A872A6"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A872A6">
              <w:rPr>
                <w:rFonts w:ascii="Arial Narrow" w:hAnsi="Arial Narrow"/>
                <w:sz w:val="18"/>
                <w:szCs w:val="22"/>
                <w:vertAlign w:val="superscript"/>
              </w:rPr>
              <w:t>15</w:t>
            </w:r>
          </w:p>
        </w:tc>
        <w:tc>
          <w:tcPr>
            <w:tcW w:w="1201" w:type="dxa"/>
            <w:vAlign w:val="center"/>
          </w:tcPr>
          <w:p w14:paraId="2A6C9740" w14:textId="30E63124" w:rsidR="00064A73" w:rsidRPr="006626D9" w:rsidRDefault="005E35AF" w:rsidP="008A0848">
            <w:pPr>
              <w:keepNext/>
              <w:keepLines/>
              <w:jc w:val="center"/>
              <w:rPr>
                <w:rFonts w:ascii="Arial Narrow" w:eastAsiaTheme="majorEastAsia" w:hAnsi="Arial Narrow" w:cstheme="majorBidi"/>
                <w:bCs/>
                <w:sz w:val="20"/>
              </w:rPr>
            </w:pPr>
            <w:r w:rsidRPr="005E35AF">
              <w:rPr>
                <w:rFonts w:ascii="Arial Narrow" w:eastAsiaTheme="majorEastAsia" w:hAnsi="Arial Narrow" w:cstheme="majorBidi"/>
                <w:bCs/>
                <w:sz w:val="20"/>
                <w:highlight w:val="black"/>
              </w:rPr>
              <w:t>&amp;&amp;&amp;&amp;</w:t>
            </w:r>
            <w:r w:rsidR="00A872A6">
              <w:rPr>
                <w:rFonts w:ascii="Arial Narrow" w:hAnsi="Arial Narrow"/>
                <w:sz w:val="18"/>
                <w:szCs w:val="22"/>
                <w:vertAlign w:val="superscript"/>
              </w:rPr>
              <w:t>16</w:t>
            </w:r>
          </w:p>
        </w:tc>
      </w:tr>
      <w:tr w:rsidR="00064A73" w:rsidRPr="006626D9" w14:paraId="0E00108D" w14:textId="77777777" w:rsidTr="00064A73">
        <w:tc>
          <w:tcPr>
            <w:tcW w:w="2015" w:type="dxa"/>
            <w:vAlign w:val="center"/>
          </w:tcPr>
          <w:p w14:paraId="6A450554" w14:textId="77777777" w:rsidR="00064A73" w:rsidRPr="006626D9" w:rsidRDefault="00064A73" w:rsidP="008A0848">
            <w:pPr>
              <w:keepNext/>
              <w:jc w:val="left"/>
              <w:rPr>
                <w:rFonts w:ascii="Arial Narrow" w:eastAsiaTheme="majorEastAsia" w:hAnsi="Arial Narrow" w:cstheme="majorBidi"/>
                <w:bCs/>
                <w:sz w:val="20"/>
              </w:rPr>
            </w:pPr>
            <w:r w:rsidRPr="006626D9">
              <w:rPr>
                <w:rFonts w:ascii="Arial Narrow" w:eastAsiaTheme="majorEastAsia" w:hAnsi="Arial Narrow" w:cstheme="majorBidi"/>
                <w:bCs/>
                <w:sz w:val="20"/>
              </w:rPr>
              <w:t>Net PBS/RPBS cost</w:t>
            </w:r>
          </w:p>
        </w:tc>
        <w:tc>
          <w:tcPr>
            <w:tcW w:w="1100" w:type="dxa"/>
            <w:vAlign w:val="center"/>
          </w:tcPr>
          <w:p w14:paraId="74EA506A" w14:textId="0778DB64" w:rsidR="00064A73" w:rsidRPr="006626D9" w:rsidRDefault="00064A73" w:rsidP="008A0848">
            <w:pPr>
              <w:keepNext/>
              <w:keepLines/>
              <w:jc w:val="center"/>
              <w:rPr>
                <w:rFonts w:ascii="Arial Narrow" w:eastAsiaTheme="majorEastAsia" w:hAnsi="Arial Narrow" w:cstheme="majorBidi"/>
                <w:bCs/>
                <w:sz w:val="20"/>
              </w:rPr>
            </w:pPr>
            <w:r w:rsidRPr="006626D9">
              <w:rPr>
                <w:rFonts w:ascii="Arial Narrow" w:eastAsiaTheme="majorEastAsia" w:hAnsi="Arial Narrow" w:cstheme="majorBidi"/>
                <w:bCs/>
                <w:sz w:val="20"/>
              </w:rPr>
              <w:t>$</w:t>
            </w:r>
            <w:r w:rsidR="005E35AF" w:rsidRPr="005E35AF">
              <w:rPr>
                <w:rFonts w:ascii="Arial Narrow" w:eastAsiaTheme="majorEastAsia" w:hAnsi="Arial Narrow" w:cstheme="majorBidi"/>
                <w:bCs/>
                <w:sz w:val="20"/>
                <w:highlight w:val="black"/>
              </w:rPr>
              <w:t>&amp;&amp;&amp;&amp;</w:t>
            </w:r>
            <w:r w:rsidR="00A12C1F">
              <w:rPr>
                <w:rFonts w:ascii="Arial Narrow" w:hAnsi="Arial Narrow"/>
                <w:sz w:val="18"/>
                <w:szCs w:val="22"/>
                <w:vertAlign w:val="superscript"/>
              </w:rPr>
              <w:t>14</w:t>
            </w:r>
          </w:p>
        </w:tc>
        <w:tc>
          <w:tcPr>
            <w:tcW w:w="1100" w:type="dxa"/>
            <w:vAlign w:val="center"/>
          </w:tcPr>
          <w:p w14:paraId="5C1BD7BC" w14:textId="0AADAEB2" w:rsidR="00064A73" w:rsidRPr="00485625" w:rsidRDefault="005E35AF" w:rsidP="008A0848">
            <w:pPr>
              <w:keepNext/>
              <w:keepLines/>
              <w:jc w:val="center"/>
              <w:rPr>
                <w:rFonts w:ascii="Arial Narrow" w:eastAsiaTheme="majorEastAsia" w:hAnsi="Arial Narrow" w:cstheme="majorBidi"/>
                <w:bCs/>
                <w:sz w:val="19"/>
                <w:szCs w:val="19"/>
                <w:highlight w:val="darkGray"/>
              </w:rPr>
            </w:pPr>
            <w:r w:rsidRPr="005E35AF">
              <w:rPr>
                <w:rFonts w:ascii="Arial Narrow" w:eastAsiaTheme="majorEastAsia" w:hAnsi="Arial Narrow" w:cstheme="majorBidi"/>
                <w:bCs/>
                <w:sz w:val="19"/>
                <w:szCs w:val="19"/>
                <w:highlight w:val="black"/>
              </w:rPr>
              <w:t>&amp;&amp;&amp;&amp;</w:t>
            </w:r>
            <w:r w:rsidR="00A12C1F" w:rsidRPr="00485625">
              <w:rPr>
                <w:rFonts w:ascii="Arial Narrow" w:hAnsi="Arial Narrow"/>
                <w:sz w:val="19"/>
                <w:szCs w:val="19"/>
                <w:vertAlign w:val="superscript"/>
              </w:rPr>
              <w:t>15</w:t>
            </w:r>
          </w:p>
        </w:tc>
        <w:tc>
          <w:tcPr>
            <w:tcW w:w="1200" w:type="dxa"/>
            <w:vAlign w:val="center"/>
          </w:tcPr>
          <w:p w14:paraId="3330306C" w14:textId="3EE3CFB5" w:rsidR="00064A73" w:rsidRPr="00A12C1F"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485625">
              <w:rPr>
                <w:rFonts w:ascii="Arial Narrow" w:hAnsi="Arial Narrow"/>
                <w:sz w:val="18"/>
                <w:szCs w:val="22"/>
                <w:vertAlign w:val="superscript"/>
              </w:rPr>
              <w:t>15</w:t>
            </w:r>
          </w:p>
        </w:tc>
        <w:tc>
          <w:tcPr>
            <w:tcW w:w="1201" w:type="dxa"/>
            <w:vAlign w:val="center"/>
          </w:tcPr>
          <w:p w14:paraId="5ABE7301" w14:textId="68278236" w:rsidR="00064A73" w:rsidRPr="00A12C1F"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485625">
              <w:rPr>
                <w:rFonts w:ascii="Arial Narrow" w:hAnsi="Arial Narrow"/>
                <w:sz w:val="18"/>
                <w:szCs w:val="22"/>
                <w:vertAlign w:val="superscript"/>
              </w:rPr>
              <w:t>15</w:t>
            </w:r>
          </w:p>
        </w:tc>
        <w:tc>
          <w:tcPr>
            <w:tcW w:w="1200" w:type="dxa"/>
            <w:vAlign w:val="center"/>
          </w:tcPr>
          <w:p w14:paraId="574ECA0C" w14:textId="7DCC95AE" w:rsidR="00064A73" w:rsidRPr="00A12C1F"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485625">
              <w:rPr>
                <w:rFonts w:ascii="Arial Narrow" w:hAnsi="Arial Narrow"/>
                <w:sz w:val="18"/>
                <w:szCs w:val="22"/>
                <w:vertAlign w:val="superscript"/>
              </w:rPr>
              <w:t>15</w:t>
            </w:r>
          </w:p>
        </w:tc>
        <w:tc>
          <w:tcPr>
            <w:tcW w:w="1201" w:type="dxa"/>
            <w:vAlign w:val="center"/>
          </w:tcPr>
          <w:p w14:paraId="04AA22A7" w14:textId="4043F25C" w:rsidR="00064A73" w:rsidRPr="00A12C1F" w:rsidRDefault="005E35AF" w:rsidP="008A0848">
            <w:pPr>
              <w:keepNext/>
              <w:keepLines/>
              <w:jc w:val="center"/>
              <w:rPr>
                <w:rFonts w:ascii="Arial Narrow" w:eastAsiaTheme="majorEastAsia" w:hAnsi="Arial Narrow" w:cstheme="majorBidi"/>
                <w:bCs/>
                <w:sz w:val="20"/>
                <w:highlight w:val="darkGray"/>
              </w:rPr>
            </w:pPr>
            <w:r w:rsidRPr="005E35AF">
              <w:rPr>
                <w:rFonts w:ascii="Arial Narrow" w:eastAsiaTheme="majorEastAsia" w:hAnsi="Arial Narrow" w:cstheme="majorBidi"/>
                <w:bCs/>
                <w:sz w:val="20"/>
                <w:highlight w:val="black"/>
              </w:rPr>
              <w:t>&amp;&amp;&amp;&amp;</w:t>
            </w:r>
            <w:r w:rsidR="00485625">
              <w:rPr>
                <w:rFonts w:ascii="Arial Narrow" w:hAnsi="Arial Narrow"/>
                <w:sz w:val="18"/>
                <w:szCs w:val="22"/>
                <w:vertAlign w:val="superscript"/>
              </w:rPr>
              <w:t>15</w:t>
            </w:r>
          </w:p>
        </w:tc>
      </w:tr>
    </w:tbl>
    <w:p w14:paraId="76D7E9D1" w14:textId="77777777" w:rsidR="00064A73" w:rsidRPr="006626D9" w:rsidRDefault="00064A73" w:rsidP="008A0848">
      <w:pPr>
        <w:keepNext/>
        <w:widowControl w:val="0"/>
        <w:spacing w:after="120"/>
        <w:contextualSpacing/>
        <w:rPr>
          <w:rFonts w:ascii="Arial Narrow" w:hAnsi="Arial Narrow"/>
          <w:sz w:val="18"/>
          <w:szCs w:val="22"/>
        </w:rPr>
      </w:pPr>
      <w:r w:rsidRPr="006626D9">
        <w:rPr>
          <w:rFonts w:ascii="Arial Narrow" w:hAnsi="Arial Narrow"/>
          <w:sz w:val="18"/>
          <w:szCs w:val="22"/>
        </w:rPr>
        <w:t>Source: ‘Section 4 Workbook’ provided with the resubmission</w:t>
      </w:r>
    </w:p>
    <w:p w14:paraId="5431EC90" w14:textId="77777777" w:rsidR="00064A73" w:rsidRPr="006626D9" w:rsidRDefault="00064A73" w:rsidP="008A0848">
      <w:pPr>
        <w:keepNext/>
        <w:widowControl w:val="0"/>
        <w:spacing w:after="120"/>
        <w:contextualSpacing/>
        <w:rPr>
          <w:rFonts w:ascii="Arial Narrow" w:hAnsi="Arial Narrow"/>
          <w:sz w:val="18"/>
          <w:szCs w:val="22"/>
        </w:rPr>
      </w:pPr>
      <w:r w:rsidRPr="006626D9">
        <w:rPr>
          <w:rFonts w:ascii="Arial Narrow" w:hAnsi="Arial Narrow"/>
          <w:sz w:val="18"/>
          <w:szCs w:val="22"/>
        </w:rPr>
        <w:t>Abbreviations: BMI, body mass index; CVD, cardiovascular disease; PBS, Pharmaceutical Benefits Scheme; RPBS, Repatriation Pharmaceutical Benefits Scheme.</w:t>
      </w:r>
    </w:p>
    <w:p w14:paraId="2F61EBC6" w14:textId="77777777" w:rsidR="0057003A" w:rsidRDefault="00064A73" w:rsidP="008A0848">
      <w:pPr>
        <w:keepNext/>
        <w:widowControl w:val="0"/>
        <w:spacing w:after="120"/>
        <w:contextualSpacing/>
        <w:rPr>
          <w:rFonts w:ascii="Arial Narrow" w:hAnsi="Arial Narrow"/>
          <w:sz w:val="18"/>
          <w:szCs w:val="22"/>
        </w:rPr>
      </w:pPr>
      <w:r w:rsidRPr="006626D9">
        <w:rPr>
          <w:rFonts w:ascii="Arial Narrow" w:hAnsi="Arial Narrow"/>
          <w:sz w:val="18"/>
          <w:szCs w:val="22"/>
        </w:rPr>
        <w:t xml:space="preserve">Note: The effective DPMQs estimated for semaglutide in the resubmission were calculated using a non-standard methodology. During the evaluation, the sponsor confirmed the calculation of revised effective DPMQs estimated using standard methods. These revised prices were </w:t>
      </w:r>
      <w:r w:rsidRPr="006626D9">
        <w:rPr>
          <w:rFonts w:ascii="Arial Narrow" w:hAnsi="Arial Narrow"/>
          <w:sz w:val="18"/>
          <w:szCs w:val="22"/>
        </w:rPr>
        <w:lastRenderedPageBreak/>
        <w:t>used in the commentary.</w:t>
      </w:r>
      <w:r w:rsidR="00085EAF">
        <w:rPr>
          <w:rFonts w:ascii="Arial Narrow" w:hAnsi="Arial Narrow"/>
          <w:sz w:val="18"/>
          <w:szCs w:val="22"/>
        </w:rPr>
        <w:t xml:space="preserve"> </w:t>
      </w:r>
    </w:p>
    <w:p w14:paraId="3C1C0467" w14:textId="42576F9F" w:rsidR="003C6ABC" w:rsidRPr="0057003A" w:rsidRDefault="0057003A"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rPr>
        <w:t>The redacted values correspond to the following ranges:</w:t>
      </w:r>
    </w:p>
    <w:p w14:paraId="773E8430" w14:textId="49CF5363" w:rsidR="003C6ABC" w:rsidRPr="0057003A" w:rsidRDefault="00641D43"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1</w:t>
      </w:r>
      <w:r w:rsidR="003C6ABC" w:rsidRPr="0057003A">
        <w:rPr>
          <w:rFonts w:ascii="Arial Narrow" w:hAnsi="Arial Narrow"/>
          <w:i/>
          <w:iCs/>
          <w:sz w:val="18"/>
          <w:szCs w:val="22"/>
        </w:rPr>
        <w:t>30,000 to &lt; 40,000</w:t>
      </w:r>
    </w:p>
    <w:p w14:paraId="34620A4B" w14:textId="2A31B44C" w:rsidR="003C6ABC" w:rsidRPr="0057003A" w:rsidRDefault="00641D43"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2</w:t>
      </w:r>
      <w:r w:rsidR="003C6ABC" w:rsidRPr="0057003A">
        <w:rPr>
          <w:rFonts w:ascii="Arial Narrow" w:hAnsi="Arial Narrow"/>
          <w:i/>
          <w:iCs/>
          <w:sz w:val="18"/>
          <w:szCs w:val="22"/>
        </w:rPr>
        <w:t>40,000 to &lt; 50,000</w:t>
      </w:r>
    </w:p>
    <w:p w14:paraId="3031A59B" w14:textId="0C9EFCA2" w:rsidR="003C6ABC" w:rsidRPr="0057003A" w:rsidRDefault="00641D43"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3</w:t>
      </w:r>
      <w:r w:rsidR="003C6ABC" w:rsidRPr="0057003A">
        <w:rPr>
          <w:rFonts w:ascii="Arial Narrow" w:hAnsi="Arial Narrow"/>
          <w:i/>
          <w:iCs/>
          <w:sz w:val="18"/>
          <w:szCs w:val="22"/>
        </w:rPr>
        <w:t>50,000 to &lt; 60,000</w:t>
      </w:r>
    </w:p>
    <w:p w14:paraId="7BAAF449" w14:textId="04D862FB" w:rsidR="003C6ABC" w:rsidRPr="0057003A" w:rsidRDefault="00641D43"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4</w:t>
      </w:r>
      <w:r w:rsidR="003C6ABC" w:rsidRPr="0057003A">
        <w:rPr>
          <w:rFonts w:ascii="Arial Narrow" w:hAnsi="Arial Narrow"/>
          <w:i/>
          <w:iCs/>
          <w:sz w:val="18"/>
          <w:szCs w:val="22"/>
        </w:rPr>
        <w:t>60,000 to &lt; 70,000</w:t>
      </w:r>
    </w:p>
    <w:p w14:paraId="686A9193" w14:textId="0508D9F4" w:rsidR="003C6ABC" w:rsidRPr="0057003A" w:rsidRDefault="009F17FE"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5</w:t>
      </w:r>
      <w:r w:rsidR="003C6ABC" w:rsidRPr="0057003A">
        <w:rPr>
          <w:rFonts w:ascii="Arial Narrow" w:hAnsi="Arial Narrow"/>
          <w:i/>
          <w:iCs/>
          <w:sz w:val="18"/>
          <w:szCs w:val="22"/>
        </w:rPr>
        <w:t>70,000 to &lt; 80,000</w:t>
      </w:r>
    </w:p>
    <w:p w14:paraId="5B5F9462" w14:textId="2BF32C12" w:rsidR="003C6ABC" w:rsidRPr="0057003A" w:rsidRDefault="00AF5CF3"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6</w:t>
      </w:r>
      <w:r w:rsidR="003C6ABC" w:rsidRPr="0057003A">
        <w:rPr>
          <w:rFonts w:ascii="Arial Narrow" w:hAnsi="Arial Narrow"/>
          <w:i/>
          <w:iCs/>
          <w:sz w:val="18"/>
          <w:szCs w:val="22"/>
        </w:rPr>
        <w:t>80,000 to &lt; 90,000</w:t>
      </w:r>
    </w:p>
    <w:p w14:paraId="7CCC6796" w14:textId="6E331D9A" w:rsidR="003C6ABC" w:rsidRPr="0057003A" w:rsidRDefault="00AF5CF3"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7</w:t>
      </w:r>
      <w:r w:rsidR="003C6ABC" w:rsidRPr="0057003A">
        <w:rPr>
          <w:rFonts w:ascii="Arial Narrow" w:hAnsi="Arial Narrow"/>
          <w:i/>
          <w:iCs/>
          <w:sz w:val="18"/>
          <w:szCs w:val="22"/>
        </w:rPr>
        <w:t>90,000 to &lt; 100,000</w:t>
      </w:r>
    </w:p>
    <w:p w14:paraId="48AEEC96" w14:textId="54722F9D" w:rsidR="003C6ABC" w:rsidRPr="0057003A" w:rsidRDefault="00AF5CF3"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10</w:t>
      </w:r>
      <w:r w:rsidR="003C6ABC" w:rsidRPr="0057003A">
        <w:rPr>
          <w:rFonts w:ascii="Arial Narrow" w:hAnsi="Arial Narrow"/>
          <w:i/>
          <w:iCs/>
          <w:sz w:val="18"/>
          <w:szCs w:val="22"/>
        </w:rPr>
        <w:t>100,000 to &lt; 200,000</w:t>
      </w:r>
    </w:p>
    <w:p w14:paraId="79B72382" w14:textId="032632F2" w:rsidR="003C6ABC" w:rsidRPr="0057003A" w:rsidRDefault="0031090B"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11</w:t>
      </w:r>
      <w:r w:rsidR="003C6ABC" w:rsidRPr="0057003A">
        <w:rPr>
          <w:rFonts w:ascii="Arial Narrow" w:hAnsi="Arial Narrow"/>
          <w:i/>
          <w:iCs/>
          <w:sz w:val="18"/>
          <w:szCs w:val="22"/>
        </w:rPr>
        <w:t>200,000 to &lt; 300,000</w:t>
      </w:r>
    </w:p>
    <w:p w14:paraId="2C7404C6" w14:textId="13D0BEB8" w:rsidR="003C6ABC" w:rsidRPr="0057003A" w:rsidRDefault="001C36CA"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12</w:t>
      </w:r>
      <w:r w:rsidR="003C6ABC" w:rsidRPr="0057003A">
        <w:rPr>
          <w:rFonts w:ascii="Arial Narrow" w:hAnsi="Arial Narrow"/>
          <w:i/>
          <w:iCs/>
          <w:sz w:val="18"/>
          <w:szCs w:val="22"/>
        </w:rPr>
        <w:t>400,000 to &lt; 500,000</w:t>
      </w:r>
    </w:p>
    <w:p w14:paraId="79E7E8E9" w14:textId="3CBA26C6" w:rsidR="003C6ABC" w:rsidRPr="0057003A" w:rsidRDefault="00A872A6"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13</w:t>
      </w:r>
      <w:r w:rsidR="003C6ABC" w:rsidRPr="0057003A">
        <w:rPr>
          <w:rFonts w:ascii="Arial Narrow" w:hAnsi="Arial Narrow"/>
          <w:i/>
          <w:iCs/>
          <w:sz w:val="18"/>
          <w:szCs w:val="22"/>
        </w:rPr>
        <w:t>500,000 to &lt; 600,000</w:t>
      </w:r>
    </w:p>
    <w:p w14:paraId="50DF2057" w14:textId="3DDCFC23" w:rsidR="003C6ABC" w:rsidRPr="0057003A" w:rsidRDefault="00A872A6"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14</w:t>
      </w:r>
      <w:r w:rsidR="003C6ABC" w:rsidRPr="0057003A">
        <w:rPr>
          <w:rFonts w:ascii="Arial Narrow" w:hAnsi="Arial Narrow"/>
          <w:i/>
          <w:iCs/>
          <w:sz w:val="18"/>
          <w:szCs w:val="22"/>
        </w:rPr>
        <w:t>600,000 to &lt; 700,000</w:t>
      </w:r>
    </w:p>
    <w:p w14:paraId="1AE88073" w14:textId="4EF53B9D" w:rsidR="003C6ABC" w:rsidRPr="0057003A" w:rsidRDefault="00A872A6"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15</w:t>
      </w:r>
      <w:r w:rsidR="003C6ABC" w:rsidRPr="0057003A">
        <w:rPr>
          <w:rFonts w:ascii="Arial Narrow" w:hAnsi="Arial Narrow"/>
          <w:i/>
          <w:iCs/>
          <w:sz w:val="18"/>
          <w:szCs w:val="22"/>
        </w:rPr>
        <w:t>700,000 to &lt; 800,000</w:t>
      </w:r>
    </w:p>
    <w:p w14:paraId="64948342" w14:textId="6912DB17" w:rsidR="003C6ABC" w:rsidRPr="0057003A" w:rsidRDefault="00A872A6"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16</w:t>
      </w:r>
      <w:r w:rsidR="003C6ABC" w:rsidRPr="0057003A">
        <w:rPr>
          <w:rFonts w:ascii="Arial Narrow" w:hAnsi="Arial Narrow"/>
          <w:i/>
          <w:iCs/>
          <w:sz w:val="18"/>
          <w:szCs w:val="22"/>
        </w:rPr>
        <w:t>800,000 to &lt; 900,000</w:t>
      </w:r>
    </w:p>
    <w:p w14:paraId="2E7254B8" w14:textId="6226DFF2" w:rsidR="003C6ABC" w:rsidRPr="0057003A" w:rsidRDefault="00B76D5C"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17</w:t>
      </w:r>
      <w:r w:rsidR="003C6ABC" w:rsidRPr="0057003A">
        <w:rPr>
          <w:rFonts w:ascii="Arial Narrow" w:hAnsi="Arial Narrow"/>
          <w:i/>
          <w:iCs/>
          <w:sz w:val="18"/>
          <w:szCs w:val="22"/>
        </w:rPr>
        <w:t>1,000,000 to &lt; 2,000,000</w:t>
      </w:r>
    </w:p>
    <w:p w14:paraId="03F3255F" w14:textId="77777777" w:rsidR="00AB648A" w:rsidRPr="0057003A" w:rsidRDefault="00B76D5C"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18</w:t>
      </w:r>
      <w:r w:rsidR="003C6ABC" w:rsidRPr="0057003A">
        <w:rPr>
          <w:rFonts w:ascii="Arial Narrow" w:hAnsi="Arial Narrow"/>
          <w:i/>
          <w:iCs/>
          <w:sz w:val="18"/>
          <w:szCs w:val="22"/>
        </w:rPr>
        <w:t>2,000,000 to &lt; 3,000,000</w:t>
      </w:r>
    </w:p>
    <w:p w14:paraId="48FDC299" w14:textId="77777777" w:rsidR="00BB3602" w:rsidRPr="0057003A" w:rsidRDefault="00AB648A"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19</w:t>
      </w:r>
      <w:r w:rsidRPr="0057003A">
        <w:rPr>
          <w:rFonts w:ascii="Arial Narrow" w:hAnsi="Arial Narrow"/>
          <w:i/>
          <w:iCs/>
          <w:sz w:val="18"/>
          <w:szCs w:val="22"/>
        </w:rPr>
        <w:t>3,000,000 to &lt; 4,000,000</w:t>
      </w:r>
    </w:p>
    <w:p w14:paraId="642A4975" w14:textId="3D245709" w:rsidR="00BB3602" w:rsidRPr="0057003A" w:rsidRDefault="00BB3602"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14</w:t>
      </w:r>
      <w:r w:rsidRPr="0057003A">
        <w:rPr>
          <w:rFonts w:ascii="Arial Narrow" w:hAnsi="Arial Narrow"/>
          <w:i/>
          <w:iCs/>
          <w:sz w:val="18"/>
          <w:szCs w:val="22"/>
        </w:rPr>
        <w:t>$90 million to &lt; $100 million</w:t>
      </w:r>
    </w:p>
    <w:p w14:paraId="4551095C" w14:textId="3294DFD2" w:rsidR="00BB3602" w:rsidRPr="0057003A" w:rsidRDefault="00A12C1F"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15</w:t>
      </w:r>
      <w:r w:rsidR="00BB3602" w:rsidRPr="0057003A">
        <w:rPr>
          <w:rFonts w:ascii="Arial Narrow" w:hAnsi="Arial Narrow"/>
          <w:i/>
          <w:iCs/>
          <w:sz w:val="18"/>
          <w:szCs w:val="22"/>
        </w:rPr>
        <w:t>$100 million to &lt; $200 million</w:t>
      </w:r>
    </w:p>
    <w:p w14:paraId="50E0F1ED" w14:textId="4BB6F017" w:rsidR="00BB3602" w:rsidRPr="0057003A" w:rsidRDefault="009D55FA"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16</w:t>
      </w:r>
      <w:r w:rsidR="00BB3602" w:rsidRPr="0057003A">
        <w:rPr>
          <w:rFonts w:ascii="Arial Narrow" w:hAnsi="Arial Narrow"/>
          <w:i/>
          <w:iCs/>
          <w:sz w:val="18"/>
          <w:szCs w:val="22"/>
        </w:rPr>
        <w:t>$200 million to &lt; $300 million</w:t>
      </w:r>
    </w:p>
    <w:p w14:paraId="60ADF354" w14:textId="5CA917AF" w:rsidR="00BB3602" w:rsidRPr="0057003A" w:rsidRDefault="004E7803"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17</w:t>
      </w:r>
      <w:r w:rsidR="00BB3602" w:rsidRPr="0057003A">
        <w:rPr>
          <w:rFonts w:ascii="Arial Narrow" w:hAnsi="Arial Narrow"/>
          <w:i/>
          <w:iCs/>
          <w:sz w:val="18"/>
          <w:szCs w:val="22"/>
        </w:rPr>
        <w:t>$300 million to &lt; $400 million</w:t>
      </w:r>
    </w:p>
    <w:p w14:paraId="0C5CBC61" w14:textId="6CD72476" w:rsidR="00BB3602" w:rsidRPr="0057003A" w:rsidRDefault="004E7803"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18</w:t>
      </w:r>
      <w:r w:rsidR="00BB3602" w:rsidRPr="0057003A">
        <w:rPr>
          <w:rFonts w:ascii="Arial Narrow" w:hAnsi="Arial Narrow"/>
          <w:i/>
          <w:iCs/>
          <w:sz w:val="18"/>
          <w:szCs w:val="22"/>
        </w:rPr>
        <w:t>$400 million to &lt; $500 million</w:t>
      </w:r>
    </w:p>
    <w:p w14:paraId="0A301BBB" w14:textId="6370A52B" w:rsidR="00E4243B" w:rsidRPr="0057003A" w:rsidRDefault="00E4243B"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19</w:t>
      </w:r>
      <w:r w:rsidR="00BB3602" w:rsidRPr="0057003A">
        <w:rPr>
          <w:rFonts w:ascii="Arial Narrow" w:hAnsi="Arial Narrow"/>
          <w:i/>
          <w:iCs/>
          <w:sz w:val="18"/>
          <w:szCs w:val="22"/>
        </w:rPr>
        <w:t>$500 million to &lt; $600 million</w:t>
      </w:r>
      <w:r w:rsidRPr="0057003A">
        <w:rPr>
          <w:rFonts w:ascii="Arial Narrow" w:hAnsi="Arial Narrow"/>
          <w:i/>
          <w:iCs/>
          <w:sz w:val="18"/>
          <w:szCs w:val="22"/>
        </w:rPr>
        <w:t xml:space="preserve"> </w:t>
      </w:r>
    </w:p>
    <w:p w14:paraId="3EA439AA" w14:textId="36F40A15" w:rsidR="00E4243B" w:rsidRPr="0057003A" w:rsidRDefault="00E4243B"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20</w:t>
      </w:r>
      <w:r w:rsidRPr="0057003A">
        <w:rPr>
          <w:rFonts w:ascii="Arial Narrow" w:hAnsi="Arial Narrow"/>
          <w:i/>
          <w:iCs/>
          <w:sz w:val="18"/>
          <w:szCs w:val="22"/>
        </w:rPr>
        <w:t>$600 million to &lt; $700 million</w:t>
      </w:r>
    </w:p>
    <w:p w14:paraId="3D450154" w14:textId="23365A32" w:rsidR="00E4243B" w:rsidRPr="0057003A" w:rsidRDefault="00E4243B" w:rsidP="008A0848">
      <w:pPr>
        <w:keepNext/>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21</w:t>
      </w:r>
      <w:r w:rsidRPr="0057003A">
        <w:rPr>
          <w:rFonts w:ascii="Arial Narrow" w:hAnsi="Arial Narrow"/>
          <w:i/>
          <w:iCs/>
          <w:sz w:val="18"/>
          <w:szCs w:val="22"/>
        </w:rPr>
        <w:t>$700 million to &lt; $800 million</w:t>
      </w:r>
    </w:p>
    <w:p w14:paraId="352EBD70" w14:textId="6E7BC32B" w:rsidR="00085EAF" w:rsidRPr="0057003A" w:rsidRDefault="00E4243B" w:rsidP="00E4243B">
      <w:pPr>
        <w:widowControl w:val="0"/>
        <w:spacing w:after="120"/>
        <w:contextualSpacing/>
        <w:rPr>
          <w:rFonts w:ascii="Arial Narrow" w:hAnsi="Arial Narrow"/>
          <w:i/>
          <w:iCs/>
          <w:sz w:val="18"/>
          <w:szCs w:val="22"/>
        </w:rPr>
      </w:pPr>
      <w:r w:rsidRPr="0057003A">
        <w:rPr>
          <w:rFonts w:ascii="Arial Narrow" w:hAnsi="Arial Narrow"/>
          <w:i/>
          <w:iCs/>
          <w:sz w:val="18"/>
          <w:szCs w:val="22"/>
          <w:vertAlign w:val="superscript"/>
        </w:rPr>
        <w:t>19</w:t>
      </w:r>
      <w:r w:rsidRPr="0057003A">
        <w:rPr>
          <w:rFonts w:ascii="Arial Narrow" w:hAnsi="Arial Narrow"/>
          <w:i/>
          <w:iCs/>
          <w:sz w:val="18"/>
          <w:szCs w:val="22"/>
        </w:rPr>
        <w:t>$900 million to &lt; $1 billion</w:t>
      </w:r>
    </w:p>
    <w:p w14:paraId="7775543C" w14:textId="74076246" w:rsidR="00064A73" w:rsidRPr="00064A73" w:rsidRDefault="00064A73" w:rsidP="00064A73">
      <w:pPr>
        <w:pStyle w:val="COMESnumberedpara"/>
      </w:pPr>
      <w:r w:rsidRPr="00064A73">
        <w:t>The corrected estimated total cost to the PBS/RPBS for semaglutide in patients with established cardiovascular disease who were overweight or obese (BMI ≥27 kg/m</w:t>
      </w:r>
      <w:r w:rsidRPr="00064A73">
        <w:rPr>
          <w:vertAlign w:val="superscript"/>
        </w:rPr>
        <w:t>2</w:t>
      </w:r>
      <w:r w:rsidRPr="00064A73">
        <w:t xml:space="preserve">) was </w:t>
      </w:r>
      <w:r w:rsidR="00D42F8B" w:rsidRPr="00D42F8B">
        <w:t>$300 million to &lt; $400 million</w:t>
      </w:r>
      <w:r w:rsidR="00D42F8B">
        <w:t xml:space="preserve"> </w:t>
      </w:r>
      <w:r w:rsidRPr="00064A73">
        <w:t xml:space="preserve">in Year 1, increasing to </w:t>
      </w:r>
      <w:r w:rsidR="00514E66" w:rsidRPr="00514E66">
        <w:t>$900 million to &lt; $1 billion</w:t>
      </w:r>
      <w:r w:rsidR="00721B78">
        <w:t xml:space="preserve"> </w:t>
      </w:r>
      <w:r w:rsidRPr="00064A73">
        <w:t xml:space="preserve">in Year 6, with a cumulative cost of </w:t>
      </w:r>
      <w:r w:rsidR="0035010A" w:rsidRPr="0035010A">
        <w:t>&gt; $1 billion</w:t>
      </w:r>
      <w:r w:rsidR="00721B78">
        <w:t xml:space="preserve"> </w:t>
      </w:r>
      <w:r w:rsidRPr="00064A73">
        <w:t>over the first 6 years of listing.</w:t>
      </w:r>
    </w:p>
    <w:p w14:paraId="6B2D6BD1" w14:textId="334D18F5" w:rsidR="00064A73" w:rsidRPr="00064A73" w:rsidRDefault="00064A73" w:rsidP="00064A73">
      <w:pPr>
        <w:pStyle w:val="COMESnumberedpara"/>
      </w:pPr>
      <w:r w:rsidRPr="00064A73">
        <w:t>The corrected estimated total cost to the PBS/RPBS for semaglutide in patients with established cardiovascular disease and Class 2/3 obesity (BMI ≥35 kg/m</w:t>
      </w:r>
      <w:r w:rsidRPr="00064A73">
        <w:rPr>
          <w:vertAlign w:val="superscript"/>
        </w:rPr>
        <w:t>2</w:t>
      </w:r>
      <w:r w:rsidRPr="00064A73">
        <w:t>) was $</w:t>
      </w:r>
      <w:r w:rsidR="000B0E44" w:rsidRPr="000B0E44">
        <w:t>100 million to &lt; $200 million</w:t>
      </w:r>
      <w:r w:rsidR="00721B78">
        <w:t xml:space="preserve"> </w:t>
      </w:r>
      <w:r w:rsidRPr="00064A73">
        <w:t xml:space="preserve">in Year 1, increasing to </w:t>
      </w:r>
      <w:r w:rsidR="005C458C" w:rsidRPr="005C458C">
        <w:t>$300 million to &lt; $400 million</w:t>
      </w:r>
      <w:r w:rsidR="00721B78">
        <w:t xml:space="preserve"> </w:t>
      </w:r>
      <w:r w:rsidRPr="00064A73">
        <w:t xml:space="preserve">in Year 6, with a cumulative cost of </w:t>
      </w:r>
      <w:r w:rsidR="00267760" w:rsidRPr="00267760">
        <w:t>&gt; $1 billion</w:t>
      </w:r>
      <w:r w:rsidR="00721B78">
        <w:t xml:space="preserve"> </w:t>
      </w:r>
      <w:r w:rsidRPr="00064A73">
        <w:t>over the first 6 years of listing.</w:t>
      </w:r>
    </w:p>
    <w:p w14:paraId="488E3207" w14:textId="37A6B7F1" w:rsidR="00064A73" w:rsidRPr="00064A73" w:rsidRDefault="00064A73" w:rsidP="00064A73">
      <w:pPr>
        <w:pStyle w:val="COMESnumberedpara"/>
      </w:pPr>
      <w:r w:rsidRPr="00064A73">
        <w:t>The corrected estimated total cost to the PBS/RPBS for semaglutide in patients with established cardiovascular disease and Class 3 obesity (BMI ≥40 kg/m</w:t>
      </w:r>
      <w:r w:rsidRPr="00064A73">
        <w:rPr>
          <w:vertAlign w:val="superscript"/>
        </w:rPr>
        <w:t>2</w:t>
      </w:r>
      <w:r w:rsidRPr="00064A73">
        <w:t xml:space="preserve">) was </w:t>
      </w:r>
      <w:r w:rsidR="00B8434C" w:rsidRPr="00B8434C">
        <w:t>$90 million to &lt; $100 million</w:t>
      </w:r>
      <w:r w:rsidRPr="00064A73">
        <w:t xml:space="preserve"> in Year 1, increasing to </w:t>
      </w:r>
      <w:r w:rsidR="001912E2" w:rsidRPr="001912E2">
        <w:t>$100 million to &lt; $200 million</w:t>
      </w:r>
      <w:r w:rsidR="00721B78">
        <w:t xml:space="preserve"> </w:t>
      </w:r>
      <w:r w:rsidRPr="00064A73">
        <w:t xml:space="preserve">in Year 6, with a cumulative cost of </w:t>
      </w:r>
      <w:r w:rsidR="00B36EF0" w:rsidRPr="00B36EF0">
        <w:t>$900 million to &lt; $1 billion</w:t>
      </w:r>
      <w:r w:rsidR="00721B78">
        <w:t xml:space="preserve"> </w:t>
      </w:r>
      <w:r w:rsidRPr="00064A73">
        <w:t xml:space="preserve">over the first 6 years of listing. </w:t>
      </w:r>
    </w:p>
    <w:p w14:paraId="08783418" w14:textId="590DEF67" w:rsidR="00064A73" w:rsidRPr="00064A73" w:rsidRDefault="00064A73" w:rsidP="00064A73">
      <w:pPr>
        <w:pStyle w:val="COMESnumberedpara"/>
        <w:rPr>
          <w:bCs/>
        </w:rPr>
      </w:pPr>
      <w:r w:rsidRPr="00064A73">
        <w:t>DUSC</w:t>
      </w:r>
      <w:r w:rsidRPr="00064A73">
        <w:rPr>
          <w:bCs/>
        </w:rPr>
        <w:t xml:space="preserve"> consider</w:t>
      </w:r>
      <w:r>
        <w:rPr>
          <w:bCs/>
        </w:rPr>
        <w:t>ed</w:t>
      </w:r>
      <w:r w:rsidRPr="00064A73">
        <w:rPr>
          <w:bCs/>
        </w:rPr>
        <w:t xml:space="preserve"> the estimates presented in the submission to be overestimated. The main issues </w:t>
      </w:r>
      <w:r>
        <w:rPr>
          <w:bCs/>
        </w:rPr>
        <w:t>we</w:t>
      </w:r>
      <w:r w:rsidRPr="00064A73">
        <w:rPr>
          <w:bCs/>
        </w:rPr>
        <w:t>re:</w:t>
      </w:r>
    </w:p>
    <w:p w14:paraId="06732F73" w14:textId="2D883620" w:rsidR="00064A73" w:rsidRPr="00064A73" w:rsidRDefault="00064A73" w:rsidP="00064A73">
      <w:pPr>
        <w:pStyle w:val="ListParagraph"/>
        <w:numPr>
          <w:ilvl w:val="0"/>
          <w:numId w:val="33"/>
        </w:numPr>
        <w:spacing w:after="0"/>
        <w:contextualSpacing/>
        <w:jc w:val="both"/>
        <w:rPr>
          <w:rFonts w:eastAsia="SimSun"/>
          <w:bCs/>
        </w:rPr>
      </w:pPr>
      <w:r w:rsidRPr="00064A73">
        <w:rPr>
          <w:rFonts w:eastAsia="SimSun"/>
          <w:bCs/>
        </w:rPr>
        <w:t xml:space="preserve">The estimated number of supplied scripts </w:t>
      </w:r>
      <w:r w:rsidRPr="00064A73">
        <w:rPr>
          <w:bCs/>
        </w:rPr>
        <w:t xml:space="preserve">per patient per year was overestimated, as it did not account for patients initiating, pausing or discontinuing treatment through each year. DUSC considered that this value should be modelled from the semaglutide for </w:t>
      </w:r>
      <w:r w:rsidR="00616341">
        <w:rPr>
          <w:bCs/>
        </w:rPr>
        <w:t>type 2 diabetes</w:t>
      </w:r>
      <w:r w:rsidRPr="00064A73">
        <w:rPr>
          <w:bCs/>
        </w:rPr>
        <w:t xml:space="preserve"> PBS data (7.0 to 8.5 scripts per patient per year).</w:t>
      </w:r>
    </w:p>
    <w:p w14:paraId="0BF00122" w14:textId="225FB2EE" w:rsidR="00064A73" w:rsidRPr="00064A73" w:rsidRDefault="00064A73" w:rsidP="00064A73">
      <w:pPr>
        <w:pStyle w:val="ListParagraph"/>
        <w:numPr>
          <w:ilvl w:val="0"/>
          <w:numId w:val="33"/>
        </w:numPr>
        <w:spacing w:after="0"/>
        <w:contextualSpacing/>
        <w:jc w:val="both"/>
        <w:rPr>
          <w:rFonts w:eastAsia="SimSun"/>
          <w:b/>
        </w:rPr>
      </w:pPr>
      <w:r w:rsidRPr="003F1163">
        <w:t xml:space="preserve">There is a high degree of uncertainty associated with estimated utilisation rates which could not be validated against other data sources. </w:t>
      </w:r>
      <w:r w:rsidRPr="00064A73">
        <w:t xml:space="preserve">DUSC considered the utilisation rates for </w:t>
      </w:r>
      <w:r w:rsidR="00AD6C4E" w:rsidRPr="00064A73">
        <w:t>BMI ≥40 kg/m</w:t>
      </w:r>
      <w:r w:rsidR="00AD6C4E" w:rsidRPr="00064A73">
        <w:rPr>
          <w:vertAlign w:val="superscript"/>
        </w:rPr>
        <w:t>2</w:t>
      </w:r>
      <w:r w:rsidRPr="00064A73">
        <w:t xml:space="preserve">were overestimated and the rates for </w:t>
      </w:r>
      <w:r w:rsidR="00AD6C4E" w:rsidRPr="00064A73">
        <w:t>BMI ≥</w:t>
      </w:r>
      <w:r w:rsidR="00AD6C4E">
        <w:t>27</w:t>
      </w:r>
      <w:r w:rsidR="00AD6C4E" w:rsidRPr="00064A73">
        <w:t xml:space="preserve"> kg/m</w:t>
      </w:r>
      <w:r w:rsidR="00AD6C4E" w:rsidRPr="00064A73">
        <w:rPr>
          <w:vertAlign w:val="superscript"/>
        </w:rPr>
        <w:t>2</w:t>
      </w:r>
      <w:r w:rsidRPr="00064A73">
        <w:t>were underestimated in later years.</w:t>
      </w:r>
    </w:p>
    <w:p w14:paraId="11682B3A" w14:textId="77777777" w:rsidR="00064A73" w:rsidRDefault="00064A73" w:rsidP="00064A73">
      <w:pPr>
        <w:pStyle w:val="ListParagraph"/>
        <w:numPr>
          <w:ilvl w:val="0"/>
          <w:numId w:val="33"/>
        </w:numPr>
        <w:spacing w:after="0"/>
        <w:contextualSpacing/>
        <w:jc w:val="both"/>
        <w:rPr>
          <w:bCs/>
        </w:rPr>
      </w:pPr>
      <w:r w:rsidRPr="00064A73">
        <w:rPr>
          <w:bCs/>
        </w:rPr>
        <w:lastRenderedPageBreak/>
        <w:t>DUSC considered the proportion of patients who would be treated with 2.4 mg of semaglutide per week was overestimated.</w:t>
      </w:r>
    </w:p>
    <w:p w14:paraId="09514AB9" w14:textId="0D708D1B" w:rsidR="00B51025" w:rsidRDefault="00B51025" w:rsidP="001F72D2">
      <w:pPr>
        <w:pStyle w:val="COMESnumberedpara"/>
        <w:rPr>
          <w:bCs/>
        </w:rPr>
      </w:pPr>
      <w:r>
        <w:rPr>
          <w:bCs/>
        </w:rPr>
        <w:t>T</w:t>
      </w:r>
      <w:r w:rsidR="0097521E">
        <w:rPr>
          <w:bCs/>
        </w:rPr>
        <w:t>he</w:t>
      </w:r>
      <w:r>
        <w:rPr>
          <w:bCs/>
        </w:rPr>
        <w:t xml:space="preserve"> </w:t>
      </w:r>
      <w:r w:rsidR="00801F9F">
        <w:rPr>
          <w:bCs/>
        </w:rPr>
        <w:t xml:space="preserve">pre-PBAC </w:t>
      </w:r>
      <w:proofErr w:type="gramStart"/>
      <w:r w:rsidR="00801F9F">
        <w:rPr>
          <w:bCs/>
        </w:rPr>
        <w:t xml:space="preserve">response </w:t>
      </w:r>
      <w:r w:rsidR="007F7811">
        <w:rPr>
          <w:bCs/>
        </w:rPr>
        <w:t xml:space="preserve"> provided</w:t>
      </w:r>
      <w:proofErr w:type="gramEnd"/>
      <w:r w:rsidR="007F7811">
        <w:rPr>
          <w:bCs/>
        </w:rPr>
        <w:t xml:space="preserve"> </w:t>
      </w:r>
      <w:r w:rsidR="00DA10A2">
        <w:rPr>
          <w:bCs/>
        </w:rPr>
        <w:t>additional sensitivity analyses</w:t>
      </w:r>
      <w:r>
        <w:rPr>
          <w:bCs/>
        </w:rPr>
        <w:t xml:space="preserve"> which varied the following inputs</w:t>
      </w:r>
      <w:r w:rsidR="00EA0547">
        <w:rPr>
          <w:bCs/>
        </w:rPr>
        <w:t xml:space="preserve"> (</w:t>
      </w:r>
      <w:r w:rsidR="00782401">
        <w:rPr>
          <w:bCs/>
        </w:rPr>
        <w:fldChar w:fldCharType="begin"/>
      </w:r>
      <w:r w:rsidR="00782401">
        <w:rPr>
          <w:bCs/>
        </w:rPr>
        <w:instrText xml:space="preserve"> REF _Ref213953342 \h </w:instrText>
      </w:r>
      <w:r w:rsidR="00782401">
        <w:rPr>
          <w:bCs/>
        </w:rPr>
      </w:r>
      <w:r w:rsidR="00782401">
        <w:rPr>
          <w:bCs/>
        </w:rPr>
        <w:fldChar w:fldCharType="separate"/>
      </w:r>
      <w:r w:rsidR="004F1BBD">
        <w:t xml:space="preserve">Table </w:t>
      </w:r>
      <w:r w:rsidR="004F1BBD">
        <w:rPr>
          <w:noProof/>
        </w:rPr>
        <w:t>21</w:t>
      </w:r>
      <w:r w:rsidR="00782401">
        <w:rPr>
          <w:bCs/>
        </w:rPr>
        <w:fldChar w:fldCharType="end"/>
      </w:r>
      <w:r w:rsidR="00782401">
        <w:rPr>
          <w:bCs/>
        </w:rPr>
        <w:t>)</w:t>
      </w:r>
      <w:r>
        <w:rPr>
          <w:bCs/>
        </w:rPr>
        <w:t>:</w:t>
      </w:r>
    </w:p>
    <w:p w14:paraId="5AE9D7A3" w14:textId="59EA9942" w:rsidR="00AD6C4E" w:rsidRDefault="007514A8" w:rsidP="00B51025">
      <w:pPr>
        <w:pStyle w:val="ListParagraph"/>
        <w:numPr>
          <w:ilvl w:val="0"/>
          <w:numId w:val="33"/>
        </w:numPr>
        <w:spacing w:after="0"/>
        <w:contextualSpacing/>
        <w:jc w:val="both"/>
        <w:rPr>
          <w:bCs/>
        </w:rPr>
      </w:pPr>
      <w:r>
        <w:rPr>
          <w:bCs/>
        </w:rPr>
        <w:t>Lower script volume per patient modelled between 7.5 to 8.5 scripts per year, based on 2024</w:t>
      </w:r>
      <w:r w:rsidR="00616341">
        <w:rPr>
          <w:bCs/>
        </w:rPr>
        <w:t>/2025 PBS data for semaglutide in type</w:t>
      </w:r>
      <w:r w:rsidR="00AD6C4E">
        <w:rPr>
          <w:bCs/>
        </w:rPr>
        <w:t xml:space="preserve"> 2 diabetes</w:t>
      </w:r>
      <w:r w:rsidR="00271E6B">
        <w:rPr>
          <w:bCs/>
        </w:rPr>
        <w:t>.</w:t>
      </w:r>
    </w:p>
    <w:p w14:paraId="11628493" w14:textId="52ACA5F7" w:rsidR="00911977" w:rsidRPr="00271E6B" w:rsidRDefault="00AD6C4E" w:rsidP="00B51025">
      <w:pPr>
        <w:pStyle w:val="ListParagraph"/>
        <w:numPr>
          <w:ilvl w:val="0"/>
          <w:numId w:val="33"/>
        </w:numPr>
        <w:spacing w:after="0"/>
        <w:contextualSpacing/>
        <w:jc w:val="both"/>
        <w:rPr>
          <w:bCs/>
        </w:rPr>
      </w:pPr>
      <w:r>
        <w:rPr>
          <w:bCs/>
        </w:rPr>
        <w:t xml:space="preserve">Lower and higher assumed utilisation rates in the </w:t>
      </w:r>
      <w:r w:rsidR="008C7359" w:rsidRPr="00064A73">
        <w:t>BMI ≥40 kg/m</w:t>
      </w:r>
      <w:r w:rsidR="008C7359" w:rsidRPr="00064A73">
        <w:rPr>
          <w:vertAlign w:val="superscript"/>
        </w:rPr>
        <w:t>2</w:t>
      </w:r>
      <w:r w:rsidR="008C7359">
        <w:rPr>
          <w:vertAlign w:val="superscript"/>
        </w:rPr>
        <w:t xml:space="preserve"> </w:t>
      </w:r>
      <w:r w:rsidR="008C7359">
        <w:rPr>
          <w:bCs/>
        </w:rPr>
        <w:t xml:space="preserve">and </w:t>
      </w:r>
      <w:r w:rsidR="008C7359" w:rsidRPr="00064A73">
        <w:t>BMI ≥</w:t>
      </w:r>
      <w:r w:rsidR="008C7359">
        <w:t>27</w:t>
      </w:r>
      <w:r w:rsidR="008C7359" w:rsidRPr="00064A73">
        <w:t xml:space="preserve"> kg/m</w:t>
      </w:r>
      <w:r w:rsidR="008C7359" w:rsidRPr="00064A73">
        <w:rPr>
          <w:vertAlign w:val="superscript"/>
        </w:rPr>
        <w:t>2</w:t>
      </w:r>
      <w:r w:rsidR="008C7359">
        <w:rPr>
          <w:vertAlign w:val="superscript"/>
        </w:rPr>
        <w:t xml:space="preserve"> </w:t>
      </w:r>
      <w:r w:rsidR="00271E6B">
        <w:t>subgroups, respectively.</w:t>
      </w:r>
    </w:p>
    <w:p w14:paraId="01BFEF5A" w14:textId="360F0E1C" w:rsidR="005918AE" w:rsidRDefault="00271E6B" w:rsidP="00EA0547">
      <w:pPr>
        <w:pStyle w:val="ListParagraph"/>
        <w:numPr>
          <w:ilvl w:val="0"/>
          <w:numId w:val="33"/>
        </w:numPr>
        <w:spacing w:after="0"/>
        <w:contextualSpacing/>
        <w:jc w:val="both"/>
        <w:rPr>
          <w:bCs/>
        </w:rPr>
      </w:pPr>
      <w:r>
        <w:rPr>
          <w:bCs/>
        </w:rPr>
        <w:t xml:space="preserve">Different proportional utilisation of available strengths </w:t>
      </w:r>
      <w:r w:rsidR="005918AE">
        <w:rPr>
          <w:bCs/>
        </w:rPr>
        <w:t xml:space="preserve">to reflect slower and less complete titration. </w:t>
      </w:r>
    </w:p>
    <w:p w14:paraId="1B005856" w14:textId="7D724452" w:rsidR="00320AEC" w:rsidRPr="00320AEC" w:rsidRDefault="00320AEC" w:rsidP="00320AEC">
      <w:pPr>
        <w:pStyle w:val="Caption"/>
        <w:spacing w:before="120"/>
      </w:pPr>
      <w:bookmarkStart w:id="72" w:name="_Ref213953342"/>
      <w:r>
        <w:t xml:space="preserve">Table </w:t>
      </w:r>
      <w:r w:rsidR="005448C5">
        <w:fldChar w:fldCharType="begin"/>
      </w:r>
      <w:r w:rsidR="005448C5">
        <w:instrText xml:space="preserve"> SEQ Table \* ARABIC </w:instrText>
      </w:r>
      <w:r w:rsidR="005448C5">
        <w:fldChar w:fldCharType="separate"/>
      </w:r>
      <w:r w:rsidR="004F1BBD">
        <w:rPr>
          <w:noProof/>
        </w:rPr>
        <w:t>21</w:t>
      </w:r>
      <w:r w:rsidR="005448C5">
        <w:rPr>
          <w:noProof/>
        </w:rPr>
        <w:fldChar w:fldCharType="end"/>
      </w:r>
      <w:bookmarkEnd w:id="72"/>
      <w:r>
        <w:t xml:space="preserve"> </w:t>
      </w:r>
      <w:proofErr w:type="gramStart"/>
      <w:r>
        <w:t>Pre-PBAC</w:t>
      </w:r>
      <w:proofErr w:type="gramEnd"/>
      <w:r>
        <w:t xml:space="preserve"> response sensitivity analyses to the financial estimates</w:t>
      </w:r>
    </w:p>
    <w:tbl>
      <w:tblPr>
        <w:tblStyle w:val="TableGrid"/>
        <w:tblW w:w="0" w:type="auto"/>
        <w:tblLook w:val="04A0" w:firstRow="1" w:lastRow="0" w:firstColumn="1" w:lastColumn="0" w:noHBand="0" w:noVBand="1"/>
        <w:tblCaption w:val="Pre-PBAC response sensitivity analyses to the financial estimates"/>
      </w:tblPr>
      <w:tblGrid>
        <w:gridCol w:w="988"/>
        <w:gridCol w:w="3118"/>
        <w:gridCol w:w="1559"/>
        <w:gridCol w:w="1701"/>
        <w:gridCol w:w="1650"/>
      </w:tblGrid>
      <w:tr w:rsidR="00320AEC" w:rsidRPr="005963F7" w14:paraId="2D061747" w14:textId="77777777" w:rsidTr="00700156">
        <w:trPr>
          <w:trHeight w:val="306"/>
        </w:trPr>
        <w:tc>
          <w:tcPr>
            <w:tcW w:w="988" w:type="dxa"/>
            <w:vMerge w:val="restart"/>
          </w:tcPr>
          <w:p w14:paraId="03B762EB" w14:textId="77777777" w:rsidR="00320AEC" w:rsidRPr="005963F7" w:rsidRDefault="00320AEC" w:rsidP="00320AEC">
            <w:pPr>
              <w:pStyle w:val="TableText"/>
            </w:pPr>
            <w:r w:rsidRPr="005963F7">
              <w:br/>
              <w:t>Analysis</w:t>
            </w:r>
          </w:p>
        </w:tc>
        <w:tc>
          <w:tcPr>
            <w:tcW w:w="3118" w:type="dxa"/>
            <w:vMerge w:val="restart"/>
          </w:tcPr>
          <w:p w14:paraId="2D5A77D0" w14:textId="77777777" w:rsidR="00320AEC" w:rsidRPr="005963F7" w:rsidRDefault="00320AEC" w:rsidP="00320AEC">
            <w:pPr>
              <w:pStyle w:val="TableText"/>
            </w:pPr>
            <w:r w:rsidRPr="005963F7">
              <w:br/>
              <w:t>Details</w:t>
            </w:r>
          </w:p>
        </w:tc>
        <w:tc>
          <w:tcPr>
            <w:tcW w:w="4910" w:type="dxa"/>
            <w:gridSpan w:val="3"/>
          </w:tcPr>
          <w:p w14:paraId="02B32103" w14:textId="77777777" w:rsidR="00320AEC" w:rsidRPr="005963F7" w:rsidRDefault="00320AEC" w:rsidP="00320AEC">
            <w:pPr>
              <w:pStyle w:val="TableText"/>
            </w:pPr>
            <w:r w:rsidRPr="005963F7">
              <w:t>6-year cost to PBS/RPBS</w:t>
            </w:r>
          </w:p>
        </w:tc>
      </w:tr>
      <w:tr w:rsidR="00320AEC" w:rsidRPr="005963F7" w14:paraId="1C84E840" w14:textId="77777777" w:rsidTr="00700156">
        <w:trPr>
          <w:trHeight w:val="341"/>
        </w:trPr>
        <w:tc>
          <w:tcPr>
            <w:tcW w:w="988" w:type="dxa"/>
            <w:vMerge/>
          </w:tcPr>
          <w:p w14:paraId="5DB7D88F" w14:textId="77777777" w:rsidR="00320AEC" w:rsidRPr="005963F7" w:rsidRDefault="00320AEC" w:rsidP="00320AEC">
            <w:pPr>
              <w:pStyle w:val="TableText"/>
            </w:pPr>
          </w:p>
        </w:tc>
        <w:tc>
          <w:tcPr>
            <w:tcW w:w="3118" w:type="dxa"/>
            <w:vMerge/>
          </w:tcPr>
          <w:p w14:paraId="70FBC7A7" w14:textId="77777777" w:rsidR="00320AEC" w:rsidRPr="005963F7" w:rsidRDefault="00320AEC" w:rsidP="00320AEC">
            <w:pPr>
              <w:pStyle w:val="TableText"/>
            </w:pPr>
          </w:p>
        </w:tc>
        <w:tc>
          <w:tcPr>
            <w:tcW w:w="1559" w:type="dxa"/>
          </w:tcPr>
          <w:p w14:paraId="06274C7B" w14:textId="77777777" w:rsidR="00320AEC" w:rsidRPr="005963F7" w:rsidRDefault="00320AEC" w:rsidP="00320AEC">
            <w:pPr>
              <w:pStyle w:val="TableText"/>
            </w:pPr>
            <w:r w:rsidRPr="005963F7">
              <w:t xml:space="preserve">BMI </w:t>
            </w:r>
            <w:r w:rsidRPr="005963F7">
              <w:rPr>
                <w:rFonts w:cs="Calibri"/>
              </w:rPr>
              <w:t>≥</w:t>
            </w:r>
            <w:r w:rsidRPr="005963F7">
              <w:t>27 kg/m</w:t>
            </w:r>
            <w:r w:rsidRPr="005963F7">
              <w:rPr>
                <w:vertAlign w:val="superscript"/>
              </w:rPr>
              <w:t>2</w:t>
            </w:r>
          </w:p>
        </w:tc>
        <w:tc>
          <w:tcPr>
            <w:tcW w:w="1701" w:type="dxa"/>
          </w:tcPr>
          <w:p w14:paraId="2CADB312" w14:textId="77777777" w:rsidR="00320AEC" w:rsidRPr="005963F7" w:rsidRDefault="00320AEC" w:rsidP="00320AEC">
            <w:pPr>
              <w:pStyle w:val="TableText"/>
            </w:pPr>
            <w:r w:rsidRPr="005963F7">
              <w:t xml:space="preserve">BMI </w:t>
            </w:r>
            <w:r w:rsidRPr="005963F7">
              <w:rPr>
                <w:rFonts w:cs="Calibri"/>
              </w:rPr>
              <w:t>≥</w:t>
            </w:r>
            <w:r w:rsidRPr="005963F7">
              <w:t>35 kg/m</w:t>
            </w:r>
            <w:r w:rsidRPr="005963F7">
              <w:rPr>
                <w:vertAlign w:val="superscript"/>
              </w:rPr>
              <w:t>2</w:t>
            </w:r>
          </w:p>
        </w:tc>
        <w:tc>
          <w:tcPr>
            <w:tcW w:w="1650" w:type="dxa"/>
          </w:tcPr>
          <w:p w14:paraId="1EBB8FB5" w14:textId="77777777" w:rsidR="00320AEC" w:rsidRPr="005963F7" w:rsidRDefault="00320AEC" w:rsidP="00320AEC">
            <w:pPr>
              <w:pStyle w:val="TableText"/>
            </w:pPr>
            <w:r w:rsidRPr="005963F7">
              <w:t xml:space="preserve">BMI </w:t>
            </w:r>
            <w:r w:rsidRPr="005963F7">
              <w:rPr>
                <w:rFonts w:cs="Calibri"/>
              </w:rPr>
              <w:t>≥</w:t>
            </w:r>
            <w:r w:rsidRPr="005963F7">
              <w:t>40 kg/m</w:t>
            </w:r>
            <w:r w:rsidRPr="005963F7">
              <w:rPr>
                <w:vertAlign w:val="superscript"/>
              </w:rPr>
              <w:t>2</w:t>
            </w:r>
          </w:p>
        </w:tc>
      </w:tr>
      <w:tr w:rsidR="00320AEC" w:rsidRPr="005963F7" w14:paraId="624F7526" w14:textId="77777777" w:rsidTr="00700156">
        <w:trPr>
          <w:trHeight w:val="218"/>
        </w:trPr>
        <w:tc>
          <w:tcPr>
            <w:tcW w:w="4106" w:type="dxa"/>
            <w:gridSpan w:val="2"/>
          </w:tcPr>
          <w:p w14:paraId="31CE9C65" w14:textId="77777777" w:rsidR="00320AEC" w:rsidRPr="005963F7" w:rsidRDefault="00320AEC" w:rsidP="00320AEC">
            <w:pPr>
              <w:pStyle w:val="TableText"/>
            </w:pPr>
            <w:r w:rsidRPr="005963F7">
              <w:t>Base Case</w:t>
            </w:r>
          </w:p>
        </w:tc>
        <w:tc>
          <w:tcPr>
            <w:tcW w:w="1559" w:type="dxa"/>
          </w:tcPr>
          <w:p w14:paraId="5E528A8F" w14:textId="15DC2ACC" w:rsidR="00320AEC" w:rsidRPr="005963F7" w:rsidRDefault="00320AEC" w:rsidP="00320AEC">
            <w:pPr>
              <w:pStyle w:val="TableText"/>
            </w:pPr>
            <w:r w:rsidRPr="005963F7">
              <w:t>$</w:t>
            </w:r>
            <w:r w:rsidR="005E35AF" w:rsidRPr="005E35AF">
              <w:rPr>
                <w:highlight w:val="black"/>
              </w:rPr>
              <w:t>&amp;&amp;&amp;&amp;</w:t>
            </w:r>
            <w:r w:rsidR="00BC102A">
              <w:rPr>
                <w:szCs w:val="18"/>
                <w:vertAlign w:val="superscript"/>
              </w:rPr>
              <w:t>6</w:t>
            </w:r>
          </w:p>
        </w:tc>
        <w:tc>
          <w:tcPr>
            <w:tcW w:w="1701" w:type="dxa"/>
          </w:tcPr>
          <w:p w14:paraId="1F9A6ED0" w14:textId="73DB15ED" w:rsidR="00320AEC" w:rsidRPr="00BC102A" w:rsidRDefault="00BC102A" w:rsidP="00320AEC">
            <w:pPr>
              <w:pStyle w:val="TableText"/>
              <w:rPr>
                <w:highlight w:val="darkGray"/>
              </w:rPr>
            </w:pPr>
            <w:r w:rsidRPr="00BC102A">
              <w:t>$</w:t>
            </w:r>
            <w:r w:rsidR="005E35AF" w:rsidRPr="005E35AF">
              <w:rPr>
                <w:highlight w:val="black"/>
              </w:rPr>
              <w:t>&amp;&amp;&amp;&amp;</w:t>
            </w:r>
            <w:r>
              <w:rPr>
                <w:szCs w:val="18"/>
                <w:vertAlign w:val="superscript"/>
              </w:rPr>
              <w:t>6</w:t>
            </w:r>
          </w:p>
        </w:tc>
        <w:tc>
          <w:tcPr>
            <w:tcW w:w="1650" w:type="dxa"/>
          </w:tcPr>
          <w:p w14:paraId="0299D365" w14:textId="0C4595CB" w:rsidR="00320AEC" w:rsidRPr="005963F7" w:rsidRDefault="00320AEC" w:rsidP="00320AEC">
            <w:pPr>
              <w:pStyle w:val="TableText"/>
            </w:pPr>
            <w:r w:rsidRPr="005963F7">
              <w:t>$</w:t>
            </w:r>
            <w:r w:rsidR="005E35AF" w:rsidRPr="005E35AF">
              <w:rPr>
                <w:highlight w:val="black"/>
              </w:rPr>
              <w:t>&amp;&amp;&amp;&amp;</w:t>
            </w:r>
            <w:r w:rsidR="00BC102A">
              <w:rPr>
                <w:szCs w:val="18"/>
                <w:vertAlign w:val="superscript"/>
              </w:rPr>
              <w:t>4</w:t>
            </w:r>
          </w:p>
        </w:tc>
      </w:tr>
      <w:tr w:rsidR="00320AEC" w:rsidRPr="005963F7" w14:paraId="27D62734" w14:textId="77777777" w:rsidTr="00700156">
        <w:trPr>
          <w:trHeight w:val="251"/>
        </w:trPr>
        <w:tc>
          <w:tcPr>
            <w:tcW w:w="988" w:type="dxa"/>
          </w:tcPr>
          <w:p w14:paraId="1D4E1A23" w14:textId="77777777" w:rsidR="00320AEC" w:rsidRPr="005963F7" w:rsidRDefault="00320AEC" w:rsidP="00320AEC">
            <w:pPr>
              <w:pStyle w:val="TableText"/>
            </w:pPr>
            <w:r w:rsidRPr="005963F7">
              <w:t>1</w:t>
            </w:r>
          </w:p>
        </w:tc>
        <w:tc>
          <w:tcPr>
            <w:tcW w:w="3118" w:type="dxa"/>
          </w:tcPr>
          <w:p w14:paraId="584D6756" w14:textId="6BDC8FD2" w:rsidR="00320AEC" w:rsidRPr="005963F7" w:rsidRDefault="00320AEC" w:rsidP="00320AEC">
            <w:pPr>
              <w:pStyle w:val="TableText"/>
            </w:pPr>
            <w:r w:rsidRPr="005963F7">
              <w:t xml:space="preserve">Volume: 7.5 </w:t>
            </w:r>
            <w:r w:rsidR="00FC697A">
              <w:t>scripts</w:t>
            </w:r>
            <w:r w:rsidRPr="005963F7">
              <w:t xml:space="preserve"> per</w:t>
            </w:r>
            <w:r w:rsidR="00700156">
              <w:t xml:space="preserve"> patient per</w:t>
            </w:r>
            <w:r w:rsidRPr="005963F7">
              <w:t xml:space="preserve"> year</w:t>
            </w:r>
          </w:p>
        </w:tc>
        <w:tc>
          <w:tcPr>
            <w:tcW w:w="1559" w:type="dxa"/>
          </w:tcPr>
          <w:p w14:paraId="2C82380B" w14:textId="0F4FA19D" w:rsidR="00320AEC" w:rsidRPr="005963F7" w:rsidRDefault="00320AEC" w:rsidP="00320AEC">
            <w:pPr>
              <w:pStyle w:val="TableText"/>
            </w:pPr>
            <w:r w:rsidRPr="005963F7">
              <w:t>$</w:t>
            </w:r>
            <w:r w:rsidR="005E35AF" w:rsidRPr="005E35AF">
              <w:rPr>
                <w:highlight w:val="black"/>
              </w:rPr>
              <w:t>&amp;&amp;&amp;&amp;</w:t>
            </w:r>
            <w:r w:rsidR="00BC102A">
              <w:rPr>
                <w:szCs w:val="18"/>
                <w:vertAlign w:val="superscript"/>
              </w:rPr>
              <w:t>6</w:t>
            </w:r>
          </w:p>
        </w:tc>
        <w:tc>
          <w:tcPr>
            <w:tcW w:w="1701" w:type="dxa"/>
          </w:tcPr>
          <w:p w14:paraId="1AACC3C2" w14:textId="44DADEB0" w:rsidR="00320AEC" w:rsidRPr="00BC102A" w:rsidRDefault="00BC102A" w:rsidP="00320AEC">
            <w:pPr>
              <w:pStyle w:val="TableText"/>
              <w:rPr>
                <w:highlight w:val="darkGray"/>
              </w:rPr>
            </w:pPr>
            <w:r w:rsidRPr="00BC102A">
              <w:t>$</w:t>
            </w:r>
            <w:r w:rsidR="005E35AF" w:rsidRPr="005E35AF">
              <w:rPr>
                <w:highlight w:val="black"/>
              </w:rPr>
              <w:t>&amp;&amp;&amp;&amp;</w:t>
            </w:r>
          </w:p>
        </w:tc>
        <w:tc>
          <w:tcPr>
            <w:tcW w:w="1650" w:type="dxa"/>
          </w:tcPr>
          <w:p w14:paraId="70DEA112" w14:textId="10823F48" w:rsidR="00320AEC" w:rsidRPr="005963F7" w:rsidRDefault="00320AEC" w:rsidP="00320AEC">
            <w:pPr>
              <w:pStyle w:val="TableText"/>
            </w:pPr>
            <w:r w:rsidRPr="005963F7">
              <w:t>$</w:t>
            </w:r>
            <w:r w:rsidR="005E35AF" w:rsidRPr="005E35AF">
              <w:rPr>
                <w:highlight w:val="black"/>
              </w:rPr>
              <w:t>&amp;&amp;&amp;&amp;</w:t>
            </w:r>
            <w:r w:rsidR="004F0725">
              <w:rPr>
                <w:szCs w:val="18"/>
                <w:vertAlign w:val="superscript"/>
              </w:rPr>
              <w:t>2</w:t>
            </w:r>
          </w:p>
        </w:tc>
      </w:tr>
      <w:tr w:rsidR="00320AEC" w:rsidRPr="005963F7" w14:paraId="33AD2CFE" w14:textId="77777777" w:rsidTr="00700156">
        <w:tc>
          <w:tcPr>
            <w:tcW w:w="988" w:type="dxa"/>
          </w:tcPr>
          <w:p w14:paraId="5DAAAC83" w14:textId="77777777" w:rsidR="00320AEC" w:rsidRPr="005963F7" w:rsidRDefault="00320AEC" w:rsidP="00320AEC">
            <w:pPr>
              <w:pStyle w:val="TableText"/>
            </w:pPr>
            <w:r w:rsidRPr="005963F7">
              <w:t>2</w:t>
            </w:r>
          </w:p>
        </w:tc>
        <w:tc>
          <w:tcPr>
            <w:tcW w:w="3118" w:type="dxa"/>
          </w:tcPr>
          <w:p w14:paraId="77A90763" w14:textId="5F72DDB6" w:rsidR="00320AEC" w:rsidRPr="005963F7" w:rsidRDefault="00320AEC" w:rsidP="00320AEC">
            <w:pPr>
              <w:pStyle w:val="TableText"/>
            </w:pPr>
            <w:r w:rsidRPr="005963F7">
              <w:t xml:space="preserve">Volume: 8.0 </w:t>
            </w:r>
            <w:r w:rsidR="00700156">
              <w:t>scripts</w:t>
            </w:r>
            <w:r w:rsidR="00700156" w:rsidRPr="005963F7">
              <w:t xml:space="preserve"> per</w:t>
            </w:r>
            <w:r w:rsidR="00700156">
              <w:t xml:space="preserve"> patient per</w:t>
            </w:r>
            <w:r w:rsidR="00700156" w:rsidRPr="005963F7">
              <w:t xml:space="preserve"> year</w:t>
            </w:r>
          </w:p>
        </w:tc>
        <w:tc>
          <w:tcPr>
            <w:tcW w:w="1559" w:type="dxa"/>
          </w:tcPr>
          <w:p w14:paraId="2A8D4D17" w14:textId="10102C5F" w:rsidR="00320AEC" w:rsidRPr="005963F7" w:rsidRDefault="00320AEC" w:rsidP="00320AEC">
            <w:pPr>
              <w:pStyle w:val="TableText"/>
            </w:pPr>
            <w:r w:rsidRPr="005963F7">
              <w:t>$</w:t>
            </w:r>
            <w:r w:rsidR="005E35AF" w:rsidRPr="005E35AF">
              <w:rPr>
                <w:highlight w:val="black"/>
              </w:rPr>
              <w:t>&amp;&amp;&amp;&amp;</w:t>
            </w:r>
            <w:r w:rsidR="00BC102A">
              <w:rPr>
                <w:szCs w:val="18"/>
                <w:vertAlign w:val="superscript"/>
              </w:rPr>
              <w:t>6</w:t>
            </w:r>
          </w:p>
        </w:tc>
        <w:tc>
          <w:tcPr>
            <w:tcW w:w="1701" w:type="dxa"/>
          </w:tcPr>
          <w:p w14:paraId="09D32308" w14:textId="540321D3" w:rsidR="00320AEC" w:rsidRPr="00BC102A" w:rsidRDefault="00BC102A" w:rsidP="00320AEC">
            <w:pPr>
              <w:pStyle w:val="TableText"/>
              <w:rPr>
                <w:highlight w:val="darkGray"/>
              </w:rPr>
            </w:pPr>
            <w:r w:rsidRPr="00BC102A">
              <w:t>$</w:t>
            </w:r>
            <w:r w:rsidR="005E35AF" w:rsidRPr="005E35AF">
              <w:rPr>
                <w:highlight w:val="black"/>
              </w:rPr>
              <w:t>&amp;&amp;&amp;&amp;</w:t>
            </w:r>
            <w:r>
              <w:rPr>
                <w:szCs w:val="18"/>
                <w:vertAlign w:val="superscript"/>
              </w:rPr>
              <w:t>6</w:t>
            </w:r>
          </w:p>
        </w:tc>
        <w:tc>
          <w:tcPr>
            <w:tcW w:w="1650" w:type="dxa"/>
          </w:tcPr>
          <w:p w14:paraId="03F39BD0" w14:textId="78EEF42F" w:rsidR="00320AEC" w:rsidRPr="005963F7" w:rsidRDefault="00320AEC" w:rsidP="00320AEC">
            <w:pPr>
              <w:pStyle w:val="TableText"/>
            </w:pPr>
            <w:r w:rsidRPr="005963F7">
              <w:t>$</w:t>
            </w:r>
            <w:r w:rsidR="005E35AF" w:rsidRPr="005E35AF">
              <w:rPr>
                <w:highlight w:val="black"/>
              </w:rPr>
              <w:t>&amp;&amp;&amp;&amp;</w:t>
            </w:r>
            <w:r w:rsidR="004F0725">
              <w:rPr>
                <w:szCs w:val="18"/>
                <w:vertAlign w:val="superscript"/>
              </w:rPr>
              <w:t>2</w:t>
            </w:r>
          </w:p>
        </w:tc>
      </w:tr>
      <w:tr w:rsidR="00320AEC" w:rsidRPr="005963F7" w14:paraId="15342510" w14:textId="77777777" w:rsidTr="00700156">
        <w:tc>
          <w:tcPr>
            <w:tcW w:w="988" w:type="dxa"/>
          </w:tcPr>
          <w:p w14:paraId="15A3C91E" w14:textId="77777777" w:rsidR="00320AEC" w:rsidRPr="005963F7" w:rsidRDefault="00320AEC" w:rsidP="00320AEC">
            <w:pPr>
              <w:pStyle w:val="TableText"/>
            </w:pPr>
            <w:r w:rsidRPr="005963F7">
              <w:t>3</w:t>
            </w:r>
          </w:p>
        </w:tc>
        <w:tc>
          <w:tcPr>
            <w:tcW w:w="3118" w:type="dxa"/>
          </w:tcPr>
          <w:p w14:paraId="47674A42" w14:textId="28DF8F2C" w:rsidR="00320AEC" w:rsidRPr="005963F7" w:rsidRDefault="00320AEC" w:rsidP="00320AEC">
            <w:pPr>
              <w:pStyle w:val="TableText"/>
            </w:pPr>
            <w:r w:rsidRPr="005963F7">
              <w:t xml:space="preserve">Volume: 8.5 </w:t>
            </w:r>
            <w:r w:rsidR="00700156">
              <w:t>scripts</w:t>
            </w:r>
            <w:r w:rsidR="00700156" w:rsidRPr="005963F7">
              <w:t xml:space="preserve"> per</w:t>
            </w:r>
            <w:r w:rsidR="00700156">
              <w:t xml:space="preserve"> patient per</w:t>
            </w:r>
            <w:r w:rsidR="00700156" w:rsidRPr="005963F7">
              <w:t xml:space="preserve"> year</w:t>
            </w:r>
          </w:p>
        </w:tc>
        <w:tc>
          <w:tcPr>
            <w:tcW w:w="1559" w:type="dxa"/>
          </w:tcPr>
          <w:p w14:paraId="60988EF4" w14:textId="5375978A" w:rsidR="00320AEC" w:rsidRPr="005963F7" w:rsidRDefault="00320AEC" w:rsidP="00320AEC">
            <w:pPr>
              <w:pStyle w:val="TableText"/>
            </w:pPr>
            <w:r w:rsidRPr="005963F7">
              <w:t>$</w:t>
            </w:r>
            <w:r w:rsidR="005E35AF" w:rsidRPr="005E35AF">
              <w:rPr>
                <w:highlight w:val="black"/>
              </w:rPr>
              <w:t>&amp;&amp;&amp;&amp;</w:t>
            </w:r>
            <w:r w:rsidR="00BC102A">
              <w:rPr>
                <w:szCs w:val="18"/>
                <w:vertAlign w:val="superscript"/>
              </w:rPr>
              <w:t>6</w:t>
            </w:r>
          </w:p>
        </w:tc>
        <w:tc>
          <w:tcPr>
            <w:tcW w:w="1701" w:type="dxa"/>
          </w:tcPr>
          <w:p w14:paraId="57B123B2" w14:textId="74D9495B" w:rsidR="00320AEC" w:rsidRPr="00BC102A" w:rsidRDefault="00BC102A" w:rsidP="00320AEC">
            <w:pPr>
              <w:pStyle w:val="TableText"/>
              <w:rPr>
                <w:highlight w:val="darkGray"/>
              </w:rPr>
            </w:pPr>
            <w:r w:rsidRPr="00BC102A">
              <w:t>$</w:t>
            </w:r>
            <w:r w:rsidR="005E35AF" w:rsidRPr="005E35AF">
              <w:rPr>
                <w:highlight w:val="black"/>
              </w:rPr>
              <w:t>&amp;&amp;&amp;&amp;</w:t>
            </w:r>
            <w:r>
              <w:rPr>
                <w:szCs w:val="18"/>
                <w:vertAlign w:val="superscript"/>
              </w:rPr>
              <w:t>6</w:t>
            </w:r>
          </w:p>
        </w:tc>
        <w:tc>
          <w:tcPr>
            <w:tcW w:w="1650" w:type="dxa"/>
          </w:tcPr>
          <w:p w14:paraId="41B34393" w14:textId="08C5E078" w:rsidR="00320AEC" w:rsidRPr="005963F7" w:rsidRDefault="00320AEC" w:rsidP="00320AEC">
            <w:pPr>
              <w:pStyle w:val="TableText"/>
            </w:pPr>
            <w:r w:rsidRPr="005963F7">
              <w:t>$</w:t>
            </w:r>
            <w:r w:rsidR="005E35AF" w:rsidRPr="005E35AF">
              <w:rPr>
                <w:highlight w:val="black"/>
              </w:rPr>
              <w:t>&amp;&amp;&amp;&amp;</w:t>
            </w:r>
            <w:r w:rsidR="004F0725">
              <w:rPr>
                <w:szCs w:val="18"/>
                <w:vertAlign w:val="superscript"/>
              </w:rPr>
              <w:t>2</w:t>
            </w:r>
          </w:p>
        </w:tc>
      </w:tr>
      <w:tr w:rsidR="00320AEC" w:rsidRPr="005963F7" w14:paraId="3714D5C3" w14:textId="77777777" w:rsidTr="00700156">
        <w:tc>
          <w:tcPr>
            <w:tcW w:w="988" w:type="dxa"/>
          </w:tcPr>
          <w:p w14:paraId="0C7E954E" w14:textId="072CA95A" w:rsidR="00320AEC" w:rsidRPr="0058798B" w:rsidRDefault="00320AEC" w:rsidP="00320AEC">
            <w:pPr>
              <w:pStyle w:val="TableText"/>
              <w:rPr>
                <w:vertAlign w:val="superscript"/>
              </w:rPr>
            </w:pPr>
            <w:r w:rsidRPr="005963F7">
              <w:t>4</w:t>
            </w:r>
            <w:r w:rsidR="0058798B">
              <w:t xml:space="preserve"> </w:t>
            </w:r>
            <w:r w:rsidR="0058798B">
              <w:rPr>
                <w:vertAlign w:val="superscript"/>
              </w:rPr>
              <w:t>a</w:t>
            </w:r>
          </w:p>
        </w:tc>
        <w:tc>
          <w:tcPr>
            <w:tcW w:w="3118" w:type="dxa"/>
          </w:tcPr>
          <w:p w14:paraId="6F32978B" w14:textId="77777777" w:rsidR="00320AEC" w:rsidRPr="005963F7" w:rsidRDefault="00320AEC" w:rsidP="00320AEC">
            <w:pPr>
              <w:pStyle w:val="TableText"/>
            </w:pPr>
            <w:r w:rsidRPr="005963F7">
              <w:t>Annual uptake rates</w:t>
            </w:r>
          </w:p>
        </w:tc>
        <w:tc>
          <w:tcPr>
            <w:tcW w:w="1559" w:type="dxa"/>
          </w:tcPr>
          <w:p w14:paraId="02EC90E8" w14:textId="1DDA8C7B" w:rsidR="00320AEC" w:rsidRPr="005963F7" w:rsidRDefault="00320AEC" w:rsidP="00320AEC">
            <w:pPr>
              <w:pStyle w:val="TableText"/>
            </w:pPr>
            <w:r w:rsidRPr="005963F7">
              <w:t>$</w:t>
            </w:r>
            <w:r w:rsidR="005E35AF" w:rsidRPr="005E35AF">
              <w:rPr>
                <w:highlight w:val="black"/>
              </w:rPr>
              <w:t>&amp;&amp;&amp;&amp;</w:t>
            </w:r>
            <w:r w:rsidR="00BC102A">
              <w:rPr>
                <w:szCs w:val="18"/>
                <w:vertAlign w:val="superscript"/>
              </w:rPr>
              <w:t>6</w:t>
            </w:r>
          </w:p>
        </w:tc>
        <w:tc>
          <w:tcPr>
            <w:tcW w:w="1701" w:type="dxa"/>
          </w:tcPr>
          <w:p w14:paraId="487FCCDA" w14:textId="52CC97C8" w:rsidR="00320AEC" w:rsidRPr="00BC102A" w:rsidRDefault="00BC102A" w:rsidP="00320AEC">
            <w:pPr>
              <w:pStyle w:val="TableText"/>
              <w:rPr>
                <w:highlight w:val="darkGray"/>
              </w:rPr>
            </w:pPr>
            <w:r w:rsidRPr="00BC102A">
              <w:t>$</w:t>
            </w:r>
            <w:r w:rsidR="005E35AF" w:rsidRPr="005E35AF">
              <w:rPr>
                <w:highlight w:val="black"/>
              </w:rPr>
              <w:t>&amp;&amp;&amp;&amp;</w:t>
            </w:r>
            <w:r>
              <w:rPr>
                <w:szCs w:val="18"/>
                <w:vertAlign w:val="superscript"/>
              </w:rPr>
              <w:t>6</w:t>
            </w:r>
          </w:p>
        </w:tc>
        <w:tc>
          <w:tcPr>
            <w:tcW w:w="1650" w:type="dxa"/>
          </w:tcPr>
          <w:p w14:paraId="69E2A65B" w14:textId="0C0BD1E8" w:rsidR="00320AEC" w:rsidRPr="005963F7" w:rsidRDefault="00320AEC" w:rsidP="00320AEC">
            <w:pPr>
              <w:pStyle w:val="TableText"/>
            </w:pPr>
            <w:r w:rsidRPr="005963F7">
              <w:t>$</w:t>
            </w:r>
            <w:r w:rsidR="005E35AF" w:rsidRPr="005E35AF">
              <w:rPr>
                <w:highlight w:val="black"/>
              </w:rPr>
              <w:t>&amp;&amp;&amp;&amp;</w:t>
            </w:r>
            <w:r w:rsidR="00BC102A">
              <w:rPr>
                <w:szCs w:val="18"/>
                <w:vertAlign w:val="superscript"/>
              </w:rPr>
              <w:t>3</w:t>
            </w:r>
          </w:p>
        </w:tc>
      </w:tr>
      <w:tr w:rsidR="00320AEC" w:rsidRPr="005963F7" w14:paraId="59F48F1A" w14:textId="77777777" w:rsidTr="00700156">
        <w:tc>
          <w:tcPr>
            <w:tcW w:w="988" w:type="dxa"/>
          </w:tcPr>
          <w:p w14:paraId="3559787A" w14:textId="3B797C76" w:rsidR="00320AEC" w:rsidRPr="0058798B" w:rsidRDefault="00320AEC" w:rsidP="00320AEC">
            <w:pPr>
              <w:pStyle w:val="TableText"/>
              <w:rPr>
                <w:vertAlign w:val="superscript"/>
              </w:rPr>
            </w:pPr>
            <w:r w:rsidRPr="005963F7">
              <w:t>5</w:t>
            </w:r>
            <w:r w:rsidR="0058798B">
              <w:t xml:space="preserve"> </w:t>
            </w:r>
            <w:r w:rsidR="0058798B">
              <w:rPr>
                <w:vertAlign w:val="superscript"/>
              </w:rPr>
              <w:t>b</w:t>
            </w:r>
          </w:p>
        </w:tc>
        <w:tc>
          <w:tcPr>
            <w:tcW w:w="3118" w:type="dxa"/>
          </w:tcPr>
          <w:p w14:paraId="446FA39B" w14:textId="77777777" w:rsidR="00320AEC" w:rsidRPr="005963F7" w:rsidRDefault="00320AEC" w:rsidP="00320AEC">
            <w:pPr>
              <w:pStyle w:val="TableText"/>
            </w:pPr>
            <w:r w:rsidRPr="005963F7">
              <w:t>Proportion of patients by dose</w:t>
            </w:r>
          </w:p>
        </w:tc>
        <w:tc>
          <w:tcPr>
            <w:tcW w:w="1559" w:type="dxa"/>
          </w:tcPr>
          <w:p w14:paraId="09E44F7F" w14:textId="26020880" w:rsidR="00320AEC" w:rsidRPr="005963F7" w:rsidRDefault="00320AEC" w:rsidP="00320AEC">
            <w:pPr>
              <w:pStyle w:val="TableText"/>
            </w:pPr>
            <w:r w:rsidRPr="005963F7">
              <w:t>$</w:t>
            </w:r>
            <w:r w:rsidR="005E35AF" w:rsidRPr="005E35AF">
              <w:rPr>
                <w:highlight w:val="black"/>
              </w:rPr>
              <w:t>&amp;&amp;&amp;&amp;</w:t>
            </w:r>
            <w:r w:rsidR="00BC102A">
              <w:rPr>
                <w:szCs w:val="18"/>
                <w:vertAlign w:val="superscript"/>
              </w:rPr>
              <w:t>6</w:t>
            </w:r>
          </w:p>
        </w:tc>
        <w:tc>
          <w:tcPr>
            <w:tcW w:w="1701" w:type="dxa"/>
          </w:tcPr>
          <w:p w14:paraId="16CA7AFA" w14:textId="065EABEE" w:rsidR="00320AEC" w:rsidRPr="00BC102A" w:rsidRDefault="00BC102A" w:rsidP="00320AEC">
            <w:pPr>
              <w:pStyle w:val="TableText"/>
              <w:rPr>
                <w:highlight w:val="darkGray"/>
              </w:rPr>
            </w:pPr>
            <w:r w:rsidRPr="00BC102A">
              <w:t>$</w:t>
            </w:r>
            <w:r w:rsidR="005E35AF" w:rsidRPr="005E35AF">
              <w:rPr>
                <w:highlight w:val="black"/>
              </w:rPr>
              <w:t>&amp;&amp;&amp;&amp;</w:t>
            </w:r>
            <w:r>
              <w:rPr>
                <w:szCs w:val="18"/>
                <w:vertAlign w:val="superscript"/>
              </w:rPr>
              <w:t>6</w:t>
            </w:r>
          </w:p>
        </w:tc>
        <w:tc>
          <w:tcPr>
            <w:tcW w:w="1650" w:type="dxa"/>
          </w:tcPr>
          <w:p w14:paraId="70DC995E" w14:textId="2069544A" w:rsidR="00320AEC" w:rsidRPr="005963F7" w:rsidRDefault="00320AEC" w:rsidP="00320AEC">
            <w:pPr>
              <w:pStyle w:val="TableText"/>
            </w:pPr>
            <w:r w:rsidRPr="005963F7">
              <w:t>$</w:t>
            </w:r>
            <w:r w:rsidR="005E35AF" w:rsidRPr="005E35AF">
              <w:rPr>
                <w:highlight w:val="black"/>
              </w:rPr>
              <w:t>&amp;&amp;&amp;&amp;</w:t>
            </w:r>
            <w:r w:rsidR="00BC102A">
              <w:rPr>
                <w:szCs w:val="18"/>
                <w:vertAlign w:val="superscript"/>
              </w:rPr>
              <w:t>4</w:t>
            </w:r>
          </w:p>
        </w:tc>
      </w:tr>
      <w:tr w:rsidR="007D0C32" w:rsidRPr="005963F7" w14:paraId="4CF06F9E" w14:textId="77777777" w:rsidTr="00700156">
        <w:tc>
          <w:tcPr>
            <w:tcW w:w="988" w:type="dxa"/>
            <w:vMerge w:val="restart"/>
          </w:tcPr>
          <w:p w14:paraId="1622BE47" w14:textId="0866FECC" w:rsidR="007D0C32" w:rsidRPr="005963F7" w:rsidRDefault="007D0C32" w:rsidP="00320AEC">
            <w:pPr>
              <w:pStyle w:val="TableText"/>
            </w:pPr>
            <w:r w:rsidRPr="005963F7">
              <w:t>Multi-way</w:t>
            </w:r>
          </w:p>
        </w:tc>
        <w:tc>
          <w:tcPr>
            <w:tcW w:w="3118" w:type="dxa"/>
          </w:tcPr>
          <w:p w14:paraId="4DEA5780" w14:textId="77777777" w:rsidR="007D0C32" w:rsidRPr="005963F7" w:rsidRDefault="007D0C32" w:rsidP="00320AEC">
            <w:pPr>
              <w:pStyle w:val="TableText"/>
            </w:pPr>
            <w:r w:rsidRPr="005963F7">
              <w:t>3+4</w:t>
            </w:r>
          </w:p>
        </w:tc>
        <w:tc>
          <w:tcPr>
            <w:tcW w:w="1559" w:type="dxa"/>
          </w:tcPr>
          <w:p w14:paraId="322B9BB3" w14:textId="5CFBEAE2" w:rsidR="007D0C32" w:rsidRPr="005963F7" w:rsidRDefault="007D0C32" w:rsidP="00320AEC">
            <w:pPr>
              <w:pStyle w:val="TableText"/>
            </w:pPr>
            <w:r w:rsidRPr="005963F7">
              <w:t>$</w:t>
            </w:r>
            <w:r w:rsidR="005E35AF" w:rsidRPr="005E35AF">
              <w:rPr>
                <w:highlight w:val="black"/>
              </w:rPr>
              <w:t>&amp;&amp;&amp;&amp;</w:t>
            </w:r>
            <w:r w:rsidR="00BC102A">
              <w:rPr>
                <w:szCs w:val="18"/>
                <w:vertAlign w:val="superscript"/>
              </w:rPr>
              <w:t>6</w:t>
            </w:r>
          </w:p>
        </w:tc>
        <w:tc>
          <w:tcPr>
            <w:tcW w:w="1701" w:type="dxa"/>
          </w:tcPr>
          <w:p w14:paraId="4E00DF78" w14:textId="02A8AD22" w:rsidR="007D0C32" w:rsidRPr="00BC102A" w:rsidRDefault="00BC102A" w:rsidP="00320AEC">
            <w:pPr>
              <w:pStyle w:val="TableText"/>
              <w:rPr>
                <w:highlight w:val="darkGray"/>
              </w:rPr>
            </w:pPr>
            <w:r w:rsidRPr="00BC102A">
              <w:t>$</w:t>
            </w:r>
            <w:r w:rsidR="005E35AF" w:rsidRPr="005E35AF">
              <w:rPr>
                <w:highlight w:val="black"/>
              </w:rPr>
              <w:t>&amp;&amp;&amp;&amp;</w:t>
            </w:r>
            <w:r>
              <w:rPr>
                <w:szCs w:val="18"/>
                <w:vertAlign w:val="superscript"/>
              </w:rPr>
              <w:t>6</w:t>
            </w:r>
          </w:p>
        </w:tc>
        <w:tc>
          <w:tcPr>
            <w:tcW w:w="1650" w:type="dxa"/>
          </w:tcPr>
          <w:p w14:paraId="1289D656" w14:textId="473B9BB0" w:rsidR="007D0C32" w:rsidRPr="005963F7" w:rsidRDefault="007D0C32" w:rsidP="00320AEC">
            <w:pPr>
              <w:pStyle w:val="TableText"/>
            </w:pPr>
            <w:r w:rsidRPr="005963F7">
              <w:t>$</w:t>
            </w:r>
            <w:r w:rsidR="005E35AF" w:rsidRPr="005E35AF">
              <w:rPr>
                <w:highlight w:val="black"/>
              </w:rPr>
              <w:t>&amp;&amp;&amp;&amp;</w:t>
            </w:r>
            <w:r w:rsidR="004F0725">
              <w:rPr>
                <w:szCs w:val="18"/>
                <w:vertAlign w:val="superscript"/>
              </w:rPr>
              <w:t>1</w:t>
            </w:r>
          </w:p>
        </w:tc>
      </w:tr>
      <w:tr w:rsidR="007D0C32" w:rsidRPr="005963F7" w14:paraId="31D245AA" w14:textId="77777777" w:rsidTr="00700156">
        <w:tc>
          <w:tcPr>
            <w:tcW w:w="988" w:type="dxa"/>
            <w:vMerge/>
          </w:tcPr>
          <w:p w14:paraId="3EF6DA17" w14:textId="26302B22" w:rsidR="007D0C32" w:rsidRPr="005963F7" w:rsidRDefault="007D0C32" w:rsidP="00320AEC">
            <w:pPr>
              <w:pStyle w:val="TableText"/>
            </w:pPr>
          </w:p>
        </w:tc>
        <w:tc>
          <w:tcPr>
            <w:tcW w:w="3118" w:type="dxa"/>
          </w:tcPr>
          <w:p w14:paraId="1F196818" w14:textId="77777777" w:rsidR="007D0C32" w:rsidRPr="005963F7" w:rsidRDefault="007D0C32" w:rsidP="00320AEC">
            <w:pPr>
              <w:pStyle w:val="TableText"/>
            </w:pPr>
            <w:r w:rsidRPr="005963F7">
              <w:t>4+5</w:t>
            </w:r>
          </w:p>
        </w:tc>
        <w:tc>
          <w:tcPr>
            <w:tcW w:w="1559" w:type="dxa"/>
          </w:tcPr>
          <w:p w14:paraId="2CBB1BFD" w14:textId="5FD6E38F" w:rsidR="007D0C32" w:rsidRPr="00BC102A" w:rsidRDefault="00BC102A" w:rsidP="00320AEC">
            <w:pPr>
              <w:pStyle w:val="TableText"/>
              <w:rPr>
                <w:highlight w:val="darkGray"/>
              </w:rPr>
            </w:pPr>
            <w:r w:rsidRPr="00BC102A">
              <w:t>$</w:t>
            </w:r>
            <w:r w:rsidR="005E35AF" w:rsidRPr="005E35AF">
              <w:rPr>
                <w:highlight w:val="black"/>
              </w:rPr>
              <w:t>&amp;&amp;&amp;&amp;</w:t>
            </w:r>
            <w:r>
              <w:rPr>
                <w:szCs w:val="18"/>
                <w:vertAlign w:val="superscript"/>
              </w:rPr>
              <w:t>6</w:t>
            </w:r>
          </w:p>
        </w:tc>
        <w:tc>
          <w:tcPr>
            <w:tcW w:w="1701" w:type="dxa"/>
          </w:tcPr>
          <w:p w14:paraId="212D8663" w14:textId="4F80BCAB" w:rsidR="007D0C32" w:rsidRPr="00BC102A" w:rsidRDefault="00BC102A" w:rsidP="00320AEC">
            <w:pPr>
              <w:pStyle w:val="TableText"/>
              <w:rPr>
                <w:highlight w:val="darkGray"/>
              </w:rPr>
            </w:pPr>
            <w:r w:rsidRPr="00BC102A">
              <w:t>$</w:t>
            </w:r>
            <w:r w:rsidR="005E35AF" w:rsidRPr="005E35AF">
              <w:rPr>
                <w:highlight w:val="black"/>
              </w:rPr>
              <w:t>&amp;&amp;&amp;&amp;</w:t>
            </w:r>
            <w:r>
              <w:rPr>
                <w:szCs w:val="18"/>
                <w:vertAlign w:val="superscript"/>
              </w:rPr>
              <w:t>6</w:t>
            </w:r>
          </w:p>
        </w:tc>
        <w:tc>
          <w:tcPr>
            <w:tcW w:w="1650" w:type="dxa"/>
          </w:tcPr>
          <w:p w14:paraId="6A8956C2" w14:textId="6715B627" w:rsidR="007D0C32" w:rsidRPr="00BC102A" w:rsidRDefault="007D0C32" w:rsidP="00320AEC">
            <w:pPr>
              <w:pStyle w:val="TableText"/>
              <w:rPr>
                <w:vertAlign w:val="superscript"/>
              </w:rPr>
            </w:pPr>
            <w:r w:rsidRPr="005963F7">
              <w:t>$</w:t>
            </w:r>
            <w:r w:rsidR="005E35AF" w:rsidRPr="005E35AF">
              <w:rPr>
                <w:highlight w:val="black"/>
              </w:rPr>
              <w:t>&amp;&amp;&amp;&amp;</w:t>
            </w:r>
            <w:r w:rsidR="00BC102A">
              <w:rPr>
                <w:vertAlign w:val="superscript"/>
              </w:rPr>
              <w:t>3</w:t>
            </w:r>
          </w:p>
        </w:tc>
      </w:tr>
      <w:tr w:rsidR="007D0C32" w:rsidRPr="005963F7" w14:paraId="4544FCD4" w14:textId="77777777" w:rsidTr="00700156">
        <w:tc>
          <w:tcPr>
            <w:tcW w:w="988" w:type="dxa"/>
            <w:vMerge/>
          </w:tcPr>
          <w:p w14:paraId="6AC767E4" w14:textId="77777777" w:rsidR="007D0C32" w:rsidRPr="005963F7" w:rsidRDefault="007D0C32" w:rsidP="00320AEC">
            <w:pPr>
              <w:pStyle w:val="TableText"/>
            </w:pPr>
          </w:p>
        </w:tc>
        <w:tc>
          <w:tcPr>
            <w:tcW w:w="3118" w:type="dxa"/>
          </w:tcPr>
          <w:p w14:paraId="7EE98D8F" w14:textId="77777777" w:rsidR="007D0C32" w:rsidRPr="005963F7" w:rsidRDefault="007D0C32" w:rsidP="00320AEC">
            <w:pPr>
              <w:pStyle w:val="TableText"/>
            </w:pPr>
            <w:r w:rsidRPr="005963F7">
              <w:t>3+5</w:t>
            </w:r>
          </w:p>
        </w:tc>
        <w:tc>
          <w:tcPr>
            <w:tcW w:w="1559" w:type="dxa"/>
          </w:tcPr>
          <w:p w14:paraId="60E8B157" w14:textId="7ABBB6BA" w:rsidR="007D0C32" w:rsidRPr="00BC102A" w:rsidRDefault="00BC102A" w:rsidP="00320AEC">
            <w:pPr>
              <w:pStyle w:val="TableText"/>
              <w:rPr>
                <w:highlight w:val="darkGray"/>
              </w:rPr>
            </w:pPr>
            <w:r w:rsidRPr="00BC102A">
              <w:t>$</w:t>
            </w:r>
            <w:r w:rsidR="005E35AF" w:rsidRPr="005E35AF">
              <w:rPr>
                <w:highlight w:val="black"/>
              </w:rPr>
              <w:t>&amp;&amp;&amp;&amp;</w:t>
            </w:r>
            <w:r>
              <w:rPr>
                <w:szCs w:val="18"/>
                <w:vertAlign w:val="superscript"/>
              </w:rPr>
              <w:t>6</w:t>
            </w:r>
          </w:p>
        </w:tc>
        <w:tc>
          <w:tcPr>
            <w:tcW w:w="1701" w:type="dxa"/>
          </w:tcPr>
          <w:p w14:paraId="59E84353" w14:textId="48C330BF" w:rsidR="007D0C32" w:rsidRPr="00BC102A" w:rsidRDefault="00BC102A" w:rsidP="00320AEC">
            <w:pPr>
              <w:pStyle w:val="TableText"/>
              <w:rPr>
                <w:highlight w:val="darkGray"/>
              </w:rPr>
            </w:pPr>
            <w:r w:rsidRPr="00BC102A">
              <w:t>$</w:t>
            </w:r>
            <w:r w:rsidR="005E35AF" w:rsidRPr="005E35AF">
              <w:rPr>
                <w:highlight w:val="black"/>
              </w:rPr>
              <w:t>&amp;&amp;&amp;&amp;</w:t>
            </w:r>
            <w:r>
              <w:rPr>
                <w:szCs w:val="18"/>
                <w:vertAlign w:val="superscript"/>
              </w:rPr>
              <w:t>6</w:t>
            </w:r>
          </w:p>
        </w:tc>
        <w:tc>
          <w:tcPr>
            <w:tcW w:w="1650" w:type="dxa"/>
          </w:tcPr>
          <w:p w14:paraId="3E6BB67F" w14:textId="2BD8D2BD" w:rsidR="007D0C32" w:rsidRPr="005963F7" w:rsidRDefault="007D0C32" w:rsidP="00320AEC">
            <w:pPr>
              <w:pStyle w:val="TableText"/>
            </w:pPr>
            <w:r w:rsidRPr="005963F7">
              <w:t>$</w:t>
            </w:r>
            <w:r w:rsidR="005E35AF" w:rsidRPr="005E35AF">
              <w:rPr>
                <w:highlight w:val="black"/>
              </w:rPr>
              <w:t>&amp;&amp;&amp;&amp;</w:t>
            </w:r>
            <w:r w:rsidR="004F0725">
              <w:rPr>
                <w:szCs w:val="18"/>
                <w:vertAlign w:val="superscript"/>
              </w:rPr>
              <w:t>2</w:t>
            </w:r>
          </w:p>
        </w:tc>
      </w:tr>
      <w:tr w:rsidR="007D0C32" w:rsidRPr="005963F7" w14:paraId="2FBD077F" w14:textId="77777777" w:rsidTr="00700156">
        <w:tc>
          <w:tcPr>
            <w:tcW w:w="988" w:type="dxa"/>
            <w:vMerge/>
          </w:tcPr>
          <w:p w14:paraId="02A430EE" w14:textId="77777777" w:rsidR="007D0C32" w:rsidRPr="005963F7" w:rsidRDefault="007D0C32" w:rsidP="00320AEC">
            <w:pPr>
              <w:pStyle w:val="TableText"/>
            </w:pPr>
          </w:p>
        </w:tc>
        <w:tc>
          <w:tcPr>
            <w:tcW w:w="3118" w:type="dxa"/>
          </w:tcPr>
          <w:p w14:paraId="6FF5BAC1" w14:textId="77777777" w:rsidR="007D0C32" w:rsidRPr="005963F7" w:rsidRDefault="007D0C32" w:rsidP="00320AEC">
            <w:pPr>
              <w:pStyle w:val="TableText"/>
            </w:pPr>
            <w:r w:rsidRPr="005963F7">
              <w:t>3+4+5</w:t>
            </w:r>
          </w:p>
        </w:tc>
        <w:tc>
          <w:tcPr>
            <w:tcW w:w="1559" w:type="dxa"/>
          </w:tcPr>
          <w:p w14:paraId="410A62F8" w14:textId="3ED38F80" w:rsidR="007D0C32" w:rsidRPr="00BC102A" w:rsidRDefault="00BC102A" w:rsidP="00320AEC">
            <w:pPr>
              <w:pStyle w:val="TableText"/>
              <w:rPr>
                <w:highlight w:val="darkGray"/>
              </w:rPr>
            </w:pPr>
            <w:r w:rsidRPr="00BC102A">
              <w:t>$</w:t>
            </w:r>
            <w:r w:rsidR="005E35AF" w:rsidRPr="005E35AF">
              <w:rPr>
                <w:highlight w:val="black"/>
              </w:rPr>
              <w:t>&amp;&amp;&amp;&amp;</w:t>
            </w:r>
            <w:r>
              <w:rPr>
                <w:szCs w:val="18"/>
                <w:vertAlign w:val="superscript"/>
              </w:rPr>
              <w:t>6</w:t>
            </w:r>
          </w:p>
        </w:tc>
        <w:tc>
          <w:tcPr>
            <w:tcW w:w="1701" w:type="dxa"/>
          </w:tcPr>
          <w:p w14:paraId="4683A161" w14:textId="6DC03D15" w:rsidR="007D0C32" w:rsidRPr="005963F7" w:rsidRDefault="007D0C32" w:rsidP="00320AEC">
            <w:pPr>
              <w:pStyle w:val="TableText"/>
            </w:pPr>
            <w:r w:rsidRPr="005963F7">
              <w:t>$</w:t>
            </w:r>
            <w:r w:rsidR="005E35AF" w:rsidRPr="005E35AF">
              <w:rPr>
                <w:highlight w:val="black"/>
              </w:rPr>
              <w:t>&amp;&amp;&amp;&amp;</w:t>
            </w:r>
            <w:r w:rsidR="00BC102A">
              <w:rPr>
                <w:szCs w:val="18"/>
                <w:vertAlign w:val="superscript"/>
              </w:rPr>
              <w:t>5</w:t>
            </w:r>
          </w:p>
        </w:tc>
        <w:tc>
          <w:tcPr>
            <w:tcW w:w="1650" w:type="dxa"/>
          </w:tcPr>
          <w:p w14:paraId="42D2E58C" w14:textId="71AF110E" w:rsidR="007D0C32" w:rsidRPr="004F0725" w:rsidRDefault="007D0C32" w:rsidP="00320AEC">
            <w:pPr>
              <w:pStyle w:val="TableText"/>
              <w:rPr>
                <w:vertAlign w:val="superscript"/>
              </w:rPr>
            </w:pPr>
            <w:r w:rsidRPr="005963F7">
              <w:t>$</w:t>
            </w:r>
            <w:r w:rsidR="005E35AF" w:rsidRPr="005E35AF">
              <w:rPr>
                <w:highlight w:val="black"/>
              </w:rPr>
              <w:t>&amp;&amp;&amp;&amp;</w:t>
            </w:r>
            <w:r w:rsidR="004F0725">
              <w:rPr>
                <w:vertAlign w:val="superscript"/>
              </w:rPr>
              <w:t>1</w:t>
            </w:r>
          </w:p>
        </w:tc>
      </w:tr>
    </w:tbl>
    <w:p w14:paraId="6AC2CBDE" w14:textId="38DC57F5" w:rsidR="00EA0547" w:rsidRDefault="00E94E44" w:rsidP="00E94E44">
      <w:pPr>
        <w:pStyle w:val="TableFigureFooter"/>
      </w:pPr>
      <w:r>
        <w:t>Source: Table 1 pre-PBAC response</w:t>
      </w:r>
    </w:p>
    <w:p w14:paraId="5E7D374C" w14:textId="067118EB" w:rsidR="006F01BB" w:rsidRPr="00AD0D19" w:rsidRDefault="00A004CA" w:rsidP="00E94E44">
      <w:pPr>
        <w:pStyle w:val="TableFigureFooter"/>
        <w:rPr>
          <w:color w:val="000000"/>
          <w:szCs w:val="18"/>
        </w:rPr>
      </w:pPr>
      <w:proofErr w:type="gramStart"/>
      <w:r>
        <w:rPr>
          <w:vertAlign w:val="superscript"/>
        </w:rPr>
        <w:t>a</w:t>
      </w:r>
      <w:proofErr w:type="gramEnd"/>
      <w:r>
        <w:rPr>
          <w:vertAlign w:val="superscript"/>
        </w:rPr>
        <w:t xml:space="preserve"> </w:t>
      </w:r>
      <w:r w:rsidR="002F26F3">
        <w:t>Uptake rates adjusted differently by BMI group (</w:t>
      </w:r>
      <w:r w:rsidR="00921461" w:rsidRPr="005963F7">
        <w:rPr>
          <w:szCs w:val="18"/>
        </w:rPr>
        <w:t>(</w:t>
      </w:r>
      <w:r w:rsidR="00921461" w:rsidRPr="005963F7">
        <w:rPr>
          <w:rFonts w:cs="Calibri"/>
          <w:szCs w:val="18"/>
        </w:rPr>
        <w:t>≥</w:t>
      </w:r>
      <w:r w:rsidR="00921461" w:rsidRPr="005963F7">
        <w:rPr>
          <w:szCs w:val="18"/>
        </w:rPr>
        <w:t>27 kg/m</w:t>
      </w:r>
      <w:r w:rsidR="00921461" w:rsidRPr="005963F7">
        <w:rPr>
          <w:szCs w:val="18"/>
          <w:vertAlign w:val="superscript"/>
        </w:rPr>
        <w:t>2</w:t>
      </w:r>
      <w:r w:rsidR="00921461" w:rsidRPr="005963F7">
        <w:rPr>
          <w:szCs w:val="18"/>
        </w:rPr>
        <w:t xml:space="preserve">/ </w:t>
      </w:r>
      <w:r w:rsidR="00921461" w:rsidRPr="005963F7">
        <w:rPr>
          <w:rFonts w:cs="Calibri"/>
          <w:szCs w:val="18"/>
        </w:rPr>
        <w:t>≥</w:t>
      </w:r>
      <w:r w:rsidR="00921461" w:rsidRPr="005963F7">
        <w:rPr>
          <w:szCs w:val="18"/>
        </w:rPr>
        <w:t>35 kg/m</w:t>
      </w:r>
      <w:r w:rsidR="00921461" w:rsidRPr="005963F7">
        <w:rPr>
          <w:szCs w:val="18"/>
          <w:vertAlign w:val="superscript"/>
        </w:rPr>
        <w:t>2</w:t>
      </w:r>
      <w:r w:rsidR="00921461" w:rsidRPr="005963F7">
        <w:rPr>
          <w:szCs w:val="18"/>
        </w:rPr>
        <w:t xml:space="preserve">/ </w:t>
      </w:r>
      <w:r w:rsidR="00921461" w:rsidRPr="005963F7">
        <w:rPr>
          <w:rFonts w:cs="Calibri"/>
          <w:szCs w:val="18"/>
        </w:rPr>
        <w:t>≥</w:t>
      </w:r>
      <w:r w:rsidR="00921461" w:rsidRPr="005963F7">
        <w:rPr>
          <w:szCs w:val="18"/>
        </w:rPr>
        <w:t>40 kg/m</w:t>
      </w:r>
      <w:r w:rsidR="00921461" w:rsidRPr="005963F7">
        <w:rPr>
          <w:szCs w:val="18"/>
          <w:vertAlign w:val="superscript"/>
        </w:rPr>
        <w:t>2</w:t>
      </w:r>
      <w:r w:rsidR="00921461">
        <w:rPr>
          <w:szCs w:val="18"/>
        </w:rPr>
        <w:t>)</w:t>
      </w:r>
      <w:r w:rsidR="00E77AED">
        <w:rPr>
          <w:szCs w:val="18"/>
        </w:rPr>
        <w:t>.</w:t>
      </w:r>
      <w:r w:rsidR="00605FA8">
        <w:rPr>
          <w:szCs w:val="18"/>
        </w:rPr>
        <w:t xml:space="preserve"> </w:t>
      </w:r>
      <w:r w:rsidR="00605FA8" w:rsidRPr="00AD0D19">
        <w:rPr>
          <w:color w:val="000000"/>
          <w:szCs w:val="18"/>
        </w:rPr>
        <w:t xml:space="preserve">Base case </w:t>
      </w:r>
      <w:r w:rsidR="006F01BB" w:rsidRPr="00AD0D19">
        <w:rPr>
          <w:color w:val="000000"/>
          <w:szCs w:val="18"/>
        </w:rPr>
        <w:t xml:space="preserve">– 2026: </w:t>
      </w:r>
      <w:r w:rsidR="005E35AF" w:rsidRPr="005E35AF">
        <w:rPr>
          <w:color w:val="000000"/>
          <w:szCs w:val="18"/>
          <w:highlight w:val="black"/>
        </w:rPr>
        <w:t>&amp;&amp;&amp;&amp;</w:t>
      </w:r>
      <w:r w:rsidR="006F01BB" w:rsidRPr="00AD0D19">
        <w:rPr>
          <w:color w:val="000000"/>
          <w:szCs w:val="18"/>
        </w:rPr>
        <w:t>%/</w:t>
      </w:r>
      <w:r w:rsidR="005E35AF" w:rsidRPr="005E35AF">
        <w:rPr>
          <w:color w:val="000000"/>
          <w:szCs w:val="18"/>
          <w:highlight w:val="black"/>
        </w:rPr>
        <w:t>&amp;&amp;&amp;&amp;</w:t>
      </w:r>
      <w:r w:rsidR="006F01BB" w:rsidRPr="00AD0D19">
        <w:rPr>
          <w:color w:val="000000"/>
          <w:szCs w:val="18"/>
        </w:rPr>
        <w:t>%/</w:t>
      </w:r>
      <w:r w:rsidR="005E35AF" w:rsidRPr="005E35AF">
        <w:rPr>
          <w:color w:val="000000"/>
          <w:szCs w:val="18"/>
          <w:highlight w:val="black"/>
        </w:rPr>
        <w:t>&amp;&amp;&amp;&amp;</w:t>
      </w:r>
      <w:r w:rsidR="006F01BB" w:rsidRPr="00AD0D19">
        <w:rPr>
          <w:color w:val="000000"/>
          <w:szCs w:val="18"/>
        </w:rPr>
        <w:t xml:space="preserve">%; 2027: </w:t>
      </w:r>
      <w:r w:rsidR="005E35AF" w:rsidRPr="005E35AF">
        <w:rPr>
          <w:color w:val="000000"/>
          <w:szCs w:val="18"/>
          <w:highlight w:val="black"/>
        </w:rPr>
        <w:t>&amp;&amp;&amp;&amp;</w:t>
      </w:r>
      <w:r w:rsidR="009404F9" w:rsidRPr="00AD0D19">
        <w:rPr>
          <w:color w:val="000000"/>
          <w:szCs w:val="18"/>
        </w:rPr>
        <w:t>%/</w:t>
      </w:r>
      <w:r w:rsidR="005E35AF" w:rsidRPr="005E35AF">
        <w:rPr>
          <w:color w:val="000000"/>
          <w:szCs w:val="18"/>
          <w:highlight w:val="black"/>
        </w:rPr>
        <w:t>&amp;&amp;&amp;&amp;</w:t>
      </w:r>
      <w:r w:rsidR="009404F9" w:rsidRPr="00AD0D19">
        <w:rPr>
          <w:color w:val="000000"/>
          <w:szCs w:val="18"/>
        </w:rPr>
        <w:t>%/</w:t>
      </w:r>
      <w:r w:rsidR="005E35AF" w:rsidRPr="005E35AF">
        <w:rPr>
          <w:color w:val="000000"/>
          <w:szCs w:val="18"/>
          <w:highlight w:val="black"/>
        </w:rPr>
        <w:t>&amp;&amp;&amp;&amp;</w:t>
      </w:r>
      <w:r w:rsidR="009404F9" w:rsidRPr="00AD0D19">
        <w:rPr>
          <w:color w:val="000000"/>
          <w:szCs w:val="18"/>
        </w:rPr>
        <w:t xml:space="preserve">%; 2028: </w:t>
      </w:r>
      <w:r w:rsidR="005E35AF" w:rsidRPr="005E35AF">
        <w:rPr>
          <w:color w:val="000000"/>
          <w:szCs w:val="18"/>
          <w:highlight w:val="black"/>
        </w:rPr>
        <w:t>&amp;&amp;&amp;&amp;</w:t>
      </w:r>
      <w:r w:rsidR="009404F9" w:rsidRPr="00AD0D19">
        <w:rPr>
          <w:color w:val="000000"/>
          <w:szCs w:val="18"/>
        </w:rPr>
        <w:t>%/</w:t>
      </w:r>
      <w:r w:rsidR="005E35AF" w:rsidRPr="005E35AF">
        <w:rPr>
          <w:color w:val="000000"/>
          <w:szCs w:val="18"/>
          <w:highlight w:val="black"/>
        </w:rPr>
        <w:t>&amp;&amp;&amp;&amp;</w:t>
      </w:r>
      <w:r w:rsidR="009404F9" w:rsidRPr="00AD0D19">
        <w:rPr>
          <w:color w:val="000000"/>
          <w:szCs w:val="18"/>
        </w:rPr>
        <w:t>%</w:t>
      </w:r>
      <w:r w:rsidR="005E35AF" w:rsidRPr="005E35AF">
        <w:rPr>
          <w:color w:val="000000"/>
          <w:szCs w:val="18"/>
          <w:highlight w:val="black"/>
        </w:rPr>
        <w:t>&amp;&amp;&amp;&amp;</w:t>
      </w:r>
      <w:r w:rsidR="009404F9" w:rsidRPr="00AD0D19">
        <w:rPr>
          <w:color w:val="000000"/>
          <w:szCs w:val="18"/>
        </w:rPr>
        <w:t xml:space="preserve">%; 2029: </w:t>
      </w:r>
      <w:r w:rsidR="005E35AF" w:rsidRPr="005E35AF">
        <w:rPr>
          <w:color w:val="000000"/>
          <w:szCs w:val="18"/>
          <w:highlight w:val="black"/>
        </w:rPr>
        <w:t>&amp;&amp;&amp;&amp;</w:t>
      </w:r>
      <w:r w:rsidR="009404F9" w:rsidRPr="00AD0D19">
        <w:rPr>
          <w:color w:val="000000"/>
          <w:szCs w:val="18"/>
        </w:rPr>
        <w:t>%/</w:t>
      </w:r>
      <w:r w:rsidR="005E35AF" w:rsidRPr="005E35AF">
        <w:rPr>
          <w:color w:val="000000"/>
          <w:szCs w:val="18"/>
          <w:highlight w:val="black"/>
        </w:rPr>
        <w:t>&amp;&amp;&amp;&amp;</w:t>
      </w:r>
      <w:r w:rsidR="009404F9" w:rsidRPr="00AD0D19">
        <w:rPr>
          <w:color w:val="000000"/>
          <w:szCs w:val="18"/>
        </w:rPr>
        <w:t>%/</w:t>
      </w:r>
      <w:r w:rsidR="005E35AF" w:rsidRPr="005E35AF">
        <w:rPr>
          <w:color w:val="000000"/>
          <w:szCs w:val="18"/>
          <w:highlight w:val="black"/>
        </w:rPr>
        <w:t>&amp;&amp;&amp;&amp;</w:t>
      </w:r>
      <w:r w:rsidR="009404F9" w:rsidRPr="00AD0D19">
        <w:rPr>
          <w:color w:val="000000"/>
          <w:szCs w:val="18"/>
        </w:rPr>
        <w:t xml:space="preserve">%; 2030: </w:t>
      </w:r>
      <w:r w:rsidR="005E35AF" w:rsidRPr="005E35AF">
        <w:rPr>
          <w:color w:val="000000"/>
          <w:szCs w:val="18"/>
          <w:highlight w:val="black"/>
        </w:rPr>
        <w:t>&amp;&amp;&amp;&amp;</w:t>
      </w:r>
      <w:r w:rsidR="009404F9" w:rsidRPr="00AD0D19">
        <w:rPr>
          <w:color w:val="000000"/>
          <w:szCs w:val="18"/>
        </w:rPr>
        <w:t>%/</w:t>
      </w:r>
      <w:r w:rsidR="005E35AF" w:rsidRPr="005E35AF">
        <w:rPr>
          <w:color w:val="000000"/>
          <w:szCs w:val="18"/>
          <w:highlight w:val="black"/>
        </w:rPr>
        <w:t>&amp;&amp;&amp;&amp;</w:t>
      </w:r>
      <w:r w:rsidR="009404F9" w:rsidRPr="00AD0D19">
        <w:rPr>
          <w:color w:val="000000"/>
          <w:szCs w:val="18"/>
        </w:rPr>
        <w:t>%/</w:t>
      </w:r>
      <w:r w:rsidR="005E35AF" w:rsidRPr="005E35AF">
        <w:rPr>
          <w:color w:val="000000"/>
          <w:szCs w:val="18"/>
          <w:highlight w:val="black"/>
        </w:rPr>
        <w:t>&amp;&amp;&amp;&amp;</w:t>
      </w:r>
      <w:r w:rsidR="009404F9" w:rsidRPr="00AD0D19">
        <w:rPr>
          <w:color w:val="000000"/>
          <w:szCs w:val="18"/>
        </w:rPr>
        <w:t>%</w:t>
      </w:r>
      <w:r w:rsidR="00E77AED" w:rsidRPr="00AD0D19">
        <w:rPr>
          <w:color w:val="000000"/>
          <w:szCs w:val="18"/>
        </w:rPr>
        <w:t xml:space="preserve">; 2031: </w:t>
      </w:r>
      <w:r w:rsidR="005E35AF" w:rsidRPr="005E35AF">
        <w:rPr>
          <w:color w:val="000000"/>
          <w:szCs w:val="18"/>
          <w:highlight w:val="black"/>
        </w:rPr>
        <w:t>&amp;&amp;&amp;&amp;</w:t>
      </w:r>
      <w:r w:rsidR="00E77AED" w:rsidRPr="00AD0D19">
        <w:rPr>
          <w:color w:val="000000"/>
          <w:szCs w:val="18"/>
        </w:rPr>
        <w:t>%/</w:t>
      </w:r>
      <w:r w:rsidR="005E35AF" w:rsidRPr="005E35AF">
        <w:rPr>
          <w:color w:val="000000"/>
          <w:szCs w:val="18"/>
          <w:highlight w:val="black"/>
        </w:rPr>
        <w:t>&amp;&amp;&amp;&amp;</w:t>
      </w:r>
      <w:r w:rsidR="00E77AED" w:rsidRPr="00AD0D19">
        <w:rPr>
          <w:color w:val="000000"/>
          <w:szCs w:val="18"/>
        </w:rPr>
        <w:t>%/</w:t>
      </w:r>
      <w:r w:rsidR="005E35AF" w:rsidRPr="005E35AF">
        <w:rPr>
          <w:color w:val="000000"/>
          <w:szCs w:val="18"/>
          <w:highlight w:val="black"/>
        </w:rPr>
        <w:t>&amp;&amp;&amp;&amp;</w:t>
      </w:r>
      <w:r w:rsidR="00E77AED" w:rsidRPr="00AD0D19">
        <w:rPr>
          <w:color w:val="000000"/>
          <w:szCs w:val="18"/>
        </w:rPr>
        <w:t>%. Sensitivity analysis</w:t>
      </w:r>
      <w:r w:rsidR="003A72EA" w:rsidRPr="00AD0D19">
        <w:rPr>
          <w:color w:val="000000"/>
          <w:szCs w:val="18"/>
        </w:rPr>
        <w:t xml:space="preserve"> – 2026: </w:t>
      </w:r>
      <w:r w:rsidR="005E35AF" w:rsidRPr="005E35AF">
        <w:rPr>
          <w:color w:val="000000"/>
          <w:szCs w:val="18"/>
          <w:highlight w:val="black"/>
        </w:rPr>
        <w:t>&amp;&amp;&amp;&amp;</w:t>
      </w:r>
      <w:r w:rsidR="003A72EA" w:rsidRPr="00AD0D19">
        <w:rPr>
          <w:color w:val="000000"/>
          <w:szCs w:val="18"/>
        </w:rPr>
        <w:t>%/</w:t>
      </w:r>
      <w:r w:rsidR="005E35AF" w:rsidRPr="005E35AF">
        <w:rPr>
          <w:color w:val="000000"/>
          <w:szCs w:val="18"/>
          <w:highlight w:val="black"/>
        </w:rPr>
        <w:t>&amp;&amp;&amp;&amp;</w:t>
      </w:r>
      <w:r w:rsidR="003A72EA" w:rsidRPr="00AD0D19">
        <w:rPr>
          <w:color w:val="000000"/>
          <w:szCs w:val="18"/>
        </w:rPr>
        <w:t>%/</w:t>
      </w:r>
      <w:r w:rsidR="005E35AF" w:rsidRPr="005E35AF">
        <w:rPr>
          <w:color w:val="000000"/>
          <w:szCs w:val="18"/>
          <w:highlight w:val="black"/>
        </w:rPr>
        <w:t>&amp;&amp;&amp;&amp;</w:t>
      </w:r>
      <w:r w:rsidR="003A72EA" w:rsidRPr="00AD0D19">
        <w:rPr>
          <w:color w:val="000000"/>
          <w:szCs w:val="18"/>
        </w:rPr>
        <w:t>%</w:t>
      </w:r>
      <w:r w:rsidR="0087375A" w:rsidRPr="00AD0D19">
        <w:rPr>
          <w:color w:val="000000"/>
          <w:szCs w:val="18"/>
        </w:rPr>
        <w:t xml:space="preserve">; 2027: </w:t>
      </w:r>
      <w:r w:rsidR="005E35AF" w:rsidRPr="005E35AF">
        <w:rPr>
          <w:color w:val="000000"/>
          <w:szCs w:val="18"/>
          <w:highlight w:val="black"/>
        </w:rPr>
        <w:t>&amp;&amp;&amp;&amp;</w:t>
      </w:r>
      <w:r w:rsidR="0087375A" w:rsidRPr="00AD0D19">
        <w:rPr>
          <w:color w:val="000000"/>
          <w:szCs w:val="18"/>
        </w:rPr>
        <w:t>%/</w:t>
      </w:r>
      <w:r w:rsidR="005E35AF" w:rsidRPr="005E35AF">
        <w:rPr>
          <w:color w:val="000000"/>
          <w:szCs w:val="18"/>
          <w:highlight w:val="black"/>
        </w:rPr>
        <w:t>&amp;&amp;&amp;&amp;</w:t>
      </w:r>
      <w:r w:rsidR="0087375A" w:rsidRPr="00AD0D19">
        <w:rPr>
          <w:color w:val="000000"/>
          <w:szCs w:val="18"/>
        </w:rPr>
        <w:t>%/</w:t>
      </w:r>
      <w:r w:rsidR="005E35AF" w:rsidRPr="005E35AF">
        <w:rPr>
          <w:color w:val="000000"/>
          <w:szCs w:val="18"/>
          <w:highlight w:val="black"/>
        </w:rPr>
        <w:t>&amp;&amp;&amp;&amp;</w:t>
      </w:r>
      <w:r w:rsidR="0087375A" w:rsidRPr="00AD0D19">
        <w:rPr>
          <w:color w:val="000000"/>
          <w:szCs w:val="18"/>
        </w:rPr>
        <w:t xml:space="preserve">%; 2028: </w:t>
      </w:r>
      <w:r w:rsidR="005E35AF" w:rsidRPr="005E35AF">
        <w:rPr>
          <w:color w:val="000000"/>
          <w:szCs w:val="18"/>
          <w:highlight w:val="black"/>
        </w:rPr>
        <w:t>&amp;&amp;&amp;&amp;</w:t>
      </w:r>
      <w:r w:rsidR="0087375A" w:rsidRPr="00AD0D19">
        <w:rPr>
          <w:color w:val="000000"/>
          <w:szCs w:val="18"/>
        </w:rPr>
        <w:t>%/</w:t>
      </w:r>
      <w:r w:rsidR="005E35AF" w:rsidRPr="005E35AF">
        <w:rPr>
          <w:color w:val="000000"/>
          <w:szCs w:val="18"/>
          <w:highlight w:val="black"/>
        </w:rPr>
        <w:t>&amp;&amp;&amp;&amp;</w:t>
      </w:r>
      <w:r w:rsidR="0087375A" w:rsidRPr="00AD0D19">
        <w:rPr>
          <w:color w:val="000000"/>
          <w:szCs w:val="18"/>
        </w:rPr>
        <w:t>%/</w:t>
      </w:r>
      <w:r w:rsidR="005E35AF" w:rsidRPr="005E35AF">
        <w:rPr>
          <w:color w:val="000000"/>
          <w:szCs w:val="18"/>
          <w:highlight w:val="black"/>
        </w:rPr>
        <w:t>&amp;&amp;&amp;&amp;</w:t>
      </w:r>
      <w:r w:rsidR="0087375A" w:rsidRPr="00AD0D19">
        <w:rPr>
          <w:color w:val="000000"/>
          <w:szCs w:val="18"/>
        </w:rPr>
        <w:t xml:space="preserve">%; 2029: </w:t>
      </w:r>
      <w:r w:rsidR="005E35AF" w:rsidRPr="005E35AF">
        <w:rPr>
          <w:color w:val="000000"/>
          <w:szCs w:val="18"/>
          <w:highlight w:val="black"/>
        </w:rPr>
        <w:t>&amp;&amp;&amp;&amp;</w:t>
      </w:r>
      <w:r w:rsidR="0087375A" w:rsidRPr="00AD0D19">
        <w:rPr>
          <w:color w:val="000000"/>
          <w:szCs w:val="18"/>
        </w:rPr>
        <w:t>%/</w:t>
      </w:r>
      <w:r w:rsidR="005E35AF" w:rsidRPr="005E35AF">
        <w:rPr>
          <w:color w:val="000000"/>
          <w:szCs w:val="18"/>
          <w:highlight w:val="black"/>
        </w:rPr>
        <w:t>&amp;&amp;&amp;&amp;</w:t>
      </w:r>
      <w:r w:rsidR="0087375A" w:rsidRPr="00AD0D19">
        <w:rPr>
          <w:color w:val="000000"/>
          <w:szCs w:val="18"/>
        </w:rPr>
        <w:t>%/</w:t>
      </w:r>
      <w:r w:rsidR="005E35AF" w:rsidRPr="005E35AF">
        <w:rPr>
          <w:color w:val="000000"/>
          <w:szCs w:val="18"/>
          <w:highlight w:val="black"/>
        </w:rPr>
        <w:t>&amp;&amp;&amp;&amp;</w:t>
      </w:r>
      <w:r w:rsidR="0087375A" w:rsidRPr="00AD0D19">
        <w:rPr>
          <w:color w:val="000000"/>
          <w:szCs w:val="18"/>
        </w:rPr>
        <w:t>%</w:t>
      </w:r>
      <w:r w:rsidR="00104491" w:rsidRPr="00AD0D19">
        <w:rPr>
          <w:color w:val="000000"/>
          <w:szCs w:val="18"/>
        </w:rPr>
        <w:t xml:space="preserve">; 2030: </w:t>
      </w:r>
      <w:r w:rsidR="005E35AF" w:rsidRPr="005E35AF">
        <w:rPr>
          <w:color w:val="000000"/>
          <w:szCs w:val="18"/>
          <w:highlight w:val="black"/>
        </w:rPr>
        <w:t>&amp;&amp;&amp;&amp;</w:t>
      </w:r>
      <w:r w:rsidR="00104491" w:rsidRPr="00AD0D19">
        <w:rPr>
          <w:color w:val="000000"/>
          <w:szCs w:val="18"/>
        </w:rPr>
        <w:t>%/</w:t>
      </w:r>
      <w:r w:rsidR="005E35AF" w:rsidRPr="005E35AF">
        <w:rPr>
          <w:color w:val="000000"/>
          <w:szCs w:val="18"/>
          <w:highlight w:val="black"/>
        </w:rPr>
        <w:t>&amp;&amp;&amp;&amp;</w:t>
      </w:r>
      <w:r w:rsidR="00104491" w:rsidRPr="00AD0D19">
        <w:rPr>
          <w:color w:val="000000"/>
          <w:szCs w:val="18"/>
        </w:rPr>
        <w:t>%/</w:t>
      </w:r>
      <w:r w:rsidR="005E35AF" w:rsidRPr="005E35AF">
        <w:rPr>
          <w:color w:val="000000"/>
          <w:szCs w:val="18"/>
          <w:highlight w:val="black"/>
        </w:rPr>
        <w:t>&amp;&amp;&amp;&amp;</w:t>
      </w:r>
      <w:r w:rsidR="00104491" w:rsidRPr="00AD0D19">
        <w:rPr>
          <w:color w:val="000000"/>
          <w:szCs w:val="18"/>
        </w:rPr>
        <w:t xml:space="preserve">%; 2031: </w:t>
      </w:r>
      <w:r w:rsidR="005E35AF" w:rsidRPr="005E35AF">
        <w:rPr>
          <w:color w:val="000000"/>
          <w:szCs w:val="18"/>
          <w:highlight w:val="black"/>
        </w:rPr>
        <w:t>&amp;&amp;&amp;&amp;</w:t>
      </w:r>
      <w:r w:rsidR="00104491" w:rsidRPr="00AD0D19">
        <w:rPr>
          <w:color w:val="000000"/>
          <w:szCs w:val="18"/>
        </w:rPr>
        <w:t>%/</w:t>
      </w:r>
      <w:r w:rsidR="005E35AF" w:rsidRPr="005E35AF">
        <w:rPr>
          <w:color w:val="000000"/>
          <w:szCs w:val="18"/>
          <w:highlight w:val="black"/>
        </w:rPr>
        <w:t>&amp;&amp;&amp;&amp;</w:t>
      </w:r>
      <w:r w:rsidR="00104491" w:rsidRPr="00AD0D19">
        <w:rPr>
          <w:color w:val="000000"/>
          <w:szCs w:val="18"/>
        </w:rPr>
        <w:t>%/</w:t>
      </w:r>
      <w:r w:rsidR="005E35AF" w:rsidRPr="005E35AF">
        <w:rPr>
          <w:color w:val="000000"/>
          <w:szCs w:val="18"/>
          <w:highlight w:val="black"/>
        </w:rPr>
        <w:t>&amp;&amp;&amp;&amp;</w:t>
      </w:r>
      <w:r w:rsidR="00104491" w:rsidRPr="00AD0D19">
        <w:rPr>
          <w:color w:val="000000"/>
          <w:szCs w:val="18"/>
        </w:rPr>
        <w:t>%</w:t>
      </w:r>
    </w:p>
    <w:p w14:paraId="0C3B5B9D" w14:textId="77777777" w:rsidR="00B8420D" w:rsidRPr="00AD0D19" w:rsidRDefault="00EA4FB8" w:rsidP="00A36331">
      <w:pPr>
        <w:pStyle w:val="TableFigureFooter"/>
        <w:rPr>
          <w:color w:val="000000"/>
          <w:szCs w:val="18"/>
        </w:rPr>
      </w:pPr>
      <w:r w:rsidRPr="00AD0D19">
        <w:rPr>
          <w:color w:val="000000"/>
          <w:szCs w:val="18"/>
          <w:vertAlign w:val="superscript"/>
        </w:rPr>
        <w:t xml:space="preserve">b </w:t>
      </w:r>
      <w:r w:rsidRPr="00AD0D19">
        <w:rPr>
          <w:color w:val="000000"/>
          <w:szCs w:val="18"/>
        </w:rPr>
        <w:t>Dose: 0.25/0.5/1mg: 6%; 1.7mg: 12%; 2.4mg: 70%</w:t>
      </w:r>
      <w:r w:rsidR="00A36331" w:rsidRPr="00AD0D19">
        <w:rPr>
          <w:color w:val="000000"/>
          <w:szCs w:val="18"/>
        </w:rPr>
        <w:t xml:space="preserve"> </w:t>
      </w:r>
    </w:p>
    <w:p w14:paraId="18044871" w14:textId="094A8E22" w:rsidR="00A36331" w:rsidRPr="00B8420D" w:rsidRDefault="00B8420D" w:rsidP="00A36331">
      <w:pPr>
        <w:pStyle w:val="TableFigureFooter"/>
        <w:rPr>
          <w:i/>
          <w:iCs/>
          <w:szCs w:val="18"/>
        </w:rPr>
      </w:pPr>
      <w:r w:rsidRPr="00B8420D">
        <w:rPr>
          <w:i/>
          <w:iCs/>
          <w:szCs w:val="18"/>
        </w:rPr>
        <w:t>The redacted values correspond to the following ranges:</w:t>
      </w:r>
    </w:p>
    <w:p w14:paraId="1E908E14" w14:textId="70E0BB5F" w:rsidR="00A36331" w:rsidRPr="00B8420D" w:rsidRDefault="00A36331" w:rsidP="00A36331">
      <w:pPr>
        <w:pStyle w:val="TableFigureFooter"/>
        <w:rPr>
          <w:i/>
          <w:iCs/>
          <w:szCs w:val="18"/>
        </w:rPr>
      </w:pPr>
      <w:r w:rsidRPr="00B8420D">
        <w:rPr>
          <w:i/>
          <w:iCs/>
          <w:szCs w:val="18"/>
          <w:vertAlign w:val="superscript"/>
        </w:rPr>
        <w:t>1</w:t>
      </w:r>
      <w:r w:rsidRPr="00B8420D">
        <w:rPr>
          <w:i/>
          <w:iCs/>
          <w:szCs w:val="18"/>
        </w:rPr>
        <w:t>$400 million to &lt; $500 million</w:t>
      </w:r>
    </w:p>
    <w:p w14:paraId="2AA7496B" w14:textId="69F6536E" w:rsidR="00A36331" w:rsidRPr="00B8420D" w:rsidRDefault="004F0725" w:rsidP="00A36331">
      <w:pPr>
        <w:pStyle w:val="TableFigureFooter"/>
        <w:rPr>
          <w:i/>
          <w:iCs/>
          <w:szCs w:val="18"/>
        </w:rPr>
      </w:pPr>
      <w:r w:rsidRPr="00B8420D">
        <w:rPr>
          <w:i/>
          <w:iCs/>
          <w:szCs w:val="18"/>
          <w:vertAlign w:val="superscript"/>
        </w:rPr>
        <w:t>2</w:t>
      </w:r>
      <w:r w:rsidR="00A36331" w:rsidRPr="00B8420D">
        <w:rPr>
          <w:i/>
          <w:iCs/>
          <w:szCs w:val="18"/>
        </w:rPr>
        <w:t>$500 million to &lt; $600 million</w:t>
      </w:r>
    </w:p>
    <w:p w14:paraId="301CA912" w14:textId="0C536CAE" w:rsidR="00A36331" w:rsidRPr="00B8420D" w:rsidRDefault="00BC102A" w:rsidP="00A36331">
      <w:pPr>
        <w:pStyle w:val="TableFigureFooter"/>
        <w:rPr>
          <w:i/>
          <w:iCs/>
          <w:szCs w:val="18"/>
        </w:rPr>
      </w:pPr>
      <w:r w:rsidRPr="00B8420D">
        <w:rPr>
          <w:i/>
          <w:iCs/>
          <w:szCs w:val="18"/>
          <w:vertAlign w:val="superscript"/>
        </w:rPr>
        <w:t>3</w:t>
      </w:r>
      <w:r w:rsidR="00A36331" w:rsidRPr="00B8420D">
        <w:rPr>
          <w:i/>
          <w:iCs/>
          <w:szCs w:val="18"/>
        </w:rPr>
        <w:t>$700 million to &lt; $800 million</w:t>
      </w:r>
    </w:p>
    <w:p w14:paraId="568EE949" w14:textId="7AB12CB7" w:rsidR="00A36331" w:rsidRPr="00B8420D" w:rsidRDefault="00BC102A" w:rsidP="00A36331">
      <w:pPr>
        <w:pStyle w:val="TableFigureFooter"/>
        <w:rPr>
          <w:i/>
          <w:iCs/>
          <w:szCs w:val="18"/>
        </w:rPr>
      </w:pPr>
      <w:r w:rsidRPr="00B8420D">
        <w:rPr>
          <w:i/>
          <w:iCs/>
          <w:szCs w:val="18"/>
          <w:vertAlign w:val="superscript"/>
        </w:rPr>
        <w:t>4</w:t>
      </w:r>
      <w:r w:rsidR="00A36331" w:rsidRPr="00B8420D">
        <w:rPr>
          <w:i/>
          <w:iCs/>
          <w:szCs w:val="18"/>
        </w:rPr>
        <w:t>$800 million to &lt; $900 million</w:t>
      </w:r>
    </w:p>
    <w:p w14:paraId="439875E1" w14:textId="2939A76E" w:rsidR="00A36331" w:rsidRPr="00B8420D" w:rsidRDefault="00BC102A" w:rsidP="00A36331">
      <w:pPr>
        <w:pStyle w:val="TableFigureFooter"/>
        <w:rPr>
          <w:i/>
          <w:iCs/>
          <w:szCs w:val="18"/>
        </w:rPr>
      </w:pPr>
      <w:r w:rsidRPr="00B8420D">
        <w:rPr>
          <w:i/>
          <w:iCs/>
          <w:szCs w:val="18"/>
          <w:vertAlign w:val="superscript"/>
        </w:rPr>
        <w:t>5</w:t>
      </w:r>
      <w:r w:rsidR="00A36331" w:rsidRPr="00B8420D">
        <w:rPr>
          <w:i/>
          <w:iCs/>
          <w:szCs w:val="18"/>
        </w:rPr>
        <w:t>$900 million to &lt; $1 billion</w:t>
      </w:r>
    </w:p>
    <w:p w14:paraId="14F25C6A" w14:textId="30745333" w:rsidR="00921461" w:rsidRPr="00B8420D" w:rsidRDefault="00BC102A" w:rsidP="00A36331">
      <w:pPr>
        <w:pStyle w:val="TableFigureFooter"/>
        <w:rPr>
          <w:i/>
          <w:iCs/>
        </w:rPr>
      </w:pPr>
      <w:r w:rsidRPr="00B8420D">
        <w:rPr>
          <w:i/>
          <w:iCs/>
          <w:szCs w:val="18"/>
          <w:vertAlign w:val="superscript"/>
        </w:rPr>
        <w:t>6</w:t>
      </w:r>
      <w:r w:rsidR="00A36331" w:rsidRPr="00B8420D">
        <w:rPr>
          <w:i/>
          <w:iCs/>
          <w:szCs w:val="18"/>
        </w:rPr>
        <w:t>&gt; $1 billion</w:t>
      </w:r>
    </w:p>
    <w:p w14:paraId="2238DEE9" w14:textId="5E2DA7C2" w:rsidR="00576972" w:rsidRPr="0098262F" w:rsidRDefault="00576972" w:rsidP="007F6F88">
      <w:pPr>
        <w:pStyle w:val="COMESSubsectionheading"/>
      </w:pPr>
      <w:r w:rsidRPr="0098262F">
        <w:t>Quality Use of Medicines</w:t>
      </w:r>
      <w:bookmarkEnd w:id="68"/>
      <w:bookmarkEnd w:id="69"/>
    </w:p>
    <w:p w14:paraId="0596B658" w14:textId="2A0F482D" w:rsidR="00D62237" w:rsidRDefault="00D62237" w:rsidP="00606FBA">
      <w:pPr>
        <w:pStyle w:val="COMESnumberedpara"/>
      </w:pPr>
      <w:r w:rsidRPr="00D62237">
        <w:t>The resubmission stated that the sponsor will undertake pharmacovigilance/data collection activities and provide education support to patients, doctors, pharmacists and other healthcare professionals. A detailed quality use of medicines strategy report was commissioned by the sponsor and provided in the documents accompanying the resubmission.</w:t>
      </w:r>
    </w:p>
    <w:p w14:paraId="6CE23621" w14:textId="59C8B2D4" w:rsidR="00E3772C" w:rsidRPr="00E3772C" w:rsidRDefault="00E3772C" w:rsidP="00606FBA">
      <w:pPr>
        <w:pStyle w:val="COMESnumberedpara"/>
      </w:pPr>
      <w:r w:rsidRPr="00E3772C">
        <w:t>DUSC commented that completing the titration schedule in 16</w:t>
      </w:r>
      <w:r w:rsidRPr="00E3772C">
        <w:rPr>
          <w:lang w:val="en-US"/>
        </w:rPr>
        <w:t xml:space="preserve"> weeks could be difficult for people with </w:t>
      </w:r>
      <w:r w:rsidR="00CA4BFC">
        <w:rPr>
          <w:lang w:val="en-US"/>
        </w:rPr>
        <w:t>gastrointestinal</w:t>
      </w:r>
      <w:r w:rsidRPr="00E3772C">
        <w:rPr>
          <w:lang w:val="en-US"/>
        </w:rPr>
        <w:t xml:space="preserve"> </w:t>
      </w:r>
      <w:r w:rsidR="00CA4BFC">
        <w:rPr>
          <w:lang w:val="en-US"/>
        </w:rPr>
        <w:t>adverse</w:t>
      </w:r>
      <w:r w:rsidRPr="00E3772C">
        <w:rPr>
          <w:lang w:val="en-US"/>
        </w:rPr>
        <w:t xml:space="preserve"> effects</w:t>
      </w:r>
      <w:r w:rsidRPr="00E3772C">
        <w:t xml:space="preserve">. If these patients were dispensed higher dose </w:t>
      </w:r>
      <w:proofErr w:type="gramStart"/>
      <w:r w:rsidRPr="00E3772C">
        <w:t>pens</w:t>
      </w:r>
      <w:proofErr w:type="gramEnd"/>
      <w:r w:rsidRPr="00E3772C">
        <w:t xml:space="preserve"> they will likely calculate the number of clicks needed to dispense a lower dose of semaglutide, which DUSC considered was a quality use of medicines </w:t>
      </w:r>
      <w:r w:rsidRPr="00E3772C">
        <w:lastRenderedPageBreak/>
        <w:t>issue.</w:t>
      </w:r>
      <w:r w:rsidR="001A7B27">
        <w:t xml:space="preserve"> The pre-PBAC response</w:t>
      </w:r>
      <w:r w:rsidR="00473D42">
        <w:t xml:space="preserve"> </w:t>
      </w:r>
      <w:r w:rsidR="00981E13">
        <w:t>noted</w:t>
      </w:r>
      <w:r w:rsidR="00473D42">
        <w:t xml:space="preserve"> that </w:t>
      </w:r>
      <w:r w:rsidR="003D4339">
        <w:t xml:space="preserve">the quality use of medicines concern regarding click counting </w:t>
      </w:r>
      <w:r w:rsidR="00981E13">
        <w:t xml:space="preserve">applies to the FlexTouch device. The pre-PBAC </w:t>
      </w:r>
      <w:proofErr w:type="gramStart"/>
      <w:r w:rsidR="00981E13">
        <w:t>response  clarified</w:t>
      </w:r>
      <w:proofErr w:type="gramEnd"/>
      <w:r w:rsidR="00981E13">
        <w:t xml:space="preserve"> that </w:t>
      </w:r>
      <w:r w:rsidR="009172E0">
        <w:t xml:space="preserve">this issue does not arise with the pre-filled single dose device which </w:t>
      </w:r>
      <w:r w:rsidR="0056176C">
        <w:t>the</w:t>
      </w:r>
      <w:r w:rsidR="00EE323A">
        <w:t xml:space="preserve"> </w:t>
      </w:r>
      <w:r w:rsidR="0056176C">
        <w:t>sponsor is requesting listing for</w:t>
      </w:r>
      <w:r w:rsidR="00A059D1">
        <w:t xml:space="preserve"> in this </w:t>
      </w:r>
      <w:r w:rsidR="00A2500F">
        <w:t>re</w:t>
      </w:r>
      <w:r w:rsidR="00A059D1">
        <w:t xml:space="preserve">submission. </w:t>
      </w:r>
    </w:p>
    <w:p w14:paraId="6015A395" w14:textId="2EDB6A4E" w:rsidR="00576972" w:rsidRPr="0098262F" w:rsidRDefault="00576972" w:rsidP="00606FBA">
      <w:pPr>
        <w:pStyle w:val="COMESSubsectionheading"/>
      </w:pPr>
      <w:bookmarkStart w:id="73" w:name="_Toc22897649"/>
      <w:bookmarkStart w:id="74" w:name="_Toc208928375"/>
      <w:r w:rsidRPr="0098262F">
        <w:t>Financial Management – Risk Sharing Arrangements</w:t>
      </w:r>
      <w:bookmarkEnd w:id="73"/>
      <w:bookmarkEnd w:id="74"/>
    </w:p>
    <w:p w14:paraId="400C5B91" w14:textId="7E4337FA" w:rsidR="009109FC" w:rsidRPr="00D7760D" w:rsidRDefault="000144FB" w:rsidP="00D7760D">
      <w:pPr>
        <w:pStyle w:val="COMESnumberedpara"/>
      </w:pPr>
      <w:r w:rsidRPr="000144FB">
        <w:t xml:space="preserve">The resubmission acknowledged that some form of risk-sharing arrangement would be required given the magnitude and nature of the uncertainties surrounding the financial implications of a PBS/RPBS listing of </w:t>
      </w:r>
      <w:proofErr w:type="gramStart"/>
      <w:r w:rsidRPr="000144FB">
        <w:t>semaglutide</w:t>
      </w:r>
      <w:proofErr w:type="gramEnd"/>
      <w:r w:rsidRPr="000144FB">
        <w:t xml:space="preserve"> for adult patients with established cardiovascular disease who were overweight or obese. However, the resubmission claimed it would be premature to propose a firm framework for such an agreement in the absence of PBAC advice on other critical aspects of the resubmission.  </w:t>
      </w:r>
      <w:bookmarkStart w:id="75" w:name="_Hlk103934877"/>
    </w:p>
    <w:bookmarkEnd w:id="75"/>
    <w:p w14:paraId="3EA02289" w14:textId="36718C4A" w:rsidR="00B425E3" w:rsidRPr="00D7760D" w:rsidRDefault="00A80901" w:rsidP="00D7760D">
      <w:pPr>
        <w:ind w:firstLine="709"/>
        <w:rPr>
          <w:rFonts w:asciiTheme="minorHAnsi" w:hAnsiTheme="minorHAnsi"/>
          <w:i/>
        </w:rPr>
      </w:pPr>
      <w:r w:rsidRPr="00C33D30">
        <w:rPr>
          <w:rFonts w:asciiTheme="minorHAnsi" w:hAnsiTheme="minorHAnsi"/>
          <w:i/>
        </w:rPr>
        <w:t>For more detail on PBAC’s view, see section 7 PBAC outcome.</w:t>
      </w:r>
    </w:p>
    <w:p w14:paraId="5D6C99A9" w14:textId="77777777" w:rsidR="00F83289" w:rsidRPr="0090150D" w:rsidRDefault="00F83289" w:rsidP="00F83289">
      <w:pPr>
        <w:pStyle w:val="2-SectionHeading"/>
        <w:numPr>
          <w:ilvl w:val="0"/>
          <w:numId w:val="1"/>
        </w:numPr>
        <w:outlineLvl w:val="0"/>
      </w:pPr>
      <w:bookmarkStart w:id="76" w:name="_Hlk76381249"/>
      <w:r w:rsidRPr="0090150D">
        <w:t>PBAC Outcome</w:t>
      </w:r>
    </w:p>
    <w:p w14:paraId="5DE9CD56" w14:textId="5DC516AB" w:rsidR="007777EF" w:rsidRDefault="00CD32C0" w:rsidP="00D7760D">
      <w:pPr>
        <w:pStyle w:val="COMESnumberedpara"/>
      </w:pPr>
      <w:r w:rsidRPr="008D3989">
        <w:t>The PBAC recommended semaglutide</w:t>
      </w:r>
      <w:r>
        <w:t xml:space="preserve"> </w:t>
      </w:r>
      <w:r w:rsidRPr="008D3989">
        <w:t xml:space="preserve">for patients with established cardiovascular disease (eCVD) with obesity, in patients who have already experienced a cardiovascular event </w:t>
      </w:r>
      <w:r w:rsidR="009426E5">
        <w:t>including</w:t>
      </w:r>
      <w:r w:rsidRPr="008D3989">
        <w:t xml:space="preserve"> myocardial infarction, stroke, or symptomatic peripheral arterial disease. </w:t>
      </w:r>
      <w:r w:rsidR="00060F78">
        <w:t xml:space="preserve">The PBAC </w:t>
      </w:r>
      <w:r w:rsidR="0032007D">
        <w:t>wa</w:t>
      </w:r>
      <w:r w:rsidR="00060F78">
        <w:t>s satisfied that semaglutide provides, for some patients, a significant improvement in efficacy over</w:t>
      </w:r>
      <w:r w:rsidR="001B493B">
        <w:t xml:space="preserve"> standard of care. </w:t>
      </w:r>
      <w:r w:rsidR="001D3894" w:rsidRPr="008D3989">
        <w:t xml:space="preserve">The PBAC </w:t>
      </w:r>
      <w:r w:rsidR="00917211">
        <w:t xml:space="preserve">considered that </w:t>
      </w:r>
      <w:r w:rsidR="00816112">
        <w:t xml:space="preserve">restricting the </w:t>
      </w:r>
      <w:r w:rsidR="00914630">
        <w:t xml:space="preserve">eCVD population to a </w:t>
      </w:r>
      <w:r w:rsidR="00E9652E">
        <w:t>Body Mass Index (</w:t>
      </w:r>
      <w:r w:rsidR="00914630">
        <w:t>BMI</w:t>
      </w:r>
      <w:r w:rsidR="00E9652E">
        <w:t>)</w:t>
      </w:r>
      <w:r w:rsidR="00914630">
        <w:t xml:space="preserve"> </w:t>
      </w:r>
      <w:r w:rsidR="001D3894" w:rsidRPr="008D3989">
        <w:t>≥35 kg/m</w:t>
      </w:r>
      <w:r w:rsidR="001D3894" w:rsidRPr="008D3989">
        <w:rPr>
          <w:vertAlign w:val="superscript"/>
        </w:rPr>
        <w:t>2</w:t>
      </w:r>
      <w:r w:rsidR="001D3894" w:rsidRPr="008D3989">
        <w:t xml:space="preserve"> </w:t>
      </w:r>
      <w:r w:rsidR="008543B8">
        <w:t xml:space="preserve">or </w:t>
      </w:r>
      <w:r w:rsidR="008543B8" w:rsidRPr="008D3989">
        <w:t>≥3</w:t>
      </w:r>
      <w:r w:rsidR="008543B8">
        <w:t>2.</w:t>
      </w:r>
      <w:r w:rsidR="008543B8" w:rsidRPr="008D3989">
        <w:t>5 kg/m</w:t>
      </w:r>
      <w:r w:rsidR="008543B8" w:rsidRPr="008D3989">
        <w:rPr>
          <w:vertAlign w:val="superscript"/>
        </w:rPr>
        <w:t>2</w:t>
      </w:r>
      <w:r w:rsidR="003A124B">
        <w:t xml:space="preserve"> individuals of Asian or Aboriginal or Torres Strait Islander ethnicity </w:t>
      </w:r>
      <w:r w:rsidR="00914630">
        <w:t xml:space="preserve">was </w:t>
      </w:r>
      <w:r w:rsidR="00642371">
        <w:t xml:space="preserve">appropriate as </w:t>
      </w:r>
      <w:r w:rsidR="00EB2AE8">
        <w:t xml:space="preserve">this represented </w:t>
      </w:r>
      <w:r w:rsidR="00642371">
        <w:t>a high priority population</w:t>
      </w:r>
      <w:r w:rsidR="00446B40">
        <w:t xml:space="preserve">. </w:t>
      </w:r>
      <w:r w:rsidR="004B59EC" w:rsidRPr="008D3989">
        <w:t xml:space="preserve">The PBAC agreed with the ESC that revisions to the economic model were required including amendments to BMI treatment effects after discontinuation and advised that the resulting incremental cost-effectiveness ratio </w:t>
      </w:r>
      <w:r w:rsidR="00514C0F">
        <w:t xml:space="preserve">(ICER) </w:t>
      </w:r>
      <w:r w:rsidR="004B59EC" w:rsidRPr="008D3989">
        <w:t>was unacceptably high. The PBAC advised that a reduction in the cost per patient was required to achieve an acceptable incremental cost-effectiveness ratio.</w:t>
      </w:r>
      <w:r w:rsidR="009965CD">
        <w:t xml:space="preserve"> </w:t>
      </w:r>
      <w:r w:rsidR="00C36446" w:rsidRPr="008D3989">
        <w:t>The PBAC considered the risk of use outside of the proposed patient population (</w:t>
      </w:r>
      <w:r w:rsidR="00533DAF">
        <w:t xml:space="preserve">particularly in </w:t>
      </w:r>
      <w:r w:rsidR="00C36446" w:rsidRPr="008D3989">
        <w:t>patients with eCVD and with a BMI of less than 35 kg/m</w:t>
      </w:r>
      <w:r w:rsidR="00C36446" w:rsidRPr="008D3989">
        <w:rPr>
          <w:vertAlign w:val="superscript"/>
        </w:rPr>
        <w:t>2</w:t>
      </w:r>
      <w:r w:rsidR="00C36446" w:rsidRPr="008D3989">
        <w:t>) was very high and advised that a risk sharing arrangement was required to adequately manage the risk to the Commonwealth.</w:t>
      </w:r>
    </w:p>
    <w:p w14:paraId="5A3C2855" w14:textId="05C9969D" w:rsidR="00C36446" w:rsidRDefault="00131965" w:rsidP="00D7760D">
      <w:pPr>
        <w:pStyle w:val="COMESnumberedpara"/>
      </w:pPr>
      <w:r>
        <w:t xml:space="preserve">The </w:t>
      </w:r>
      <w:r w:rsidR="00660996">
        <w:t>PBAC noted the input from individuals, health care professionals and organisations which</w:t>
      </w:r>
      <w:r w:rsidR="00FA40E2">
        <w:t xml:space="preserve"> highlighted the benefits of </w:t>
      </w:r>
      <w:r w:rsidR="004A4BC6">
        <w:t xml:space="preserve">treatment with semaglutide </w:t>
      </w:r>
      <w:r w:rsidR="006D478C">
        <w:t xml:space="preserve">for patients who have </w:t>
      </w:r>
      <w:r w:rsidR="00FD7E27">
        <w:t xml:space="preserve">eCVD with obesity. </w:t>
      </w:r>
      <w:r w:rsidR="003232B5">
        <w:t>The PBAC noted the input highlighted the</w:t>
      </w:r>
      <w:r w:rsidR="00C72AEB">
        <w:t xml:space="preserve"> high</w:t>
      </w:r>
      <w:r w:rsidR="003232B5">
        <w:t xml:space="preserve"> cost of semaglutide in the priv</w:t>
      </w:r>
      <w:r w:rsidR="00C72AEB">
        <w:t xml:space="preserve">ate market as a barrier to access. </w:t>
      </w:r>
      <w:r w:rsidR="00765F67">
        <w:t xml:space="preserve">The PBAC </w:t>
      </w:r>
      <w:r w:rsidR="00140744">
        <w:t>noted</w:t>
      </w:r>
      <w:r w:rsidR="007F632C">
        <w:t xml:space="preserve"> the input fr</w:t>
      </w:r>
      <w:r w:rsidR="00CF43A9">
        <w:t>om</w:t>
      </w:r>
      <w:r w:rsidR="00140744">
        <w:t xml:space="preserve"> </w:t>
      </w:r>
      <w:r w:rsidR="007F632C">
        <w:t>health care professionals and organ</w:t>
      </w:r>
      <w:r w:rsidR="001D3FCC">
        <w:t>isations emphasising th</w:t>
      </w:r>
      <w:r w:rsidR="00381EC2">
        <w:t xml:space="preserve">at adjustments to eligibility criteria such as the BMI threshold </w:t>
      </w:r>
      <w:r w:rsidR="00AB4039">
        <w:t xml:space="preserve">be considered for Aboriginal and Torres Strait Islander peoples </w:t>
      </w:r>
      <w:r w:rsidR="00395FFD">
        <w:t>given the disproportionate health effects of eCVD with obesity in this population</w:t>
      </w:r>
      <w:r w:rsidR="00141A9D">
        <w:t xml:space="preserve">. </w:t>
      </w:r>
      <w:r w:rsidR="00DD3530">
        <w:t xml:space="preserve">Finally, the PBAC noted that a large proportion of the input from individuals was focused on a </w:t>
      </w:r>
      <w:r w:rsidR="00422B07">
        <w:t xml:space="preserve">broader PBS listing for weight loss </w:t>
      </w:r>
      <w:r w:rsidR="009666DC">
        <w:t>outside of those with eCVD with obesity</w:t>
      </w:r>
      <w:r w:rsidR="0018368E">
        <w:t xml:space="preserve">, which supported the PBAC’s view that the risk of use outside of the proposed indication was high. </w:t>
      </w:r>
    </w:p>
    <w:p w14:paraId="4CA47606" w14:textId="4E13F9C6" w:rsidR="00A42200" w:rsidRDefault="00A42200" w:rsidP="006E014B">
      <w:pPr>
        <w:pStyle w:val="COMESnumberedpara"/>
      </w:pPr>
      <w:r>
        <w:lastRenderedPageBreak/>
        <w:t>The PBAC acknowledged that</w:t>
      </w:r>
      <w:r w:rsidR="000B66B1">
        <w:t>,</w:t>
      </w:r>
      <w:r>
        <w:t xml:space="preserve"> although</w:t>
      </w:r>
      <w:r w:rsidR="00CD1DF3">
        <w:t xml:space="preserve"> there are effective </w:t>
      </w:r>
      <w:r w:rsidR="00F1725E">
        <w:t>treatments</w:t>
      </w:r>
      <w:r w:rsidR="00CD1DF3">
        <w:t xml:space="preserve"> on the PBS</w:t>
      </w:r>
      <w:r w:rsidR="00F1725E">
        <w:t xml:space="preserve"> for </w:t>
      </w:r>
      <w:r w:rsidR="002125CC">
        <w:t>patients</w:t>
      </w:r>
      <w:r w:rsidR="00F1725E">
        <w:t xml:space="preserve"> with eCVD</w:t>
      </w:r>
      <w:r w:rsidR="00CD1DF3">
        <w:t>, there remains</w:t>
      </w:r>
      <w:r w:rsidR="00F1725E">
        <w:t xml:space="preserve"> a r</w:t>
      </w:r>
      <w:r w:rsidRPr="00A42200">
        <w:t xml:space="preserve">esidual secondary </w:t>
      </w:r>
      <w:r w:rsidR="002125CC">
        <w:t>cardiovascular</w:t>
      </w:r>
      <w:r w:rsidRPr="00A42200">
        <w:t xml:space="preserve"> risk</w:t>
      </w:r>
      <w:r w:rsidR="002125CC">
        <w:t xml:space="preserve"> and </w:t>
      </w:r>
      <w:r w:rsidR="009604E9">
        <w:t xml:space="preserve">a high need for effective therapies, </w:t>
      </w:r>
      <w:r w:rsidR="008B0E5B">
        <w:t>particularly</w:t>
      </w:r>
      <w:r w:rsidR="009604E9">
        <w:t xml:space="preserve"> fo</w:t>
      </w:r>
      <w:r w:rsidR="008B0E5B">
        <w:t>r</w:t>
      </w:r>
      <w:r w:rsidR="009604E9">
        <w:t xml:space="preserve"> </w:t>
      </w:r>
      <w:r w:rsidR="008B0E5B">
        <w:t>patients</w:t>
      </w:r>
      <w:r w:rsidR="009604E9">
        <w:t xml:space="preserve"> </w:t>
      </w:r>
      <w:r w:rsidR="008B0E5B">
        <w:t>also living with obesity.</w:t>
      </w:r>
    </w:p>
    <w:p w14:paraId="20F00B01" w14:textId="402B473B" w:rsidR="0018368E" w:rsidRDefault="00CE26BC" w:rsidP="00D7760D">
      <w:pPr>
        <w:pStyle w:val="COMESnumberedpara"/>
      </w:pPr>
      <w:r>
        <w:t>With respect to the proposed restriction, the PBAC advised that:</w:t>
      </w:r>
    </w:p>
    <w:p w14:paraId="76A1D23F" w14:textId="505535FD" w:rsidR="00CE26BC" w:rsidRDefault="2BA59192" w:rsidP="00011843">
      <w:pPr>
        <w:pStyle w:val="ListParagraph"/>
        <w:jc w:val="both"/>
      </w:pPr>
      <w:r>
        <w:t>A</w:t>
      </w:r>
      <w:r w:rsidR="10A64560">
        <w:t xml:space="preserve">n </w:t>
      </w:r>
      <w:r w:rsidR="58B5FEF1">
        <w:t>Authority Required (telephone/electronic) listing for initial, continuing and grandfathe</w:t>
      </w:r>
      <w:r w:rsidR="0C67B5CF">
        <w:t xml:space="preserve">r treatment phases was appropriate. </w:t>
      </w:r>
    </w:p>
    <w:p w14:paraId="3602EAD5" w14:textId="7FC15735" w:rsidR="00BD1378" w:rsidRDefault="00B70A36" w:rsidP="00011843">
      <w:pPr>
        <w:pStyle w:val="ListParagraph"/>
        <w:jc w:val="both"/>
      </w:pPr>
      <w:r>
        <w:t xml:space="preserve">The indication for use </w:t>
      </w:r>
      <w:r w:rsidR="00AD18DD">
        <w:t>is</w:t>
      </w:r>
      <w:r>
        <w:t xml:space="preserve"> e</w:t>
      </w:r>
      <w:r w:rsidRPr="00387639">
        <w:t xml:space="preserve">stablished atherosclerotic cardiovascular disease </w:t>
      </w:r>
      <w:r w:rsidR="001A60DD">
        <w:t>with patients requir</w:t>
      </w:r>
      <w:r w:rsidR="00511185">
        <w:t>ed to have a</w:t>
      </w:r>
      <w:r w:rsidR="00EC6037">
        <w:t xml:space="preserve"> confirmed diagnosis of at least one of myocardial infarction, prior stroke or </w:t>
      </w:r>
      <w:r w:rsidR="00617277">
        <w:t xml:space="preserve">the presence of </w:t>
      </w:r>
      <w:r w:rsidR="00EC6037">
        <w:t xml:space="preserve">symptomatic peripheral arterial disease. </w:t>
      </w:r>
      <w:r w:rsidR="00882031">
        <w:t xml:space="preserve">The PBAC considered </w:t>
      </w:r>
      <w:r w:rsidR="00D34D09">
        <w:t xml:space="preserve">it appropriate that symptomatic peripheral arterial disease should </w:t>
      </w:r>
      <w:r w:rsidR="00D34D09" w:rsidRPr="00387639">
        <w:t>be evidenced by intermittent claudication with ankle-brachial index &lt;0.85 at rest or peripheral arterial revascularisation procedure or amputation due to atherosclerotic disease.</w:t>
      </w:r>
    </w:p>
    <w:p w14:paraId="014FC15D" w14:textId="6835D2B5" w:rsidR="00011843" w:rsidRDefault="00D93864" w:rsidP="008C17AF">
      <w:pPr>
        <w:pStyle w:val="ListParagraph"/>
        <w:jc w:val="both"/>
      </w:pPr>
      <w:r>
        <w:t xml:space="preserve">Use be restricted to </w:t>
      </w:r>
      <w:r w:rsidR="002F1382">
        <w:t>individuals</w:t>
      </w:r>
      <w:r>
        <w:t xml:space="preserve"> with a BMI </w:t>
      </w:r>
      <w:r w:rsidR="00BD2668" w:rsidRPr="008D3989">
        <w:t>≥35 kg/m</w:t>
      </w:r>
      <w:r w:rsidR="00BD2668" w:rsidRPr="008D3989">
        <w:rPr>
          <w:vertAlign w:val="superscript"/>
        </w:rPr>
        <w:t>2</w:t>
      </w:r>
      <w:r w:rsidR="00E62238">
        <w:rPr>
          <w:vertAlign w:val="superscript"/>
        </w:rPr>
        <w:t xml:space="preserve"> </w:t>
      </w:r>
      <w:r w:rsidR="00E62238">
        <w:t xml:space="preserve">at the time of treatment initiation unless </w:t>
      </w:r>
      <w:r w:rsidR="00565264">
        <w:t xml:space="preserve">they are of Asian or </w:t>
      </w:r>
      <w:r w:rsidR="0054545C">
        <w:t xml:space="preserve">Aboriginal or Torres Strait Islander </w:t>
      </w:r>
      <w:r w:rsidR="00565264">
        <w:t xml:space="preserve">ethnicity. The PBAC advised that a </w:t>
      </w:r>
      <w:r w:rsidR="0013793D">
        <w:t xml:space="preserve">BMI of </w:t>
      </w:r>
      <w:r w:rsidR="00111D44" w:rsidRPr="008D3989">
        <w:t>≥</w:t>
      </w:r>
      <w:r w:rsidR="00111D44">
        <w:t xml:space="preserve"> </w:t>
      </w:r>
      <w:r w:rsidR="00111D44" w:rsidRPr="00387639">
        <w:t>32.5 kg/m</w:t>
      </w:r>
      <w:r w:rsidR="008C17AF" w:rsidRPr="00387639">
        <w:rPr>
          <w:vertAlign w:val="superscript"/>
        </w:rPr>
        <w:t>2</w:t>
      </w:r>
      <w:r w:rsidR="008C17AF">
        <w:rPr>
          <w:vertAlign w:val="superscript"/>
        </w:rPr>
        <w:t xml:space="preserve"> </w:t>
      </w:r>
      <w:r w:rsidR="008C17AF">
        <w:t>was</w:t>
      </w:r>
      <w:r w:rsidR="00D06B05">
        <w:t xml:space="preserve"> appropriate for individuals of </w:t>
      </w:r>
      <w:r w:rsidR="00CD67B7">
        <w:t xml:space="preserve">Asian or Aboriginal or Torres Strait Islander ethnicity. </w:t>
      </w:r>
    </w:p>
    <w:p w14:paraId="48DEE88C" w14:textId="614C09E2" w:rsidR="00D035FA" w:rsidRDefault="1C816260" w:rsidP="008C17AF">
      <w:pPr>
        <w:pStyle w:val="ListParagraph"/>
        <w:jc w:val="both"/>
      </w:pPr>
      <w:r>
        <w:t xml:space="preserve">The PBAC noted the ESC advice regarding the </w:t>
      </w:r>
      <w:r w:rsidR="6D8D8067">
        <w:t xml:space="preserve">recent </w:t>
      </w:r>
      <w:r w:rsidRPr="0A99B0B1">
        <w:t>publication in The Lancet Diabetes &amp; Endocrinology</w:t>
      </w:r>
      <w:r w:rsidR="00D035FA" w:rsidRPr="0A99B0B1">
        <w:rPr>
          <w:rStyle w:val="FootnoteReference"/>
        </w:rPr>
        <w:footnoteReference w:id="5"/>
      </w:r>
      <w:r w:rsidRPr="0A99B0B1">
        <w:t xml:space="preserve"> in which the definition and diagnostic criteria of clinical obesity was moving away from solely relying on BMI, and there was a consensus statement regarding diagnostic criteria for clinical obesity in adults with respect to CVD.</w:t>
      </w:r>
      <w:r w:rsidR="6D8D8067" w:rsidRPr="0A99B0B1">
        <w:t xml:space="preserve"> However, the PBAC advised </w:t>
      </w:r>
      <w:r w:rsidR="29F0DBD4" w:rsidRPr="0A99B0B1">
        <w:t>that</w:t>
      </w:r>
      <w:r w:rsidR="6D8D8067">
        <w:rPr>
          <w:iCs/>
        </w:rPr>
        <w:t xml:space="preserve"> </w:t>
      </w:r>
      <w:r w:rsidR="37CE856D" w:rsidRPr="0A99B0B1">
        <w:t xml:space="preserve">as </w:t>
      </w:r>
      <w:r w:rsidR="6D8D8067" w:rsidRPr="0A99B0B1">
        <w:t>BMI w</w:t>
      </w:r>
      <w:r w:rsidR="29F0DBD4" w:rsidRPr="0A99B0B1">
        <w:t>as still widely used</w:t>
      </w:r>
      <w:r w:rsidR="29F0DBD4">
        <w:rPr>
          <w:iCs/>
        </w:rPr>
        <w:t xml:space="preserve"> </w:t>
      </w:r>
      <w:proofErr w:type="gramStart"/>
      <w:r w:rsidR="2D53EAB6" w:rsidRPr="0A99B0B1">
        <w:t>at this point in time</w:t>
      </w:r>
      <w:proofErr w:type="gramEnd"/>
      <w:r w:rsidR="22C75E14" w:rsidRPr="0A99B0B1">
        <w:t xml:space="preserve">, </w:t>
      </w:r>
      <w:r w:rsidR="00DD40C0">
        <w:t xml:space="preserve">and the SELECT clinical trial relied on BMI measurements, </w:t>
      </w:r>
      <w:r w:rsidR="2D53EAB6" w:rsidRPr="0A99B0B1">
        <w:t xml:space="preserve">additional criteria </w:t>
      </w:r>
      <w:r w:rsidR="449FA09F" w:rsidRPr="0A99B0B1">
        <w:t>within the PBS restriction to defi</w:t>
      </w:r>
      <w:r w:rsidR="37CE856D" w:rsidRPr="0A99B0B1">
        <w:t>n</w:t>
      </w:r>
      <w:r w:rsidR="449FA09F" w:rsidRPr="0A99B0B1">
        <w:t xml:space="preserve">e obesity </w:t>
      </w:r>
      <w:r w:rsidR="614DE3CB" w:rsidRPr="0A99B0B1">
        <w:t xml:space="preserve">such as waist circumference, </w:t>
      </w:r>
      <w:r w:rsidR="37CE856D" w:rsidRPr="0A99B0B1">
        <w:t>would not be required</w:t>
      </w:r>
      <w:r w:rsidR="396E1A89" w:rsidRPr="0A99B0B1">
        <w:t xml:space="preserve"> for this population</w:t>
      </w:r>
      <w:r w:rsidR="37CE856D">
        <w:rPr>
          <w:iCs/>
        </w:rPr>
        <w:t>.</w:t>
      </w:r>
      <w:r w:rsidR="6D8D8067">
        <w:rPr>
          <w:iCs/>
        </w:rPr>
        <w:t xml:space="preserve"> </w:t>
      </w:r>
    </w:p>
    <w:p w14:paraId="2643B4DD" w14:textId="48057AD5" w:rsidR="00CD67B7" w:rsidRPr="008E12FC" w:rsidRDefault="002E753E" w:rsidP="002E753E">
      <w:pPr>
        <w:pStyle w:val="ListParagraph"/>
        <w:jc w:val="both"/>
      </w:pPr>
      <w:r w:rsidRPr="00387639">
        <w:rPr>
          <w:rFonts w:eastAsia="Calibri"/>
        </w:rPr>
        <w:t xml:space="preserve">The treatment must be used in conjunction with standard of care associated with both the management of </w:t>
      </w:r>
      <w:r w:rsidR="00631023">
        <w:t>e</w:t>
      </w:r>
      <w:r w:rsidR="00631023" w:rsidRPr="00387639">
        <w:t>stablished atherosclerotic cardiovascular disease</w:t>
      </w:r>
      <w:r w:rsidRPr="00387639">
        <w:rPr>
          <w:rFonts w:eastAsia="Calibri"/>
        </w:rPr>
        <w:t xml:space="preserve"> and the prevention of future </w:t>
      </w:r>
      <w:r w:rsidR="00631023">
        <w:rPr>
          <w:rFonts w:eastAsia="Calibri"/>
        </w:rPr>
        <w:t xml:space="preserve">cardiovascular </w:t>
      </w:r>
      <w:r w:rsidRPr="00387639">
        <w:rPr>
          <w:rFonts w:eastAsia="Calibri"/>
        </w:rPr>
        <w:t>events, including dietary therapy and exercise</w:t>
      </w:r>
      <w:r w:rsidR="00EB0A6A">
        <w:rPr>
          <w:rFonts w:eastAsia="Calibri"/>
        </w:rPr>
        <w:t>.</w:t>
      </w:r>
    </w:p>
    <w:p w14:paraId="531D27C1" w14:textId="683D7C45" w:rsidR="008E12FC" w:rsidRPr="00EB0A6A" w:rsidRDefault="00846D2A" w:rsidP="008D15FA">
      <w:pPr>
        <w:pStyle w:val="ListParagraph"/>
        <w:jc w:val="both"/>
      </w:pPr>
      <w:r>
        <w:t xml:space="preserve">The </w:t>
      </w:r>
      <w:r w:rsidR="00F63A86">
        <w:t xml:space="preserve">restriction should not include the </w:t>
      </w:r>
      <w:r>
        <w:t>presence o</w:t>
      </w:r>
      <w:r w:rsidR="00F63A86">
        <w:t>r</w:t>
      </w:r>
      <w:r>
        <w:t xml:space="preserve"> absence of pre-existing diabetes </w:t>
      </w:r>
      <w:r w:rsidR="00F63A86">
        <w:t xml:space="preserve">as part of the eligibility criteria. </w:t>
      </w:r>
      <w:r w:rsidR="00A310AE">
        <w:t xml:space="preserve">However, </w:t>
      </w:r>
      <w:r w:rsidR="007D10E6">
        <w:t>patients</w:t>
      </w:r>
      <w:r w:rsidR="008E12FC" w:rsidRPr="00387639">
        <w:t xml:space="preserve"> must not be undergoing concomitant PBS-subsidised treatment with another GLP-1 </w:t>
      </w:r>
      <w:r w:rsidR="002A2994">
        <w:t>receptor agonist</w:t>
      </w:r>
      <w:r w:rsidR="002A2994" w:rsidRPr="00387639">
        <w:t xml:space="preserve"> </w:t>
      </w:r>
      <w:r w:rsidR="008E12FC" w:rsidRPr="004C4590">
        <w:t xml:space="preserve">or a </w:t>
      </w:r>
      <w:r w:rsidR="00C414D4" w:rsidRPr="004C4590">
        <w:t>dipeptidyl peptidase-4 inhibitor (</w:t>
      </w:r>
      <w:r w:rsidR="008E12FC" w:rsidRPr="004C4590">
        <w:t>DPP4</w:t>
      </w:r>
      <w:r w:rsidR="00C414D4" w:rsidRPr="004C4590">
        <w:t>)</w:t>
      </w:r>
      <w:r w:rsidR="008E12FC" w:rsidRPr="004C4590">
        <w:t xml:space="preserve"> inhibitor</w:t>
      </w:r>
      <w:r w:rsidR="004C4590">
        <w:t>.</w:t>
      </w:r>
    </w:p>
    <w:p w14:paraId="3B68E2DD" w14:textId="0C588E89" w:rsidR="00EB0A6A" w:rsidRDefault="00714871" w:rsidP="002E753E">
      <w:pPr>
        <w:pStyle w:val="ListParagraph"/>
        <w:jc w:val="both"/>
      </w:pPr>
      <w:r>
        <w:lastRenderedPageBreak/>
        <w:t>T</w:t>
      </w:r>
      <w:r w:rsidR="00FF23F4">
        <w:t xml:space="preserve">he intent of the initial treatment phase is to allow dose titration to be completed </w:t>
      </w:r>
      <w:r w:rsidR="009F7035">
        <w:t>within 16 weeks where possible</w:t>
      </w:r>
      <w:r>
        <w:t>. However</w:t>
      </w:r>
      <w:r w:rsidR="009F7035">
        <w:t>, the Committee acknowledged that some patients requir</w:t>
      </w:r>
      <w:r w:rsidR="00DD5770">
        <w:t>e a slower dose titration</w:t>
      </w:r>
      <w:r>
        <w:t xml:space="preserve"> and advised that a mechanism to allow medica</w:t>
      </w:r>
      <w:r w:rsidR="003B28F6">
        <w:t xml:space="preserve">l practitioners to be able to request up to 2 repeats </w:t>
      </w:r>
      <w:r w:rsidR="00E3494C">
        <w:t xml:space="preserve">per semaglutide strength </w:t>
      </w:r>
      <w:r w:rsidR="003B28F6">
        <w:t xml:space="preserve">be included in the initial treatment </w:t>
      </w:r>
      <w:r w:rsidR="003B28F6" w:rsidRPr="00E365ED">
        <w:t>restriction</w:t>
      </w:r>
      <w:r w:rsidR="00E365ED" w:rsidRPr="00E365ED">
        <w:t xml:space="preserve"> </w:t>
      </w:r>
      <w:proofErr w:type="gramStart"/>
      <w:r w:rsidR="00E365ED" w:rsidRPr="00E365ED">
        <w:t>in order to</w:t>
      </w:r>
      <w:proofErr w:type="gramEnd"/>
      <w:r w:rsidR="00E365ED" w:rsidRPr="00E365ED">
        <w:t xml:space="preserve"> provide a</w:t>
      </w:r>
      <w:r w:rsidR="00E365ED" w:rsidRPr="00E365ED">
        <w:rPr>
          <w:rFonts w:ascii="Arial Narrow" w:hAnsi="Arial Narrow"/>
          <w:sz w:val="20"/>
          <w:szCs w:val="20"/>
        </w:rPr>
        <w:t xml:space="preserve"> </w:t>
      </w:r>
      <w:r w:rsidR="00E365ED" w:rsidRPr="00E365ED">
        <w:t>maximum of 3 months’ therapy per titrating dose</w:t>
      </w:r>
      <w:r w:rsidR="00DD5770" w:rsidRPr="00E365ED">
        <w:t>.</w:t>
      </w:r>
    </w:p>
    <w:p w14:paraId="173B33B9" w14:textId="19ECEBE2" w:rsidR="0076635E" w:rsidRDefault="0057270D" w:rsidP="002E753E">
      <w:pPr>
        <w:pStyle w:val="ListParagraph"/>
        <w:jc w:val="both"/>
      </w:pPr>
      <w:r>
        <w:t xml:space="preserve">Noting that </w:t>
      </w:r>
      <w:r w:rsidR="000B2498">
        <w:t>16.23% of patients in the SELECT trial used lower dose strengths as maintenance</w:t>
      </w:r>
      <w:r w:rsidR="00F724E5">
        <w:t xml:space="preserve">, and it was expected that </w:t>
      </w:r>
      <w:r w:rsidR="00F724E5" w:rsidRPr="008D3989">
        <w:t>lower maintenance doses</w:t>
      </w:r>
      <w:r w:rsidR="00F724E5">
        <w:t xml:space="preserve"> would also be used in clinical practice,</w:t>
      </w:r>
      <w:r w:rsidR="000B2498">
        <w:t xml:space="preserve"> the Committee advised that t</w:t>
      </w:r>
      <w:r w:rsidR="0076635E">
        <w:t xml:space="preserve">he continuing treatment restriction should </w:t>
      </w:r>
      <w:r w:rsidR="00F511AA">
        <w:t xml:space="preserve">include </w:t>
      </w:r>
      <w:r w:rsidR="00446B2C">
        <w:t>sufficient</w:t>
      </w:r>
      <w:r w:rsidR="00023FFA">
        <w:t xml:space="preserve"> </w:t>
      </w:r>
      <w:r w:rsidR="00F511AA">
        <w:t>repeats for the lower dose strengths (0.25, 0.5 and 1.0 mg)</w:t>
      </w:r>
      <w:r w:rsidR="00017E59">
        <w:t>,</w:t>
      </w:r>
      <w:r w:rsidR="00F511AA">
        <w:t xml:space="preserve"> to be used </w:t>
      </w:r>
      <w:r w:rsidR="0037486C">
        <w:t>for maintenance dosing.</w:t>
      </w:r>
    </w:p>
    <w:p w14:paraId="2A144191" w14:textId="78B6DD17" w:rsidR="00701637" w:rsidRDefault="00FC659E" w:rsidP="00701637">
      <w:pPr>
        <w:pStyle w:val="ListParagraph"/>
        <w:jc w:val="both"/>
      </w:pPr>
      <w:r>
        <w:t xml:space="preserve">In terms of grandfathering patients, the initial treatment phase would allow patients currently on titration dosing for semaglutide (up to a maximum of 1.7 mg weekly) to transition to PBS-subsidised therapy. </w:t>
      </w:r>
      <w:r w:rsidR="00874DBC">
        <w:t xml:space="preserve">The Committee advised that </w:t>
      </w:r>
      <w:r w:rsidR="00B20950">
        <w:t xml:space="preserve">a </w:t>
      </w:r>
      <w:r w:rsidR="009F6553">
        <w:t>‘</w:t>
      </w:r>
      <w:r w:rsidR="00B20950">
        <w:t xml:space="preserve">Grandfather – </w:t>
      </w:r>
      <w:r w:rsidR="00B20950" w:rsidRPr="009F6553">
        <w:t>maintenance dosing</w:t>
      </w:r>
      <w:r w:rsidR="009F6553">
        <w:t>’</w:t>
      </w:r>
      <w:r w:rsidR="00B20950">
        <w:t xml:space="preserve"> treatment phase listing would be appropriate </w:t>
      </w:r>
      <w:r w:rsidR="00600199">
        <w:t xml:space="preserve">to allow </w:t>
      </w:r>
      <w:r w:rsidR="00A72809">
        <w:t xml:space="preserve">eligible </w:t>
      </w:r>
      <w:r w:rsidR="00622207">
        <w:t xml:space="preserve">patients </w:t>
      </w:r>
      <w:r w:rsidR="00A72809">
        <w:t xml:space="preserve">currently </w:t>
      </w:r>
      <w:r w:rsidR="00622207">
        <w:t>receiving non-PBS subsidised maintenance dosing of semaglutide</w:t>
      </w:r>
      <w:r w:rsidR="00017E59">
        <w:t>,</w:t>
      </w:r>
      <w:r w:rsidR="00622207">
        <w:t xml:space="preserve"> </w:t>
      </w:r>
      <w:r w:rsidR="00600199">
        <w:t xml:space="preserve">to </w:t>
      </w:r>
      <w:r w:rsidR="00622207">
        <w:t>transition to PBS-</w:t>
      </w:r>
      <w:r w:rsidR="00503657">
        <w:t xml:space="preserve">subsidised therapy. </w:t>
      </w:r>
      <w:r w:rsidR="00CB60D4">
        <w:t xml:space="preserve">Patients would qualify for the </w:t>
      </w:r>
      <w:proofErr w:type="gramStart"/>
      <w:r w:rsidR="00CB60D4">
        <w:t>Grandfather</w:t>
      </w:r>
      <w:proofErr w:type="gramEnd"/>
      <w:r w:rsidR="00CB60D4">
        <w:t xml:space="preserve"> </w:t>
      </w:r>
      <w:r w:rsidR="00EA607B">
        <w:t>restriction</w:t>
      </w:r>
      <w:r w:rsidR="00CB60D4">
        <w:t xml:space="preserve"> once only </w:t>
      </w:r>
      <w:r w:rsidR="00EA607B">
        <w:t xml:space="preserve">with the restriction ceasing to operate from 12 months after the date specified in the clinical criteria. </w:t>
      </w:r>
    </w:p>
    <w:p w14:paraId="7ACBF7AD" w14:textId="6315BFC0" w:rsidR="009E399D" w:rsidRDefault="0046487C" w:rsidP="00BE7A4F">
      <w:pPr>
        <w:pStyle w:val="COMESnumberedpara"/>
      </w:pPr>
      <w:r w:rsidRPr="0046487C">
        <w:t>The PBAC noted that flow on changes to GLP-1 RA listings for type 2 diabetes mellitus would be required to only allow access under the subsequent PBS prescription phase if received semaglutide under the first PBS-prescription phase.</w:t>
      </w:r>
    </w:p>
    <w:p w14:paraId="2E0F8CD5" w14:textId="04F309CF" w:rsidR="00BE7A4F" w:rsidRDefault="00CB1056" w:rsidP="00BE7A4F">
      <w:pPr>
        <w:pStyle w:val="COMESnumberedpara"/>
      </w:pPr>
      <w:r>
        <w:t xml:space="preserve">The PBAC considered </w:t>
      </w:r>
      <w:r w:rsidR="009346C4">
        <w:t>pla</w:t>
      </w:r>
      <w:r w:rsidR="004C1DC0">
        <w:t xml:space="preserve">cebo plus </w:t>
      </w:r>
      <w:r w:rsidR="00EF30F9">
        <w:t xml:space="preserve">standard of care management was </w:t>
      </w:r>
      <w:r w:rsidR="00732EA7">
        <w:t xml:space="preserve">the </w:t>
      </w:r>
      <w:r w:rsidR="00EF30F9">
        <w:t>appropriate</w:t>
      </w:r>
      <w:r w:rsidR="00732EA7">
        <w:t xml:space="preserve"> main </w:t>
      </w:r>
      <w:r w:rsidR="009346C4">
        <w:t>comparator</w:t>
      </w:r>
      <w:r w:rsidR="003C777D">
        <w:t xml:space="preserve">, noting that semaglutide will be used as an add-on </w:t>
      </w:r>
      <w:r w:rsidR="00487851">
        <w:t xml:space="preserve">treatment </w:t>
      </w:r>
      <w:r w:rsidR="003C777D">
        <w:t>to standard</w:t>
      </w:r>
      <w:r w:rsidR="00693438">
        <w:t xml:space="preserve"> of care management</w:t>
      </w:r>
      <w:r w:rsidR="00EF30F9">
        <w:t xml:space="preserve">. </w:t>
      </w:r>
    </w:p>
    <w:p w14:paraId="59D7CC79" w14:textId="76D52C04" w:rsidR="005D62E7" w:rsidRDefault="73C818D7" w:rsidP="005D62E7">
      <w:pPr>
        <w:pStyle w:val="COMESnumberedpara"/>
        <w:rPr>
          <w:color w:val="000000" w:themeColor="text1"/>
        </w:rPr>
      </w:pPr>
      <w:r>
        <w:t xml:space="preserve">The PBAC </w:t>
      </w:r>
      <w:r w:rsidR="72D5FB6A">
        <w:t>recalled that in March 2022 and November 2023 the Committee had considered semaglutide for the treatment of severe obesity based on the findings of the STEP clinical trial program</w:t>
      </w:r>
      <w:r w:rsidR="18C8960C">
        <w:t xml:space="preserve"> (see paragraphs </w:t>
      </w:r>
      <w:r w:rsidR="00513A6F">
        <w:fldChar w:fldCharType="begin"/>
      </w:r>
      <w:r w:rsidR="00513A6F">
        <w:instrText xml:space="preserve"> REF _Ref213917385 \r \h </w:instrText>
      </w:r>
      <w:r w:rsidR="00513A6F">
        <w:fldChar w:fldCharType="separate"/>
      </w:r>
      <w:r w:rsidR="004F1BBD">
        <w:t>2.4</w:t>
      </w:r>
      <w:r w:rsidR="00513A6F">
        <w:fldChar w:fldCharType="end"/>
      </w:r>
      <w:r w:rsidR="0538B8EC">
        <w:t xml:space="preserve"> to </w:t>
      </w:r>
      <w:r w:rsidR="00513A6F">
        <w:fldChar w:fldCharType="begin"/>
      </w:r>
      <w:r w:rsidR="00513A6F">
        <w:instrText xml:space="preserve"> REF _Ref213917395 \r \h </w:instrText>
      </w:r>
      <w:r w:rsidR="00513A6F">
        <w:fldChar w:fldCharType="separate"/>
      </w:r>
      <w:r w:rsidR="004F1BBD">
        <w:t>2.8</w:t>
      </w:r>
      <w:r w:rsidR="00513A6F">
        <w:fldChar w:fldCharType="end"/>
      </w:r>
      <w:r w:rsidR="0538B8EC">
        <w:t xml:space="preserve">). </w:t>
      </w:r>
      <w:r w:rsidR="0BC6374C">
        <w:t>The PBAC</w:t>
      </w:r>
      <w:r w:rsidR="48BC5F9B">
        <w:t xml:space="preserve"> </w:t>
      </w:r>
      <w:r w:rsidR="106421D3">
        <w:t xml:space="preserve">noted </w:t>
      </w:r>
      <w:r w:rsidR="61DF81AB">
        <w:t xml:space="preserve">that, in contrast to </w:t>
      </w:r>
      <w:r w:rsidR="151103F2">
        <w:t xml:space="preserve">March 2022 and November 2023 submissions, </w:t>
      </w:r>
      <w:r w:rsidR="106421D3">
        <w:t xml:space="preserve">the </w:t>
      </w:r>
      <w:r w:rsidR="6DB9CC65">
        <w:t xml:space="preserve">resubmission was based on </w:t>
      </w:r>
      <w:r w:rsidR="151103F2">
        <w:t xml:space="preserve">the SELECT trial which compared </w:t>
      </w:r>
      <w:r w:rsidR="177CBC18">
        <w:t xml:space="preserve">cardiovascular outcomes in patients with semaglutide to placebo in patients with eCVD </w:t>
      </w:r>
      <w:r w:rsidR="0544ED84">
        <w:t xml:space="preserve">who were obese or overweight. </w:t>
      </w:r>
      <w:r w:rsidR="00792EDC">
        <w:t xml:space="preserve">The PBAC agreed with the resubmission </w:t>
      </w:r>
      <w:r w:rsidR="4F094FCD">
        <w:t>that</w:t>
      </w:r>
      <w:r w:rsidR="1769E0C7">
        <w:t>,</w:t>
      </w:r>
      <w:r w:rsidR="4F094FCD">
        <w:t xml:space="preserve"> given the </w:t>
      </w:r>
      <w:r w:rsidR="48BC5F9B" w:rsidRPr="0A99B0B1">
        <w:rPr>
          <w:color w:val="000000" w:themeColor="text1"/>
        </w:rPr>
        <w:t>comprehensively revised patient population</w:t>
      </w:r>
      <w:r w:rsidR="56AB8E0F" w:rsidRPr="0A99B0B1">
        <w:rPr>
          <w:color w:val="000000" w:themeColor="text1"/>
        </w:rPr>
        <w:t>,</w:t>
      </w:r>
      <w:r w:rsidR="2E9C7D36" w:rsidRPr="0A99B0B1">
        <w:rPr>
          <w:color w:val="000000" w:themeColor="text1"/>
        </w:rPr>
        <w:t xml:space="preserve"> the current application was not a </w:t>
      </w:r>
      <w:r w:rsidR="5E9A45A3" w:rsidRPr="0A99B0B1">
        <w:rPr>
          <w:color w:val="000000" w:themeColor="text1"/>
        </w:rPr>
        <w:t xml:space="preserve">continuation of the </w:t>
      </w:r>
      <w:r w:rsidR="2E9C7D36" w:rsidRPr="0A99B0B1">
        <w:rPr>
          <w:color w:val="000000" w:themeColor="text1"/>
        </w:rPr>
        <w:t xml:space="preserve">March 2022 and November 2023 </w:t>
      </w:r>
      <w:r w:rsidR="5E9A45A3" w:rsidRPr="0A99B0B1">
        <w:rPr>
          <w:color w:val="000000" w:themeColor="text1"/>
        </w:rPr>
        <w:t xml:space="preserve">listing requests for use in patients with </w:t>
      </w:r>
      <w:r w:rsidR="4153A5F7" w:rsidRPr="0A99B0B1">
        <w:rPr>
          <w:color w:val="000000" w:themeColor="text1"/>
        </w:rPr>
        <w:t>overweight and obesity</w:t>
      </w:r>
      <w:r w:rsidR="6E9D796B" w:rsidRPr="0A99B0B1">
        <w:rPr>
          <w:color w:val="000000" w:themeColor="text1"/>
        </w:rPr>
        <w:t>. Rather</w:t>
      </w:r>
      <w:r w:rsidR="48BC5F9B" w:rsidRPr="0A99B0B1">
        <w:rPr>
          <w:color w:val="000000" w:themeColor="text1"/>
        </w:rPr>
        <w:t xml:space="preserve">, </w:t>
      </w:r>
      <w:r w:rsidR="7D40CE15" w:rsidRPr="0A99B0B1">
        <w:rPr>
          <w:color w:val="000000" w:themeColor="text1"/>
        </w:rPr>
        <w:t xml:space="preserve">the PBAC </w:t>
      </w:r>
      <w:r w:rsidR="4B188793" w:rsidRPr="0A99B0B1">
        <w:rPr>
          <w:color w:val="000000" w:themeColor="text1"/>
        </w:rPr>
        <w:t xml:space="preserve">acknowledged it was </w:t>
      </w:r>
      <w:r w:rsidR="48BC5F9B" w:rsidRPr="0A99B0B1">
        <w:rPr>
          <w:color w:val="000000" w:themeColor="text1"/>
        </w:rPr>
        <w:t xml:space="preserve">a </w:t>
      </w:r>
      <w:r w:rsidR="48BC5F9B" w:rsidRPr="0A99B0B1">
        <w:rPr>
          <w:i/>
          <w:iCs/>
          <w:color w:val="000000" w:themeColor="text1"/>
        </w:rPr>
        <w:t>de novo</w:t>
      </w:r>
      <w:r w:rsidR="48BC5F9B" w:rsidRPr="0A99B0B1">
        <w:rPr>
          <w:color w:val="000000" w:themeColor="text1"/>
        </w:rPr>
        <w:t xml:space="preserve"> application for the </w:t>
      </w:r>
      <w:r w:rsidR="3D742925" w:rsidRPr="0A99B0B1">
        <w:rPr>
          <w:color w:val="000000" w:themeColor="text1"/>
        </w:rPr>
        <w:t xml:space="preserve">recently approved </w:t>
      </w:r>
      <w:r w:rsidR="48BC5F9B" w:rsidRPr="0A99B0B1">
        <w:rPr>
          <w:color w:val="000000" w:themeColor="text1"/>
        </w:rPr>
        <w:t>TGA indication for secondary prevention of cardiovascular events.</w:t>
      </w:r>
    </w:p>
    <w:p w14:paraId="48C6F6E3" w14:textId="7626C5AB" w:rsidR="006E0EF1" w:rsidRDefault="09785964">
      <w:pPr>
        <w:pStyle w:val="COMESnumberedpara"/>
      </w:pPr>
      <w:bookmarkStart w:id="77" w:name="_Ref215042750"/>
      <w:r>
        <w:t xml:space="preserve">The </w:t>
      </w:r>
      <w:r w:rsidR="50DABD7D">
        <w:t xml:space="preserve">PBAC </w:t>
      </w:r>
      <w:r w:rsidR="7B1B065F">
        <w:t xml:space="preserve">noted the SELECT study was a </w:t>
      </w:r>
      <w:r w:rsidR="266DEB37">
        <w:t xml:space="preserve">large </w:t>
      </w:r>
      <w:r w:rsidR="7B1B065F">
        <w:t xml:space="preserve">randomised </w:t>
      </w:r>
      <w:r w:rsidR="46193471">
        <w:t>controlled trial (n=17</w:t>
      </w:r>
      <w:r w:rsidR="30B920CF">
        <w:t xml:space="preserve">,504) </w:t>
      </w:r>
      <w:r w:rsidR="6F5C2837">
        <w:t xml:space="preserve">that compared semaglutide </w:t>
      </w:r>
      <w:r w:rsidR="2299506E">
        <w:t xml:space="preserve">to placebo </w:t>
      </w:r>
      <w:r w:rsidR="71F8E069">
        <w:t xml:space="preserve">and </w:t>
      </w:r>
      <w:r w:rsidR="2DFA9A65">
        <w:t>considered the risk of bias was low</w:t>
      </w:r>
      <w:r w:rsidR="71F8E069">
        <w:t xml:space="preserve">. </w:t>
      </w:r>
      <w:r w:rsidR="1EF5D7B1">
        <w:t>A</w:t>
      </w:r>
      <w:r w:rsidR="4D5C3A78">
        <w:t>ll patients in the trial receive</w:t>
      </w:r>
      <w:r w:rsidR="6073784C">
        <w:t xml:space="preserve">d </w:t>
      </w:r>
      <w:r w:rsidR="34074339">
        <w:t xml:space="preserve">‘optimised’ background therapy for cardiovascular risk </w:t>
      </w:r>
      <w:r w:rsidR="34074339">
        <w:lastRenderedPageBreak/>
        <w:t>factors as well as lifestyle counselling</w:t>
      </w:r>
      <w:r w:rsidR="38AB418F">
        <w:t xml:space="preserve">. </w:t>
      </w:r>
      <w:r w:rsidR="05DEA944">
        <w:t>T</w:t>
      </w:r>
      <w:r w:rsidR="18809779">
        <w:t xml:space="preserve">he </w:t>
      </w:r>
      <w:r w:rsidR="05DEA944">
        <w:t>PBAC noted th</w:t>
      </w:r>
      <w:r w:rsidR="69D59826">
        <w:t>at</w:t>
      </w:r>
      <w:r w:rsidR="004952FC">
        <w:t>,</w:t>
      </w:r>
      <w:r w:rsidR="69D59826">
        <w:t xml:space="preserve"> although </w:t>
      </w:r>
      <w:proofErr w:type="gramStart"/>
      <w:r w:rsidR="47D69B0F">
        <w:t>the majority of</w:t>
      </w:r>
      <w:proofErr w:type="gramEnd"/>
      <w:r w:rsidR="47D69B0F">
        <w:t xml:space="preserve"> patients in</w:t>
      </w:r>
      <w:r w:rsidR="05DEA944">
        <w:t xml:space="preserve"> </w:t>
      </w:r>
      <w:r w:rsidR="18809779">
        <w:t xml:space="preserve">SELECT trial </w:t>
      </w:r>
      <w:r w:rsidR="47D69B0F">
        <w:t xml:space="preserve">met the criteria for prediabetes (see paragraph </w:t>
      </w:r>
      <w:r w:rsidR="00ED6E54">
        <w:fldChar w:fldCharType="begin"/>
      </w:r>
      <w:r w:rsidR="00ED6E54">
        <w:instrText xml:space="preserve"> REF _Ref213923704 \r \h </w:instrText>
      </w:r>
      <w:r w:rsidR="00ED6E54">
        <w:fldChar w:fldCharType="separate"/>
      </w:r>
      <w:r w:rsidR="004F1BBD">
        <w:t>6.11</w:t>
      </w:r>
      <w:r w:rsidR="00ED6E54">
        <w:fldChar w:fldCharType="end"/>
      </w:r>
      <w:r w:rsidR="47D69B0F">
        <w:t>)</w:t>
      </w:r>
      <w:r w:rsidR="004952FC">
        <w:t xml:space="preserve">, patients with pre-existing diabetes were specifically excluded. </w:t>
      </w:r>
      <w:r w:rsidR="47D69B0F">
        <w:t xml:space="preserve"> </w:t>
      </w:r>
      <w:r w:rsidR="22F744E5">
        <w:t>T</w:t>
      </w:r>
      <w:r w:rsidR="3F7FDFD5">
        <w:t xml:space="preserve">he PBAC </w:t>
      </w:r>
      <w:r w:rsidR="00457D71">
        <w:t xml:space="preserve">noted </w:t>
      </w:r>
      <w:r w:rsidR="3F7FDFD5">
        <w:t xml:space="preserve">that </w:t>
      </w:r>
      <w:r w:rsidR="00D96192">
        <w:t>the efficacy and cost-</w:t>
      </w:r>
      <w:r w:rsidR="00DC4E86">
        <w:t>effectiveness</w:t>
      </w:r>
      <w:r w:rsidR="00D96192">
        <w:t xml:space="preserve"> of treating </w:t>
      </w:r>
      <w:r w:rsidR="00DC4E86">
        <w:t>patients</w:t>
      </w:r>
      <w:r w:rsidR="00D96192">
        <w:t xml:space="preserve"> with eCVD </w:t>
      </w:r>
      <w:r w:rsidR="00D4117F">
        <w:t>a</w:t>
      </w:r>
      <w:r w:rsidR="00D96192">
        <w:t xml:space="preserve">nd diabetes was not </w:t>
      </w:r>
      <w:r w:rsidR="00F064F2">
        <w:t xml:space="preserve">directly </w:t>
      </w:r>
      <w:r w:rsidR="00D96192">
        <w:t xml:space="preserve">assessed in this </w:t>
      </w:r>
      <w:r w:rsidR="00DC4E86">
        <w:t>submission</w:t>
      </w:r>
      <w:r w:rsidR="4A838AAF">
        <w:t xml:space="preserve">. </w:t>
      </w:r>
      <w:r w:rsidR="00D4117F">
        <w:t xml:space="preserve">However, </w:t>
      </w:r>
      <w:r w:rsidR="001F19D5">
        <w:t xml:space="preserve">if </w:t>
      </w:r>
      <w:r w:rsidR="002C31D4">
        <w:t>semaglutide</w:t>
      </w:r>
      <w:r w:rsidR="002C31D4" w:rsidRPr="002C31D4">
        <w:t xml:space="preserve"> </w:t>
      </w:r>
      <w:r w:rsidR="00B90662">
        <w:t>was</w:t>
      </w:r>
      <w:r w:rsidR="002C31D4" w:rsidRPr="002C31D4">
        <w:t xml:space="preserve"> considered cost</w:t>
      </w:r>
      <w:r w:rsidR="00D11E5C">
        <w:t>-</w:t>
      </w:r>
      <w:r w:rsidR="002C31D4" w:rsidRPr="002C31D4">
        <w:t xml:space="preserve">effective in the </w:t>
      </w:r>
      <w:r w:rsidR="00B90662">
        <w:t xml:space="preserve">eCVD with obesity </w:t>
      </w:r>
      <w:r w:rsidR="0068356F">
        <w:t>population</w:t>
      </w:r>
      <w:r w:rsidR="002C31D4" w:rsidRPr="002C31D4">
        <w:t xml:space="preserve">, then the cost-effectiveness of </w:t>
      </w:r>
      <w:r w:rsidR="00B90662">
        <w:t>semaglutide</w:t>
      </w:r>
      <w:r w:rsidR="002C31D4" w:rsidRPr="002C31D4">
        <w:t xml:space="preserve"> could be inferred for </w:t>
      </w:r>
      <w:r w:rsidR="0068356F">
        <w:t xml:space="preserve">patients who also </w:t>
      </w:r>
      <w:r w:rsidR="007D363D">
        <w:t xml:space="preserve">had </w:t>
      </w:r>
      <w:r w:rsidR="00802C50">
        <w:t>type 2 diabetes</w:t>
      </w:r>
      <w:r w:rsidR="00DD40C0">
        <w:t>.  The rationale for this is as follows</w:t>
      </w:r>
      <w:r w:rsidR="001C415E">
        <w:t xml:space="preserve">: </w:t>
      </w:r>
      <w:r w:rsidR="007D363D">
        <w:t xml:space="preserve">patients </w:t>
      </w:r>
      <w:r w:rsidR="00DD40C0">
        <w:t xml:space="preserve">with diabetes </w:t>
      </w:r>
      <w:r w:rsidR="007D363D">
        <w:t xml:space="preserve">would be at </w:t>
      </w:r>
      <w:r w:rsidR="00627218">
        <w:t>higher baseline risk</w:t>
      </w:r>
      <w:r w:rsidR="007D363D">
        <w:t xml:space="preserve"> of a future cardiac event</w:t>
      </w:r>
      <w:r w:rsidR="009E2939">
        <w:t xml:space="preserve">; </w:t>
      </w:r>
      <w:r w:rsidR="008B349E">
        <w:t>the</w:t>
      </w:r>
      <w:r w:rsidR="00627218">
        <w:t xml:space="preserve"> evidence in primary prevention</w:t>
      </w:r>
      <w:r w:rsidR="009E2939">
        <w:t xml:space="preserve"> </w:t>
      </w:r>
      <w:r w:rsidR="00472EC0">
        <w:t xml:space="preserve">of </w:t>
      </w:r>
      <w:r w:rsidR="00472EC0" w:rsidRPr="00472EC0">
        <w:t xml:space="preserve">cardiovascular outcomes for GLP-1 therapies </w:t>
      </w:r>
      <w:r w:rsidR="009E2939">
        <w:t>s</w:t>
      </w:r>
      <w:r w:rsidR="0083475B">
        <w:t xml:space="preserve">upported </w:t>
      </w:r>
      <w:r w:rsidR="00802C50" w:rsidRPr="00277256">
        <w:t xml:space="preserve">the use of semaglutide in </w:t>
      </w:r>
      <w:r w:rsidR="00802C50">
        <w:t xml:space="preserve">type 2 </w:t>
      </w:r>
      <w:r w:rsidR="00802C50" w:rsidRPr="00277256">
        <w:t>diabetes p</w:t>
      </w:r>
      <w:r w:rsidR="00802C50">
        <w:t>atients with high cardiovascular risk</w:t>
      </w:r>
      <w:r w:rsidR="00472EC0">
        <w:t xml:space="preserve"> (</w:t>
      </w:r>
      <w:r w:rsidR="00882CAC">
        <w:t>see Table 8, semaglutide PSD, November 2019</w:t>
      </w:r>
      <w:r w:rsidR="00360FA1">
        <w:t xml:space="preserve"> PBAC meeting</w:t>
      </w:r>
      <w:r w:rsidR="00882CAC">
        <w:t>)</w:t>
      </w:r>
      <w:r w:rsidR="00360FA1">
        <w:t>;</w:t>
      </w:r>
      <w:r w:rsidR="00627218">
        <w:t xml:space="preserve"> </w:t>
      </w:r>
      <w:r w:rsidR="00360FA1">
        <w:t>it was</w:t>
      </w:r>
      <w:r w:rsidR="00627218">
        <w:t xml:space="preserve"> biological</w:t>
      </w:r>
      <w:r w:rsidR="00360FA1">
        <w:t>ly</w:t>
      </w:r>
      <w:r w:rsidR="00627218">
        <w:t xml:space="preserve"> </w:t>
      </w:r>
      <w:r w:rsidR="009B0F5B">
        <w:t>plausible</w:t>
      </w:r>
      <w:r w:rsidR="00627218">
        <w:t xml:space="preserve"> that </w:t>
      </w:r>
      <w:r w:rsidR="009B0F5B">
        <w:t>these patients would benefit from treatment;</w:t>
      </w:r>
      <w:r w:rsidR="00627218">
        <w:t xml:space="preserve"> </w:t>
      </w:r>
      <w:r w:rsidR="009B0F5B">
        <w:t xml:space="preserve">it would ensure </w:t>
      </w:r>
      <w:r w:rsidR="00627218">
        <w:t>equit</w:t>
      </w:r>
      <w:r w:rsidR="009B0F5B">
        <w:t>able</w:t>
      </w:r>
      <w:r w:rsidR="00627218">
        <w:t xml:space="preserve"> access</w:t>
      </w:r>
      <w:r w:rsidR="009B0F5B">
        <w:t xml:space="preserve"> for high risk populations; </w:t>
      </w:r>
      <w:r w:rsidR="00DA1AE8">
        <w:t>consumer input a</w:t>
      </w:r>
      <w:r w:rsidR="00627218">
        <w:t>dvocated for the inclusion of T2DM</w:t>
      </w:r>
      <w:r w:rsidR="00DA1AE8">
        <w:t xml:space="preserve">; </w:t>
      </w:r>
      <w:r w:rsidR="00755276">
        <w:t>the cardiovascular</w:t>
      </w:r>
      <w:r w:rsidR="00627218">
        <w:t xml:space="preserve"> benefit </w:t>
      </w:r>
      <w:r w:rsidR="00755276">
        <w:t xml:space="preserve">from the SELECT trial was </w:t>
      </w:r>
      <w:r w:rsidR="00627218">
        <w:t xml:space="preserve">only partly attributable to weight loss and therefore the lower weight loss seen in </w:t>
      </w:r>
      <w:r w:rsidR="001F68F6">
        <w:t xml:space="preserve">type 2 diabetes patients </w:t>
      </w:r>
      <w:r w:rsidR="006719D6">
        <w:t xml:space="preserve">from the STEP trials </w:t>
      </w:r>
      <w:r w:rsidR="0091262F">
        <w:t>(</w:t>
      </w:r>
      <w:r w:rsidR="005978E8">
        <w:t>see Table 4</w:t>
      </w:r>
      <w:r w:rsidR="008623F5">
        <w:t>, semaglutide PSD, March 2022 PBC meeting) wa</w:t>
      </w:r>
      <w:r w:rsidR="00627218">
        <w:t>s not relevant</w:t>
      </w:r>
      <w:r w:rsidR="006719D6">
        <w:t>.</w:t>
      </w:r>
      <w:bookmarkEnd w:id="77"/>
    </w:p>
    <w:p w14:paraId="6AC37E92" w14:textId="6D668793" w:rsidR="00A1055E" w:rsidRDefault="1FA0BA62" w:rsidP="006E014B">
      <w:pPr>
        <w:pStyle w:val="COMESnumberedpara"/>
      </w:pPr>
      <w:r>
        <w:t xml:space="preserve">The PBAC noted that </w:t>
      </w:r>
      <w:r w:rsidR="63985D56">
        <w:t xml:space="preserve">treatment with semaglutide in the SELECT trial was associated with a statistically significant decreased risk of </w:t>
      </w:r>
      <w:r w:rsidR="30A5C251">
        <w:t xml:space="preserve">major adverse </w:t>
      </w:r>
      <w:r w:rsidR="63985D56">
        <w:t xml:space="preserve">cardiovascular events compared to placebo (HR 0.80, 95% CI 0.72, 0.90). </w:t>
      </w:r>
      <w:r w:rsidR="0968F827">
        <w:t>S</w:t>
      </w:r>
      <w:r w:rsidR="6DEB8786">
        <w:t>emaglutide was associated with a reduction in body weight over time compared to placebo</w:t>
      </w:r>
      <w:r w:rsidR="6DA6EB16">
        <w:t xml:space="preserve"> (</w:t>
      </w:r>
      <w:r w:rsidR="1EEA6557">
        <w:t>treatment difference -8.5% (95% CI -8.8, -8.3)</w:t>
      </w:r>
      <w:r w:rsidR="0968F827">
        <w:t xml:space="preserve">. However, the PBAC </w:t>
      </w:r>
      <w:r w:rsidR="23D05447">
        <w:t xml:space="preserve">noted </w:t>
      </w:r>
      <w:r w:rsidR="5D9AAECC">
        <w:t xml:space="preserve">that </w:t>
      </w:r>
      <w:r w:rsidR="6E010300">
        <w:t xml:space="preserve">pre-specified mediation analyses suggested that the reduction in cardiovascular events in the trial </w:t>
      </w:r>
      <w:r w:rsidR="0A238521">
        <w:t xml:space="preserve">could </w:t>
      </w:r>
      <w:r w:rsidR="46F3A959">
        <w:t xml:space="preserve">only </w:t>
      </w:r>
      <w:r w:rsidR="0A238521">
        <w:t xml:space="preserve">be </w:t>
      </w:r>
      <w:r w:rsidR="46F3A959">
        <w:t>parti</w:t>
      </w:r>
      <w:r w:rsidR="0A238521">
        <w:t>ally</w:t>
      </w:r>
      <w:r w:rsidR="6E010300">
        <w:t xml:space="preserve"> attributed to reductions in weight</w:t>
      </w:r>
      <w:r w:rsidR="57ED83F8">
        <w:t xml:space="preserve"> (see paragraph </w:t>
      </w:r>
      <w:r w:rsidR="00555AAD">
        <w:fldChar w:fldCharType="begin"/>
      </w:r>
      <w:r w:rsidR="00555AAD">
        <w:instrText xml:space="preserve"> REF _Ref213926146 \r \h </w:instrText>
      </w:r>
      <w:r w:rsidR="00555AAD">
        <w:fldChar w:fldCharType="separate"/>
      </w:r>
      <w:r w:rsidR="004F1BBD">
        <w:t>6.18</w:t>
      </w:r>
      <w:r w:rsidR="00555AAD">
        <w:fldChar w:fldCharType="end"/>
      </w:r>
      <w:r w:rsidR="57ED83F8">
        <w:t>)</w:t>
      </w:r>
      <w:r w:rsidR="0E1F4390">
        <w:t xml:space="preserve">. </w:t>
      </w:r>
      <w:r w:rsidR="38BA1EBC">
        <w:t xml:space="preserve">The PBAC noted that </w:t>
      </w:r>
      <w:r w:rsidR="53A5B766">
        <w:t xml:space="preserve">although a reduction in </w:t>
      </w:r>
      <w:r w:rsidR="38BA1EBC">
        <w:t>d</w:t>
      </w:r>
      <w:r w:rsidR="3F4FDE96">
        <w:t xml:space="preserve">eath from cardiovascular causes </w:t>
      </w:r>
      <w:r w:rsidR="53A5B766">
        <w:t>was observed</w:t>
      </w:r>
      <w:r w:rsidR="329804C1">
        <w:t>,</w:t>
      </w:r>
      <w:r w:rsidR="055525C9">
        <w:t xml:space="preserve"> </w:t>
      </w:r>
      <w:r w:rsidR="3F4FDE96">
        <w:t>the results failed superiority testing as it did not achieve statistical significance (HR 0.85, 95% CI 0.71, 1.01). Superiority testing was not performed for remaining secondary endpoints in the hierarchy</w:t>
      </w:r>
      <w:r w:rsidR="38BA1EBC">
        <w:t xml:space="preserve">. </w:t>
      </w:r>
      <w:r w:rsidR="7CEFBB05">
        <w:t>Acknowledging this, t</w:t>
      </w:r>
      <w:r w:rsidR="340B9621">
        <w:t>he PBAC</w:t>
      </w:r>
      <w:r w:rsidR="28159C9E">
        <w:t xml:space="preserve"> </w:t>
      </w:r>
      <w:r w:rsidR="340B9621">
        <w:t>noted that semaglutide was associated with a decreased risk of all-cause death</w:t>
      </w:r>
      <w:r w:rsidR="1E9AECB1">
        <w:t xml:space="preserve"> (HR 0.81, </w:t>
      </w:r>
      <w:r w:rsidR="4222836A">
        <w:t>95% CI 0.71, 0.93)</w:t>
      </w:r>
      <w:r w:rsidR="340B9621">
        <w:t>, non-fatal myocardial infarction</w:t>
      </w:r>
      <w:r w:rsidR="4222836A">
        <w:t xml:space="preserve"> (HR 0.72, 95% CI </w:t>
      </w:r>
      <w:r w:rsidR="7E122AC9">
        <w:t>0.61, 0.85)</w:t>
      </w:r>
      <w:r w:rsidR="340B9621">
        <w:t xml:space="preserve"> and coronary revascularisation</w:t>
      </w:r>
      <w:r w:rsidR="7E122AC9">
        <w:t xml:space="preserve"> (HR 0.77, 95% CI </w:t>
      </w:r>
      <w:r w:rsidR="28159C9E">
        <w:t>0.68, 0.87)</w:t>
      </w:r>
      <w:r w:rsidR="340B9621">
        <w:t xml:space="preserve"> compared to placebo. </w:t>
      </w:r>
      <w:r w:rsidR="0DBC03A6">
        <w:t xml:space="preserve">The PBAC considered the evidence supported a claim of superior comparative efficacy in reducing major adverse cardiovascular events in patients with eCVD. However, the PBAC considered the benefits observed in </w:t>
      </w:r>
      <w:r w:rsidR="608EF736">
        <w:t>clinical practice</w:t>
      </w:r>
      <w:r w:rsidR="0DBC03A6">
        <w:t xml:space="preserve"> may be more modest </w:t>
      </w:r>
      <w:r w:rsidR="608EF736">
        <w:t>than in the pivotal trial</w:t>
      </w:r>
      <w:r w:rsidR="0DBC03A6">
        <w:t xml:space="preserve"> due to likely slower titration, lower maintenance doses and increased discontinuation rates, as is currently </w:t>
      </w:r>
      <w:r w:rsidR="6A1524B2">
        <w:t>seen in</w:t>
      </w:r>
      <w:r w:rsidR="0DBC03A6">
        <w:t xml:space="preserve"> patients using semaglutide in clinical practice overseas</w:t>
      </w:r>
      <w:r w:rsidR="2D51E51D">
        <w:t xml:space="preserve"> (see </w:t>
      </w:r>
      <w:r w:rsidR="7324A275">
        <w:t xml:space="preserve">paragraph </w:t>
      </w:r>
      <w:r w:rsidR="00555AAD">
        <w:fldChar w:fldCharType="begin"/>
      </w:r>
      <w:r w:rsidR="00555AAD">
        <w:instrText xml:space="preserve"> REF _Ref214013152 \r \h </w:instrText>
      </w:r>
      <w:r w:rsidR="00555AAD">
        <w:fldChar w:fldCharType="separate"/>
      </w:r>
      <w:r w:rsidR="004F1BBD">
        <w:t>6.12</w:t>
      </w:r>
      <w:r w:rsidR="00555AAD">
        <w:fldChar w:fldCharType="end"/>
      </w:r>
      <w:r w:rsidR="7324A275">
        <w:t>)</w:t>
      </w:r>
      <w:r w:rsidR="0DBC03A6">
        <w:t>.</w:t>
      </w:r>
      <w:r w:rsidR="76A5BCF7">
        <w:t xml:space="preserve"> </w:t>
      </w:r>
    </w:p>
    <w:p w14:paraId="55910B9D" w14:textId="2F1F01B2" w:rsidR="0066456F" w:rsidRPr="007A5A83" w:rsidRDefault="00035702" w:rsidP="0066456F">
      <w:pPr>
        <w:pStyle w:val="COMESnumberedpara"/>
        <w:rPr>
          <w:rFonts w:cs="Arial"/>
          <w:snapToGrid w:val="0"/>
          <w:szCs w:val="20"/>
        </w:rPr>
      </w:pPr>
      <w:r>
        <w:t>The PBAC noted that t</w:t>
      </w:r>
      <w:r w:rsidR="002F2603" w:rsidRPr="000C6211">
        <w:t>reatment with semaglutide was associated with a lower incidence of serious adverse events</w:t>
      </w:r>
      <w:r w:rsidR="002F2603">
        <w:t>,</w:t>
      </w:r>
      <w:r w:rsidR="002F2603" w:rsidRPr="000C6211">
        <w:t xml:space="preserve"> primarily due to fewer serious cardiac disorder events</w:t>
      </w:r>
      <w:r w:rsidR="00813846">
        <w:t>. However</w:t>
      </w:r>
      <w:r>
        <w:t xml:space="preserve">, </w:t>
      </w:r>
      <w:r w:rsidR="00813846">
        <w:t>a</w:t>
      </w:r>
      <w:r w:rsidR="002F2603" w:rsidRPr="000C6211">
        <w:t xml:space="preserve"> higher percentage of patients in the semaglutide arm experienced serious gastrointestinal disorders</w:t>
      </w:r>
      <w:r w:rsidR="009F19E0">
        <w:t xml:space="preserve"> </w:t>
      </w:r>
      <w:r w:rsidR="00664779">
        <w:t>(</w:t>
      </w:r>
      <w:r w:rsidR="005A7731">
        <w:t xml:space="preserve">3.9% compared to </w:t>
      </w:r>
      <w:r w:rsidR="00EC30A4">
        <w:t xml:space="preserve">1.6%) </w:t>
      </w:r>
      <w:r w:rsidR="009F19E0">
        <w:t xml:space="preserve">and </w:t>
      </w:r>
      <w:r w:rsidR="002F2603" w:rsidRPr="000C6211">
        <w:t xml:space="preserve">discontinued </w:t>
      </w:r>
      <w:r w:rsidR="009F19E0">
        <w:t xml:space="preserve">treatment </w:t>
      </w:r>
      <w:r w:rsidR="002F2603" w:rsidRPr="000C6211">
        <w:t>compared to placebo due to adverse events</w:t>
      </w:r>
      <w:r w:rsidR="000C3C89">
        <w:t xml:space="preserve"> (16.6% compared to </w:t>
      </w:r>
      <w:r w:rsidR="002062A3">
        <w:t>8.2%)</w:t>
      </w:r>
      <w:r w:rsidR="00652813">
        <w:t xml:space="preserve">, </w:t>
      </w:r>
      <w:r w:rsidR="00652813" w:rsidRPr="000C6211">
        <w:t xml:space="preserve">primarily due to </w:t>
      </w:r>
      <w:r w:rsidR="00652813">
        <w:t xml:space="preserve">the </w:t>
      </w:r>
      <w:r w:rsidR="00652813" w:rsidRPr="000C6211">
        <w:t xml:space="preserve">more frequent occurrence of gastrointestinal disorders such as </w:t>
      </w:r>
      <w:r w:rsidR="00652813" w:rsidRPr="000C6211">
        <w:lastRenderedPageBreak/>
        <w:t>nausea, diarrhoea and vomiting</w:t>
      </w:r>
      <w:r w:rsidR="009F19E0">
        <w:t xml:space="preserve">. </w:t>
      </w:r>
      <w:r w:rsidR="00C518BF">
        <w:t>The PBAC noted that adverse</w:t>
      </w:r>
      <w:r w:rsidR="002F2603" w:rsidRPr="000C6211">
        <w:t xml:space="preserve"> events leading to treatment discontinuation were more frequent during the dose escalation phase but continued to occur throughout the trial period. </w:t>
      </w:r>
      <w:r w:rsidR="0066456F" w:rsidRPr="007A5A83">
        <w:t>The PBAC considered</w:t>
      </w:r>
      <w:r w:rsidR="0066456F" w:rsidRPr="007A5A83">
        <w:rPr>
          <w:rFonts w:cs="Arial"/>
          <w:snapToGrid w:val="0"/>
          <w:szCs w:val="20"/>
        </w:rPr>
        <w:t xml:space="preserve"> that the claim of inferior comparative safety was reasonable.</w:t>
      </w:r>
    </w:p>
    <w:p w14:paraId="0D197912" w14:textId="36B19E64" w:rsidR="00F54952" w:rsidRDefault="7A95D312" w:rsidP="00234C9F">
      <w:pPr>
        <w:pStyle w:val="COMESnumberedpara"/>
      </w:pPr>
      <w:r>
        <w:t xml:space="preserve">The PBAC noted the resubmission presented </w:t>
      </w:r>
      <w:r w:rsidR="38C88A94">
        <w:t xml:space="preserve">an economic evaluation </w:t>
      </w:r>
      <w:r w:rsidR="7D344613">
        <w:t xml:space="preserve">for </w:t>
      </w:r>
      <w:r>
        <w:t>three alternative patient populations based on different BMI thresholds: ≥27 kg/m</w:t>
      </w:r>
      <w:r w:rsidRPr="0A99B0B1">
        <w:rPr>
          <w:vertAlign w:val="superscript"/>
        </w:rPr>
        <w:t>2</w:t>
      </w:r>
      <w:r>
        <w:t xml:space="preserve"> (consistent with the key trial population), ≥35 kg/m</w:t>
      </w:r>
      <w:r w:rsidRPr="0A99B0B1">
        <w:rPr>
          <w:vertAlign w:val="superscript"/>
        </w:rPr>
        <w:t>2</w:t>
      </w:r>
      <w:r>
        <w:t xml:space="preserve"> and ≥40 kg/m</w:t>
      </w:r>
      <w:r w:rsidRPr="0A99B0B1">
        <w:rPr>
          <w:vertAlign w:val="superscript"/>
        </w:rPr>
        <w:t>2</w:t>
      </w:r>
      <w:r>
        <w:t>.</w:t>
      </w:r>
      <w:r w:rsidR="502979D8">
        <w:t xml:space="preserve"> </w:t>
      </w:r>
      <w:r w:rsidR="2143AECD">
        <w:t>The economic evaluation was based on the SELECT trial with additional modelled data</w:t>
      </w:r>
      <w:r w:rsidR="502979D8">
        <w:t>.</w:t>
      </w:r>
      <w:r w:rsidR="339D2B48">
        <w:t xml:space="preserve"> The </w:t>
      </w:r>
      <w:r w:rsidR="04B7FE48">
        <w:t xml:space="preserve">PBAC </w:t>
      </w:r>
      <w:r w:rsidR="0814E0C5">
        <w:t xml:space="preserve">noted </w:t>
      </w:r>
      <w:r w:rsidR="3EA75271">
        <w:t xml:space="preserve">ESC advice that </w:t>
      </w:r>
      <w:r w:rsidR="2657130D">
        <w:t xml:space="preserve">the disconnect between the trial outcomes and the modelled cardiovascular outcomes </w:t>
      </w:r>
      <w:r w:rsidR="25FBAA1B">
        <w:t>was</w:t>
      </w:r>
      <w:r w:rsidR="2657130D">
        <w:t xml:space="preserve"> not well justified </w:t>
      </w:r>
      <w:r w:rsidR="56893AB3">
        <w:t xml:space="preserve">and the PBAC considered the model would only be reliable for decision-making with </w:t>
      </w:r>
      <w:r w:rsidR="5055E84A">
        <w:t>revisions to</w:t>
      </w:r>
      <w:r w:rsidR="0F163798">
        <w:t xml:space="preserve"> several of</w:t>
      </w:r>
      <w:r w:rsidR="5055E84A">
        <w:t xml:space="preserve"> the model </w:t>
      </w:r>
      <w:r w:rsidR="38119A7A">
        <w:t>inputs</w:t>
      </w:r>
      <w:r w:rsidR="13C72259">
        <w:t>:</w:t>
      </w:r>
    </w:p>
    <w:p w14:paraId="0EFD8C6F" w14:textId="45E20D25" w:rsidR="00F51966" w:rsidRDefault="00994B22" w:rsidP="00144314">
      <w:pPr>
        <w:pStyle w:val="COMESnumberedpara"/>
        <w:numPr>
          <w:ilvl w:val="1"/>
          <w:numId w:val="40"/>
        </w:numPr>
        <w:tabs>
          <w:tab w:val="left" w:pos="1276"/>
        </w:tabs>
        <w:ind w:left="993" w:hanging="284"/>
      </w:pPr>
      <w:r>
        <w:t>T</w:t>
      </w:r>
      <w:r w:rsidR="00DB0239" w:rsidRPr="00917C7B">
        <w:t xml:space="preserve">he </w:t>
      </w:r>
      <w:r w:rsidR="002A6477" w:rsidRPr="00917C7B">
        <w:t>ED-5D-</w:t>
      </w:r>
      <w:r w:rsidR="00341B87" w:rsidRPr="00917C7B">
        <w:t>5</w:t>
      </w:r>
      <w:r w:rsidR="002A6477" w:rsidRPr="00917C7B">
        <w:t>L utility estimates from the SELECT trial</w:t>
      </w:r>
      <w:r w:rsidR="00341B87" w:rsidRPr="00917C7B">
        <w:t xml:space="preserve"> should be used to inform the model rather than</w:t>
      </w:r>
      <w:r w:rsidR="00182BE9" w:rsidRPr="00917C7B">
        <w:t xml:space="preserve"> external published sources</w:t>
      </w:r>
      <w:r w:rsidR="00673F59" w:rsidRPr="00917C7B">
        <w:t xml:space="preserve"> which increased the uncertainty in the model and introduced </w:t>
      </w:r>
      <w:r w:rsidR="00107863">
        <w:t>a</w:t>
      </w:r>
      <w:r w:rsidR="00107863" w:rsidRPr="00917C7B">
        <w:t xml:space="preserve"> </w:t>
      </w:r>
      <w:r w:rsidR="00673F59" w:rsidRPr="00917C7B">
        <w:t>risk of double counting</w:t>
      </w:r>
      <w:r w:rsidR="00182BE9" w:rsidRPr="00917C7B">
        <w:t xml:space="preserve">. </w:t>
      </w:r>
    </w:p>
    <w:p w14:paraId="02B95E04" w14:textId="77777777" w:rsidR="00D15A0E" w:rsidRDefault="0068530B" w:rsidP="00144314">
      <w:pPr>
        <w:pStyle w:val="COMESnumberedpara"/>
        <w:numPr>
          <w:ilvl w:val="1"/>
          <w:numId w:val="40"/>
        </w:numPr>
        <w:tabs>
          <w:tab w:val="left" w:pos="1276"/>
        </w:tabs>
        <w:ind w:left="993" w:hanging="284"/>
      </w:pPr>
      <w:r w:rsidRPr="00917C7B">
        <w:t>BMI risk mul</w:t>
      </w:r>
      <w:r w:rsidR="00897377" w:rsidRPr="00917C7B">
        <w:t xml:space="preserve">tipliers used in the model for cardiovascular events and diabetes should be based on data from the SELECT trial </w:t>
      </w:r>
      <w:r w:rsidR="00D37179" w:rsidRPr="00917C7B">
        <w:t xml:space="preserve">as there is likely to be substantial double-counting of risks between different data sources in the approach used </w:t>
      </w:r>
      <w:r w:rsidR="0045344D" w:rsidRPr="00917C7B">
        <w:t xml:space="preserve">in the resubmission. </w:t>
      </w:r>
    </w:p>
    <w:p w14:paraId="512128A2" w14:textId="1E1434BA" w:rsidR="00D15A0E" w:rsidRDefault="00450F07" w:rsidP="00144314">
      <w:pPr>
        <w:pStyle w:val="COMESnumberedpara"/>
        <w:numPr>
          <w:ilvl w:val="1"/>
          <w:numId w:val="40"/>
        </w:numPr>
        <w:tabs>
          <w:tab w:val="left" w:pos="1276"/>
        </w:tabs>
        <w:ind w:left="993" w:hanging="284"/>
      </w:pPr>
      <w:r>
        <w:t>C</w:t>
      </w:r>
      <w:r w:rsidR="00FE6196" w:rsidRPr="00917C7B">
        <w:t xml:space="preserve">hronic kidney disease </w:t>
      </w:r>
      <w:r w:rsidR="00142DEB" w:rsidRPr="00917C7B">
        <w:t xml:space="preserve">(CKD) </w:t>
      </w:r>
      <w:r w:rsidRPr="00AA60FA">
        <w:t xml:space="preserve">treatment effects </w:t>
      </w:r>
      <w:r>
        <w:t xml:space="preserve">should be </w:t>
      </w:r>
      <w:r w:rsidRPr="00AA60FA">
        <w:t xml:space="preserve">limited to early-stage disease (consistent with </w:t>
      </w:r>
      <w:r w:rsidR="00531E52">
        <w:t xml:space="preserve">the </w:t>
      </w:r>
      <w:r w:rsidRPr="00AA60FA">
        <w:t>PSCR)</w:t>
      </w:r>
      <w:r w:rsidR="00142DEB" w:rsidRPr="00917C7B">
        <w:t>.</w:t>
      </w:r>
      <w:r w:rsidR="00E71876" w:rsidRPr="00917C7B">
        <w:t xml:space="preserve"> </w:t>
      </w:r>
    </w:p>
    <w:p w14:paraId="733812CA" w14:textId="78C3D75C" w:rsidR="00D15A0E" w:rsidRDefault="00994B22" w:rsidP="00144314">
      <w:pPr>
        <w:pStyle w:val="COMESnumberedpara"/>
        <w:numPr>
          <w:ilvl w:val="1"/>
          <w:numId w:val="40"/>
        </w:numPr>
        <w:tabs>
          <w:tab w:val="left" w:pos="1276"/>
        </w:tabs>
        <w:ind w:left="993" w:hanging="284"/>
      </w:pPr>
      <w:r>
        <w:t>T</w:t>
      </w:r>
      <w:r w:rsidR="00E71876" w:rsidRPr="00917C7B">
        <w:t xml:space="preserve">he </w:t>
      </w:r>
      <w:r w:rsidR="00DD4458" w:rsidRPr="00917C7B">
        <w:t>costs of coronary revascul</w:t>
      </w:r>
      <w:r w:rsidR="00107E97" w:rsidRPr="00917C7B">
        <w:t xml:space="preserve">arisation acute event costs used in the model were not plausible and </w:t>
      </w:r>
      <w:r w:rsidR="00531E52">
        <w:t>should</w:t>
      </w:r>
      <w:r w:rsidR="00107E97" w:rsidRPr="00917C7B">
        <w:t xml:space="preserve"> be halved. </w:t>
      </w:r>
    </w:p>
    <w:p w14:paraId="6756C0AD" w14:textId="05A48B01" w:rsidR="00D54E84" w:rsidRPr="00D54E84" w:rsidRDefault="00521F0D" w:rsidP="00144314">
      <w:pPr>
        <w:pStyle w:val="COMESnumberedpara"/>
        <w:numPr>
          <w:ilvl w:val="1"/>
          <w:numId w:val="40"/>
        </w:numPr>
        <w:tabs>
          <w:tab w:val="left" w:pos="1276"/>
        </w:tabs>
        <w:ind w:left="993" w:hanging="284"/>
      </w:pPr>
      <w:r>
        <w:rPr>
          <w:iCs/>
        </w:rPr>
        <w:t>N</w:t>
      </w:r>
      <w:r w:rsidR="00B40D1D" w:rsidRPr="00AA60FA">
        <w:t xml:space="preserve">o BMI treatment effects </w:t>
      </w:r>
      <w:r w:rsidR="00B40D1D">
        <w:t>should be r</w:t>
      </w:r>
      <w:r w:rsidR="00B40D1D" w:rsidRPr="00AA60FA">
        <w:t>etained</w:t>
      </w:r>
      <w:r w:rsidR="00B40D1D">
        <w:t xml:space="preserve"> </w:t>
      </w:r>
      <w:r w:rsidR="00B40D1D" w:rsidRPr="00AA60FA">
        <w:t>after discontinuation</w:t>
      </w:r>
      <w:r w:rsidR="00277CDD" w:rsidRPr="00234C9F">
        <w:rPr>
          <w:iCs/>
        </w:rPr>
        <w:t>.</w:t>
      </w:r>
      <w:r w:rsidR="0083107F">
        <w:rPr>
          <w:iCs/>
        </w:rPr>
        <w:t xml:space="preserve"> </w:t>
      </w:r>
    </w:p>
    <w:p w14:paraId="4567728E" w14:textId="3D486AE1" w:rsidR="0026693A" w:rsidRPr="0026693A" w:rsidRDefault="00144314" w:rsidP="00D54E84">
      <w:pPr>
        <w:pStyle w:val="COMESnumberedpara"/>
        <w:numPr>
          <w:ilvl w:val="0"/>
          <w:numId w:val="0"/>
        </w:numPr>
        <w:tabs>
          <w:tab w:val="left" w:pos="993"/>
        </w:tabs>
        <w:ind w:left="720" w:hanging="720"/>
      </w:pPr>
      <w:r>
        <w:rPr>
          <w:iCs/>
        </w:rPr>
        <w:tab/>
      </w:r>
      <w:r w:rsidR="005976B2">
        <w:rPr>
          <w:iCs/>
        </w:rPr>
        <w:t xml:space="preserve">The </w:t>
      </w:r>
      <w:r w:rsidR="00AC4845">
        <w:rPr>
          <w:iCs/>
        </w:rPr>
        <w:t xml:space="preserve">PBAC noted </w:t>
      </w:r>
      <w:r w:rsidR="00AC4845" w:rsidRPr="00A13C69">
        <w:rPr>
          <w:iCs/>
        </w:rPr>
        <w:t xml:space="preserve">the additional multivariate sensitivity analyses undertaken </w:t>
      </w:r>
      <w:r w:rsidR="00A56C0B" w:rsidRPr="00A13C69">
        <w:rPr>
          <w:iCs/>
        </w:rPr>
        <w:t xml:space="preserve">for the Committee in </w:t>
      </w:r>
      <w:r w:rsidR="00A56C0B" w:rsidRPr="00A13C69">
        <w:rPr>
          <w:iCs/>
        </w:rPr>
        <w:fldChar w:fldCharType="begin"/>
      </w:r>
      <w:r w:rsidR="00A56C0B" w:rsidRPr="00A13C69">
        <w:rPr>
          <w:iCs/>
        </w:rPr>
        <w:instrText xml:space="preserve"> REF _Ref213935729 \h </w:instrText>
      </w:r>
      <w:r w:rsidR="000D221D" w:rsidRPr="00A13C69">
        <w:rPr>
          <w:iCs/>
        </w:rPr>
        <w:instrText xml:space="preserve"> \* MERGEFORMAT </w:instrText>
      </w:r>
      <w:r w:rsidR="00A56C0B" w:rsidRPr="00A13C69">
        <w:rPr>
          <w:iCs/>
        </w:rPr>
      </w:r>
      <w:r w:rsidR="00A56C0B" w:rsidRPr="00A13C69">
        <w:rPr>
          <w:iCs/>
        </w:rPr>
        <w:fldChar w:fldCharType="separate"/>
      </w:r>
      <w:r w:rsidR="004F1BBD" w:rsidRPr="00AA60FA">
        <w:t xml:space="preserve">Table </w:t>
      </w:r>
      <w:r w:rsidR="004F1BBD">
        <w:rPr>
          <w:noProof/>
        </w:rPr>
        <w:t>17</w:t>
      </w:r>
      <w:r w:rsidR="00A56C0B" w:rsidRPr="00A13C69">
        <w:rPr>
          <w:iCs/>
        </w:rPr>
        <w:fldChar w:fldCharType="end"/>
      </w:r>
      <w:r w:rsidR="00A56C0B" w:rsidRPr="00A13C69">
        <w:rPr>
          <w:iCs/>
        </w:rPr>
        <w:t xml:space="preserve">. </w:t>
      </w:r>
      <w:r w:rsidR="00A17A3A" w:rsidRPr="00A13C69">
        <w:rPr>
          <w:iCs/>
        </w:rPr>
        <w:t xml:space="preserve">Noting the similarity in </w:t>
      </w:r>
      <w:r w:rsidR="00140EDE" w:rsidRPr="00A13C69">
        <w:rPr>
          <w:iCs/>
        </w:rPr>
        <w:t>the ICERs reported for Step 5a, Step 5b and Step 5c</w:t>
      </w:r>
      <w:r w:rsidR="0036717C" w:rsidRPr="00A13C69">
        <w:rPr>
          <w:iCs/>
        </w:rPr>
        <w:t>, the PBAC considered</w:t>
      </w:r>
      <w:r w:rsidR="0036717C">
        <w:rPr>
          <w:iCs/>
        </w:rPr>
        <w:t xml:space="preserve"> that the Step </w:t>
      </w:r>
      <w:r w:rsidR="006102CD">
        <w:rPr>
          <w:iCs/>
        </w:rPr>
        <w:t xml:space="preserve">5a multivariate analyses addressed the </w:t>
      </w:r>
      <w:r w:rsidR="00076FD7">
        <w:rPr>
          <w:iCs/>
        </w:rPr>
        <w:t xml:space="preserve">main </w:t>
      </w:r>
      <w:r w:rsidR="006102CD">
        <w:rPr>
          <w:iCs/>
        </w:rPr>
        <w:t xml:space="preserve">concerns </w:t>
      </w:r>
      <w:r w:rsidR="006D4C32">
        <w:rPr>
          <w:iCs/>
        </w:rPr>
        <w:t xml:space="preserve">with the economic analysis </w:t>
      </w:r>
      <w:r w:rsidR="006102CD">
        <w:rPr>
          <w:iCs/>
        </w:rPr>
        <w:t>raised by the Committee</w:t>
      </w:r>
      <w:r w:rsidR="006D4C32">
        <w:rPr>
          <w:iCs/>
        </w:rPr>
        <w:t xml:space="preserve">. </w:t>
      </w:r>
    </w:p>
    <w:p w14:paraId="045155FE" w14:textId="00C629D2" w:rsidR="00AC45A7" w:rsidRDefault="10DCF76F">
      <w:pPr>
        <w:pStyle w:val="COMESnumberedpara"/>
      </w:pPr>
      <w:r w:rsidRPr="32DF437A">
        <w:t xml:space="preserve">The PBAC advised that </w:t>
      </w:r>
      <w:r w:rsidR="1D519E13" w:rsidRPr="32DF437A">
        <w:t xml:space="preserve">the Step 5a multivariate analyses </w:t>
      </w:r>
      <w:r w:rsidR="1D519E13" w:rsidRPr="00A13C69">
        <w:t xml:space="preserve">in </w:t>
      </w:r>
      <w:r w:rsidR="00E43BA3" w:rsidRPr="00A13C69">
        <w:rPr>
          <w:iCs/>
        </w:rPr>
        <w:fldChar w:fldCharType="begin"/>
      </w:r>
      <w:r w:rsidR="00E43BA3" w:rsidRPr="00A13C69">
        <w:rPr>
          <w:iCs/>
        </w:rPr>
        <w:instrText xml:space="preserve"> REF _Ref213935729 \h </w:instrText>
      </w:r>
      <w:r w:rsidR="006F38D3" w:rsidRPr="00A13C69">
        <w:rPr>
          <w:iCs/>
        </w:rPr>
        <w:instrText xml:space="preserve"> \* MERGEFORMAT </w:instrText>
      </w:r>
      <w:r w:rsidR="00E43BA3" w:rsidRPr="00A13C69">
        <w:rPr>
          <w:iCs/>
        </w:rPr>
      </w:r>
      <w:r w:rsidR="00E43BA3" w:rsidRPr="00A13C69">
        <w:rPr>
          <w:iCs/>
        </w:rPr>
        <w:fldChar w:fldCharType="separate"/>
      </w:r>
      <w:r w:rsidR="004F1BBD" w:rsidRPr="00AA60FA">
        <w:t xml:space="preserve">Table </w:t>
      </w:r>
      <w:r w:rsidR="004F1BBD">
        <w:rPr>
          <w:noProof/>
        </w:rPr>
        <w:t>17</w:t>
      </w:r>
      <w:r w:rsidR="00E43BA3" w:rsidRPr="00A13C69">
        <w:rPr>
          <w:iCs/>
        </w:rPr>
        <w:fldChar w:fldCharType="end"/>
      </w:r>
      <w:r w:rsidR="1D519E13" w:rsidRPr="00A13C69">
        <w:rPr>
          <w:iCs/>
        </w:rPr>
        <w:t xml:space="preserve"> </w:t>
      </w:r>
      <w:r w:rsidR="74C505EF" w:rsidRPr="00A13C69">
        <w:t xml:space="preserve">should be used to determine the cost effectiveness of semaglutide. </w:t>
      </w:r>
      <w:r w:rsidR="4802C529" w:rsidRPr="00A13C69">
        <w:t>The PBAC noted there</w:t>
      </w:r>
      <w:r w:rsidR="4802C529" w:rsidRPr="008D3989">
        <w:t xml:space="preserve"> was little difference in the </w:t>
      </w:r>
      <w:r w:rsidR="43E42677">
        <w:t>ICERs</w:t>
      </w:r>
      <w:r w:rsidR="4802C529" w:rsidRPr="008D3989">
        <w:t xml:space="preserve"> </w:t>
      </w:r>
      <w:r w:rsidR="06F0EDDF">
        <w:t xml:space="preserve">for the </w:t>
      </w:r>
      <w:r w:rsidR="040790A9">
        <w:t xml:space="preserve">BMI thresholds of </w:t>
      </w:r>
      <w:r w:rsidR="040790A9" w:rsidRPr="00917C7B">
        <w:t>≥35 kg/m</w:t>
      </w:r>
      <w:r w:rsidR="040790A9" w:rsidRPr="009430C3">
        <w:rPr>
          <w:vertAlign w:val="superscript"/>
        </w:rPr>
        <w:t>2</w:t>
      </w:r>
      <w:r w:rsidR="040790A9" w:rsidRPr="00917C7B">
        <w:t xml:space="preserve"> </w:t>
      </w:r>
      <w:r w:rsidR="040790A9">
        <w:t>(</w:t>
      </w:r>
      <w:r w:rsidR="00C97F2D" w:rsidRPr="00C97F2D">
        <w:t>$35,000 to &lt; $45,000</w:t>
      </w:r>
      <w:r w:rsidR="040790A9">
        <w:t xml:space="preserve"> per QALY gained) </w:t>
      </w:r>
      <w:r w:rsidR="12F57385">
        <w:t xml:space="preserve">and </w:t>
      </w:r>
      <w:r w:rsidR="12F57385" w:rsidRPr="00917C7B">
        <w:t>≥40 kg/m</w:t>
      </w:r>
      <w:r w:rsidR="12F57385" w:rsidRPr="009430C3">
        <w:rPr>
          <w:vertAlign w:val="superscript"/>
        </w:rPr>
        <w:t xml:space="preserve">2 </w:t>
      </w:r>
      <w:r w:rsidR="12F57385">
        <w:t>(</w:t>
      </w:r>
      <w:r w:rsidR="00C97F2D" w:rsidRPr="00C97F2D">
        <w:t>$35,000 to &lt; $45,000</w:t>
      </w:r>
      <w:r w:rsidR="12F57385">
        <w:t xml:space="preserve"> per QALY gained)</w:t>
      </w:r>
      <w:r w:rsidR="1DD85875">
        <w:t>.</w:t>
      </w:r>
      <w:r w:rsidR="12F57385">
        <w:t xml:space="preserve"> </w:t>
      </w:r>
      <w:r w:rsidR="1EAAD26B">
        <w:t>T</w:t>
      </w:r>
      <w:r w:rsidR="05E1EE9E">
        <w:t xml:space="preserve">he ICER for the </w:t>
      </w:r>
      <w:r w:rsidR="4802C529" w:rsidRPr="008D3989">
        <w:t>BMI threshold</w:t>
      </w:r>
      <w:r w:rsidR="06F0EDDF">
        <w:t xml:space="preserve"> </w:t>
      </w:r>
      <w:r w:rsidR="06F0EDDF" w:rsidRPr="00917C7B">
        <w:t>≥27 kg/m</w:t>
      </w:r>
      <w:r w:rsidR="06F0EDDF" w:rsidRPr="009430C3">
        <w:rPr>
          <w:vertAlign w:val="superscript"/>
        </w:rPr>
        <w:t>2</w:t>
      </w:r>
      <w:r w:rsidR="06F0EDDF" w:rsidRPr="00917C7B">
        <w:t xml:space="preserve"> </w:t>
      </w:r>
      <w:r w:rsidR="1EAAD26B">
        <w:t xml:space="preserve">was </w:t>
      </w:r>
      <w:r w:rsidR="4DE32AB3">
        <w:t xml:space="preserve">only </w:t>
      </w:r>
      <w:r w:rsidR="05E1EE9E">
        <w:t xml:space="preserve">slightly higher </w:t>
      </w:r>
      <w:r w:rsidR="06F0EDDF" w:rsidRPr="00917C7B">
        <w:t>(</w:t>
      </w:r>
      <w:r w:rsidR="00C97F2D" w:rsidRPr="00C97F2D">
        <w:t>$35,000 to &lt; $45,000</w:t>
      </w:r>
      <w:r w:rsidR="5D0CA86D">
        <w:t xml:space="preserve"> per QALY gained</w:t>
      </w:r>
      <w:r w:rsidR="51FC6207">
        <w:t>)</w:t>
      </w:r>
      <w:r w:rsidR="4A8CFC9F">
        <w:t>,</w:t>
      </w:r>
      <w:r w:rsidR="17D04484">
        <w:t xml:space="preserve"> </w:t>
      </w:r>
      <w:r w:rsidR="4A8CFC9F">
        <w:t>h</w:t>
      </w:r>
      <w:r w:rsidR="1EAAD26B">
        <w:t>oweve</w:t>
      </w:r>
      <w:r w:rsidR="17D04484">
        <w:t>r</w:t>
      </w:r>
      <w:r w:rsidR="51FC6207">
        <w:t>,</w:t>
      </w:r>
      <w:r w:rsidR="17D04484">
        <w:t xml:space="preserve"> </w:t>
      </w:r>
      <w:r w:rsidR="51FC6207">
        <w:t xml:space="preserve">the PBAC noted this difference would be much larger when looking at the subgroups as mutually exclusive groups (as per paragraph </w:t>
      </w:r>
      <w:r w:rsidR="00961C92">
        <w:fldChar w:fldCharType="begin"/>
      </w:r>
      <w:r w:rsidR="00961C92">
        <w:instrText xml:space="preserve"> REF _Ref214275709 \r \h </w:instrText>
      </w:r>
      <w:r w:rsidR="00961C92">
        <w:fldChar w:fldCharType="separate"/>
      </w:r>
      <w:r w:rsidR="004F1BBD">
        <w:t>6.80</w:t>
      </w:r>
      <w:r w:rsidR="00961C92">
        <w:fldChar w:fldCharType="end"/>
      </w:r>
      <w:r w:rsidR="51FC6207">
        <w:t>) rather than overlapping groups</w:t>
      </w:r>
      <w:r w:rsidR="7E298538">
        <w:t>.</w:t>
      </w:r>
      <w:r w:rsidR="118D12A4">
        <w:t xml:space="preserve"> </w:t>
      </w:r>
      <w:bookmarkStart w:id="78" w:name="_Hlk214277889"/>
      <w:r w:rsidR="7E298538">
        <w:t xml:space="preserve">The PBAC </w:t>
      </w:r>
      <w:r w:rsidR="3F85D524">
        <w:t xml:space="preserve">considered it would be appropriate to </w:t>
      </w:r>
      <w:r w:rsidR="4A8CFC9F">
        <w:t>limit PBS</w:t>
      </w:r>
      <w:r w:rsidR="7B4BDC3A">
        <w:t xml:space="preserve"> access to patients with </w:t>
      </w:r>
      <w:r w:rsidR="4A8CFC9F" w:rsidRPr="32DF437A">
        <w:t>excess adiposity</w:t>
      </w:r>
      <w:r w:rsidR="1247CECE" w:rsidRPr="009430C3">
        <w:rPr>
          <w:iCs/>
        </w:rPr>
        <w:t xml:space="preserve"> </w:t>
      </w:r>
      <w:r w:rsidR="7E298538">
        <w:t xml:space="preserve">and as such a BMI </w:t>
      </w:r>
      <w:r w:rsidR="7E298538" w:rsidRPr="00917C7B">
        <w:t>≥35 kg/m</w:t>
      </w:r>
      <w:r w:rsidR="7E298538" w:rsidRPr="009430C3">
        <w:rPr>
          <w:vertAlign w:val="superscript"/>
        </w:rPr>
        <w:t>2</w:t>
      </w:r>
      <w:r w:rsidR="7E298538" w:rsidRPr="00917C7B">
        <w:t xml:space="preserve"> </w:t>
      </w:r>
      <w:r w:rsidR="7E298538">
        <w:t>was an appropriate threshold for a high priority group</w:t>
      </w:r>
      <w:r w:rsidR="55CF39A9">
        <w:t>.</w:t>
      </w:r>
      <w:bookmarkEnd w:id="78"/>
      <w:r w:rsidR="55CF39A9">
        <w:t xml:space="preserve"> </w:t>
      </w:r>
      <w:r w:rsidR="0AC89645">
        <w:t>The PBAC advised that an ICER of up to $25,000 per QALY</w:t>
      </w:r>
      <w:r w:rsidR="79E11C19">
        <w:t xml:space="preserve">, similar to </w:t>
      </w:r>
      <w:r w:rsidR="005A3A39">
        <w:t>that proposed in the PSCR</w:t>
      </w:r>
      <w:r w:rsidR="0044530B">
        <w:t xml:space="preserve"> for the submission base case (see </w:t>
      </w:r>
      <w:r w:rsidR="0044530B">
        <w:fldChar w:fldCharType="begin"/>
      </w:r>
      <w:r w:rsidR="0044530B">
        <w:instrText xml:space="preserve"> REF _Ref206945399 \h </w:instrText>
      </w:r>
      <w:r w:rsidR="0044530B">
        <w:fldChar w:fldCharType="separate"/>
      </w:r>
      <w:r w:rsidR="004F1BBD">
        <w:t xml:space="preserve">Table </w:t>
      </w:r>
      <w:r w:rsidR="004F1BBD">
        <w:rPr>
          <w:noProof/>
        </w:rPr>
        <w:t>11</w:t>
      </w:r>
      <w:r w:rsidR="0044530B">
        <w:fldChar w:fldCharType="end"/>
      </w:r>
      <w:r w:rsidR="0044530B">
        <w:t>)</w:t>
      </w:r>
      <w:r w:rsidR="00551651">
        <w:t xml:space="preserve"> and also</w:t>
      </w:r>
      <w:r w:rsidR="00082B1C">
        <w:t xml:space="preserve"> for</w:t>
      </w:r>
      <w:r w:rsidR="0044530B">
        <w:t xml:space="preserve"> </w:t>
      </w:r>
      <w:r w:rsidR="328FD2B8">
        <w:t xml:space="preserve">ICERs </w:t>
      </w:r>
      <w:r w:rsidR="697AA44B">
        <w:t xml:space="preserve">accepted for similar </w:t>
      </w:r>
      <w:r w:rsidR="2DEFA740">
        <w:t>indication</w:t>
      </w:r>
      <w:r w:rsidR="328FD2B8">
        <w:t>s</w:t>
      </w:r>
      <w:r w:rsidR="00082B1C">
        <w:t xml:space="preserve"> in </w:t>
      </w:r>
      <w:proofErr w:type="spellStart"/>
      <w:r w:rsidR="00FB1DD1">
        <w:t>eC</w:t>
      </w:r>
      <w:r w:rsidR="00D63733">
        <w:t>V</w:t>
      </w:r>
      <w:r w:rsidR="00FB1DD1">
        <w:t>D</w:t>
      </w:r>
      <w:proofErr w:type="spellEnd"/>
      <w:r w:rsidR="16CB886A">
        <w:t xml:space="preserve"> (see paragraph</w:t>
      </w:r>
      <w:r w:rsidR="328FD2B8">
        <w:t xml:space="preserve"> </w:t>
      </w:r>
      <w:r w:rsidR="00085010">
        <w:fldChar w:fldCharType="begin"/>
      </w:r>
      <w:r w:rsidR="00085010">
        <w:instrText xml:space="preserve"> REF _Ref214276771 \r \h </w:instrText>
      </w:r>
      <w:r w:rsidR="00085010">
        <w:fldChar w:fldCharType="separate"/>
      </w:r>
      <w:r w:rsidR="004F1BBD">
        <w:t>6.67</w:t>
      </w:r>
      <w:r w:rsidR="00085010">
        <w:fldChar w:fldCharType="end"/>
      </w:r>
      <w:r w:rsidR="328FD2B8">
        <w:t>)</w:t>
      </w:r>
      <w:r w:rsidR="79E11C19">
        <w:t>,</w:t>
      </w:r>
      <w:r w:rsidR="0AC89645">
        <w:t xml:space="preserve"> </w:t>
      </w:r>
      <w:r w:rsidR="678BD32E">
        <w:t>would be appropriate</w:t>
      </w:r>
      <w:r w:rsidR="00E41D6A">
        <w:t>.</w:t>
      </w:r>
      <w:r w:rsidR="678BD32E">
        <w:t xml:space="preserve"> </w:t>
      </w:r>
      <w:r w:rsidR="00D910C9">
        <w:t xml:space="preserve">This ICER was further supported </w:t>
      </w:r>
      <w:r w:rsidR="004F3094">
        <w:t xml:space="preserve">by the inclusion of type 2 </w:t>
      </w:r>
      <w:r w:rsidR="004F3094">
        <w:lastRenderedPageBreak/>
        <w:t>diabetes patients in the PBS listing as</w:t>
      </w:r>
      <w:r w:rsidR="00472CA0">
        <w:t>,</w:t>
      </w:r>
      <w:r w:rsidR="004F3094">
        <w:t xml:space="preserve"> although</w:t>
      </w:r>
      <w:r w:rsidR="00E41D6A">
        <w:t xml:space="preserve"> the </w:t>
      </w:r>
      <w:r w:rsidR="00E41D6A" w:rsidRPr="009430C3">
        <w:t xml:space="preserve">inclusion of </w:t>
      </w:r>
      <w:r w:rsidR="00472CA0">
        <w:t xml:space="preserve">these patients </w:t>
      </w:r>
      <w:r w:rsidR="00E41D6A">
        <w:t>could be inferred to be cost-effective (</w:t>
      </w:r>
      <w:r w:rsidR="00E41D6A" w:rsidRPr="00253550">
        <w:t xml:space="preserve">see </w:t>
      </w:r>
      <w:r w:rsidR="00E41D6A" w:rsidRPr="00253550">
        <w:fldChar w:fldCharType="begin"/>
      </w:r>
      <w:r w:rsidR="00E41D6A" w:rsidRPr="00253550">
        <w:instrText xml:space="preserve"> REF _Ref215042750 \r \h </w:instrText>
      </w:r>
      <w:r w:rsidR="00390A2A" w:rsidRPr="00253550">
        <w:instrText xml:space="preserve"> \* MERGEFORMAT </w:instrText>
      </w:r>
      <w:r w:rsidR="00E41D6A" w:rsidRPr="00253550">
        <w:fldChar w:fldCharType="separate"/>
      </w:r>
      <w:r w:rsidR="004F1BBD">
        <w:t>7.8</w:t>
      </w:r>
      <w:r w:rsidR="00E41D6A" w:rsidRPr="00253550">
        <w:fldChar w:fldCharType="end"/>
      </w:r>
      <w:r w:rsidR="00E41D6A" w:rsidRPr="00253550">
        <w:t>)</w:t>
      </w:r>
      <w:r w:rsidR="00472CA0" w:rsidRPr="00253550">
        <w:t>,</w:t>
      </w:r>
      <w:r w:rsidR="00E41D6A" w:rsidRPr="00253550">
        <w:t xml:space="preserve"> it added</w:t>
      </w:r>
      <w:r w:rsidR="00E41D6A">
        <w:t xml:space="preserve"> to the</w:t>
      </w:r>
      <w:r w:rsidR="00E41D6A" w:rsidRPr="009430C3">
        <w:t xml:space="preserve"> clinical uncertainty in the ICER</w:t>
      </w:r>
      <w:r w:rsidR="00472CA0">
        <w:t>.</w:t>
      </w:r>
      <w:r w:rsidR="00E41D6A" w:rsidRPr="009430C3">
        <w:t xml:space="preserve"> </w:t>
      </w:r>
      <w:r w:rsidR="00472CA0">
        <w:t>The PBAC advised</w:t>
      </w:r>
      <w:r w:rsidR="00F2281D">
        <w:t xml:space="preserve"> </w:t>
      </w:r>
      <w:r w:rsidR="2F659932">
        <w:t xml:space="preserve">a </w:t>
      </w:r>
      <w:r w:rsidR="33C2CB42">
        <w:t>r</w:t>
      </w:r>
      <w:r w:rsidR="2F659932">
        <w:t>eduction</w:t>
      </w:r>
      <w:r w:rsidR="33C2CB42">
        <w:t xml:space="preserve"> </w:t>
      </w:r>
      <w:r w:rsidR="177701B4">
        <w:t>in treatment cost</w:t>
      </w:r>
      <w:r w:rsidR="2F659932">
        <w:t xml:space="preserve"> </w:t>
      </w:r>
      <w:r w:rsidR="6E78B2CF">
        <w:t xml:space="preserve">per patient per year </w:t>
      </w:r>
      <w:r w:rsidR="2F659932">
        <w:t xml:space="preserve">would </w:t>
      </w:r>
      <w:r w:rsidR="1247CECE">
        <w:t xml:space="preserve">therefore </w:t>
      </w:r>
      <w:r w:rsidR="2F659932">
        <w:t>be required to achieve cost effectiveness</w:t>
      </w:r>
      <w:r w:rsidR="009430C3" w:rsidRPr="009430C3">
        <w:t>.</w:t>
      </w:r>
    </w:p>
    <w:p w14:paraId="41609B61" w14:textId="77777777" w:rsidR="004E0439" w:rsidRDefault="00B93842" w:rsidP="00ED1EB0">
      <w:pPr>
        <w:pStyle w:val="COMESnumberedpara"/>
      </w:pPr>
      <w:bookmarkStart w:id="79" w:name="_Ref213956134"/>
      <w:r>
        <w:t xml:space="preserve">The PBAC </w:t>
      </w:r>
      <w:r w:rsidR="00735EA2">
        <w:t xml:space="preserve">noted </w:t>
      </w:r>
      <w:r>
        <w:t xml:space="preserve">DUSC advice that the </w:t>
      </w:r>
      <w:r w:rsidR="00735EA2">
        <w:t xml:space="preserve">estimates presented in the submission were overestimated. The PBAC agreed with DUSC </w:t>
      </w:r>
      <w:r w:rsidR="004A2975">
        <w:t xml:space="preserve">that </w:t>
      </w:r>
      <w:r w:rsidR="00E8384B">
        <w:t xml:space="preserve">the estimated number of supplied scripts </w:t>
      </w:r>
      <w:r w:rsidR="002F3C6A">
        <w:t xml:space="preserve">per patient per year was </w:t>
      </w:r>
      <w:r w:rsidR="007A67C2">
        <w:t>high</w:t>
      </w:r>
      <w:r w:rsidR="002F3C6A">
        <w:t xml:space="preserve"> and advised that this should be reduced </w:t>
      </w:r>
      <w:r w:rsidR="00993394">
        <w:t xml:space="preserve">to </w:t>
      </w:r>
      <w:r w:rsidR="00ED140B">
        <w:t>8.5 scripts per patient per year</w:t>
      </w:r>
      <w:r w:rsidR="005125A2">
        <w:t xml:space="preserve">, which better reflected expected discontinuation and </w:t>
      </w:r>
      <w:r w:rsidR="00F43ACB">
        <w:t xml:space="preserve">adherence </w:t>
      </w:r>
      <w:r w:rsidR="003466E2">
        <w:t xml:space="preserve">in clinical practice </w:t>
      </w:r>
      <w:r w:rsidR="00F43ACB">
        <w:t>and align</w:t>
      </w:r>
      <w:r w:rsidR="003466E2">
        <w:t>ed</w:t>
      </w:r>
      <w:r w:rsidR="00F43ACB">
        <w:t xml:space="preserve"> with </w:t>
      </w:r>
      <w:r w:rsidR="003466E2">
        <w:t>PBS data for</w:t>
      </w:r>
      <w:r w:rsidR="00F43ACB">
        <w:t xml:space="preserve"> semaglutide use for type 2 diabetes</w:t>
      </w:r>
      <w:r w:rsidR="00700156">
        <w:t>.</w:t>
      </w:r>
      <w:r w:rsidR="008402CF">
        <w:t xml:space="preserve"> The PBA</w:t>
      </w:r>
      <w:r w:rsidR="006446CE">
        <w:t>C</w:t>
      </w:r>
      <w:r w:rsidR="008402CF">
        <w:t xml:space="preserve"> noted this was </w:t>
      </w:r>
      <w:r w:rsidR="009E5717">
        <w:t xml:space="preserve">at </w:t>
      </w:r>
      <w:r w:rsidR="008402CF">
        <w:t xml:space="preserve">the upper end of the </w:t>
      </w:r>
      <w:r w:rsidR="000C20AF">
        <w:t xml:space="preserve">range suggested in the </w:t>
      </w:r>
      <w:r w:rsidR="006446CE">
        <w:t xml:space="preserve">DUSC advice (7.0 </w:t>
      </w:r>
      <w:r w:rsidR="006446CE">
        <w:rPr>
          <w:rFonts w:cstheme="minorHAnsi"/>
        </w:rPr>
        <w:t>‒</w:t>
      </w:r>
      <w:r w:rsidR="006446CE">
        <w:t xml:space="preserve"> 8.5)</w:t>
      </w:r>
      <w:r w:rsidR="009E5717">
        <w:t>.</w:t>
      </w:r>
      <w:r w:rsidR="00700156">
        <w:t xml:space="preserve"> </w:t>
      </w:r>
    </w:p>
    <w:p w14:paraId="11E4E3F9" w14:textId="7C83B6B8" w:rsidR="006227A3" w:rsidRDefault="67FFC10B" w:rsidP="00ED1EB0">
      <w:pPr>
        <w:pStyle w:val="COMESnumberedpara"/>
      </w:pPr>
      <w:r>
        <w:t>T</w:t>
      </w:r>
      <w:r w:rsidR="701B4B56">
        <w:t xml:space="preserve">he PBAC </w:t>
      </w:r>
      <w:r w:rsidR="2376B1D9">
        <w:t>noted</w:t>
      </w:r>
      <w:r w:rsidR="701B4B56">
        <w:t xml:space="preserve"> DUSC </w:t>
      </w:r>
      <w:r w:rsidR="2376B1D9">
        <w:t xml:space="preserve">advice </w:t>
      </w:r>
      <w:r w:rsidR="701B4B56">
        <w:t xml:space="preserve">that </w:t>
      </w:r>
      <w:r w:rsidR="71112CA6">
        <w:t xml:space="preserve">utilisation rates for </w:t>
      </w:r>
      <w:r w:rsidR="4A005D3B">
        <w:t xml:space="preserve">the </w:t>
      </w:r>
      <w:r w:rsidR="71112CA6">
        <w:t xml:space="preserve">BMI </w:t>
      </w:r>
      <w:r w:rsidR="4A005D3B">
        <w:t xml:space="preserve">threshold </w:t>
      </w:r>
      <w:r w:rsidR="71112CA6">
        <w:t>≥40 kg/m</w:t>
      </w:r>
      <w:r w:rsidR="71112CA6" w:rsidRPr="0A99B0B1">
        <w:rPr>
          <w:vertAlign w:val="superscript"/>
        </w:rPr>
        <w:t xml:space="preserve">2 </w:t>
      </w:r>
      <w:r w:rsidR="71112CA6">
        <w:t xml:space="preserve">were </w:t>
      </w:r>
      <w:r w:rsidR="11AF147F">
        <w:t xml:space="preserve">overestimated and the rates for </w:t>
      </w:r>
      <w:r w:rsidR="4A005D3B">
        <w:t>the BMI threshold ≥27 kg/m</w:t>
      </w:r>
      <w:r w:rsidR="4A005D3B" w:rsidRPr="0A99B0B1">
        <w:rPr>
          <w:vertAlign w:val="superscript"/>
        </w:rPr>
        <w:t xml:space="preserve">2 </w:t>
      </w:r>
      <w:r w:rsidR="4A005D3B">
        <w:t>were underestimated</w:t>
      </w:r>
      <w:r w:rsidR="50B75185">
        <w:t xml:space="preserve"> in later years. The PBAC accepted the revised utilisation rates </w:t>
      </w:r>
      <w:r w:rsidR="2CF68D56">
        <w:t xml:space="preserve">across </w:t>
      </w:r>
      <w:r w:rsidR="4089C8D0">
        <w:t xml:space="preserve">the </w:t>
      </w:r>
      <w:r w:rsidR="2CF68D56">
        <w:t xml:space="preserve">BMI </w:t>
      </w:r>
      <w:r w:rsidR="22840E8A">
        <w:t xml:space="preserve">subgroups </w:t>
      </w:r>
      <w:r w:rsidR="681BBB71">
        <w:t>proposed in the pre-PBAC response</w:t>
      </w:r>
      <w:r w:rsidR="58F2B326">
        <w:t>.</w:t>
      </w:r>
      <w:r w:rsidR="22840E8A">
        <w:t xml:space="preserve"> </w:t>
      </w:r>
      <w:r>
        <w:t xml:space="preserve">The PBAC also </w:t>
      </w:r>
      <w:r w:rsidR="27A7D5AD">
        <w:t xml:space="preserve">agreed with DUSC that the </w:t>
      </w:r>
      <w:r w:rsidR="04A5D67B">
        <w:t xml:space="preserve">estimated </w:t>
      </w:r>
      <w:r w:rsidR="27A7D5AD">
        <w:t xml:space="preserve">proportion of patients who would be treated with 2.4 mg of semaglutide per week was </w:t>
      </w:r>
      <w:r w:rsidR="39FA4E30">
        <w:t>higher than would likely be seen in clinical practice</w:t>
      </w:r>
      <w:r w:rsidR="04A5D67B">
        <w:t xml:space="preserve"> and accepted the pre-PBAC response revisions to this input</w:t>
      </w:r>
      <w:r w:rsidR="007F24DD">
        <w:t xml:space="preserve"> (</w:t>
      </w:r>
      <w:r w:rsidR="005E0050">
        <w:t>the proportion of use of the dose of 2.4 mg semaglutide was reduced from 76.37% to 70%)</w:t>
      </w:r>
      <w:r w:rsidR="27A7D5AD">
        <w:t xml:space="preserve">. </w:t>
      </w:r>
      <w:r w:rsidR="5902649D">
        <w:t xml:space="preserve">The PBAC noted the </w:t>
      </w:r>
      <w:r w:rsidR="1E3796A8">
        <w:t xml:space="preserve">pre-PBAC response provided revised financial estimates </w:t>
      </w:r>
      <w:r w:rsidR="177701B4">
        <w:t>based on the DUSC advice</w:t>
      </w:r>
      <w:r w:rsidR="15AB9A34">
        <w:t xml:space="preserve">. </w:t>
      </w:r>
      <w:r w:rsidR="1D4FCD07">
        <w:t xml:space="preserve">The PBAC noted </w:t>
      </w:r>
      <w:r w:rsidR="1EFCBDA9">
        <w:t>th</w:t>
      </w:r>
      <w:r w:rsidR="0A40ACAC">
        <w:t xml:space="preserve">at incorporating </w:t>
      </w:r>
      <w:r w:rsidR="6A81ECB1">
        <w:t xml:space="preserve">these revisions the pre-PBAC response reported the cost over 6 years as </w:t>
      </w:r>
      <w:r w:rsidR="003957BB" w:rsidRPr="003957BB">
        <w:t>&gt; $1 billion</w:t>
      </w:r>
      <w:r w:rsidR="789B9C84">
        <w:t>,</w:t>
      </w:r>
      <w:r w:rsidR="731AC67E">
        <w:t xml:space="preserve"> </w:t>
      </w:r>
      <w:r w:rsidR="00C20DE2" w:rsidRPr="00C20DE2">
        <w:t>$900 million to &lt; $1 billion</w:t>
      </w:r>
      <w:r w:rsidR="789B9C84">
        <w:t xml:space="preserve"> and </w:t>
      </w:r>
      <w:r w:rsidR="00C66ECB" w:rsidRPr="00C66ECB">
        <w:t>$400 million to &lt; $500 million</w:t>
      </w:r>
      <w:r w:rsidR="00EC1116">
        <w:t xml:space="preserve"> </w:t>
      </w:r>
      <w:r w:rsidR="789B9C84">
        <w:t xml:space="preserve">for the </w:t>
      </w:r>
      <w:r w:rsidR="5DC93657">
        <w:t>BMI thresholds of ≥27 kg/m</w:t>
      </w:r>
      <w:r w:rsidR="5DC93657" w:rsidRPr="0A99B0B1">
        <w:rPr>
          <w:vertAlign w:val="superscript"/>
        </w:rPr>
        <w:t>2</w:t>
      </w:r>
      <w:r w:rsidR="5DC93657">
        <w:t>, ≥35 kg/m</w:t>
      </w:r>
      <w:r w:rsidR="5DC93657" w:rsidRPr="0A99B0B1">
        <w:rPr>
          <w:vertAlign w:val="superscript"/>
        </w:rPr>
        <w:t>2</w:t>
      </w:r>
      <w:r w:rsidR="5DC93657">
        <w:t xml:space="preserve"> and ≥40 kg/m</w:t>
      </w:r>
      <w:r w:rsidR="5DC93657" w:rsidRPr="0A99B0B1">
        <w:rPr>
          <w:vertAlign w:val="superscript"/>
        </w:rPr>
        <w:t>2</w:t>
      </w:r>
      <w:r w:rsidR="22840E8A" w:rsidRPr="0A99B0B1">
        <w:rPr>
          <w:vertAlign w:val="superscript"/>
        </w:rPr>
        <w:t xml:space="preserve"> </w:t>
      </w:r>
      <w:r w:rsidR="2BC420A4">
        <w:t xml:space="preserve">respectively </w:t>
      </w:r>
      <w:r w:rsidR="22840E8A">
        <w:t xml:space="preserve">(see </w:t>
      </w:r>
      <w:r w:rsidR="002E6CEE">
        <w:fldChar w:fldCharType="begin"/>
      </w:r>
      <w:r w:rsidR="002E6CEE">
        <w:instrText xml:space="preserve"> REF _Ref213953342 \h </w:instrText>
      </w:r>
      <w:r w:rsidR="002E6CEE">
        <w:fldChar w:fldCharType="separate"/>
      </w:r>
      <w:r w:rsidR="004F1BBD">
        <w:t xml:space="preserve">Table </w:t>
      </w:r>
      <w:r w:rsidR="004F1BBD">
        <w:rPr>
          <w:noProof/>
        </w:rPr>
        <w:t>21</w:t>
      </w:r>
      <w:r w:rsidR="002E6CEE">
        <w:fldChar w:fldCharType="end"/>
      </w:r>
      <w:r w:rsidR="22840E8A">
        <w:t>)</w:t>
      </w:r>
      <w:r w:rsidR="13E37825">
        <w:t xml:space="preserve">. </w:t>
      </w:r>
      <w:r w:rsidR="12B9AA16">
        <w:t xml:space="preserve">The PBAC noted the </w:t>
      </w:r>
      <w:r w:rsidR="753A7801">
        <w:t xml:space="preserve">financial estimates would reduce </w:t>
      </w:r>
      <w:r w:rsidR="6C40358C">
        <w:t xml:space="preserve">with the </w:t>
      </w:r>
      <w:r w:rsidR="00927DF4">
        <w:t xml:space="preserve">reduction in treatment cost per patient per year </w:t>
      </w:r>
      <w:r w:rsidR="3E84ED52">
        <w:t xml:space="preserve">required </w:t>
      </w:r>
      <w:r w:rsidR="32BE1342">
        <w:t>to achieve an ICER of $25,000 per QALY</w:t>
      </w:r>
      <w:r w:rsidR="139E169D">
        <w:t xml:space="preserve"> and would need to be confirmed during implementation, give</w:t>
      </w:r>
      <w:r w:rsidR="2893BAC2">
        <w:t>n</w:t>
      </w:r>
      <w:r w:rsidR="139E169D">
        <w:t xml:space="preserve"> they were not evaluated</w:t>
      </w:r>
      <w:r w:rsidR="32BE1342">
        <w:t>.</w:t>
      </w:r>
      <w:bookmarkEnd w:id="79"/>
      <w:r w:rsidR="32BE1342">
        <w:t xml:space="preserve"> </w:t>
      </w:r>
    </w:p>
    <w:p w14:paraId="13828D26" w14:textId="45F932A0" w:rsidR="00395329" w:rsidRDefault="00E45619" w:rsidP="00982D08">
      <w:pPr>
        <w:pStyle w:val="COMESnumberedpara"/>
      </w:pPr>
      <w:r w:rsidRPr="008D3989">
        <w:t>The PBAC considered the risk of use outside of the proposed patient population (</w:t>
      </w:r>
      <w:r w:rsidR="002F3011">
        <w:t xml:space="preserve">particularly in </w:t>
      </w:r>
      <w:r w:rsidRPr="008D3989">
        <w:t>patients with eCVD and with a BMI of less than 35 kg/m</w:t>
      </w:r>
      <w:r w:rsidRPr="008D3989">
        <w:rPr>
          <w:vertAlign w:val="superscript"/>
        </w:rPr>
        <w:t>2</w:t>
      </w:r>
      <w:r w:rsidRPr="008D3989">
        <w:t>) was very high</w:t>
      </w:r>
      <w:r w:rsidR="002D1EC7">
        <w:t xml:space="preserve"> and considered a risk sharing arrangement </w:t>
      </w:r>
      <w:r w:rsidR="003E11E4">
        <w:t xml:space="preserve">with </w:t>
      </w:r>
      <w:r w:rsidR="00B8404A">
        <w:t>100% rebate above the caps</w:t>
      </w:r>
      <w:r w:rsidR="003E11E4">
        <w:t xml:space="preserve"> </w:t>
      </w:r>
      <w:r w:rsidR="002D1EC7">
        <w:t xml:space="preserve">would be required to mitigate the financial impact to the Commonwealth associated with use outside the restriction. The PBAC advised that </w:t>
      </w:r>
      <w:r w:rsidR="008B3EDC">
        <w:t>the</w:t>
      </w:r>
      <w:r w:rsidR="002D1EC7">
        <w:t xml:space="preserve"> risk sharing </w:t>
      </w:r>
      <w:r w:rsidR="009E1F42">
        <w:t xml:space="preserve">subsidisation caps </w:t>
      </w:r>
      <w:r w:rsidR="005324B2">
        <w:t>should</w:t>
      </w:r>
      <w:r w:rsidR="00EA5742">
        <w:t xml:space="preserve"> be based on the revised financial estimates for the BMI threshold of </w:t>
      </w:r>
      <w:r w:rsidR="00EA5742" w:rsidRPr="00917C7B">
        <w:t>≥35 kg/m</w:t>
      </w:r>
      <w:r w:rsidR="00EA5742" w:rsidRPr="00917C7B">
        <w:rPr>
          <w:vertAlign w:val="superscript"/>
        </w:rPr>
        <w:t>2</w:t>
      </w:r>
      <w:r w:rsidR="00395329">
        <w:rPr>
          <w:vertAlign w:val="superscript"/>
        </w:rPr>
        <w:t xml:space="preserve"> </w:t>
      </w:r>
      <w:r w:rsidR="00395329">
        <w:t xml:space="preserve">outlined in </w:t>
      </w:r>
      <w:r w:rsidR="00395329" w:rsidRPr="00253550">
        <w:t xml:space="preserve">paragraph </w:t>
      </w:r>
      <w:r w:rsidR="00395329" w:rsidRPr="00253550">
        <w:fldChar w:fldCharType="begin"/>
      </w:r>
      <w:r w:rsidR="00395329" w:rsidRPr="00253550">
        <w:instrText xml:space="preserve"> REF _Ref213956134 \r \h </w:instrText>
      </w:r>
      <w:r w:rsidR="00492493" w:rsidRPr="00253550">
        <w:instrText xml:space="preserve"> \* MERGEFORMAT </w:instrText>
      </w:r>
      <w:r w:rsidR="00395329" w:rsidRPr="00253550">
        <w:fldChar w:fldCharType="separate"/>
      </w:r>
      <w:r w:rsidR="004F1BBD">
        <w:t>7.13</w:t>
      </w:r>
      <w:r w:rsidR="00395329" w:rsidRPr="00253550">
        <w:fldChar w:fldCharType="end"/>
      </w:r>
      <w:r w:rsidR="003E11E4" w:rsidRPr="00253550">
        <w:t>.</w:t>
      </w:r>
      <w:r w:rsidR="00395329">
        <w:t xml:space="preserve"> </w:t>
      </w:r>
    </w:p>
    <w:p w14:paraId="4D26CF20" w14:textId="191D8A1D" w:rsidR="00F83289" w:rsidRPr="00525B39" w:rsidRDefault="00F83289" w:rsidP="00C73BF9">
      <w:pPr>
        <w:pStyle w:val="COMESnumberedpara"/>
        <w:rPr>
          <w:snapToGrid w:val="0"/>
          <w:lang w:val="en-GB"/>
        </w:rPr>
      </w:pPr>
      <w:r w:rsidRPr="00525B39">
        <w:rPr>
          <w:snapToGrid w:val="0"/>
          <w:lang w:val="en-GB"/>
        </w:rPr>
        <w:t xml:space="preserve">The PBAC advised that </w:t>
      </w:r>
      <w:r w:rsidR="00012607">
        <w:rPr>
          <w:snapToGrid w:val="0"/>
          <w:lang w:val="en-GB"/>
        </w:rPr>
        <w:t xml:space="preserve">semaglutide </w:t>
      </w:r>
      <w:r w:rsidRPr="00525B39">
        <w:rPr>
          <w:snapToGrid w:val="0"/>
          <w:lang w:val="en-GB"/>
        </w:rPr>
        <w:t>is suitable</w:t>
      </w:r>
      <w:r w:rsidR="00012607">
        <w:rPr>
          <w:snapToGrid w:val="0"/>
          <w:lang w:val="en-GB"/>
        </w:rPr>
        <w:t xml:space="preserve"> </w:t>
      </w:r>
      <w:r w:rsidRPr="00525B39">
        <w:rPr>
          <w:snapToGrid w:val="0"/>
          <w:lang w:val="en-GB"/>
        </w:rPr>
        <w:t>for presc</w:t>
      </w:r>
      <w:r>
        <w:rPr>
          <w:snapToGrid w:val="0"/>
          <w:lang w:val="en-GB"/>
        </w:rPr>
        <w:t>ribing by nurse practitioners</w:t>
      </w:r>
      <w:r w:rsidR="00012607">
        <w:rPr>
          <w:snapToGrid w:val="0"/>
          <w:lang w:val="en-GB"/>
        </w:rPr>
        <w:t>, but only for continuing t</w:t>
      </w:r>
      <w:r w:rsidR="0069142C">
        <w:rPr>
          <w:snapToGrid w:val="0"/>
          <w:lang w:val="en-GB"/>
        </w:rPr>
        <w:t>reatment and where patient care is shared with a medical practitioner</w:t>
      </w:r>
      <w:r>
        <w:rPr>
          <w:snapToGrid w:val="0"/>
          <w:lang w:val="en-GB"/>
        </w:rPr>
        <w:t xml:space="preserve">. </w:t>
      </w:r>
    </w:p>
    <w:p w14:paraId="3C45594D" w14:textId="131C6D03" w:rsidR="00552AA8" w:rsidRPr="000C7802" w:rsidRDefault="009160FD">
      <w:pPr>
        <w:pStyle w:val="COMESnumberedpara"/>
        <w:rPr>
          <w:b/>
          <w:lang w:val="en-GB"/>
        </w:rPr>
      </w:pPr>
      <w:r w:rsidRPr="000C7802">
        <w:rPr>
          <w:rFonts w:cstheme="minorHAnsi"/>
        </w:rPr>
        <w:t xml:space="preserve">Semaglutide should not be exempt from the Early Supply Rule as it has fixed dosing schedule, and it currently applies to similar drugs for chronic conditions. </w:t>
      </w:r>
    </w:p>
    <w:p w14:paraId="45F9C7E3" w14:textId="46F3DB9B" w:rsidR="00F83289" w:rsidRPr="00D121C5" w:rsidRDefault="00F83289" w:rsidP="00D64416">
      <w:pPr>
        <w:pStyle w:val="COMESnumberedpara"/>
        <w:rPr>
          <w:b/>
          <w:lang w:val="en-GB"/>
        </w:rPr>
      </w:pPr>
      <w:r w:rsidRPr="00D121C5">
        <w:rPr>
          <w:lang w:val="en-GB"/>
        </w:rPr>
        <w:t xml:space="preserve">The PBAC found that the criteria prescribed by the </w:t>
      </w:r>
      <w:r w:rsidRPr="00D121C5">
        <w:rPr>
          <w:i/>
          <w:lang w:val="en-GB"/>
        </w:rPr>
        <w:t>National Health (Pharmaceuticals and Vaccines – Cost Recovery) Regulations 20</w:t>
      </w:r>
      <w:r>
        <w:rPr>
          <w:i/>
          <w:lang w:val="en-GB"/>
        </w:rPr>
        <w:t>22</w:t>
      </w:r>
      <w:r w:rsidRPr="00D121C5">
        <w:rPr>
          <w:lang w:val="en-GB"/>
        </w:rPr>
        <w:t xml:space="preserve"> for Pricing Pathway A</w:t>
      </w:r>
      <w:r w:rsidR="00D64416">
        <w:rPr>
          <w:lang w:val="en-GB"/>
        </w:rPr>
        <w:t xml:space="preserve"> </w:t>
      </w:r>
      <w:r w:rsidRPr="00D121C5">
        <w:rPr>
          <w:lang w:val="en-GB"/>
        </w:rPr>
        <w:t xml:space="preserve">were met. </w:t>
      </w:r>
      <w:proofErr w:type="gramStart"/>
      <w:r w:rsidRPr="00D121C5">
        <w:rPr>
          <w:lang w:val="en-GB"/>
        </w:rPr>
        <w:lastRenderedPageBreak/>
        <w:t>Specifically</w:t>
      </w:r>
      <w:proofErr w:type="gramEnd"/>
      <w:r w:rsidRPr="00D121C5">
        <w:rPr>
          <w:lang w:val="en-GB"/>
        </w:rPr>
        <w:t xml:space="preserve"> the PBAC found that in the circumstances of its recommendation for </w:t>
      </w:r>
      <w:r w:rsidR="00D64416">
        <w:rPr>
          <w:lang w:val="en-GB"/>
        </w:rPr>
        <w:t>semaglutide</w:t>
      </w:r>
      <w:r w:rsidRPr="00D121C5">
        <w:rPr>
          <w:lang w:val="en-GB"/>
        </w:rPr>
        <w:t>:</w:t>
      </w:r>
    </w:p>
    <w:p w14:paraId="1A762B41" w14:textId="76AA6AB2" w:rsidR="00F83289" w:rsidRPr="00763DFB" w:rsidRDefault="00F83289" w:rsidP="000834AD">
      <w:pPr>
        <w:widowControl w:val="0"/>
        <w:numPr>
          <w:ilvl w:val="2"/>
          <w:numId w:val="32"/>
        </w:numPr>
        <w:spacing w:after="120"/>
        <w:rPr>
          <w:rFonts w:asciiTheme="minorHAnsi" w:hAnsiTheme="minorHAnsi" w:cstheme="minorHAnsi"/>
          <w:lang w:val="en-GB"/>
        </w:rPr>
      </w:pPr>
      <w:r w:rsidRPr="00763DFB">
        <w:rPr>
          <w:rFonts w:asciiTheme="minorHAnsi" w:hAnsiTheme="minorHAnsi" w:cstheme="minorHAnsi"/>
          <w:lang w:val="en-GB"/>
        </w:rPr>
        <w:t xml:space="preserve">The treatment </w:t>
      </w:r>
      <w:r w:rsidR="002300D6">
        <w:rPr>
          <w:rFonts w:asciiTheme="minorHAnsi" w:hAnsiTheme="minorHAnsi" w:cstheme="minorHAnsi"/>
          <w:lang w:val="en-GB"/>
        </w:rPr>
        <w:t>is</w:t>
      </w:r>
      <w:r w:rsidRPr="00763DFB">
        <w:rPr>
          <w:rFonts w:asciiTheme="minorHAnsi" w:hAnsiTheme="minorHAnsi" w:cstheme="minorHAnsi"/>
          <w:lang w:val="en-GB"/>
        </w:rPr>
        <w:t xml:space="preserve"> expected to provide a clinically relevant improvement in </w:t>
      </w:r>
      <w:r w:rsidR="00165BB8" w:rsidRPr="00763DFB">
        <w:rPr>
          <w:rFonts w:asciiTheme="minorHAnsi" w:hAnsiTheme="minorHAnsi" w:cstheme="minorHAnsi"/>
          <w:lang w:val="en-GB"/>
        </w:rPr>
        <w:t>efficacy</w:t>
      </w:r>
      <w:r w:rsidR="00165BB8">
        <w:rPr>
          <w:rFonts w:asciiTheme="minorHAnsi" w:hAnsiTheme="minorHAnsi" w:cstheme="minorHAnsi"/>
          <w:lang w:val="en-GB"/>
        </w:rPr>
        <w:t xml:space="preserve"> </w:t>
      </w:r>
      <w:r w:rsidR="00165BB8" w:rsidRPr="002831EF">
        <w:t>(</w:t>
      </w:r>
      <w:r w:rsidR="00692CCF">
        <w:t xml:space="preserve">in reducing major adverse cardiovascular events </w:t>
      </w:r>
      <w:r w:rsidR="003801CF">
        <w:t xml:space="preserve">and </w:t>
      </w:r>
      <w:r w:rsidR="00E42635">
        <w:t>all-cause</w:t>
      </w:r>
      <w:r w:rsidR="003801CF">
        <w:t xml:space="preserve"> mortality </w:t>
      </w:r>
      <w:r w:rsidR="00692CCF">
        <w:t>in patients with eCVD)</w:t>
      </w:r>
      <w:r w:rsidRPr="00763DFB">
        <w:rPr>
          <w:rFonts w:asciiTheme="minorHAnsi" w:hAnsiTheme="minorHAnsi" w:cstheme="minorHAnsi"/>
          <w:lang w:val="en-GB"/>
        </w:rPr>
        <w:t>, over</w:t>
      </w:r>
      <w:r w:rsidR="002300D6">
        <w:rPr>
          <w:rFonts w:asciiTheme="minorHAnsi" w:hAnsiTheme="minorHAnsi" w:cstheme="minorHAnsi"/>
          <w:lang w:val="en-GB"/>
        </w:rPr>
        <w:t xml:space="preserve"> standard of </w:t>
      </w:r>
      <w:proofErr w:type="gramStart"/>
      <w:r w:rsidR="002300D6">
        <w:rPr>
          <w:rFonts w:asciiTheme="minorHAnsi" w:hAnsiTheme="minorHAnsi" w:cstheme="minorHAnsi"/>
          <w:lang w:val="en-GB"/>
        </w:rPr>
        <w:t>care</w:t>
      </w:r>
      <w:r w:rsidRPr="00763DFB">
        <w:rPr>
          <w:rFonts w:asciiTheme="minorHAnsi" w:hAnsiTheme="minorHAnsi" w:cstheme="minorHAnsi"/>
          <w:lang w:val="en-GB"/>
        </w:rPr>
        <w:t>;</w:t>
      </w:r>
      <w:proofErr w:type="gramEnd"/>
      <w:r w:rsidRPr="00763DFB">
        <w:rPr>
          <w:rFonts w:asciiTheme="minorHAnsi" w:hAnsiTheme="minorHAnsi" w:cstheme="minorHAnsi"/>
          <w:lang w:val="en-GB"/>
        </w:rPr>
        <w:t xml:space="preserve"> </w:t>
      </w:r>
    </w:p>
    <w:p w14:paraId="426623A5" w14:textId="57F94C25" w:rsidR="00F83289" w:rsidRPr="00763DFB" w:rsidRDefault="410D5FBD" w:rsidP="0A99B0B1">
      <w:pPr>
        <w:widowControl w:val="0"/>
        <w:numPr>
          <w:ilvl w:val="2"/>
          <w:numId w:val="32"/>
        </w:numPr>
        <w:spacing w:after="120"/>
        <w:rPr>
          <w:rFonts w:asciiTheme="minorHAnsi" w:hAnsiTheme="minorHAnsi" w:cstheme="minorBidi"/>
          <w:lang w:val="en-GB"/>
        </w:rPr>
      </w:pPr>
      <w:r w:rsidRPr="0A99B0B1">
        <w:rPr>
          <w:rFonts w:asciiTheme="minorHAnsi" w:hAnsiTheme="minorHAnsi" w:cstheme="minorBidi"/>
          <w:lang w:val="en-GB"/>
        </w:rPr>
        <w:t xml:space="preserve">The treatment </w:t>
      </w:r>
      <w:r w:rsidR="65D4A01D" w:rsidRPr="0A99B0B1">
        <w:rPr>
          <w:rFonts w:asciiTheme="minorHAnsi" w:hAnsiTheme="minorHAnsi" w:cstheme="minorBidi"/>
          <w:lang w:val="en-GB"/>
        </w:rPr>
        <w:t xml:space="preserve">is </w:t>
      </w:r>
      <w:r w:rsidRPr="0A99B0B1">
        <w:rPr>
          <w:rFonts w:asciiTheme="minorHAnsi" w:hAnsiTheme="minorHAnsi" w:cstheme="minorBidi"/>
          <w:lang w:val="en-GB"/>
        </w:rPr>
        <w:t>expected to address a high and urgent unmet clinical need</w:t>
      </w:r>
      <w:r w:rsidR="00F26129">
        <w:rPr>
          <w:rFonts w:asciiTheme="minorHAnsi" w:hAnsiTheme="minorHAnsi" w:cstheme="minorBidi"/>
          <w:lang w:val="en-GB"/>
        </w:rPr>
        <w:t xml:space="preserve"> </w:t>
      </w:r>
      <w:r w:rsidR="00F26129">
        <w:t xml:space="preserve">for effective therapies for patients </w:t>
      </w:r>
      <w:r w:rsidR="008E3901">
        <w:t>with established cardiovascular disease</w:t>
      </w:r>
      <w:r w:rsidR="00481B65">
        <w:t xml:space="preserve"> who are </w:t>
      </w:r>
      <w:r w:rsidR="00F26129">
        <w:t>also living with obesity</w:t>
      </w:r>
      <w:r w:rsidR="00481B65">
        <w:t xml:space="preserve">. The private </w:t>
      </w:r>
      <w:r w:rsidR="00461E1F">
        <w:t>expense</w:t>
      </w:r>
      <w:r w:rsidR="00481B65">
        <w:t xml:space="preserve"> of obtaining effective medicines to address residual cardiovascular risk and </w:t>
      </w:r>
      <w:r w:rsidR="00461E1F">
        <w:t xml:space="preserve">weight loss is prohibitive for many </w:t>
      </w:r>
      <w:proofErr w:type="gramStart"/>
      <w:r w:rsidR="00553ADB">
        <w:t>patients</w:t>
      </w:r>
      <w:r w:rsidRPr="0A99B0B1">
        <w:rPr>
          <w:rFonts w:asciiTheme="minorHAnsi" w:hAnsiTheme="minorHAnsi" w:cstheme="minorBidi"/>
          <w:lang w:val="en-GB"/>
        </w:rPr>
        <w:t>;</w:t>
      </w:r>
      <w:proofErr w:type="gramEnd"/>
    </w:p>
    <w:p w14:paraId="33CB1F66" w14:textId="5B12EFD5" w:rsidR="00F83289" w:rsidRPr="00763DFB" w:rsidRDefault="00C7766D" w:rsidP="000834AD">
      <w:pPr>
        <w:widowControl w:val="0"/>
        <w:numPr>
          <w:ilvl w:val="2"/>
          <w:numId w:val="32"/>
        </w:numPr>
        <w:spacing w:after="120"/>
        <w:rPr>
          <w:rFonts w:asciiTheme="minorHAnsi" w:hAnsiTheme="minorHAnsi" w:cstheme="minorHAnsi"/>
          <w:lang w:val="en-GB"/>
        </w:rPr>
      </w:pPr>
      <w:r w:rsidRPr="00C7766D">
        <w:rPr>
          <w:rFonts w:asciiTheme="minorHAnsi" w:hAnsiTheme="minorHAnsi" w:cstheme="minorHAnsi"/>
          <w:lang w:val="en-GB"/>
        </w:rPr>
        <w:t xml:space="preserve">It would be in the public interest for the subsequent pricing application to be progressed under Pricing Pathway </w:t>
      </w:r>
      <w:proofErr w:type="gramStart"/>
      <w:r w:rsidRPr="00C7766D">
        <w:rPr>
          <w:rFonts w:asciiTheme="minorHAnsi" w:hAnsiTheme="minorHAnsi" w:cstheme="minorHAnsi"/>
          <w:lang w:val="en-GB"/>
        </w:rPr>
        <w:t>A on the basis of</w:t>
      </w:r>
      <w:proofErr w:type="gramEnd"/>
      <w:r w:rsidRPr="00C7766D">
        <w:rPr>
          <w:rFonts w:asciiTheme="minorHAnsi" w:hAnsiTheme="minorHAnsi" w:cstheme="minorHAnsi"/>
          <w:lang w:val="en-GB"/>
        </w:rPr>
        <w:t xml:space="preserve"> the preceding findings</w:t>
      </w:r>
      <w:r w:rsidR="000834AD">
        <w:rPr>
          <w:rFonts w:asciiTheme="minorHAnsi" w:hAnsiTheme="minorHAnsi" w:cstheme="minorHAnsi"/>
          <w:lang w:val="en-GB"/>
        </w:rPr>
        <w:t>.</w:t>
      </w:r>
    </w:p>
    <w:p w14:paraId="1F222D5D" w14:textId="0D81039C" w:rsidR="00F83289" w:rsidRPr="00D46673" w:rsidRDefault="00F83289" w:rsidP="00D64416">
      <w:pPr>
        <w:pStyle w:val="COMESnumberedpara"/>
        <w:rPr>
          <w:snapToGrid w:val="0"/>
          <w:lang w:val="en-GB"/>
        </w:rPr>
      </w:pPr>
      <w:r w:rsidRPr="00525B39">
        <w:rPr>
          <w:snapToGrid w:val="0"/>
          <w:lang w:val="en-GB"/>
        </w:rPr>
        <w:t xml:space="preserve">The PBAC noted that this submission </w:t>
      </w:r>
      <w:r w:rsidR="00061065">
        <w:rPr>
          <w:snapToGrid w:val="0"/>
          <w:lang w:val="en-GB"/>
        </w:rPr>
        <w:t>is</w:t>
      </w:r>
      <w:r w:rsidRPr="00525B39">
        <w:rPr>
          <w:snapToGrid w:val="0"/>
          <w:lang w:val="en-GB"/>
        </w:rPr>
        <w:t xml:space="preserve"> not eligible for an Independent Review</w:t>
      </w:r>
      <w:r w:rsidR="00061065">
        <w:rPr>
          <w:snapToGrid w:val="0"/>
          <w:lang w:val="en-GB"/>
        </w:rPr>
        <w:t xml:space="preserve"> as it received a positive recommendation</w:t>
      </w:r>
      <w:r w:rsidRPr="00525B39">
        <w:rPr>
          <w:snapToGrid w:val="0"/>
          <w:lang w:val="en-GB"/>
        </w:rPr>
        <w:t xml:space="preserve">. </w:t>
      </w:r>
    </w:p>
    <w:p w14:paraId="7D3304F3" w14:textId="77777777" w:rsidR="00F83289" w:rsidRPr="00525B39" w:rsidRDefault="00F83289" w:rsidP="00F83289">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5EB7BA31" w14:textId="46346653" w:rsidR="00F83289" w:rsidRPr="00525B39" w:rsidRDefault="00F83289" w:rsidP="008D3989">
      <w:pPr>
        <w:contextualSpacing/>
      </w:pPr>
      <w:r w:rsidRPr="00525B39">
        <w:rPr>
          <w:rFonts w:asciiTheme="minorHAnsi" w:hAnsiTheme="minorHAnsi"/>
          <w:bCs/>
          <w:snapToGrid w:val="0"/>
          <w:lang w:val="en-GB"/>
        </w:rPr>
        <w:t>Recommended</w:t>
      </w:r>
    </w:p>
    <w:bookmarkEnd w:id="76"/>
    <w:p w14:paraId="496ED972" w14:textId="77777777" w:rsidR="00F83289" w:rsidRPr="00907671" w:rsidRDefault="00F83289" w:rsidP="00F83289">
      <w:pPr>
        <w:pStyle w:val="2-SectionHeading"/>
        <w:numPr>
          <w:ilvl w:val="0"/>
          <w:numId w:val="1"/>
        </w:numPr>
        <w:outlineLvl w:val="0"/>
      </w:pPr>
      <w:r w:rsidRPr="00907671">
        <w:t>Recommended listing</w:t>
      </w:r>
    </w:p>
    <w:p w14:paraId="7E1A58CE" w14:textId="566B0309" w:rsidR="00F83289" w:rsidRPr="00E60D11" w:rsidRDefault="00DB7E6D" w:rsidP="00E60D11">
      <w:pPr>
        <w:widowControl w:val="0"/>
        <w:numPr>
          <w:ilvl w:val="1"/>
          <w:numId w:val="1"/>
        </w:numPr>
        <w:spacing w:after="120"/>
        <w:contextualSpacing/>
        <w:rPr>
          <w:rFonts w:asciiTheme="minorHAnsi" w:hAnsiTheme="minorHAnsi"/>
          <w:b/>
          <w:bCs/>
          <w:snapToGrid w:val="0"/>
        </w:rPr>
      </w:pPr>
      <w:r w:rsidRPr="00E60D11">
        <w:rPr>
          <w:rFonts w:asciiTheme="minorHAnsi" w:hAnsiTheme="minorHAnsi"/>
          <w:bCs/>
          <w:snapToGrid w:val="0"/>
        </w:rPr>
        <w:t xml:space="preserve"> </w:t>
      </w:r>
      <w:r w:rsidR="001032CB">
        <w:rPr>
          <w:rFonts w:asciiTheme="minorHAnsi" w:hAnsiTheme="minorHAnsi"/>
          <w:bCs/>
          <w:snapToGrid w:val="0"/>
        </w:rPr>
        <w:t>Add new item</w:t>
      </w:r>
      <w:r w:rsidR="001032CB" w:rsidRPr="00E60D11">
        <w:rPr>
          <w:rFonts w:asciiTheme="minorHAnsi" w:hAnsiTheme="minorHAnsi"/>
          <w:bCs/>
          <w:snapToGrid w:val="0"/>
        </w:rPr>
        <w:t xml:space="preserve"> </w:t>
      </w:r>
      <w:r w:rsidR="00F83289" w:rsidRPr="00E60D11">
        <w:rPr>
          <w:rFonts w:asciiTheme="minorHAnsi" w:hAnsiTheme="minorHAnsi"/>
          <w:bCs/>
          <w:snapToGrid w:val="0"/>
        </w:rPr>
        <w:t>as follows:</w:t>
      </w:r>
    </w:p>
    <w:p w14:paraId="5E699B09" w14:textId="77777777" w:rsidR="00387639" w:rsidRDefault="00387639" w:rsidP="00F83289">
      <w:pPr>
        <w:jc w:val="left"/>
        <w:rPr>
          <w:rFonts w:asciiTheme="minorHAnsi" w:hAnsiTheme="minorHAnsi"/>
          <w:bCs/>
          <w:snapToGrid w:val="0"/>
        </w:rPr>
      </w:pPr>
    </w:p>
    <w:p w14:paraId="4C569C53"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 xml:space="preserve">Initial treatment: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Initial treatment: "/>
      </w:tblPr>
      <w:tblGrid>
        <w:gridCol w:w="1275"/>
        <w:gridCol w:w="2650"/>
        <w:gridCol w:w="814"/>
        <w:gridCol w:w="815"/>
        <w:gridCol w:w="814"/>
        <w:gridCol w:w="815"/>
        <w:gridCol w:w="1834"/>
      </w:tblGrid>
      <w:tr w:rsidR="00387639" w:rsidRPr="00387639" w14:paraId="4B6A2AE7" w14:textId="77777777" w:rsidTr="0A99B0B1">
        <w:trPr>
          <w:cantSplit/>
          <w:trHeight w:val="20"/>
        </w:trPr>
        <w:tc>
          <w:tcPr>
            <w:tcW w:w="3928" w:type="dxa"/>
            <w:gridSpan w:val="2"/>
            <w:tcBorders>
              <w:top w:val="single" w:sz="4" w:space="0" w:color="auto"/>
              <w:left w:val="single" w:sz="4" w:space="0" w:color="auto"/>
              <w:bottom w:val="single" w:sz="4" w:space="0" w:color="auto"/>
              <w:right w:val="single" w:sz="4" w:space="0" w:color="auto"/>
            </w:tcBorders>
            <w:vAlign w:val="center"/>
            <w:hideMark/>
          </w:tcPr>
          <w:p w14:paraId="31B8055A"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MEDICINAL PRODUCT</w:t>
            </w:r>
          </w:p>
          <w:p w14:paraId="7BB2286E"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medicinal product pack</w:t>
            </w:r>
          </w:p>
        </w:tc>
        <w:tc>
          <w:tcPr>
            <w:tcW w:w="814" w:type="dxa"/>
            <w:tcBorders>
              <w:top w:val="single" w:sz="4" w:space="0" w:color="auto"/>
              <w:left w:val="single" w:sz="4" w:space="0" w:color="auto"/>
              <w:bottom w:val="single" w:sz="4" w:space="0" w:color="auto"/>
              <w:right w:val="single" w:sz="4" w:space="0" w:color="auto"/>
            </w:tcBorders>
            <w:vAlign w:val="center"/>
            <w:hideMark/>
          </w:tcPr>
          <w:p w14:paraId="7CC602E3"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PBS item code</w:t>
            </w:r>
          </w:p>
        </w:tc>
        <w:tc>
          <w:tcPr>
            <w:tcW w:w="815" w:type="dxa"/>
            <w:tcBorders>
              <w:top w:val="single" w:sz="4" w:space="0" w:color="auto"/>
              <w:left w:val="single" w:sz="4" w:space="0" w:color="auto"/>
              <w:bottom w:val="single" w:sz="4" w:space="0" w:color="auto"/>
              <w:right w:val="single" w:sz="4" w:space="0" w:color="auto"/>
            </w:tcBorders>
            <w:vAlign w:val="center"/>
            <w:hideMark/>
          </w:tcPr>
          <w:p w14:paraId="5369B347"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Max. qty packs</w:t>
            </w:r>
          </w:p>
        </w:tc>
        <w:tc>
          <w:tcPr>
            <w:tcW w:w="814" w:type="dxa"/>
            <w:tcBorders>
              <w:top w:val="single" w:sz="4" w:space="0" w:color="auto"/>
              <w:left w:val="single" w:sz="4" w:space="0" w:color="auto"/>
              <w:bottom w:val="single" w:sz="4" w:space="0" w:color="auto"/>
              <w:right w:val="single" w:sz="4" w:space="0" w:color="auto"/>
            </w:tcBorders>
            <w:vAlign w:val="center"/>
            <w:hideMark/>
          </w:tcPr>
          <w:p w14:paraId="190F8B87"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Max. qty units</w:t>
            </w:r>
          </w:p>
        </w:tc>
        <w:tc>
          <w:tcPr>
            <w:tcW w:w="815" w:type="dxa"/>
            <w:tcBorders>
              <w:top w:val="single" w:sz="4" w:space="0" w:color="auto"/>
              <w:left w:val="single" w:sz="4" w:space="0" w:color="auto"/>
              <w:bottom w:val="single" w:sz="4" w:space="0" w:color="auto"/>
              <w:right w:val="single" w:sz="4" w:space="0" w:color="auto"/>
            </w:tcBorders>
            <w:vAlign w:val="center"/>
            <w:hideMark/>
          </w:tcPr>
          <w:p w14:paraId="046880A1"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 of</w:t>
            </w:r>
          </w:p>
          <w:p w14:paraId="381B5803" w14:textId="77777777" w:rsidR="00387639" w:rsidRPr="00387639" w:rsidRDefault="00387639" w:rsidP="00387639">
            <w:pPr>
              <w:jc w:val="left"/>
              <w:rPr>
                <w:rFonts w:ascii="Arial Narrow" w:hAnsi="Arial Narrow"/>
                <w:b/>
                <w:bCs/>
                <w:snapToGrid w:val="0"/>
                <w:sz w:val="20"/>
                <w:szCs w:val="20"/>
              </w:rPr>
            </w:pPr>
            <w:proofErr w:type="spellStart"/>
            <w:r w:rsidRPr="00387639">
              <w:rPr>
                <w:rFonts w:ascii="Arial Narrow" w:hAnsi="Arial Narrow"/>
                <w:b/>
                <w:bCs/>
                <w:snapToGrid w:val="0"/>
                <w:sz w:val="20"/>
                <w:szCs w:val="20"/>
              </w:rPr>
              <w:t>Rpts</w:t>
            </w:r>
            <w:proofErr w:type="spellEnd"/>
          </w:p>
        </w:tc>
        <w:tc>
          <w:tcPr>
            <w:tcW w:w="1835" w:type="dxa"/>
            <w:tcBorders>
              <w:top w:val="single" w:sz="4" w:space="0" w:color="auto"/>
              <w:left w:val="single" w:sz="4" w:space="0" w:color="auto"/>
              <w:bottom w:val="single" w:sz="4" w:space="0" w:color="auto"/>
              <w:right w:val="single" w:sz="4" w:space="0" w:color="auto"/>
            </w:tcBorders>
            <w:vAlign w:val="center"/>
            <w:hideMark/>
          </w:tcPr>
          <w:p w14:paraId="0C0C356C" w14:textId="77777777" w:rsidR="00387639" w:rsidRPr="00387639" w:rsidRDefault="00387639" w:rsidP="00387639">
            <w:pPr>
              <w:jc w:val="left"/>
              <w:rPr>
                <w:rFonts w:ascii="Arial Narrow" w:hAnsi="Arial Narrow"/>
                <w:b/>
                <w:bCs/>
                <w:snapToGrid w:val="0"/>
                <w:sz w:val="20"/>
                <w:szCs w:val="20"/>
                <w:lang w:val="fr-FR"/>
              </w:rPr>
            </w:pPr>
            <w:r w:rsidRPr="00387639">
              <w:rPr>
                <w:rFonts w:ascii="Arial Narrow" w:hAnsi="Arial Narrow"/>
                <w:b/>
                <w:bCs/>
                <w:snapToGrid w:val="0"/>
                <w:sz w:val="20"/>
                <w:szCs w:val="20"/>
              </w:rPr>
              <w:t>Available brands</w:t>
            </w:r>
          </w:p>
        </w:tc>
      </w:tr>
      <w:tr w:rsidR="00387639" w:rsidRPr="00387639" w14:paraId="75B9AA46" w14:textId="77777777" w:rsidTr="0A99B0B1">
        <w:trPr>
          <w:cantSplit/>
          <w:trHeight w:val="277"/>
        </w:trPr>
        <w:tc>
          <w:tcPr>
            <w:tcW w:w="9021" w:type="dxa"/>
            <w:gridSpan w:val="7"/>
            <w:tcBorders>
              <w:top w:val="single" w:sz="4" w:space="0" w:color="auto"/>
              <w:left w:val="single" w:sz="4" w:space="0" w:color="auto"/>
              <w:bottom w:val="single" w:sz="4" w:space="0" w:color="auto"/>
              <w:right w:val="single" w:sz="4" w:space="0" w:color="auto"/>
            </w:tcBorders>
            <w:vAlign w:val="center"/>
            <w:hideMark/>
          </w:tcPr>
          <w:p w14:paraId="42FCC260"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SEMAGLUTIDE</w:t>
            </w:r>
          </w:p>
        </w:tc>
      </w:tr>
      <w:tr w:rsidR="00387639" w:rsidRPr="00387639" w14:paraId="5685598D" w14:textId="77777777" w:rsidTr="0A99B0B1">
        <w:trPr>
          <w:cantSplit/>
          <w:trHeight w:val="411"/>
        </w:trPr>
        <w:tc>
          <w:tcPr>
            <w:tcW w:w="3928" w:type="dxa"/>
            <w:gridSpan w:val="2"/>
            <w:tcBorders>
              <w:top w:val="single" w:sz="4" w:space="0" w:color="auto"/>
              <w:left w:val="single" w:sz="4" w:space="0" w:color="auto"/>
              <w:bottom w:val="single" w:sz="4" w:space="0" w:color="auto"/>
              <w:right w:val="single" w:sz="4" w:space="0" w:color="auto"/>
            </w:tcBorders>
            <w:vAlign w:val="center"/>
            <w:hideMark/>
          </w:tcPr>
          <w:p w14:paraId="6EC6319E" w14:textId="77777777" w:rsidR="00387639" w:rsidRPr="005F3F95" w:rsidRDefault="00387639" w:rsidP="00387639">
            <w:pPr>
              <w:jc w:val="left"/>
              <w:rPr>
                <w:rFonts w:ascii="Arial Narrow" w:hAnsi="Arial Narrow"/>
                <w:snapToGrid w:val="0"/>
                <w:sz w:val="20"/>
                <w:szCs w:val="20"/>
                <w:lang w:val="fr-FR"/>
              </w:rPr>
            </w:pPr>
            <w:proofErr w:type="spellStart"/>
            <w:proofErr w:type="gramStart"/>
            <w:r w:rsidRPr="005F3F95">
              <w:rPr>
                <w:rFonts w:ascii="Arial Narrow" w:hAnsi="Arial Narrow"/>
                <w:snapToGrid w:val="0"/>
                <w:sz w:val="20"/>
                <w:szCs w:val="20"/>
                <w:lang w:val="fr-FR"/>
              </w:rPr>
              <w:t>semaglutide</w:t>
            </w:r>
            <w:proofErr w:type="spellEnd"/>
            <w:proofErr w:type="gramEnd"/>
            <w:r w:rsidRPr="005F3F95">
              <w:rPr>
                <w:rFonts w:ascii="Arial Narrow" w:hAnsi="Arial Narrow"/>
                <w:snapToGrid w:val="0"/>
                <w:sz w:val="20"/>
                <w:szCs w:val="20"/>
                <w:lang w:val="fr-FR"/>
              </w:rPr>
              <w:t xml:space="preserve"> 0.25 mg/0.5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injection, 4 x 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pen</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devices</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446A73B5"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New</w:t>
            </w:r>
          </w:p>
        </w:tc>
        <w:tc>
          <w:tcPr>
            <w:tcW w:w="815" w:type="dxa"/>
            <w:tcBorders>
              <w:top w:val="single" w:sz="4" w:space="0" w:color="auto"/>
              <w:left w:val="single" w:sz="4" w:space="0" w:color="auto"/>
              <w:bottom w:val="single" w:sz="4" w:space="0" w:color="auto"/>
              <w:right w:val="single" w:sz="4" w:space="0" w:color="auto"/>
            </w:tcBorders>
            <w:vAlign w:val="center"/>
            <w:hideMark/>
          </w:tcPr>
          <w:p w14:paraId="42E5C397"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038D53B9"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4</w:t>
            </w:r>
          </w:p>
        </w:tc>
        <w:tc>
          <w:tcPr>
            <w:tcW w:w="815" w:type="dxa"/>
            <w:tcBorders>
              <w:top w:val="single" w:sz="4" w:space="0" w:color="auto"/>
              <w:left w:val="single" w:sz="4" w:space="0" w:color="auto"/>
              <w:bottom w:val="single" w:sz="4" w:space="0" w:color="auto"/>
              <w:right w:val="single" w:sz="4" w:space="0" w:color="auto"/>
            </w:tcBorders>
            <w:vAlign w:val="center"/>
            <w:hideMark/>
          </w:tcPr>
          <w:p w14:paraId="5FD187D8"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0</w:t>
            </w:r>
          </w:p>
        </w:tc>
        <w:tc>
          <w:tcPr>
            <w:tcW w:w="1835" w:type="dxa"/>
            <w:vMerge w:val="restart"/>
            <w:tcBorders>
              <w:top w:val="single" w:sz="4" w:space="0" w:color="auto"/>
              <w:left w:val="single" w:sz="4" w:space="0" w:color="auto"/>
              <w:bottom w:val="single" w:sz="4" w:space="0" w:color="auto"/>
              <w:right w:val="single" w:sz="4" w:space="0" w:color="auto"/>
            </w:tcBorders>
            <w:vAlign w:val="center"/>
            <w:hideMark/>
          </w:tcPr>
          <w:p w14:paraId="045546AF"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Wegovy</w:t>
            </w:r>
          </w:p>
        </w:tc>
      </w:tr>
      <w:tr w:rsidR="00387639" w:rsidRPr="00387639" w14:paraId="58402615" w14:textId="77777777" w:rsidTr="0A99B0B1">
        <w:trPr>
          <w:cantSplit/>
          <w:trHeight w:val="20"/>
        </w:trPr>
        <w:tc>
          <w:tcPr>
            <w:tcW w:w="3928" w:type="dxa"/>
            <w:gridSpan w:val="2"/>
            <w:tcBorders>
              <w:top w:val="single" w:sz="4" w:space="0" w:color="auto"/>
              <w:left w:val="single" w:sz="4" w:space="0" w:color="auto"/>
              <w:bottom w:val="single" w:sz="4" w:space="0" w:color="auto"/>
              <w:right w:val="single" w:sz="4" w:space="0" w:color="auto"/>
            </w:tcBorders>
            <w:vAlign w:val="center"/>
            <w:hideMark/>
          </w:tcPr>
          <w:p w14:paraId="54C955FB" w14:textId="77777777" w:rsidR="00387639" w:rsidRPr="005F3F95" w:rsidRDefault="00387639" w:rsidP="00387639">
            <w:pPr>
              <w:jc w:val="left"/>
              <w:rPr>
                <w:rFonts w:ascii="Arial Narrow" w:hAnsi="Arial Narrow"/>
                <w:snapToGrid w:val="0"/>
                <w:sz w:val="20"/>
                <w:szCs w:val="20"/>
                <w:lang w:val="fr-FR"/>
              </w:rPr>
            </w:pPr>
            <w:proofErr w:type="spellStart"/>
            <w:proofErr w:type="gramStart"/>
            <w:r w:rsidRPr="005F3F95">
              <w:rPr>
                <w:rFonts w:ascii="Arial Narrow" w:hAnsi="Arial Narrow"/>
                <w:snapToGrid w:val="0"/>
                <w:sz w:val="20"/>
                <w:szCs w:val="20"/>
                <w:lang w:val="fr-FR"/>
              </w:rPr>
              <w:t>semaglutide</w:t>
            </w:r>
            <w:proofErr w:type="spellEnd"/>
            <w:proofErr w:type="gramEnd"/>
            <w:r w:rsidRPr="005F3F95">
              <w:rPr>
                <w:rFonts w:ascii="Arial Narrow" w:hAnsi="Arial Narrow"/>
                <w:snapToGrid w:val="0"/>
                <w:sz w:val="20"/>
                <w:szCs w:val="20"/>
                <w:lang w:val="fr-FR"/>
              </w:rPr>
              <w:t xml:space="preserve"> 0.5 mg/0.5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injection, 4 x 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pen</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devices</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4AF45D44"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New</w:t>
            </w:r>
          </w:p>
        </w:tc>
        <w:tc>
          <w:tcPr>
            <w:tcW w:w="815" w:type="dxa"/>
            <w:tcBorders>
              <w:top w:val="single" w:sz="4" w:space="0" w:color="auto"/>
              <w:left w:val="single" w:sz="4" w:space="0" w:color="auto"/>
              <w:bottom w:val="single" w:sz="4" w:space="0" w:color="auto"/>
              <w:right w:val="single" w:sz="4" w:space="0" w:color="auto"/>
            </w:tcBorders>
            <w:vAlign w:val="center"/>
            <w:hideMark/>
          </w:tcPr>
          <w:p w14:paraId="1BAAE6CD"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06650BEF"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4</w:t>
            </w:r>
          </w:p>
        </w:tc>
        <w:tc>
          <w:tcPr>
            <w:tcW w:w="815" w:type="dxa"/>
            <w:tcBorders>
              <w:top w:val="single" w:sz="4" w:space="0" w:color="auto"/>
              <w:left w:val="single" w:sz="4" w:space="0" w:color="auto"/>
              <w:bottom w:val="single" w:sz="4" w:space="0" w:color="auto"/>
              <w:right w:val="single" w:sz="4" w:space="0" w:color="auto"/>
            </w:tcBorders>
            <w:vAlign w:val="center"/>
            <w:hideMark/>
          </w:tcPr>
          <w:p w14:paraId="6D8791E9"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 xml:space="preserve">0 </w:t>
            </w:r>
          </w:p>
        </w:tc>
        <w:tc>
          <w:tcPr>
            <w:tcW w:w="1835" w:type="dxa"/>
            <w:vMerge/>
            <w:vAlign w:val="center"/>
            <w:hideMark/>
          </w:tcPr>
          <w:p w14:paraId="04F5796E" w14:textId="77777777" w:rsidR="00387639" w:rsidRPr="00387639" w:rsidRDefault="00387639" w:rsidP="00387639">
            <w:pPr>
              <w:jc w:val="left"/>
              <w:rPr>
                <w:rFonts w:ascii="Arial Narrow" w:hAnsi="Arial Narrow"/>
                <w:bCs/>
                <w:snapToGrid w:val="0"/>
                <w:sz w:val="20"/>
                <w:szCs w:val="20"/>
              </w:rPr>
            </w:pPr>
          </w:p>
        </w:tc>
      </w:tr>
      <w:tr w:rsidR="00387639" w:rsidRPr="00387639" w14:paraId="7DCA96E6" w14:textId="77777777" w:rsidTr="0A99B0B1">
        <w:trPr>
          <w:cantSplit/>
          <w:trHeight w:val="20"/>
        </w:trPr>
        <w:tc>
          <w:tcPr>
            <w:tcW w:w="3928" w:type="dxa"/>
            <w:gridSpan w:val="2"/>
            <w:tcBorders>
              <w:top w:val="single" w:sz="4" w:space="0" w:color="auto"/>
              <w:left w:val="single" w:sz="4" w:space="0" w:color="auto"/>
              <w:bottom w:val="single" w:sz="4" w:space="0" w:color="auto"/>
              <w:right w:val="single" w:sz="4" w:space="0" w:color="auto"/>
            </w:tcBorders>
            <w:vAlign w:val="center"/>
            <w:hideMark/>
          </w:tcPr>
          <w:p w14:paraId="3001EB84" w14:textId="77777777" w:rsidR="00387639" w:rsidRPr="005F3F95" w:rsidRDefault="00387639" w:rsidP="00387639">
            <w:pPr>
              <w:jc w:val="left"/>
              <w:rPr>
                <w:rFonts w:ascii="Arial Narrow" w:hAnsi="Arial Narrow"/>
                <w:snapToGrid w:val="0"/>
                <w:sz w:val="20"/>
                <w:szCs w:val="20"/>
                <w:lang w:val="fr-FR"/>
              </w:rPr>
            </w:pPr>
            <w:proofErr w:type="spellStart"/>
            <w:proofErr w:type="gramStart"/>
            <w:r w:rsidRPr="005F3F95">
              <w:rPr>
                <w:rFonts w:ascii="Arial Narrow" w:hAnsi="Arial Narrow"/>
                <w:snapToGrid w:val="0"/>
                <w:sz w:val="20"/>
                <w:szCs w:val="20"/>
                <w:lang w:val="fr-FR"/>
              </w:rPr>
              <w:t>semaglutide</w:t>
            </w:r>
            <w:proofErr w:type="spellEnd"/>
            <w:proofErr w:type="gramEnd"/>
            <w:r w:rsidRPr="005F3F95">
              <w:rPr>
                <w:rFonts w:ascii="Arial Narrow" w:hAnsi="Arial Narrow"/>
                <w:snapToGrid w:val="0"/>
                <w:sz w:val="20"/>
                <w:szCs w:val="20"/>
                <w:lang w:val="fr-FR"/>
              </w:rPr>
              <w:t xml:space="preserve"> 1 mg/0.5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injection, 4 x 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pen</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devices</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54B4F268"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New</w:t>
            </w:r>
          </w:p>
        </w:tc>
        <w:tc>
          <w:tcPr>
            <w:tcW w:w="815" w:type="dxa"/>
            <w:tcBorders>
              <w:top w:val="single" w:sz="4" w:space="0" w:color="auto"/>
              <w:left w:val="single" w:sz="4" w:space="0" w:color="auto"/>
              <w:bottom w:val="single" w:sz="4" w:space="0" w:color="auto"/>
              <w:right w:val="single" w:sz="4" w:space="0" w:color="auto"/>
            </w:tcBorders>
            <w:vAlign w:val="center"/>
            <w:hideMark/>
          </w:tcPr>
          <w:p w14:paraId="3CC45640"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532DA041"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4</w:t>
            </w:r>
          </w:p>
        </w:tc>
        <w:tc>
          <w:tcPr>
            <w:tcW w:w="815" w:type="dxa"/>
            <w:tcBorders>
              <w:top w:val="single" w:sz="4" w:space="0" w:color="auto"/>
              <w:left w:val="single" w:sz="4" w:space="0" w:color="auto"/>
              <w:bottom w:val="single" w:sz="4" w:space="0" w:color="auto"/>
              <w:right w:val="single" w:sz="4" w:space="0" w:color="auto"/>
            </w:tcBorders>
            <w:vAlign w:val="center"/>
            <w:hideMark/>
          </w:tcPr>
          <w:p w14:paraId="1869B0A3"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0</w:t>
            </w:r>
          </w:p>
        </w:tc>
        <w:tc>
          <w:tcPr>
            <w:tcW w:w="1835" w:type="dxa"/>
            <w:vMerge/>
            <w:vAlign w:val="center"/>
            <w:hideMark/>
          </w:tcPr>
          <w:p w14:paraId="29AA1A95" w14:textId="77777777" w:rsidR="00387639" w:rsidRPr="00387639" w:rsidRDefault="00387639" w:rsidP="00387639">
            <w:pPr>
              <w:jc w:val="left"/>
              <w:rPr>
                <w:rFonts w:ascii="Arial Narrow" w:hAnsi="Arial Narrow"/>
                <w:bCs/>
                <w:snapToGrid w:val="0"/>
                <w:sz w:val="20"/>
                <w:szCs w:val="20"/>
              </w:rPr>
            </w:pPr>
          </w:p>
        </w:tc>
      </w:tr>
      <w:tr w:rsidR="00387639" w:rsidRPr="00387639" w14:paraId="385CD442" w14:textId="77777777" w:rsidTr="0A99B0B1">
        <w:trPr>
          <w:cantSplit/>
          <w:trHeight w:val="20"/>
        </w:trPr>
        <w:tc>
          <w:tcPr>
            <w:tcW w:w="3928" w:type="dxa"/>
            <w:gridSpan w:val="2"/>
            <w:tcBorders>
              <w:top w:val="single" w:sz="4" w:space="0" w:color="auto"/>
              <w:left w:val="single" w:sz="4" w:space="0" w:color="auto"/>
              <w:bottom w:val="single" w:sz="4" w:space="0" w:color="auto"/>
              <w:right w:val="single" w:sz="4" w:space="0" w:color="auto"/>
            </w:tcBorders>
            <w:vAlign w:val="center"/>
            <w:hideMark/>
          </w:tcPr>
          <w:p w14:paraId="600BEE6A" w14:textId="77777777" w:rsidR="00387639" w:rsidRPr="005F3F95" w:rsidRDefault="00387639" w:rsidP="00387639">
            <w:pPr>
              <w:jc w:val="left"/>
              <w:rPr>
                <w:rFonts w:ascii="Arial Narrow" w:hAnsi="Arial Narrow"/>
                <w:snapToGrid w:val="0"/>
                <w:sz w:val="20"/>
                <w:szCs w:val="20"/>
                <w:lang w:val="fr-FR"/>
              </w:rPr>
            </w:pPr>
            <w:proofErr w:type="spellStart"/>
            <w:proofErr w:type="gramStart"/>
            <w:r w:rsidRPr="005F3F95">
              <w:rPr>
                <w:rFonts w:ascii="Arial Narrow" w:hAnsi="Arial Narrow"/>
                <w:snapToGrid w:val="0"/>
                <w:sz w:val="20"/>
                <w:szCs w:val="20"/>
                <w:lang w:val="fr-FR"/>
              </w:rPr>
              <w:t>semaglutide</w:t>
            </w:r>
            <w:proofErr w:type="spellEnd"/>
            <w:proofErr w:type="gramEnd"/>
            <w:r w:rsidRPr="005F3F95">
              <w:rPr>
                <w:rFonts w:ascii="Arial Narrow" w:hAnsi="Arial Narrow"/>
                <w:snapToGrid w:val="0"/>
                <w:sz w:val="20"/>
                <w:szCs w:val="20"/>
                <w:lang w:val="fr-FR"/>
              </w:rPr>
              <w:t xml:space="preserve"> 1.7 mg/0.75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injection, 4 x 0.75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pen</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devices</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44C631E6"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New</w:t>
            </w:r>
          </w:p>
        </w:tc>
        <w:tc>
          <w:tcPr>
            <w:tcW w:w="815" w:type="dxa"/>
            <w:tcBorders>
              <w:top w:val="single" w:sz="4" w:space="0" w:color="auto"/>
              <w:left w:val="single" w:sz="4" w:space="0" w:color="auto"/>
              <w:bottom w:val="single" w:sz="4" w:space="0" w:color="auto"/>
              <w:right w:val="single" w:sz="4" w:space="0" w:color="auto"/>
            </w:tcBorders>
            <w:vAlign w:val="center"/>
            <w:hideMark/>
          </w:tcPr>
          <w:p w14:paraId="027512C9"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605E4E68"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4</w:t>
            </w:r>
          </w:p>
        </w:tc>
        <w:tc>
          <w:tcPr>
            <w:tcW w:w="815" w:type="dxa"/>
            <w:tcBorders>
              <w:top w:val="single" w:sz="4" w:space="0" w:color="auto"/>
              <w:left w:val="single" w:sz="4" w:space="0" w:color="auto"/>
              <w:bottom w:val="single" w:sz="4" w:space="0" w:color="auto"/>
              <w:right w:val="single" w:sz="4" w:space="0" w:color="auto"/>
            </w:tcBorders>
            <w:vAlign w:val="center"/>
            <w:hideMark/>
          </w:tcPr>
          <w:p w14:paraId="1CF2DE20"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 xml:space="preserve">0 </w:t>
            </w:r>
          </w:p>
        </w:tc>
        <w:tc>
          <w:tcPr>
            <w:tcW w:w="1835" w:type="dxa"/>
            <w:vMerge/>
            <w:vAlign w:val="center"/>
            <w:hideMark/>
          </w:tcPr>
          <w:p w14:paraId="2C404326" w14:textId="77777777" w:rsidR="00387639" w:rsidRPr="00387639" w:rsidRDefault="00387639" w:rsidP="00387639">
            <w:pPr>
              <w:jc w:val="left"/>
              <w:rPr>
                <w:rFonts w:ascii="Arial Narrow" w:hAnsi="Arial Narrow"/>
                <w:bCs/>
                <w:snapToGrid w:val="0"/>
                <w:sz w:val="20"/>
                <w:szCs w:val="20"/>
              </w:rPr>
            </w:pPr>
          </w:p>
        </w:tc>
      </w:tr>
      <w:tr w:rsidR="00387639" w:rsidRPr="00387639" w14:paraId="4761E66B" w14:textId="77777777" w:rsidTr="0A99B0B1">
        <w:trPr>
          <w:trHeight w:val="20"/>
        </w:trPr>
        <w:tc>
          <w:tcPr>
            <w:tcW w:w="9021"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C47BE71" w14:textId="77777777" w:rsidR="00387639" w:rsidRPr="00387639" w:rsidRDefault="00387639" w:rsidP="00387639">
            <w:pPr>
              <w:jc w:val="left"/>
              <w:rPr>
                <w:rFonts w:ascii="Arial Narrow" w:hAnsi="Arial Narrow"/>
                <w:bCs/>
                <w:snapToGrid w:val="0"/>
                <w:sz w:val="20"/>
                <w:szCs w:val="20"/>
              </w:rPr>
            </w:pPr>
          </w:p>
        </w:tc>
      </w:tr>
      <w:tr w:rsidR="00387639" w:rsidRPr="00387639" w14:paraId="29D8338F" w14:textId="77777777" w:rsidTr="0A99B0B1">
        <w:trPr>
          <w:trHeight w:val="20"/>
        </w:trPr>
        <w:tc>
          <w:tcPr>
            <w:tcW w:w="9021"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1D169E5"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 xml:space="preserve">Restriction Summary [new 1] / Treatment of Concept: [new 1A] </w:t>
            </w:r>
          </w:p>
        </w:tc>
      </w:tr>
      <w:tr w:rsidR="00387639" w:rsidRPr="00387639" w14:paraId="173DFEB5" w14:textId="77777777" w:rsidTr="0A99B0B1">
        <w:trPr>
          <w:trHeight w:val="20"/>
        </w:trPr>
        <w:tc>
          <w:tcPr>
            <w:tcW w:w="1277"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63EC5B8"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 xml:space="preserve">Concept ID </w:t>
            </w:r>
            <w:r w:rsidRPr="00387639">
              <w:rPr>
                <w:rFonts w:ascii="Arial Narrow" w:hAnsi="Arial Narrow"/>
                <w:bCs/>
                <w:snapToGrid w:val="0"/>
                <w:sz w:val="20"/>
                <w:szCs w:val="20"/>
              </w:rPr>
              <w:t>(for internal Dept. use)</w:t>
            </w: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1341CB5"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
                <w:bCs/>
                <w:snapToGrid w:val="0"/>
                <w:sz w:val="20"/>
                <w:szCs w:val="20"/>
              </w:rPr>
              <w:t xml:space="preserve">Category / Program: </w:t>
            </w:r>
            <w:r w:rsidRPr="00387639">
              <w:rPr>
                <w:rFonts w:ascii="Arial Narrow" w:hAnsi="Arial Narrow"/>
                <w:bCs/>
                <w:snapToGrid w:val="0"/>
                <w:sz w:val="20"/>
                <w:szCs w:val="20"/>
              </w:rPr>
              <w:t xml:space="preserve">GENERAL – General Schedule (Code GE) </w:t>
            </w:r>
          </w:p>
        </w:tc>
      </w:tr>
      <w:tr w:rsidR="00387639" w:rsidRPr="00387639" w14:paraId="44541E55" w14:textId="77777777" w:rsidTr="0A99B0B1">
        <w:trPr>
          <w:trHeight w:val="20"/>
        </w:trPr>
        <w:tc>
          <w:tcPr>
            <w:tcW w:w="9021" w:type="dxa"/>
            <w:vMerge/>
            <w:vAlign w:val="center"/>
            <w:hideMark/>
          </w:tcPr>
          <w:p w14:paraId="40612D03" w14:textId="77777777" w:rsidR="00387639" w:rsidRPr="00387639" w:rsidRDefault="00387639" w:rsidP="00387639">
            <w:pPr>
              <w:jc w:val="left"/>
              <w:rPr>
                <w:rFonts w:ascii="Arial Narrow" w:hAnsi="Arial Narrow"/>
                <w:b/>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089BF6"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 xml:space="preserve">Prescriber type: </w:t>
            </w:r>
            <w:r w:rsidRPr="00387639">
              <w:rPr>
                <w:rFonts w:ascii="Arial Narrow" w:hAnsi="Arial Narrow"/>
                <w:bCs/>
                <w:snapToGrid w:val="0"/>
                <w:sz w:val="20"/>
                <w:szCs w:val="20"/>
              </w:rPr>
              <w:fldChar w:fldCharType="begin">
                <w:ffData>
                  <w:name w:val=""/>
                  <w:enabled/>
                  <w:calcOnExit w:val="0"/>
                  <w:checkBox>
                    <w:sizeAuto/>
                    <w:default w:val="1"/>
                  </w:checkBox>
                </w:ffData>
              </w:fldChar>
            </w:r>
            <w:r w:rsidRPr="00387639">
              <w:rPr>
                <w:rFonts w:ascii="Arial Narrow" w:hAnsi="Arial Narrow"/>
                <w:bCs/>
                <w:snapToGrid w:val="0"/>
                <w:sz w:val="20"/>
                <w:szCs w:val="20"/>
              </w:rPr>
              <w:instrText xml:space="preserve"> FORMCHECKBOX </w:instrText>
            </w:r>
            <w:r w:rsidRPr="00387639">
              <w:rPr>
                <w:rFonts w:ascii="Arial Narrow" w:hAnsi="Arial Narrow"/>
                <w:bCs/>
                <w:snapToGrid w:val="0"/>
                <w:sz w:val="20"/>
                <w:szCs w:val="20"/>
              </w:rPr>
            </w:r>
            <w:r w:rsidRPr="00387639">
              <w:rPr>
                <w:rFonts w:ascii="Arial Narrow" w:hAnsi="Arial Narrow"/>
                <w:bCs/>
                <w:snapToGrid w:val="0"/>
                <w:sz w:val="20"/>
                <w:szCs w:val="20"/>
              </w:rPr>
              <w:fldChar w:fldCharType="separate"/>
            </w:r>
            <w:r w:rsidRPr="00387639">
              <w:rPr>
                <w:rFonts w:ascii="Arial Narrow" w:hAnsi="Arial Narrow"/>
                <w:bCs/>
                <w:snapToGrid w:val="0"/>
                <w:sz w:val="20"/>
                <w:szCs w:val="20"/>
              </w:rPr>
              <w:fldChar w:fldCharType="end"/>
            </w:r>
            <w:r w:rsidRPr="00387639">
              <w:rPr>
                <w:rFonts w:ascii="Arial Narrow" w:hAnsi="Arial Narrow"/>
                <w:bCs/>
                <w:snapToGrid w:val="0"/>
                <w:sz w:val="20"/>
                <w:szCs w:val="20"/>
              </w:rPr>
              <w:t xml:space="preserve">Medical Practitioners </w:t>
            </w:r>
          </w:p>
        </w:tc>
      </w:tr>
      <w:tr w:rsidR="00387639" w:rsidRPr="00387639" w14:paraId="7E9D0DD0" w14:textId="77777777" w:rsidTr="0A99B0B1">
        <w:trPr>
          <w:trHeight w:val="20"/>
        </w:trPr>
        <w:tc>
          <w:tcPr>
            <w:tcW w:w="9021" w:type="dxa"/>
            <w:vMerge/>
            <w:vAlign w:val="center"/>
            <w:hideMark/>
          </w:tcPr>
          <w:p w14:paraId="6A1C875B" w14:textId="77777777" w:rsidR="00387639" w:rsidRPr="00387639" w:rsidRDefault="00387639" w:rsidP="00387639">
            <w:pPr>
              <w:jc w:val="left"/>
              <w:rPr>
                <w:rFonts w:ascii="Arial Narrow" w:hAnsi="Arial Narrow"/>
                <w:b/>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3819E26"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
                <w:bCs/>
                <w:snapToGrid w:val="0"/>
                <w:sz w:val="20"/>
                <w:szCs w:val="20"/>
              </w:rPr>
              <w:t xml:space="preserve">Restriction type: </w:t>
            </w:r>
            <w:r w:rsidRPr="00387639">
              <w:rPr>
                <w:rFonts w:ascii="Arial Narrow" w:hAnsi="Arial Narrow"/>
                <w:bCs/>
                <w:snapToGrid w:val="0"/>
                <w:sz w:val="20"/>
                <w:szCs w:val="20"/>
              </w:rPr>
              <w:fldChar w:fldCharType="begin">
                <w:ffData>
                  <w:name w:val=""/>
                  <w:enabled/>
                  <w:calcOnExit w:val="0"/>
                  <w:checkBox>
                    <w:sizeAuto/>
                    <w:default w:val="1"/>
                  </w:checkBox>
                </w:ffData>
              </w:fldChar>
            </w:r>
            <w:r w:rsidRPr="00387639">
              <w:rPr>
                <w:rFonts w:ascii="Arial Narrow" w:hAnsi="Arial Narrow"/>
                <w:bCs/>
                <w:snapToGrid w:val="0"/>
                <w:sz w:val="20"/>
                <w:szCs w:val="20"/>
              </w:rPr>
              <w:instrText xml:space="preserve"> FORMCHECKBOX </w:instrText>
            </w:r>
            <w:r w:rsidRPr="00387639">
              <w:rPr>
                <w:rFonts w:ascii="Arial Narrow" w:hAnsi="Arial Narrow"/>
                <w:bCs/>
                <w:snapToGrid w:val="0"/>
                <w:sz w:val="20"/>
                <w:szCs w:val="20"/>
              </w:rPr>
            </w:r>
            <w:r w:rsidRPr="00387639">
              <w:rPr>
                <w:rFonts w:ascii="Arial Narrow" w:hAnsi="Arial Narrow"/>
                <w:bCs/>
                <w:snapToGrid w:val="0"/>
                <w:sz w:val="20"/>
                <w:szCs w:val="20"/>
              </w:rPr>
              <w:fldChar w:fldCharType="separate"/>
            </w:r>
            <w:r w:rsidRPr="00387639">
              <w:rPr>
                <w:rFonts w:ascii="Arial Narrow" w:hAnsi="Arial Narrow"/>
                <w:bCs/>
                <w:snapToGrid w:val="0"/>
                <w:sz w:val="20"/>
                <w:szCs w:val="20"/>
              </w:rPr>
              <w:fldChar w:fldCharType="end"/>
            </w:r>
            <w:r w:rsidRPr="00387639">
              <w:rPr>
                <w:rFonts w:ascii="Arial Narrow" w:hAnsi="Arial Narrow"/>
                <w:bCs/>
                <w:snapToGrid w:val="0"/>
                <w:sz w:val="20"/>
                <w:szCs w:val="20"/>
              </w:rPr>
              <w:t xml:space="preserve">Authority Required (telephone/online PBS Authorities system) </w:t>
            </w:r>
          </w:p>
        </w:tc>
      </w:tr>
      <w:tr w:rsidR="00387639" w:rsidRPr="00387639" w14:paraId="2B2167CE" w14:textId="77777777" w:rsidTr="0A99B0B1">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6A27E7FC" w14:textId="77777777"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7FB9F77"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 xml:space="preserve">Prescribing rule level:  </w:t>
            </w:r>
          </w:p>
        </w:tc>
      </w:tr>
      <w:tr w:rsidR="00387639" w:rsidRPr="00387639" w14:paraId="67F19A2C" w14:textId="77777777" w:rsidTr="00C66ECB">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B981FEE" w14:textId="3279AF86"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60DBBFC"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 xml:space="preserve">Administrative Advice: </w:t>
            </w:r>
            <w:r w:rsidRPr="00387639">
              <w:rPr>
                <w:rFonts w:ascii="Arial Narrow" w:hAnsi="Arial Narrow"/>
                <w:bCs/>
                <w:snapToGrid w:val="0"/>
                <w:sz w:val="20"/>
                <w:szCs w:val="20"/>
              </w:rPr>
              <w:t>No increase in the maximum quantity or number of units may be authorised.</w:t>
            </w:r>
          </w:p>
        </w:tc>
      </w:tr>
      <w:tr w:rsidR="00387639" w:rsidRPr="00387639" w14:paraId="4C04F6D8" w14:textId="77777777" w:rsidTr="00C66ECB">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AB46BD7" w14:textId="5F8EAB67"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699F97D"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 xml:space="preserve">Administrative Advice: </w:t>
            </w:r>
            <w:r w:rsidRPr="00387639">
              <w:rPr>
                <w:rFonts w:ascii="Arial Narrow" w:hAnsi="Arial Narrow"/>
                <w:bCs/>
                <w:snapToGrid w:val="0"/>
                <w:sz w:val="20"/>
                <w:szCs w:val="20"/>
              </w:rPr>
              <w:t>Special Pricing Arrangements apply.</w:t>
            </w:r>
          </w:p>
        </w:tc>
      </w:tr>
      <w:tr w:rsidR="00387639" w:rsidRPr="00387639" w14:paraId="5ED34A7B" w14:textId="77777777" w:rsidTr="00C66ECB">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57E8C6A" w14:textId="21537055"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2DDB772"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 xml:space="preserve">Administrative Advice: </w:t>
            </w:r>
            <w:r w:rsidRPr="00387639">
              <w:rPr>
                <w:rFonts w:ascii="Arial Narrow" w:hAnsi="Arial Narrow"/>
                <w:bCs/>
                <w:snapToGrid w:val="0"/>
                <w:sz w:val="20"/>
                <w:szCs w:val="20"/>
              </w:rPr>
              <w:t>Applications for authorisation under this restriction may be made in real time using the Online PBS Authorities system (see www.servicesaustralia.gov.au/HPOS) or by telephone by contacting Services Australia on 1800 888 333.</w:t>
            </w:r>
          </w:p>
        </w:tc>
      </w:tr>
      <w:tr w:rsidR="00387639" w:rsidRPr="00387639" w14:paraId="5D80474E" w14:textId="77777777" w:rsidTr="00C66ECB">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DD481E" w14:textId="19093A0F"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6249545"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 xml:space="preserve">Administrative Advice: </w:t>
            </w:r>
          </w:p>
          <w:p w14:paraId="047F40FA"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Abbreviations used in the restriction are as follows:</w:t>
            </w:r>
          </w:p>
          <w:p w14:paraId="20EC602F"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DPP4 - dipeptidyl peptidase-4 inhibitor (drug names ending in 'gliptin')</w:t>
            </w:r>
          </w:p>
          <w:p w14:paraId="2732A8BE"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GLP-1 - glucagon-like peptide-1 receptor agonist</w:t>
            </w:r>
          </w:p>
        </w:tc>
      </w:tr>
      <w:tr w:rsidR="00387639" w:rsidRPr="00387639" w14:paraId="5404E4FE" w14:textId="77777777" w:rsidTr="00C66ECB">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D3C63B7" w14:textId="12050860"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0CA17EE"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
                <w:bCs/>
                <w:snapToGrid w:val="0"/>
                <w:sz w:val="20"/>
                <w:szCs w:val="20"/>
              </w:rPr>
              <w:t>Indication:</w:t>
            </w:r>
            <w:r w:rsidRPr="00387639">
              <w:rPr>
                <w:rFonts w:ascii="Arial Narrow" w:hAnsi="Arial Narrow"/>
                <w:bCs/>
                <w:snapToGrid w:val="0"/>
                <w:sz w:val="20"/>
                <w:szCs w:val="20"/>
              </w:rPr>
              <w:t xml:space="preserve"> Established atherosclerotic cardiovascular disease (</w:t>
            </w:r>
            <w:proofErr w:type="spellStart"/>
            <w:r w:rsidRPr="00387639">
              <w:rPr>
                <w:rFonts w:ascii="Arial Narrow" w:hAnsi="Arial Narrow"/>
                <w:bCs/>
                <w:snapToGrid w:val="0"/>
                <w:sz w:val="20"/>
                <w:szCs w:val="20"/>
              </w:rPr>
              <w:t>eASCVD</w:t>
            </w:r>
            <w:proofErr w:type="spellEnd"/>
            <w:r w:rsidRPr="00387639">
              <w:rPr>
                <w:rFonts w:ascii="Arial Narrow" w:hAnsi="Arial Narrow"/>
                <w:bCs/>
                <w:snapToGrid w:val="0"/>
                <w:sz w:val="20"/>
                <w:szCs w:val="20"/>
              </w:rPr>
              <w:t>)</w:t>
            </w:r>
          </w:p>
        </w:tc>
      </w:tr>
      <w:tr w:rsidR="00387639" w:rsidRPr="00387639" w14:paraId="6BD88F83" w14:textId="77777777" w:rsidTr="00C66ECB">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AD1D4D0" w14:textId="77777777"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DE2906"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
                <w:bCs/>
                <w:snapToGrid w:val="0"/>
                <w:sz w:val="20"/>
                <w:szCs w:val="20"/>
              </w:rPr>
              <w:t>Treatment Phase:</w:t>
            </w:r>
            <w:r w:rsidRPr="00387639">
              <w:rPr>
                <w:rFonts w:ascii="Arial Narrow" w:hAnsi="Arial Narrow"/>
                <w:bCs/>
                <w:snapToGrid w:val="0"/>
                <w:sz w:val="20"/>
                <w:szCs w:val="20"/>
              </w:rPr>
              <w:t xml:space="preserve"> Initial treatment</w:t>
            </w:r>
          </w:p>
        </w:tc>
      </w:tr>
      <w:tr w:rsidR="00387639" w:rsidRPr="00387639" w14:paraId="3EE85273" w14:textId="77777777" w:rsidTr="00C66ECB">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E06879A" w14:textId="661F03D2"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B8D1842"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
                <w:bCs/>
                <w:snapToGrid w:val="0"/>
                <w:sz w:val="20"/>
                <w:szCs w:val="20"/>
              </w:rPr>
              <w:t xml:space="preserve">Clinical criteria: </w:t>
            </w:r>
          </w:p>
        </w:tc>
      </w:tr>
      <w:tr w:rsidR="00387639" w:rsidRPr="00387639" w14:paraId="7F51F10C" w14:textId="77777777" w:rsidTr="0A99B0B1">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AFE1A3" w14:textId="77777777"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701E95" w14:textId="0C7DC524"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 xml:space="preserve">Patient must have a confirmed diagnosis of at least one of (i) prior myocardial infarction, (ii) prior stroke (iii) symptomatic peripheral arterial disease (PAD) </w:t>
            </w:r>
          </w:p>
        </w:tc>
      </w:tr>
      <w:tr w:rsidR="00387639" w:rsidRPr="00387639" w14:paraId="06DF60F5" w14:textId="77777777" w:rsidTr="00C66ECB">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5995F09" w14:textId="77777777"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7DF918B"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
                <w:bCs/>
                <w:snapToGrid w:val="0"/>
                <w:sz w:val="20"/>
                <w:szCs w:val="20"/>
              </w:rPr>
              <w:t>AND</w:t>
            </w:r>
          </w:p>
        </w:tc>
      </w:tr>
      <w:tr w:rsidR="00387639" w:rsidRPr="00387639" w14:paraId="3F22B37D" w14:textId="77777777" w:rsidTr="00C66ECB">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2975A37" w14:textId="4EE26AED"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6CC732"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Clinical criteria:</w:t>
            </w:r>
          </w:p>
        </w:tc>
      </w:tr>
      <w:tr w:rsidR="00387639" w:rsidRPr="00387639" w14:paraId="5C9B1F3A" w14:textId="77777777" w:rsidTr="0A99B0B1">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14C9296" w14:textId="77777777"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1A0459A"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 xml:space="preserve">Patient must have/ have had a Body Mass Index greater than or equal to 35 kg/m2 at the time of treatment initiation with this drug, </w:t>
            </w:r>
          </w:p>
        </w:tc>
      </w:tr>
      <w:tr w:rsidR="00387639" w:rsidRPr="00387639" w14:paraId="3BFFE553" w14:textId="77777777" w:rsidTr="0A99B0B1">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609DEB1" w14:textId="77777777"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B1185A"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
                <w:bCs/>
                <w:snapToGrid w:val="0"/>
                <w:sz w:val="20"/>
                <w:szCs w:val="20"/>
              </w:rPr>
              <w:t>OR</w:t>
            </w:r>
          </w:p>
        </w:tc>
      </w:tr>
      <w:tr w:rsidR="00387639" w:rsidRPr="00387639" w14:paraId="5E7F3CC1" w14:textId="77777777" w:rsidTr="0A99B0B1">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30D7692" w14:textId="77777777"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68A9B94" w14:textId="46CB635C"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Patient must have/ have had a Body Mass Index greater than or equal to 32.5 kg/m2</w:t>
            </w:r>
            <w:r w:rsidR="00777507">
              <w:rPr>
                <w:rFonts w:ascii="Arial Narrow" w:hAnsi="Arial Narrow"/>
                <w:bCs/>
                <w:snapToGrid w:val="0"/>
                <w:sz w:val="20"/>
                <w:szCs w:val="20"/>
              </w:rPr>
              <w:t xml:space="preserve"> at the time of treatment initiation with this drug,</w:t>
            </w:r>
            <w:r w:rsidRPr="00387639">
              <w:rPr>
                <w:rFonts w:ascii="Arial Narrow" w:hAnsi="Arial Narrow"/>
                <w:bCs/>
                <w:snapToGrid w:val="0"/>
                <w:sz w:val="20"/>
                <w:szCs w:val="20"/>
              </w:rPr>
              <w:t xml:space="preserve"> for</w:t>
            </w:r>
            <w:r w:rsidR="009A5EF0">
              <w:rPr>
                <w:rFonts w:ascii="Arial Narrow" w:hAnsi="Arial Narrow"/>
                <w:bCs/>
                <w:snapToGrid w:val="0"/>
                <w:sz w:val="20"/>
                <w:szCs w:val="20"/>
              </w:rPr>
              <w:t xml:space="preserve"> people of</w:t>
            </w:r>
            <w:r w:rsidRPr="00387639">
              <w:rPr>
                <w:rFonts w:ascii="Arial Narrow" w:hAnsi="Arial Narrow"/>
                <w:bCs/>
                <w:snapToGrid w:val="0"/>
                <w:sz w:val="20"/>
                <w:szCs w:val="20"/>
              </w:rPr>
              <w:t xml:space="preserve"> either (i) Aboriginal, (ii) Torres Strait Islander, (iii) Asian ethnicity </w:t>
            </w:r>
          </w:p>
        </w:tc>
      </w:tr>
      <w:tr w:rsidR="00387639" w:rsidRPr="00387639" w14:paraId="5E3BEEAC" w14:textId="77777777" w:rsidTr="0A99B0B1">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24A9699" w14:textId="77777777"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80474C" w14:textId="77777777" w:rsidR="00387639" w:rsidRPr="00777507" w:rsidRDefault="00387639" w:rsidP="00387639">
            <w:pPr>
              <w:jc w:val="left"/>
              <w:rPr>
                <w:rFonts w:ascii="Arial Narrow" w:hAnsi="Arial Narrow"/>
                <w:b/>
                <w:snapToGrid w:val="0"/>
                <w:sz w:val="20"/>
                <w:szCs w:val="20"/>
              </w:rPr>
            </w:pPr>
            <w:r w:rsidRPr="00777507">
              <w:rPr>
                <w:rFonts w:ascii="Arial Narrow" w:hAnsi="Arial Narrow"/>
                <w:b/>
                <w:snapToGrid w:val="0"/>
                <w:sz w:val="20"/>
                <w:szCs w:val="20"/>
              </w:rPr>
              <w:t>AND</w:t>
            </w:r>
          </w:p>
        </w:tc>
      </w:tr>
      <w:tr w:rsidR="00387639" w:rsidRPr="00387639" w14:paraId="00307819" w14:textId="77777777" w:rsidTr="00C66ECB">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C4021F0" w14:textId="5F2CE58E"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62CBC8"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
                <w:bCs/>
                <w:snapToGrid w:val="0"/>
                <w:sz w:val="20"/>
                <w:szCs w:val="20"/>
              </w:rPr>
              <w:t xml:space="preserve">Clinical criteria: </w:t>
            </w:r>
          </w:p>
        </w:tc>
      </w:tr>
      <w:tr w:rsidR="00387639" w:rsidRPr="00387639" w14:paraId="4A6A24BB" w14:textId="77777777" w:rsidTr="0A99B0B1">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E7C12A6" w14:textId="77777777"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E453A7"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 xml:space="preserve">The treatment must be used in conjunction with standard of care associated with both (i) the management of </w:t>
            </w:r>
            <w:proofErr w:type="spellStart"/>
            <w:r w:rsidRPr="00387639">
              <w:rPr>
                <w:rFonts w:ascii="Arial Narrow" w:hAnsi="Arial Narrow"/>
                <w:bCs/>
                <w:snapToGrid w:val="0"/>
                <w:sz w:val="20"/>
                <w:szCs w:val="20"/>
              </w:rPr>
              <w:t>eASCVD</w:t>
            </w:r>
            <w:proofErr w:type="spellEnd"/>
            <w:r w:rsidRPr="00387639">
              <w:rPr>
                <w:rFonts w:ascii="Arial Narrow" w:hAnsi="Arial Narrow"/>
                <w:bCs/>
                <w:snapToGrid w:val="0"/>
                <w:sz w:val="20"/>
                <w:szCs w:val="20"/>
              </w:rPr>
              <w:t xml:space="preserve"> and (ii) the prevention of future CV events, including dietary therapy and exercise</w:t>
            </w:r>
          </w:p>
        </w:tc>
      </w:tr>
      <w:tr w:rsidR="00387639" w:rsidRPr="00387639" w14:paraId="6E852037" w14:textId="77777777" w:rsidTr="00C66ECB">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50FE576" w14:textId="586F6229"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E2BD4E"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Treatment criteria:</w:t>
            </w:r>
          </w:p>
        </w:tc>
      </w:tr>
      <w:tr w:rsidR="00387639" w:rsidRPr="00387639" w14:paraId="1671000D" w14:textId="77777777" w:rsidTr="0A99B0B1">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431D7BE" w14:textId="77777777"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72E4DF2" w14:textId="1F8E39FA"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This treatment phase must be for dose titration purposes with the intent of completing the titration within 16 weeks of PBS and non-PBS subsidised therapy where possible, according to the dose escalation schedule in the</w:t>
            </w:r>
            <w:r w:rsidR="00777507">
              <w:rPr>
                <w:rFonts w:ascii="Arial Narrow" w:hAnsi="Arial Narrow"/>
                <w:bCs/>
                <w:snapToGrid w:val="0"/>
                <w:sz w:val="20"/>
                <w:szCs w:val="20"/>
              </w:rPr>
              <w:t xml:space="preserve"> </w:t>
            </w:r>
            <w:r w:rsidR="00F36F3A" w:rsidRPr="00F36F3A">
              <w:rPr>
                <w:rFonts w:ascii="Arial Narrow" w:hAnsi="Arial Narrow"/>
                <w:bCs/>
                <w:snapToGrid w:val="0"/>
                <w:sz w:val="20"/>
                <w:szCs w:val="20"/>
              </w:rPr>
              <w:t xml:space="preserve">Therapeutic Goods Administration </w:t>
            </w:r>
            <w:r w:rsidR="00F36F3A">
              <w:rPr>
                <w:rFonts w:ascii="Arial Narrow" w:hAnsi="Arial Narrow"/>
                <w:bCs/>
                <w:snapToGrid w:val="0"/>
                <w:sz w:val="20"/>
                <w:szCs w:val="20"/>
              </w:rPr>
              <w:t>(</w:t>
            </w:r>
            <w:r w:rsidR="00777507">
              <w:rPr>
                <w:rFonts w:ascii="Arial Narrow" w:hAnsi="Arial Narrow"/>
                <w:bCs/>
                <w:snapToGrid w:val="0"/>
                <w:sz w:val="20"/>
                <w:szCs w:val="20"/>
              </w:rPr>
              <w:t>TGA</w:t>
            </w:r>
            <w:r w:rsidR="00F36F3A">
              <w:rPr>
                <w:rFonts w:ascii="Arial Narrow" w:hAnsi="Arial Narrow"/>
                <w:bCs/>
                <w:snapToGrid w:val="0"/>
                <w:sz w:val="20"/>
                <w:szCs w:val="20"/>
              </w:rPr>
              <w:t>)</w:t>
            </w:r>
            <w:r w:rsidRPr="00387639">
              <w:rPr>
                <w:rFonts w:ascii="Arial Narrow" w:hAnsi="Arial Narrow"/>
                <w:bCs/>
                <w:snapToGrid w:val="0"/>
                <w:sz w:val="20"/>
                <w:szCs w:val="20"/>
              </w:rPr>
              <w:t xml:space="preserve"> approved Product Information (PI).</w:t>
            </w:r>
          </w:p>
        </w:tc>
      </w:tr>
      <w:tr w:rsidR="00387639" w:rsidRPr="00387639" w14:paraId="05E987EF" w14:textId="77777777" w:rsidTr="00C66ECB">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81BC2F9" w14:textId="4415961C"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13928A"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Treatment criteria:</w:t>
            </w:r>
          </w:p>
        </w:tc>
      </w:tr>
      <w:tr w:rsidR="00387639" w:rsidRPr="00387639" w14:paraId="3010A25E" w14:textId="77777777" w:rsidTr="0A99B0B1">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B10A075" w14:textId="77777777"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E89107"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 xml:space="preserve">Patient must not be undergoing concomitant PBS-subsidised treatment with any of: (i) another GLP-1 receptor agonist (ii) a DPP4 inhibitor </w:t>
            </w:r>
          </w:p>
        </w:tc>
      </w:tr>
      <w:tr w:rsidR="00387639" w:rsidRPr="00387639" w14:paraId="4D4FBEF5" w14:textId="77777777" w:rsidTr="00C66ECB">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931CE7D" w14:textId="0B2C9A80"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6CB38D2"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
                <w:bCs/>
                <w:snapToGrid w:val="0"/>
                <w:sz w:val="20"/>
                <w:szCs w:val="20"/>
              </w:rPr>
              <w:t>Population criteria:</w:t>
            </w:r>
          </w:p>
        </w:tc>
      </w:tr>
      <w:tr w:rsidR="00387639" w:rsidRPr="00387639" w14:paraId="6FB76E9C" w14:textId="77777777" w:rsidTr="00C66ECB">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75DA1B6" w14:textId="492FCA4F"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117B64"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Patient must be at least 18 years of age</w:t>
            </w:r>
          </w:p>
        </w:tc>
      </w:tr>
      <w:tr w:rsidR="00387639" w:rsidRPr="00387639" w14:paraId="11C86380" w14:textId="77777777" w:rsidTr="00C66ECB">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B1B5B38" w14:textId="4971202D"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8759A0"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Prescribing instructions:</w:t>
            </w:r>
          </w:p>
          <w:p w14:paraId="4A86005A" w14:textId="4C6B23BC"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 xml:space="preserve">The patient’s measured </w:t>
            </w:r>
            <w:r w:rsidR="001F6448">
              <w:rPr>
                <w:rFonts w:ascii="Arial Narrow" w:hAnsi="Arial Narrow"/>
                <w:bCs/>
                <w:snapToGrid w:val="0"/>
                <w:sz w:val="20"/>
                <w:szCs w:val="20"/>
              </w:rPr>
              <w:t>Body Mass Index</w:t>
            </w:r>
            <w:r w:rsidR="00715BE0">
              <w:rPr>
                <w:rFonts w:ascii="Arial Narrow" w:hAnsi="Arial Narrow"/>
                <w:bCs/>
                <w:snapToGrid w:val="0"/>
                <w:sz w:val="20"/>
                <w:szCs w:val="20"/>
              </w:rPr>
              <w:t xml:space="preserve"> </w:t>
            </w:r>
            <w:r w:rsidRPr="00387639">
              <w:rPr>
                <w:rFonts w:ascii="Arial Narrow" w:hAnsi="Arial Narrow"/>
                <w:bCs/>
                <w:snapToGrid w:val="0"/>
                <w:sz w:val="20"/>
                <w:szCs w:val="20"/>
              </w:rPr>
              <w:t xml:space="preserve">at the time </w:t>
            </w:r>
            <w:r w:rsidR="0046487C">
              <w:rPr>
                <w:rFonts w:ascii="Arial Narrow" w:hAnsi="Arial Narrow"/>
                <w:bCs/>
                <w:snapToGrid w:val="0"/>
                <w:sz w:val="20"/>
                <w:szCs w:val="20"/>
              </w:rPr>
              <w:t>the first</w:t>
            </w:r>
            <w:r w:rsidRPr="00387639">
              <w:rPr>
                <w:rFonts w:ascii="Arial Narrow" w:hAnsi="Arial Narrow"/>
                <w:bCs/>
                <w:snapToGrid w:val="0"/>
                <w:sz w:val="20"/>
                <w:szCs w:val="20"/>
              </w:rPr>
              <w:t xml:space="preserve"> authority application is made must be documented in the patient’s medical record. </w:t>
            </w:r>
          </w:p>
        </w:tc>
      </w:tr>
      <w:tr w:rsidR="00387639" w:rsidRPr="00387639" w14:paraId="28059E75" w14:textId="77777777" w:rsidTr="00C66ECB">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F9DE111" w14:textId="13EC3245"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6D03286" w14:textId="77777777" w:rsidR="00387639" w:rsidRPr="00387639" w:rsidRDefault="6D7078A8" w:rsidP="00387639">
            <w:pPr>
              <w:jc w:val="left"/>
              <w:rPr>
                <w:rFonts w:ascii="Arial Narrow" w:hAnsi="Arial Narrow"/>
                <w:b/>
                <w:bCs/>
                <w:snapToGrid w:val="0"/>
                <w:sz w:val="20"/>
                <w:szCs w:val="20"/>
              </w:rPr>
            </w:pPr>
            <w:r w:rsidRPr="00387639">
              <w:rPr>
                <w:rFonts w:ascii="Arial Narrow" w:hAnsi="Arial Narrow"/>
                <w:b/>
                <w:bCs/>
                <w:snapToGrid w:val="0"/>
                <w:sz w:val="20"/>
                <w:szCs w:val="20"/>
              </w:rPr>
              <w:t>Prescribing instructions:</w:t>
            </w:r>
          </w:p>
          <w:p w14:paraId="2C2F275B" w14:textId="33B8B760" w:rsidR="00387639" w:rsidRPr="00387639" w:rsidRDefault="6D7078A8" w:rsidP="00387639">
            <w:pPr>
              <w:jc w:val="left"/>
              <w:rPr>
                <w:rFonts w:ascii="Arial Narrow" w:hAnsi="Arial Narrow"/>
                <w:bCs/>
                <w:snapToGrid w:val="0"/>
                <w:sz w:val="20"/>
                <w:szCs w:val="20"/>
              </w:rPr>
            </w:pPr>
            <w:r w:rsidRPr="0A99B0B1">
              <w:rPr>
                <w:rFonts w:ascii="Arial Narrow" w:hAnsi="Arial Narrow"/>
                <w:snapToGrid w:val="0"/>
                <w:sz w:val="20"/>
                <w:szCs w:val="20"/>
              </w:rPr>
              <w:t xml:space="preserve"> </w:t>
            </w:r>
            <w:r w:rsidR="371821B0" w:rsidRPr="0A99B0B1">
              <w:rPr>
                <w:rFonts w:ascii="Arial Narrow" w:hAnsi="Arial Narrow"/>
                <w:snapToGrid w:val="0"/>
                <w:sz w:val="20"/>
                <w:szCs w:val="20"/>
              </w:rPr>
              <w:t xml:space="preserve">At the time of the authority application, </w:t>
            </w:r>
            <w:r w:rsidRPr="0A99B0B1">
              <w:rPr>
                <w:rFonts w:ascii="Arial Narrow" w:hAnsi="Arial Narrow"/>
                <w:snapToGrid w:val="0"/>
                <w:sz w:val="20"/>
                <w:szCs w:val="20"/>
              </w:rPr>
              <w:t xml:space="preserve">medical practitioners must request the appropriate number of repeats </w:t>
            </w:r>
            <w:r w:rsidR="70511BE4" w:rsidRPr="0A99B0B1">
              <w:rPr>
                <w:rFonts w:ascii="Arial Narrow" w:hAnsi="Arial Narrow"/>
                <w:snapToGrid w:val="0"/>
                <w:sz w:val="20"/>
                <w:szCs w:val="20"/>
              </w:rPr>
              <w:t xml:space="preserve">for patients who require a slower </w:t>
            </w:r>
            <w:r w:rsidRPr="0A99B0B1">
              <w:rPr>
                <w:rFonts w:ascii="Arial Narrow" w:hAnsi="Arial Narrow"/>
                <w:snapToGrid w:val="0"/>
                <w:sz w:val="20"/>
                <w:szCs w:val="20"/>
              </w:rPr>
              <w:t xml:space="preserve">dose titration. </w:t>
            </w:r>
            <w:r w:rsidRPr="0A99B0B1">
              <w:rPr>
                <w:rFonts w:ascii="Arial Narrow" w:hAnsi="Arial Narrow"/>
                <w:b/>
                <w:bCs/>
                <w:i/>
                <w:iCs/>
                <w:snapToGrid w:val="0"/>
                <w:sz w:val="20"/>
                <w:szCs w:val="20"/>
              </w:rPr>
              <w:t>Up to 2 repeats will be authorised</w:t>
            </w:r>
            <w:r w:rsidR="70511BE4" w:rsidRPr="0A99B0B1">
              <w:rPr>
                <w:rFonts w:ascii="Arial Narrow" w:hAnsi="Arial Narrow"/>
                <w:b/>
                <w:bCs/>
                <w:i/>
                <w:iCs/>
                <w:snapToGrid w:val="0"/>
                <w:sz w:val="20"/>
                <w:szCs w:val="20"/>
              </w:rPr>
              <w:t xml:space="preserve"> to provide a maximum of 3 months’ therapy per titrating dose</w:t>
            </w:r>
            <w:r w:rsidRPr="0A99B0B1">
              <w:rPr>
                <w:rFonts w:ascii="Arial Narrow" w:hAnsi="Arial Narrow"/>
                <w:i/>
                <w:iCs/>
                <w:snapToGrid w:val="0"/>
                <w:sz w:val="20"/>
                <w:szCs w:val="20"/>
              </w:rPr>
              <w:t xml:space="preserve"> </w:t>
            </w:r>
          </w:p>
        </w:tc>
      </w:tr>
      <w:tr w:rsidR="00387639" w:rsidRPr="00387639" w14:paraId="5018CAEC" w14:textId="77777777" w:rsidTr="00C66ECB">
        <w:trPr>
          <w:cantSplit/>
          <w:trHeight w:val="20"/>
        </w:trPr>
        <w:tc>
          <w:tcPr>
            <w:tcW w:w="1277"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9CC485" w14:textId="67514553" w:rsidR="00387639" w:rsidRPr="00387639" w:rsidRDefault="00387639"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2C103C"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Prescribing instructions:</w:t>
            </w:r>
          </w:p>
          <w:p w14:paraId="1477B99F"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 xml:space="preserve">Symptomatic peripheral arterial disease (PAD) should be evidenced by intermittent claudication with ankle-brachial index (ABI) &lt;0.85 at rest or peripheral arterial revascularisation procedure or amputation due to atherosclerotic disease. </w:t>
            </w:r>
          </w:p>
        </w:tc>
      </w:tr>
    </w:tbl>
    <w:p w14:paraId="622DA87B" w14:textId="77777777" w:rsidR="00387639" w:rsidRPr="00387639" w:rsidRDefault="00387639" w:rsidP="00387639">
      <w:pPr>
        <w:jc w:val="left"/>
        <w:rPr>
          <w:rFonts w:ascii="Arial Narrow" w:hAnsi="Arial Narrow"/>
          <w:bCs/>
          <w:snapToGrid w:val="0"/>
          <w:sz w:val="20"/>
          <w:szCs w:val="20"/>
        </w:rPr>
      </w:pPr>
    </w:p>
    <w:p w14:paraId="0CA57457"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lastRenderedPageBreak/>
        <w:t>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ontinuing treatment:"/>
      </w:tblPr>
      <w:tblGrid>
        <w:gridCol w:w="1273"/>
        <w:gridCol w:w="2656"/>
        <w:gridCol w:w="814"/>
        <w:gridCol w:w="815"/>
        <w:gridCol w:w="814"/>
        <w:gridCol w:w="815"/>
        <w:gridCol w:w="1830"/>
      </w:tblGrid>
      <w:tr w:rsidR="00387639" w:rsidRPr="00387639" w14:paraId="2750015B" w14:textId="77777777" w:rsidTr="002263C3">
        <w:trPr>
          <w:cantSplit/>
          <w:trHeight w:val="20"/>
        </w:trPr>
        <w:tc>
          <w:tcPr>
            <w:tcW w:w="3929" w:type="dxa"/>
            <w:gridSpan w:val="2"/>
            <w:tcBorders>
              <w:top w:val="single" w:sz="4" w:space="0" w:color="auto"/>
              <w:left w:val="single" w:sz="4" w:space="0" w:color="auto"/>
              <w:bottom w:val="single" w:sz="4" w:space="0" w:color="auto"/>
              <w:right w:val="single" w:sz="4" w:space="0" w:color="auto"/>
            </w:tcBorders>
            <w:vAlign w:val="center"/>
            <w:hideMark/>
          </w:tcPr>
          <w:p w14:paraId="426CF889"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MEDICINAL PRODUCT</w:t>
            </w:r>
          </w:p>
          <w:p w14:paraId="69876BD2"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medicinal product pack</w:t>
            </w:r>
          </w:p>
        </w:tc>
        <w:tc>
          <w:tcPr>
            <w:tcW w:w="814" w:type="dxa"/>
            <w:tcBorders>
              <w:top w:val="single" w:sz="4" w:space="0" w:color="auto"/>
              <w:left w:val="single" w:sz="4" w:space="0" w:color="auto"/>
              <w:bottom w:val="single" w:sz="4" w:space="0" w:color="auto"/>
              <w:right w:val="single" w:sz="4" w:space="0" w:color="auto"/>
            </w:tcBorders>
            <w:vAlign w:val="center"/>
            <w:hideMark/>
          </w:tcPr>
          <w:p w14:paraId="0B403F25"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PBS item code</w:t>
            </w:r>
          </w:p>
        </w:tc>
        <w:tc>
          <w:tcPr>
            <w:tcW w:w="815" w:type="dxa"/>
            <w:tcBorders>
              <w:top w:val="single" w:sz="4" w:space="0" w:color="auto"/>
              <w:left w:val="single" w:sz="4" w:space="0" w:color="auto"/>
              <w:bottom w:val="single" w:sz="4" w:space="0" w:color="auto"/>
              <w:right w:val="single" w:sz="4" w:space="0" w:color="auto"/>
            </w:tcBorders>
            <w:vAlign w:val="center"/>
            <w:hideMark/>
          </w:tcPr>
          <w:p w14:paraId="3AC3187A"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Max. qty packs</w:t>
            </w:r>
          </w:p>
        </w:tc>
        <w:tc>
          <w:tcPr>
            <w:tcW w:w="814" w:type="dxa"/>
            <w:tcBorders>
              <w:top w:val="single" w:sz="4" w:space="0" w:color="auto"/>
              <w:left w:val="single" w:sz="4" w:space="0" w:color="auto"/>
              <w:bottom w:val="single" w:sz="4" w:space="0" w:color="auto"/>
              <w:right w:val="single" w:sz="4" w:space="0" w:color="auto"/>
            </w:tcBorders>
            <w:vAlign w:val="center"/>
            <w:hideMark/>
          </w:tcPr>
          <w:p w14:paraId="698ED656"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Max. qty units</w:t>
            </w:r>
          </w:p>
        </w:tc>
        <w:tc>
          <w:tcPr>
            <w:tcW w:w="815" w:type="dxa"/>
            <w:tcBorders>
              <w:top w:val="single" w:sz="4" w:space="0" w:color="auto"/>
              <w:left w:val="single" w:sz="4" w:space="0" w:color="auto"/>
              <w:bottom w:val="single" w:sz="4" w:space="0" w:color="auto"/>
              <w:right w:val="single" w:sz="4" w:space="0" w:color="auto"/>
            </w:tcBorders>
            <w:vAlign w:val="center"/>
            <w:hideMark/>
          </w:tcPr>
          <w:p w14:paraId="27C18F2A"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 of</w:t>
            </w:r>
          </w:p>
          <w:p w14:paraId="479E03A4" w14:textId="77777777" w:rsidR="00387639" w:rsidRPr="00387639" w:rsidRDefault="00387639" w:rsidP="008A0848">
            <w:pPr>
              <w:keepNext/>
              <w:jc w:val="left"/>
              <w:rPr>
                <w:rFonts w:ascii="Arial Narrow" w:hAnsi="Arial Narrow"/>
                <w:b/>
                <w:bCs/>
                <w:snapToGrid w:val="0"/>
                <w:sz w:val="20"/>
                <w:szCs w:val="20"/>
              </w:rPr>
            </w:pPr>
            <w:proofErr w:type="spellStart"/>
            <w:r w:rsidRPr="00387639">
              <w:rPr>
                <w:rFonts w:ascii="Arial Narrow" w:hAnsi="Arial Narrow"/>
                <w:b/>
                <w:bCs/>
                <w:snapToGrid w:val="0"/>
                <w:sz w:val="20"/>
                <w:szCs w:val="20"/>
              </w:rPr>
              <w:t>Rpts</w:t>
            </w:r>
            <w:proofErr w:type="spellEnd"/>
          </w:p>
        </w:tc>
        <w:tc>
          <w:tcPr>
            <w:tcW w:w="1830" w:type="dxa"/>
            <w:tcBorders>
              <w:top w:val="single" w:sz="4" w:space="0" w:color="auto"/>
              <w:left w:val="single" w:sz="4" w:space="0" w:color="auto"/>
              <w:bottom w:val="single" w:sz="4" w:space="0" w:color="auto"/>
              <w:right w:val="single" w:sz="4" w:space="0" w:color="auto"/>
            </w:tcBorders>
            <w:vAlign w:val="center"/>
            <w:hideMark/>
          </w:tcPr>
          <w:p w14:paraId="13FE8C10" w14:textId="77777777" w:rsidR="00387639" w:rsidRPr="00387639" w:rsidRDefault="00387639" w:rsidP="008A0848">
            <w:pPr>
              <w:keepNext/>
              <w:jc w:val="left"/>
              <w:rPr>
                <w:rFonts w:ascii="Arial Narrow" w:hAnsi="Arial Narrow"/>
                <w:b/>
                <w:bCs/>
                <w:snapToGrid w:val="0"/>
                <w:sz w:val="20"/>
                <w:szCs w:val="20"/>
                <w:lang w:val="fr-FR"/>
              </w:rPr>
            </w:pPr>
            <w:r w:rsidRPr="00387639">
              <w:rPr>
                <w:rFonts w:ascii="Arial Narrow" w:hAnsi="Arial Narrow"/>
                <w:b/>
                <w:bCs/>
                <w:snapToGrid w:val="0"/>
                <w:sz w:val="20"/>
                <w:szCs w:val="20"/>
              </w:rPr>
              <w:t>Available brands</w:t>
            </w:r>
          </w:p>
        </w:tc>
      </w:tr>
      <w:tr w:rsidR="00387639" w:rsidRPr="00387639" w14:paraId="0A325E60" w14:textId="77777777" w:rsidTr="002263C3">
        <w:trPr>
          <w:cantSplit/>
          <w:trHeight w:val="20"/>
        </w:trPr>
        <w:tc>
          <w:tcPr>
            <w:tcW w:w="9017" w:type="dxa"/>
            <w:gridSpan w:val="7"/>
            <w:tcBorders>
              <w:top w:val="single" w:sz="4" w:space="0" w:color="auto"/>
              <w:left w:val="single" w:sz="4" w:space="0" w:color="auto"/>
              <w:bottom w:val="single" w:sz="4" w:space="0" w:color="auto"/>
              <w:right w:val="single" w:sz="4" w:space="0" w:color="auto"/>
            </w:tcBorders>
            <w:vAlign w:val="center"/>
            <w:hideMark/>
          </w:tcPr>
          <w:p w14:paraId="4350B4BC"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SEMAGLUTIDE</w:t>
            </w:r>
          </w:p>
        </w:tc>
      </w:tr>
      <w:tr w:rsidR="00387639" w:rsidRPr="00387639" w14:paraId="62B6A259" w14:textId="77777777" w:rsidTr="002263C3">
        <w:trPr>
          <w:cantSplit/>
          <w:trHeight w:val="20"/>
        </w:trPr>
        <w:tc>
          <w:tcPr>
            <w:tcW w:w="3929" w:type="dxa"/>
            <w:gridSpan w:val="2"/>
            <w:tcBorders>
              <w:top w:val="single" w:sz="4" w:space="0" w:color="auto"/>
              <w:left w:val="single" w:sz="4" w:space="0" w:color="auto"/>
              <w:bottom w:val="single" w:sz="4" w:space="0" w:color="auto"/>
              <w:right w:val="single" w:sz="4" w:space="0" w:color="auto"/>
            </w:tcBorders>
            <w:vAlign w:val="center"/>
            <w:hideMark/>
          </w:tcPr>
          <w:p w14:paraId="495B46B1" w14:textId="77777777" w:rsidR="00387639" w:rsidRPr="005F3F95" w:rsidRDefault="00387639" w:rsidP="008A0848">
            <w:pPr>
              <w:keepNext/>
              <w:jc w:val="left"/>
              <w:rPr>
                <w:rFonts w:ascii="Arial Narrow" w:hAnsi="Arial Narrow"/>
                <w:snapToGrid w:val="0"/>
                <w:sz w:val="20"/>
                <w:szCs w:val="20"/>
                <w:lang w:val="fr-FR"/>
              </w:rPr>
            </w:pPr>
            <w:proofErr w:type="spellStart"/>
            <w:proofErr w:type="gramStart"/>
            <w:r w:rsidRPr="005F3F95">
              <w:rPr>
                <w:rFonts w:ascii="Arial Narrow" w:hAnsi="Arial Narrow"/>
                <w:snapToGrid w:val="0"/>
                <w:sz w:val="20"/>
                <w:szCs w:val="20"/>
                <w:lang w:val="fr-FR"/>
              </w:rPr>
              <w:t>semaglutide</w:t>
            </w:r>
            <w:proofErr w:type="spellEnd"/>
            <w:proofErr w:type="gramEnd"/>
            <w:r w:rsidRPr="005F3F95">
              <w:rPr>
                <w:rFonts w:ascii="Arial Narrow" w:hAnsi="Arial Narrow"/>
                <w:snapToGrid w:val="0"/>
                <w:sz w:val="20"/>
                <w:szCs w:val="20"/>
                <w:lang w:val="fr-FR"/>
              </w:rPr>
              <w:t xml:space="preserve"> 0.25 mg/0.5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injection, 4 x 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pen</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devices</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4DB3C885"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New</w:t>
            </w:r>
          </w:p>
        </w:tc>
        <w:tc>
          <w:tcPr>
            <w:tcW w:w="815" w:type="dxa"/>
            <w:tcBorders>
              <w:top w:val="single" w:sz="4" w:space="0" w:color="auto"/>
              <w:left w:val="single" w:sz="4" w:space="0" w:color="auto"/>
              <w:bottom w:val="single" w:sz="4" w:space="0" w:color="auto"/>
              <w:right w:val="single" w:sz="4" w:space="0" w:color="auto"/>
            </w:tcBorders>
            <w:vAlign w:val="center"/>
            <w:hideMark/>
          </w:tcPr>
          <w:p w14:paraId="05207674"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496CF557"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4</w:t>
            </w:r>
          </w:p>
        </w:tc>
        <w:tc>
          <w:tcPr>
            <w:tcW w:w="815" w:type="dxa"/>
            <w:tcBorders>
              <w:top w:val="single" w:sz="4" w:space="0" w:color="auto"/>
              <w:left w:val="single" w:sz="4" w:space="0" w:color="auto"/>
              <w:bottom w:val="single" w:sz="4" w:space="0" w:color="auto"/>
              <w:right w:val="single" w:sz="4" w:space="0" w:color="auto"/>
            </w:tcBorders>
            <w:vAlign w:val="center"/>
            <w:hideMark/>
          </w:tcPr>
          <w:p w14:paraId="740CE318"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5</w:t>
            </w:r>
          </w:p>
        </w:tc>
        <w:tc>
          <w:tcPr>
            <w:tcW w:w="1830" w:type="dxa"/>
            <w:vMerge w:val="restart"/>
            <w:tcBorders>
              <w:top w:val="single" w:sz="4" w:space="0" w:color="auto"/>
              <w:left w:val="single" w:sz="4" w:space="0" w:color="auto"/>
              <w:bottom w:val="single" w:sz="4" w:space="0" w:color="auto"/>
              <w:right w:val="single" w:sz="4" w:space="0" w:color="auto"/>
            </w:tcBorders>
            <w:vAlign w:val="center"/>
            <w:hideMark/>
          </w:tcPr>
          <w:p w14:paraId="2D70FD6A"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Wegovy</w:t>
            </w:r>
          </w:p>
        </w:tc>
      </w:tr>
      <w:tr w:rsidR="00387639" w:rsidRPr="00387639" w14:paraId="02FF2FC9" w14:textId="77777777" w:rsidTr="002263C3">
        <w:trPr>
          <w:cantSplit/>
          <w:trHeight w:val="20"/>
        </w:trPr>
        <w:tc>
          <w:tcPr>
            <w:tcW w:w="3929" w:type="dxa"/>
            <w:gridSpan w:val="2"/>
            <w:tcBorders>
              <w:top w:val="single" w:sz="4" w:space="0" w:color="auto"/>
              <w:left w:val="single" w:sz="4" w:space="0" w:color="auto"/>
              <w:bottom w:val="single" w:sz="4" w:space="0" w:color="auto"/>
              <w:right w:val="single" w:sz="4" w:space="0" w:color="auto"/>
            </w:tcBorders>
            <w:vAlign w:val="center"/>
            <w:hideMark/>
          </w:tcPr>
          <w:p w14:paraId="137F1E2E" w14:textId="77777777" w:rsidR="00387639" w:rsidRPr="005F3F95" w:rsidRDefault="00387639" w:rsidP="008A0848">
            <w:pPr>
              <w:keepNext/>
              <w:jc w:val="left"/>
              <w:rPr>
                <w:rFonts w:ascii="Arial Narrow" w:hAnsi="Arial Narrow"/>
                <w:snapToGrid w:val="0"/>
                <w:sz w:val="20"/>
                <w:szCs w:val="20"/>
                <w:lang w:val="fr-FR"/>
              </w:rPr>
            </w:pPr>
            <w:proofErr w:type="spellStart"/>
            <w:proofErr w:type="gramStart"/>
            <w:r w:rsidRPr="005F3F95">
              <w:rPr>
                <w:rFonts w:ascii="Arial Narrow" w:hAnsi="Arial Narrow"/>
                <w:snapToGrid w:val="0"/>
                <w:sz w:val="20"/>
                <w:szCs w:val="20"/>
                <w:lang w:val="fr-FR"/>
              </w:rPr>
              <w:t>semaglutide</w:t>
            </w:r>
            <w:proofErr w:type="spellEnd"/>
            <w:proofErr w:type="gramEnd"/>
            <w:r w:rsidRPr="005F3F95">
              <w:rPr>
                <w:rFonts w:ascii="Arial Narrow" w:hAnsi="Arial Narrow"/>
                <w:snapToGrid w:val="0"/>
                <w:sz w:val="20"/>
                <w:szCs w:val="20"/>
                <w:lang w:val="fr-FR"/>
              </w:rPr>
              <w:t xml:space="preserve"> 0.5 mg/0.5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injection, 4 x 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pen</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devices</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0EB58921"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New</w:t>
            </w:r>
          </w:p>
        </w:tc>
        <w:tc>
          <w:tcPr>
            <w:tcW w:w="815" w:type="dxa"/>
            <w:tcBorders>
              <w:top w:val="single" w:sz="4" w:space="0" w:color="auto"/>
              <w:left w:val="single" w:sz="4" w:space="0" w:color="auto"/>
              <w:bottom w:val="single" w:sz="4" w:space="0" w:color="auto"/>
              <w:right w:val="single" w:sz="4" w:space="0" w:color="auto"/>
            </w:tcBorders>
            <w:vAlign w:val="center"/>
            <w:hideMark/>
          </w:tcPr>
          <w:p w14:paraId="655A763A"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5A767499"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4</w:t>
            </w:r>
          </w:p>
        </w:tc>
        <w:tc>
          <w:tcPr>
            <w:tcW w:w="815" w:type="dxa"/>
            <w:tcBorders>
              <w:top w:val="single" w:sz="4" w:space="0" w:color="auto"/>
              <w:left w:val="single" w:sz="4" w:space="0" w:color="auto"/>
              <w:bottom w:val="single" w:sz="4" w:space="0" w:color="auto"/>
              <w:right w:val="single" w:sz="4" w:space="0" w:color="auto"/>
            </w:tcBorders>
            <w:vAlign w:val="center"/>
            <w:hideMark/>
          </w:tcPr>
          <w:p w14:paraId="0D63F025"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5</w:t>
            </w:r>
          </w:p>
        </w:tc>
        <w:tc>
          <w:tcPr>
            <w:tcW w:w="1830" w:type="dxa"/>
            <w:vMerge/>
            <w:vAlign w:val="center"/>
            <w:hideMark/>
          </w:tcPr>
          <w:p w14:paraId="4E0077C2" w14:textId="77777777" w:rsidR="00387639" w:rsidRPr="00387639" w:rsidRDefault="00387639" w:rsidP="008A0848">
            <w:pPr>
              <w:keepNext/>
              <w:jc w:val="left"/>
              <w:rPr>
                <w:rFonts w:ascii="Arial Narrow" w:hAnsi="Arial Narrow"/>
                <w:bCs/>
                <w:snapToGrid w:val="0"/>
                <w:sz w:val="20"/>
                <w:szCs w:val="20"/>
              </w:rPr>
            </w:pPr>
          </w:p>
        </w:tc>
      </w:tr>
      <w:tr w:rsidR="00387639" w:rsidRPr="00387639" w14:paraId="0C4E00A6" w14:textId="77777777" w:rsidTr="002263C3">
        <w:trPr>
          <w:cantSplit/>
          <w:trHeight w:val="20"/>
        </w:trPr>
        <w:tc>
          <w:tcPr>
            <w:tcW w:w="3929" w:type="dxa"/>
            <w:gridSpan w:val="2"/>
            <w:tcBorders>
              <w:top w:val="single" w:sz="4" w:space="0" w:color="auto"/>
              <w:left w:val="single" w:sz="4" w:space="0" w:color="auto"/>
              <w:bottom w:val="single" w:sz="4" w:space="0" w:color="auto"/>
              <w:right w:val="single" w:sz="4" w:space="0" w:color="auto"/>
            </w:tcBorders>
            <w:vAlign w:val="center"/>
            <w:hideMark/>
          </w:tcPr>
          <w:p w14:paraId="12D8F17D" w14:textId="77777777" w:rsidR="00387639" w:rsidRPr="005F3F95" w:rsidRDefault="00387639" w:rsidP="008A0848">
            <w:pPr>
              <w:keepNext/>
              <w:jc w:val="left"/>
              <w:rPr>
                <w:rFonts w:ascii="Arial Narrow" w:hAnsi="Arial Narrow"/>
                <w:snapToGrid w:val="0"/>
                <w:sz w:val="20"/>
                <w:szCs w:val="20"/>
                <w:lang w:val="fr-FR"/>
              </w:rPr>
            </w:pPr>
            <w:proofErr w:type="spellStart"/>
            <w:proofErr w:type="gramStart"/>
            <w:r w:rsidRPr="005F3F95">
              <w:rPr>
                <w:rFonts w:ascii="Arial Narrow" w:hAnsi="Arial Narrow"/>
                <w:snapToGrid w:val="0"/>
                <w:sz w:val="20"/>
                <w:szCs w:val="20"/>
                <w:lang w:val="fr-FR"/>
              </w:rPr>
              <w:t>semaglutide</w:t>
            </w:r>
            <w:proofErr w:type="spellEnd"/>
            <w:proofErr w:type="gramEnd"/>
            <w:r w:rsidRPr="005F3F95">
              <w:rPr>
                <w:rFonts w:ascii="Arial Narrow" w:hAnsi="Arial Narrow"/>
                <w:snapToGrid w:val="0"/>
                <w:sz w:val="20"/>
                <w:szCs w:val="20"/>
                <w:lang w:val="fr-FR"/>
              </w:rPr>
              <w:t xml:space="preserve"> 1 mg/0.5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injection, 4 x 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pen</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devices</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27B4F61F"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New</w:t>
            </w:r>
          </w:p>
        </w:tc>
        <w:tc>
          <w:tcPr>
            <w:tcW w:w="815" w:type="dxa"/>
            <w:tcBorders>
              <w:top w:val="single" w:sz="4" w:space="0" w:color="auto"/>
              <w:left w:val="single" w:sz="4" w:space="0" w:color="auto"/>
              <w:bottom w:val="single" w:sz="4" w:space="0" w:color="auto"/>
              <w:right w:val="single" w:sz="4" w:space="0" w:color="auto"/>
            </w:tcBorders>
            <w:vAlign w:val="center"/>
            <w:hideMark/>
          </w:tcPr>
          <w:p w14:paraId="6452C619"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568687D2"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4</w:t>
            </w:r>
          </w:p>
        </w:tc>
        <w:tc>
          <w:tcPr>
            <w:tcW w:w="815" w:type="dxa"/>
            <w:tcBorders>
              <w:top w:val="single" w:sz="4" w:space="0" w:color="auto"/>
              <w:left w:val="single" w:sz="4" w:space="0" w:color="auto"/>
              <w:bottom w:val="single" w:sz="4" w:space="0" w:color="auto"/>
              <w:right w:val="single" w:sz="4" w:space="0" w:color="auto"/>
            </w:tcBorders>
            <w:vAlign w:val="center"/>
            <w:hideMark/>
          </w:tcPr>
          <w:p w14:paraId="02155BDC"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5</w:t>
            </w:r>
          </w:p>
        </w:tc>
        <w:tc>
          <w:tcPr>
            <w:tcW w:w="1830" w:type="dxa"/>
            <w:vMerge/>
            <w:vAlign w:val="center"/>
            <w:hideMark/>
          </w:tcPr>
          <w:p w14:paraId="0871AEDD" w14:textId="77777777" w:rsidR="00387639" w:rsidRPr="00387639" w:rsidRDefault="00387639" w:rsidP="008A0848">
            <w:pPr>
              <w:keepNext/>
              <w:jc w:val="left"/>
              <w:rPr>
                <w:rFonts w:ascii="Arial Narrow" w:hAnsi="Arial Narrow"/>
                <w:bCs/>
                <w:snapToGrid w:val="0"/>
                <w:sz w:val="20"/>
                <w:szCs w:val="20"/>
              </w:rPr>
            </w:pPr>
          </w:p>
        </w:tc>
      </w:tr>
      <w:tr w:rsidR="00387639" w:rsidRPr="00387639" w14:paraId="5DBEC407" w14:textId="77777777" w:rsidTr="002263C3">
        <w:trPr>
          <w:cantSplit/>
          <w:trHeight w:val="20"/>
        </w:trPr>
        <w:tc>
          <w:tcPr>
            <w:tcW w:w="3929" w:type="dxa"/>
            <w:gridSpan w:val="2"/>
            <w:tcBorders>
              <w:top w:val="single" w:sz="4" w:space="0" w:color="auto"/>
              <w:left w:val="single" w:sz="4" w:space="0" w:color="auto"/>
              <w:bottom w:val="single" w:sz="4" w:space="0" w:color="auto"/>
              <w:right w:val="single" w:sz="4" w:space="0" w:color="auto"/>
            </w:tcBorders>
            <w:vAlign w:val="center"/>
            <w:hideMark/>
          </w:tcPr>
          <w:p w14:paraId="277B98CB" w14:textId="77777777" w:rsidR="00387639" w:rsidRPr="005F3F95" w:rsidRDefault="00387639" w:rsidP="008A0848">
            <w:pPr>
              <w:keepNext/>
              <w:jc w:val="left"/>
              <w:rPr>
                <w:rFonts w:ascii="Arial Narrow" w:hAnsi="Arial Narrow"/>
                <w:snapToGrid w:val="0"/>
                <w:sz w:val="20"/>
                <w:szCs w:val="20"/>
                <w:lang w:val="fr-FR"/>
              </w:rPr>
            </w:pPr>
            <w:proofErr w:type="spellStart"/>
            <w:proofErr w:type="gramStart"/>
            <w:r w:rsidRPr="005F3F95">
              <w:rPr>
                <w:rFonts w:ascii="Arial Narrow" w:hAnsi="Arial Narrow"/>
                <w:snapToGrid w:val="0"/>
                <w:sz w:val="20"/>
                <w:szCs w:val="20"/>
                <w:lang w:val="fr-FR"/>
              </w:rPr>
              <w:t>semaglutide</w:t>
            </w:r>
            <w:proofErr w:type="spellEnd"/>
            <w:proofErr w:type="gramEnd"/>
            <w:r w:rsidRPr="005F3F95">
              <w:rPr>
                <w:rFonts w:ascii="Arial Narrow" w:hAnsi="Arial Narrow"/>
                <w:snapToGrid w:val="0"/>
                <w:sz w:val="20"/>
                <w:szCs w:val="20"/>
                <w:lang w:val="fr-FR"/>
              </w:rPr>
              <w:t xml:space="preserve"> 1.7 mg/0.75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injection, 4 x 0.75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pen</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devices</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4BA16CAE"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NEW</w:t>
            </w:r>
          </w:p>
        </w:tc>
        <w:tc>
          <w:tcPr>
            <w:tcW w:w="815" w:type="dxa"/>
            <w:tcBorders>
              <w:top w:val="single" w:sz="4" w:space="0" w:color="auto"/>
              <w:left w:val="single" w:sz="4" w:space="0" w:color="auto"/>
              <w:bottom w:val="single" w:sz="4" w:space="0" w:color="auto"/>
              <w:right w:val="single" w:sz="4" w:space="0" w:color="auto"/>
            </w:tcBorders>
            <w:vAlign w:val="center"/>
            <w:hideMark/>
          </w:tcPr>
          <w:p w14:paraId="0AD3265B"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61732E0C"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4</w:t>
            </w:r>
          </w:p>
        </w:tc>
        <w:tc>
          <w:tcPr>
            <w:tcW w:w="815" w:type="dxa"/>
            <w:tcBorders>
              <w:top w:val="single" w:sz="4" w:space="0" w:color="auto"/>
              <w:left w:val="single" w:sz="4" w:space="0" w:color="auto"/>
              <w:bottom w:val="single" w:sz="4" w:space="0" w:color="auto"/>
              <w:right w:val="single" w:sz="4" w:space="0" w:color="auto"/>
            </w:tcBorders>
            <w:vAlign w:val="center"/>
            <w:hideMark/>
          </w:tcPr>
          <w:p w14:paraId="1ABA7D05"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5</w:t>
            </w:r>
          </w:p>
        </w:tc>
        <w:tc>
          <w:tcPr>
            <w:tcW w:w="1830" w:type="dxa"/>
            <w:vMerge/>
            <w:vAlign w:val="center"/>
            <w:hideMark/>
          </w:tcPr>
          <w:p w14:paraId="7F5AE98D" w14:textId="77777777" w:rsidR="00387639" w:rsidRPr="00387639" w:rsidRDefault="00387639" w:rsidP="008A0848">
            <w:pPr>
              <w:keepNext/>
              <w:jc w:val="left"/>
              <w:rPr>
                <w:rFonts w:ascii="Arial Narrow" w:hAnsi="Arial Narrow"/>
                <w:bCs/>
                <w:snapToGrid w:val="0"/>
                <w:sz w:val="20"/>
                <w:szCs w:val="20"/>
              </w:rPr>
            </w:pPr>
          </w:p>
        </w:tc>
      </w:tr>
      <w:tr w:rsidR="00387639" w:rsidRPr="00387639" w14:paraId="3BB2E8B3" w14:textId="77777777" w:rsidTr="002263C3">
        <w:trPr>
          <w:cantSplit/>
          <w:trHeight w:val="20"/>
        </w:trPr>
        <w:tc>
          <w:tcPr>
            <w:tcW w:w="3929" w:type="dxa"/>
            <w:gridSpan w:val="2"/>
            <w:tcBorders>
              <w:top w:val="single" w:sz="4" w:space="0" w:color="auto"/>
              <w:left w:val="single" w:sz="4" w:space="0" w:color="auto"/>
              <w:bottom w:val="single" w:sz="4" w:space="0" w:color="auto"/>
              <w:right w:val="single" w:sz="4" w:space="0" w:color="auto"/>
            </w:tcBorders>
            <w:vAlign w:val="center"/>
            <w:hideMark/>
          </w:tcPr>
          <w:p w14:paraId="7A73197B" w14:textId="77777777" w:rsidR="00387639" w:rsidRPr="005F3F95" w:rsidRDefault="00387639" w:rsidP="008A0848">
            <w:pPr>
              <w:keepNext/>
              <w:jc w:val="left"/>
              <w:rPr>
                <w:rFonts w:ascii="Arial Narrow" w:hAnsi="Arial Narrow"/>
                <w:snapToGrid w:val="0"/>
                <w:sz w:val="20"/>
                <w:szCs w:val="20"/>
                <w:lang w:val="fr-FR"/>
              </w:rPr>
            </w:pPr>
            <w:proofErr w:type="spellStart"/>
            <w:proofErr w:type="gramStart"/>
            <w:r w:rsidRPr="005F3F95">
              <w:rPr>
                <w:rFonts w:ascii="Arial Narrow" w:hAnsi="Arial Narrow"/>
                <w:snapToGrid w:val="0"/>
                <w:sz w:val="20"/>
                <w:szCs w:val="20"/>
                <w:lang w:val="fr-FR"/>
              </w:rPr>
              <w:t>semaglutide</w:t>
            </w:r>
            <w:proofErr w:type="spellEnd"/>
            <w:proofErr w:type="gramEnd"/>
            <w:r w:rsidRPr="005F3F95">
              <w:rPr>
                <w:rFonts w:ascii="Arial Narrow" w:hAnsi="Arial Narrow"/>
                <w:snapToGrid w:val="0"/>
                <w:sz w:val="20"/>
                <w:szCs w:val="20"/>
                <w:lang w:val="fr-FR"/>
              </w:rPr>
              <w:t xml:space="preserve"> 2.4 mg/0.75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injection, 4 x 0.75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pen</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devices</w:t>
            </w:r>
            <w:proofErr w:type="spellEnd"/>
          </w:p>
        </w:tc>
        <w:tc>
          <w:tcPr>
            <w:tcW w:w="814" w:type="dxa"/>
            <w:tcBorders>
              <w:top w:val="single" w:sz="4" w:space="0" w:color="auto"/>
              <w:left w:val="single" w:sz="4" w:space="0" w:color="auto"/>
              <w:bottom w:val="single" w:sz="4" w:space="0" w:color="auto"/>
              <w:right w:val="single" w:sz="4" w:space="0" w:color="auto"/>
            </w:tcBorders>
            <w:vAlign w:val="center"/>
            <w:hideMark/>
          </w:tcPr>
          <w:p w14:paraId="2CA574D4"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NEW</w:t>
            </w:r>
          </w:p>
        </w:tc>
        <w:tc>
          <w:tcPr>
            <w:tcW w:w="815" w:type="dxa"/>
            <w:tcBorders>
              <w:top w:val="single" w:sz="4" w:space="0" w:color="auto"/>
              <w:left w:val="single" w:sz="4" w:space="0" w:color="auto"/>
              <w:bottom w:val="single" w:sz="4" w:space="0" w:color="auto"/>
              <w:right w:val="single" w:sz="4" w:space="0" w:color="auto"/>
            </w:tcBorders>
            <w:vAlign w:val="center"/>
            <w:hideMark/>
          </w:tcPr>
          <w:p w14:paraId="627FA747"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1</w:t>
            </w:r>
          </w:p>
        </w:tc>
        <w:tc>
          <w:tcPr>
            <w:tcW w:w="814" w:type="dxa"/>
            <w:tcBorders>
              <w:top w:val="single" w:sz="4" w:space="0" w:color="auto"/>
              <w:left w:val="single" w:sz="4" w:space="0" w:color="auto"/>
              <w:bottom w:val="single" w:sz="4" w:space="0" w:color="auto"/>
              <w:right w:val="single" w:sz="4" w:space="0" w:color="auto"/>
            </w:tcBorders>
            <w:vAlign w:val="center"/>
            <w:hideMark/>
          </w:tcPr>
          <w:p w14:paraId="56414CD2"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4</w:t>
            </w:r>
          </w:p>
        </w:tc>
        <w:tc>
          <w:tcPr>
            <w:tcW w:w="815" w:type="dxa"/>
            <w:tcBorders>
              <w:top w:val="single" w:sz="4" w:space="0" w:color="auto"/>
              <w:left w:val="single" w:sz="4" w:space="0" w:color="auto"/>
              <w:bottom w:val="single" w:sz="4" w:space="0" w:color="auto"/>
              <w:right w:val="single" w:sz="4" w:space="0" w:color="auto"/>
            </w:tcBorders>
            <w:vAlign w:val="center"/>
            <w:hideMark/>
          </w:tcPr>
          <w:p w14:paraId="222D0210"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5</w:t>
            </w:r>
          </w:p>
        </w:tc>
        <w:tc>
          <w:tcPr>
            <w:tcW w:w="1830" w:type="dxa"/>
            <w:vMerge/>
            <w:vAlign w:val="center"/>
            <w:hideMark/>
          </w:tcPr>
          <w:p w14:paraId="33B4D743" w14:textId="77777777" w:rsidR="00387639" w:rsidRPr="00387639" w:rsidRDefault="00387639" w:rsidP="008A0848">
            <w:pPr>
              <w:keepNext/>
              <w:jc w:val="left"/>
              <w:rPr>
                <w:rFonts w:ascii="Arial Narrow" w:hAnsi="Arial Narrow"/>
                <w:bCs/>
                <w:snapToGrid w:val="0"/>
                <w:sz w:val="20"/>
                <w:szCs w:val="20"/>
              </w:rPr>
            </w:pPr>
          </w:p>
        </w:tc>
      </w:tr>
      <w:tr w:rsidR="00387639" w:rsidRPr="00387639" w14:paraId="6A91C6CA" w14:textId="77777777" w:rsidTr="002263C3">
        <w:trPr>
          <w:trHeight w:val="20"/>
        </w:trPr>
        <w:tc>
          <w:tcPr>
            <w:tcW w:w="9017"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996002E" w14:textId="77777777" w:rsidR="00387639" w:rsidRPr="00387639" w:rsidRDefault="00387639" w:rsidP="008A0848">
            <w:pPr>
              <w:keepNext/>
              <w:jc w:val="left"/>
              <w:rPr>
                <w:rFonts w:ascii="Arial Narrow" w:hAnsi="Arial Narrow"/>
                <w:bCs/>
                <w:snapToGrid w:val="0"/>
                <w:sz w:val="20"/>
                <w:szCs w:val="20"/>
              </w:rPr>
            </w:pPr>
          </w:p>
        </w:tc>
      </w:tr>
      <w:tr w:rsidR="00387639" w:rsidRPr="00387639" w14:paraId="6A65C28D" w14:textId="77777777" w:rsidTr="002263C3">
        <w:trPr>
          <w:trHeight w:val="20"/>
        </w:trPr>
        <w:tc>
          <w:tcPr>
            <w:tcW w:w="9017"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5842AAA"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 xml:space="preserve">Restriction Summary [new] / Treatment of Concept: [new] </w:t>
            </w:r>
          </w:p>
        </w:tc>
      </w:tr>
      <w:tr w:rsidR="00387639" w:rsidRPr="00387639" w14:paraId="69461323" w14:textId="77777777" w:rsidTr="002263C3">
        <w:trPr>
          <w:trHeight w:val="20"/>
        </w:trPr>
        <w:tc>
          <w:tcPr>
            <w:tcW w:w="1273"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CE592BB"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 xml:space="preserve">Concept ID </w:t>
            </w:r>
            <w:r w:rsidRPr="00387639">
              <w:rPr>
                <w:rFonts w:ascii="Arial Narrow" w:hAnsi="Arial Narrow"/>
                <w:bCs/>
                <w:snapToGrid w:val="0"/>
                <w:sz w:val="20"/>
                <w:szCs w:val="20"/>
              </w:rPr>
              <w:t>(for internal Dept. use)</w:t>
            </w: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E3B0545"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
                <w:bCs/>
                <w:snapToGrid w:val="0"/>
                <w:sz w:val="20"/>
                <w:szCs w:val="20"/>
              </w:rPr>
              <w:t xml:space="preserve">Category / Program: </w:t>
            </w:r>
            <w:r w:rsidRPr="00387639">
              <w:rPr>
                <w:rFonts w:ascii="Arial Narrow" w:hAnsi="Arial Narrow"/>
                <w:bCs/>
                <w:snapToGrid w:val="0"/>
                <w:sz w:val="20"/>
                <w:szCs w:val="20"/>
              </w:rPr>
              <w:t xml:space="preserve">GENERAL – General Schedule (Code GE) </w:t>
            </w:r>
          </w:p>
        </w:tc>
      </w:tr>
      <w:tr w:rsidR="00387639" w:rsidRPr="00387639" w14:paraId="6D16FDA8" w14:textId="77777777" w:rsidTr="002263C3">
        <w:trPr>
          <w:trHeight w:val="20"/>
        </w:trPr>
        <w:tc>
          <w:tcPr>
            <w:tcW w:w="1273" w:type="dxa"/>
            <w:vMerge/>
            <w:vAlign w:val="center"/>
            <w:hideMark/>
          </w:tcPr>
          <w:p w14:paraId="40591549" w14:textId="77777777" w:rsidR="00387639" w:rsidRPr="00387639" w:rsidRDefault="00387639" w:rsidP="008A0848">
            <w:pPr>
              <w:keepNext/>
              <w:jc w:val="left"/>
              <w:rPr>
                <w:rFonts w:ascii="Arial Narrow" w:hAnsi="Arial Narrow"/>
                <w:b/>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9256C1"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 xml:space="preserve">Prescriber type: </w:t>
            </w:r>
            <w:r w:rsidRPr="00387639">
              <w:rPr>
                <w:rFonts w:ascii="Arial Narrow" w:hAnsi="Arial Narrow"/>
                <w:bCs/>
                <w:snapToGrid w:val="0"/>
                <w:sz w:val="20"/>
                <w:szCs w:val="20"/>
              </w:rPr>
              <w:fldChar w:fldCharType="begin">
                <w:ffData>
                  <w:name w:val=""/>
                  <w:enabled/>
                  <w:calcOnExit w:val="0"/>
                  <w:checkBox>
                    <w:sizeAuto/>
                    <w:default w:val="1"/>
                  </w:checkBox>
                </w:ffData>
              </w:fldChar>
            </w:r>
            <w:r w:rsidRPr="00387639">
              <w:rPr>
                <w:rFonts w:ascii="Arial Narrow" w:hAnsi="Arial Narrow"/>
                <w:bCs/>
                <w:snapToGrid w:val="0"/>
                <w:sz w:val="20"/>
                <w:szCs w:val="20"/>
              </w:rPr>
              <w:instrText xml:space="preserve"> FORMCHECKBOX </w:instrText>
            </w:r>
            <w:r w:rsidRPr="00387639">
              <w:rPr>
                <w:rFonts w:ascii="Arial Narrow" w:hAnsi="Arial Narrow"/>
                <w:bCs/>
                <w:snapToGrid w:val="0"/>
                <w:sz w:val="20"/>
                <w:szCs w:val="20"/>
              </w:rPr>
            </w:r>
            <w:r w:rsidRPr="00387639">
              <w:rPr>
                <w:rFonts w:ascii="Arial Narrow" w:hAnsi="Arial Narrow"/>
                <w:bCs/>
                <w:snapToGrid w:val="0"/>
                <w:sz w:val="20"/>
                <w:szCs w:val="20"/>
              </w:rPr>
              <w:fldChar w:fldCharType="separate"/>
            </w:r>
            <w:r w:rsidRPr="00387639">
              <w:rPr>
                <w:rFonts w:ascii="Arial Narrow" w:hAnsi="Arial Narrow"/>
                <w:bCs/>
                <w:snapToGrid w:val="0"/>
                <w:sz w:val="20"/>
                <w:szCs w:val="20"/>
              </w:rPr>
              <w:fldChar w:fldCharType="end"/>
            </w:r>
            <w:r w:rsidRPr="00387639">
              <w:rPr>
                <w:rFonts w:ascii="Arial Narrow" w:hAnsi="Arial Narrow"/>
                <w:bCs/>
                <w:snapToGrid w:val="0"/>
                <w:sz w:val="20"/>
                <w:szCs w:val="20"/>
              </w:rPr>
              <w:t xml:space="preserve">Medical Practitioners </w:t>
            </w:r>
            <w:r w:rsidRPr="00387639">
              <w:rPr>
                <w:rFonts w:ascii="Arial Narrow" w:hAnsi="Arial Narrow"/>
                <w:bCs/>
                <w:snapToGrid w:val="0"/>
                <w:sz w:val="20"/>
                <w:szCs w:val="20"/>
              </w:rPr>
              <w:fldChar w:fldCharType="begin">
                <w:ffData>
                  <w:name w:val=""/>
                  <w:enabled/>
                  <w:calcOnExit w:val="0"/>
                  <w:checkBox>
                    <w:sizeAuto/>
                    <w:default w:val="1"/>
                  </w:checkBox>
                </w:ffData>
              </w:fldChar>
            </w:r>
            <w:r w:rsidRPr="00387639">
              <w:rPr>
                <w:rFonts w:ascii="Arial Narrow" w:hAnsi="Arial Narrow"/>
                <w:bCs/>
                <w:snapToGrid w:val="0"/>
                <w:sz w:val="20"/>
                <w:szCs w:val="20"/>
              </w:rPr>
              <w:instrText xml:space="preserve"> FORMCHECKBOX </w:instrText>
            </w:r>
            <w:r w:rsidRPr="00387639">
              <w:rPr>
                <w:rFonts w:ascii="Arial Narrow" w:hAnsi="Arial Narrow"/>
                <w:bCs/>
                <w:snapToGrid w:val="0"/>
                <w:sz w:val="20"/>
                <w:szCs w:val="20"/>
              </w:rPr>
            </w:r>
            <w:r w:rsidRPr="00387639">
              <w:rPr>
                <w:rFonts w:ascii="Arial Narrow" w:hAnsi="Arial Narrow"/>
                <w:bCs/>
                <w:snapToGrid w:val="0"/>
                <w:sz w:val="20"/>
                <w:szCs w:val="20"/>
              </w:rPr>
              <w:fldChar w:fldCharType="separate"/>
            </w:r>
            <w:r w:rsidRPr="00387639">
              <w:rPr>
                <w:rFonts w:ascii="Arial Narrow" w:hAnsi="Arial Narrow"/>
                <w:bCs/>
                <w:snapToGrid w:val="0"/>
                <w:sz w:val="20"/>
                <w:szCs w:val="20"/>
              </w:rPr>
              <w:fldChar w:fldCharType="end"/>
            </w:r>
            <w:r w:rsidRPr="00387639">
              <w:rPr>
                <w:rFonts w:ascii="Arial Narrow" w:hAnsi="Arial Narrow"/>
                <w:bCs/>
                <w:snapToGrid w:val="0"/>
                <w:sz w:val="20"/>
                <w:szCs w:val="20"/>
              </w:rPr>
              <w:t>Nurse Practitioners</w:t>
            </w:r>
          </w:p>
        </w:tc>
      </w:tr>
      <w:tr w:rsidR="00387639" w:rsidRPr="00387639" w14:paraId="0FCE5E14" w14:textId="77777777" w:rsidTr="002263C3">
        <w:trPr>
          <w:trHeight w:val="20"/>
        </w:trPr>
        <w:tc>
          <w:tcPr>
            <w:tcW w:w="1273" w:type="dxa"/>
            <w:vMerge/>
            <w:vAlign w:val="center"/>
            <w:hideMark/>
          </w:tcPr>
          <w:p w14:paraId="260E042E" w14:textId="77777777" w:rsidR="00387639" w:rsidRPr="00387639" w:rsidRDefault="00387639" w:rsidP="008A0848">
            <w:pPr>
              <w:keepNext/>
              <w:jc w:val="left"/>
              <w:rPr>
                <w:rFonts w:ascii="Arial Narrow" w:hAnsi="Arial Narrow"/>
                <w:b/>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C30CCA"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
                <w:bCs/>
                <w:snapToGrid w:val="0"/>
                <w:sz w:val="20"/>
                <w:szCs w:val="20"/>
              </w:rPr>
              <w:t xml:space="preserve">Restriction type: </w:t>
            </w:r>
            <w:r w:rsidRPr="00387639">
              <w:rPr>
                <w:rFonts w:ascii="Arial Narrow" w:hAnsi="Arial Narrow"/>
                <w:bCs/>
                <w:snapToGrid w:val="0"/>
                <w:sz w:val="20"/>
                <w:szCs w:val="20"/>
              </w:rPr>
              <w:fldChar w:fldCharType="begin">
                <w:ffData>
                  <w:name w:val=""/>
                  <w:enabled/>
                  <w:calcOnExit w:val="0"/>
                  <w:checkBox>
                    <w:sizeAuto/>
                    <w:default w:val="1"/>
                  </w:checkBox>
                </w:ffData>
              </w:fldChar>
            </w:r>
            <w:r w:rsidRPr="00387639">
              <w:rPr>
                <w:rFonts w:ascii="Arial Narrow" w:hAnsi="Arial Narrow"/>
                <w:bCs/>
                <w:snapToGrid w:val="0"/>
                <w:sz w:val="20"/>
                <w:szCs w:val="20"/>
              </w:rPr>
              <w:instrText xml:space="preserve"> FORMCHECKBOX </w:instrText>
            </w:r>
            <w:r w:rsidRPr="00387639">
              <w:rPr>
                <w:rFonts w:ascii="Arial Narrow" w:hAnsi="Arial Narrow"/>
                <w:bCs/>
                <w:snapToGrid w:val="0"/>
                <w:sz w:val="20"/>
                <w:szCs w:val="20"/>
              </w:rPr>
            </w:r>
            <w:r w:rsidRPr="00387639">
              <w:rPr>
                <w:rFonts w:ascii="Arial Narrow" w:hAnsi="Arial Narrow"/>
                <w:bCs/>
                <w:snapToGrid w:val="0"/>
                <w:sz w:val="20"/>
                <w:szCs w:val="20"/>
              </w:rPr>
              <w:fldChar w:fldCharType="separate"/>
            </w:r>
            <w:r w:rsidRPr="00387639">
              <w:rPr>
                <w:rFonts w:ascii="Arial Narrow" w:hAnsi="Arial Narrow"/>
                <w:bCs/>
                <w:snapToGrid w:val="0"/>
                <w:sz w:val="20"/>
                <w:szCs w:val="20"/>
              </w:rPr>
              <w:fldChar w:fldCharType="end"/>
            </w:r>
            <w:r w:rsidRPr="00387639">
              <w:rPr>
                <w:rFonts w:ascii="Arial Narrow" w:hAnsi="Arial Narrow"/>
                <w:bCs/>
                <w:snapToGrid w:val="0"/>
                <w:sz w:val="20"/>
                <w:szCs w:val="20"/>
              </w:rPr>
              <w:t xml:space="preserve"> Authority Required (telephone/online PBS Authorities system)</w:t>
            </w:r>
          </w:p>
        </w:tc>
      </w:tr>
      <w:tr w:rsidR="00387639" w:rsidRPr="00387639" w14:paraId="31F1C536" w14:textId="77777777" w:rsidTr="002263C3">
        <w:trPr>
          <w:cantSplit/>
          <w:trHeight w:val="20"/>
        </w:trPr>
        <w:tc>
          <w:tcPr>
            <w:tcW w:w="12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7AFBDDB0" w14:textId="77777777" w:rsidR="00387639" w:rsidRPr="00387639" w:rsidRDefault="00387639" w:rsidP="008A0848">
            <w:pPr>
              <w:keepNext/>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2B74912A"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 xml:space="preserve">Prescribing rule level:  </w:t>
            </w:r>
          </w:p>
        </w:tc>
      </w:tr>
      <w:tr w:rsidR="00387639" w:rsidRPr="00387639" w14:paraId="5B5EFB36" w14:textId="77777777" w:rsidTr="00C66ECB">
        <w:trPr>
          <w:cantSplit/>
          <w:trHeight w:val="20"/>
        </w:trPr>
        <w:tc>
          <w:tcPr>
            <w:tcW w:w="12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3277100" w14:textId="33DD6D33" w:rsidR="00387639" w:rsidRPr="00387639" w:rsidRDefault="00387639" w:rsidP="008A0848">
            <w:pPr>
              <w:keepNext/>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B26D24F"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 xml:space="preserve">Administrative Advice: </w:t>
            </w:r>
            <w:r w:rsidRPr="00387639">
              <w:rPr>
                <w:rFonts w:ascii="Arial Narrow" w:hAnsi="Arial Narrow"/>
                <w:bCs/>
                <w:snapToGrid w:val="0"/>
                <w:sz w:val="20"/>
                <w:szCs w:val="20"/>
              </w:rPr>
              <w:t>No increase in the maximum quantity or number of units may be authorised.</w:t>
            </w:r>
          </w:p>
        </w:tc>
      </w:tr>
      <w:tr w:rsidR="00387639" w:rsidRPr="00387639" w14:paraId="6830C21E" w14:textId="77777777" w:rsidTr="00C66ECB">
        <w:trPr>
          <w:cantSplit/>
          <w:trHeight w:val="20"/>
        </w:trPr>
        <w:tc>
          <w:tcPr>
            <w:tcW w:w="12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5D830A4" w14:textId="3F237F71" w:rsidR="00387639" w:rsidRPr="00387639" w:rsidRDefault="00387639" w:rsidP="008A0848">
            <w:pPr>
              <w:keepNext/>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31CEDE3E"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 xml:space="preserve">Administrative Advice: </w:t>
            </w:r>
            <w:r w:rsidRPr="00387639">
              <w:rPr>
                <w:rFonts w:ascii="Arial Narrow" w:hAnsi="Arial Narrow"/>
                <w:bCs/>
                <w:snapToGrid w:val="0"/>
                <w:sz w:val="20"/>
                <w:szCs w:val="20"/>
              </w:rPr>
              <w:t>No increase in the maximum number of repeats may be authorised.</w:t>
            </w:r>
          </w:p>
        </w:tc>
      </w:tr>
      <w:tr w:rsidR="00387639" w:rsidRPr="00387639" w14:paraId="3916611D" w14:textId="77777777" w:rsidTr="00C66ECB">
        <w:trPr>
          <w:cantSplit/>
          <w:trHeight w:val="20"/>
        </w:trPr>
        <w:tc>
          <w:tcPr>
            <w:tcW w:w="12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193F1AF" w14:textId="307C8DA7" w:rsidR="00387639" w:rsidRPr="00387639" w:rsidRDefault="00387639" w:rsidP="008A0848">
            <w:pPr>
              <w:keepNext/>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13AB98EC"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 xml:space="preserve">Administrative Advice: </w:t>
            </w:r>
            <w:r w:rsidRPr="00387639">
              <w:rPr>
                <w:rFonts w:ascii="Arial Narrow" w:hAnsi="Arial Narrow"/>
                <w:bCs/>
                <w:snapToGrid w:val="0"/>
                <w:sz w:val="20"/>
                <w:szCs w:val="20"/>
              </w:rPr>
              <w:t>Special Pricing Arrangements apply.</w:t>
            </w:r>
          </w:p>
        </w:tc>
      </w:tr>
      <w:tr w:rsidR="00387639" w:rsidRPr="00387639" w14:paraId="5868CA56" w14:textId="77777777" w:rsidTr="00C66ECB">
        <w:trPr>
          <w:cantSplit/>
          <w:trHeight w:val="20"/>
        </w:trPr>
        <w:tc>
          <w:tcPr>
            <w:tcW w:w="12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A986509" w14:textId="35530008" w:rsidR="00387639" w:rsidRPr="00387639" w:rsidRDefault="00387639" w:rsidP="008A0848">
            <w:pPr>
              <w:keepNext/>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68D965"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Indication:</w:t>
            </w:r>
            <w:r w:rsidRPr="00387639">
              <w:rPr>
                <w:rFonts w:ascii="Arial Narrow" w:hAnsi="Arial Narrow"/>
                <w:bCs/>
                <w:snapToGrid w:val="0"/>
                <w:sz w:val="20"/>
                <w:szCs w:val="20"/>
              </w:rPr>
              <w:t xml:space="preserve"> Established atherosclerotic cardiovascular disease (</w:t>
            </w:r>
            <w:proofErr w:type="spellStart"/>
            <w:r w:rsidRPr="00387639">
              <w:rPr>
                <w:rFonts w:ascii="Arial Narrow" w:hAnsi="Arial Narrow"/>
                <w:bCs/>
                <w:snapToGrid w:val="0"/>
                <w:sz w:val="20"/>
                <w:szCs w:val="20"/>
              </w:rPr>
              <w:t>eASCVD</w:t>
            </w:r>
            <w:proofErr w:type="spellEnd"/>
            <w:r w:rsidRPr="00387639">
              <w:rPr>
                <w:rFonts w:ascii="Arial Narrow" w:hAnsi="Arial Narrow"/>
                <w:bCs/>
                <w:snapToGrid w:val="0"/>
                <w:sz w:val="20"/>
                <w:szCs w:val="20"/>
              </w:rPr>
              <w:t>)</w:t>
            </w:r>
          </w:p>
        </w:tc>
      </w:tr>
      <w:tr w:rsidR="00387639" w:rsidRPr="00387639" w14:paraId="4A657FCA" w14:textId="77777777" w:rsidTr="00C66ECB">
        <w:trPr>
          <w:cantSplit/>
          <w:trHeight w:val="20"/>
        </w:trPr>
        <w:tc>
          <w:tcPr>
            <w:tcW w:w="12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7272C7E" w14:textId="77777777" w:rsidR="00387639" w:rsidRPr="00387639" w:rsidRDefault="00387639" w:rsidP="008A0848">
            <w:pPr>
              <w:keepNext/>
              <w:jc w:val="left"/>
              <w:rPr>
                <w:rFonts w:ascii="Arial Narrow" w:hAnsi="Arial Narrow"/>
                <w:b/>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4E2C327"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
                <w:bCs/>
                <w:snapToGrid w:val="0"/>
                <w:sz w:val="20"/>
                <w:szCs w:val="20"/>
              </w:rPr>
              <w:t>Treatment Phase:</w:t>
            </w:r>
            <w:r w:rsidRPr="00387639">
              <w:rPr>
                <w:rFonts w:ascii="Arial Narrow" w:hAnsi="Arial Narrow"/>
                <w:bCs/>
                <w:snapToGrid w:val="0"/>
                <w:sz w:val="20"/>
                <w:szCs w:val="20"/>
              </w:rPr>
              <w:t xml:space="preserve"> Continuing Treatment </w:t>
            </w:r>
          </w:p>
        </w:tc>
      </w:tr>
      <w:tr w:rsidR="00387639" w:rsidRPr="00387639" w14:paraId="0C2DEFB4" w14:textId="77777777" w:rsidTr="00C66ECB">
        <w:trPr>
          <w:cantSplit/>
          <w:trHeight w:val="20"/>
        </w:trPr>
        <w:tc>
          <w:tcPr>
            <w:tcW w:w="12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2E4534E" w14:textId="4C350DDE" w:rsidR="00387639" w:rsidRPr="00387639" w:rsidRDefault="00387639" w:rsidP="008A0848">
            <w:pPr>
              <w:keepNext/>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5CB8E4"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Clinical criteria:</w:t>
            </w:r>
          </w:p>
        </w:tc>
      </w:tr>
      <w:tr w:rsidR="00387639" w:rsidRPr="00387639" w14:paraId="00672056" w14:textId="77777777" w:rsidTr="00C66ECB">
        <w:trPr>
          <w:cantSplit/>
          <w:trHeight w:val="20"/>
        </w:trPr>
        <w:tc>
          <w:tcPr>
            <w:tcW w:w="12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9517D05" w14:textId="2A61EB1F" w:rsidR="00387639" w:rsidRPr="00387639" w:rsidRDefault="00387639" w:rsidP="008A0848">
            <w:pPr>
              <w:keepNext/>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35FE3D"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Patient must have previously received PBS-subsidised treatment with this drug for this condition </w:t>
            </w:r>
          </w:p>
        </w:tc>
      </w:tr>
      <w:tr w:rsidR="00387639" w:rsidRPr="00387639" w14:paraId="6F6C7D73" w14:textId="77777777" w:rsidTr="002263C3">
        <w:trPr>
          <w:cantSplit/>
          <w:trHeight w:val="20"/>
        </w:trPr>
        <w:tc>
          <w:tcPr>
            <w:tcW w:w="12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F50433C" w14:textId="77777777" w:rsidR="00387639" w:rsidRPr="00387639" w:rsidRDefault="00387639" w:rsidP="008A0848">
            <w:pPr>
              <w:keepNext/>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300CEC"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AND</w:t>
            </w:r>
          </w:p>
        </w:tc>
      </w:tr>
      <w:tr w:rsidR="00387639" w:rsidRPr="00387639" w14:paraId="6F000D71" w14:textId="77777777" w:rsidTr="00C66ECB">
        <w:trPr>
          <w:cantSplit/>
          <w:trHeight w:val="20"/>
        </w:trPr>
        <w:tc>
          <w:tcPr>
            <w:tcW w:w="12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0158E42" w14:textId="0985C634" w:rsidR="00387639" w:rsidRPr="00387639" w:rsidRDefault="00387639" w:rsidP="008A0848">
            <w:pPr>
              <w:keepNext/>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FF522B"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 xml:space="preserve">Clinical criteria: </w:t>
            </w:r>
          </w:p>
        </w:tc>
      </w:tr>
      <w:tr w:rsidR="00387639" w:rsidRPr="00387639" w14:paraId="69513127" w14:textId="77777777" w:rsidTr="002263C3">
        <w:trPr>
          <w:cantSplit/>
          <w:trHeight w:val="20"/>
        </w:trPr>
        <w:tc>
          <w:tcPr>
            <w:tcW w:w="12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0108F60" w14:textId="77777777" w:rsidR="00387639" w:rsidRPr="00387639" w:rsidRDefault="00387639" w:rsidP="008A0848">
            <w:pPr>
              <w:keepNext/>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659424C"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Cs/>
                <w:snapToGrid w:val="0"/>
                <w:sz w:val="20"/>
                <w:szCs w:val="20"/>
              </w:rPr>
              <w:t>Patient must have completed the initial dose titration period with this drug for this condition</w:t>
            </w:r>
          </w:p>
        </w:tc>
      </w:tr>
      <w:tr w:rsidR="00387639" w:rsidRPr="00387639" w14:paraId="5AD3D7E3" w14:textId="77777777" w:rsidTr="00C66ECB">
        <w:trPr>
          <w:cantSplit/>
          <w:trHeight w:val="20"/>
        </w:trPr>
        <w:tc>
          <w:tcPr>
            <w:tcW w:w="12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D7934F" w14:textId="6C11665F" w:rsidR="00387639" w:rsidRPr="00387639" w:rsidRDefault="00387639" w:rsidP="008A0848">
            <w:pPr>
              <w:keepNext/>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3B3E59"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Treatment criteria:</w:t>
            </w:r>
          </w:p>
        </w:tc>
      </w:tr>
      <w:tr w:rsidR="00387639" w:rsidRPr="00387639" w14:paraId="73518F98" w14:textId="77777777" w:rsidTr="002263C3">
        <w:trPr>
          <w:cantSplit/>
          <w:trHeight w:val="20"/>
        </w:trPr>
        <w:tc>
          <w:tcPr>
            <w:tcW w:w="12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C0E0D8A" w14:textId="77777777" w:rsidR="00387639" w:rsidRPr="00387639" w:rsidRDefault="00387639" w:rsidP="008A0848">
            <w:pPr>
              <w:keepNext/>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2A1418" w14:textId="41DBE728"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Cs/>
                <w:snapToGrid w:val="0"/>
                <w:sz w:val="20"/>
                <w:szCs w:val="20"/>
              </w:rPr>
              <w:t>Patient must not be undergoing concomitant PBS-subsidised treatment with any of: (i) a</w:t>
            </w:r>
            <w:r w:rsidR="005C7C31">
              <w:rPr>
                <w:rFonts w:ascii="Arial Narrow" w:hAnsi="Arial Narrow"/>
                <w:bCs/>
                <w:snapToGrid w:val="0"/>
                <w:sz w:val="20"/>
                <w:szCs w:val="20"/>
              </w:rPr>
              <w:t>nother</w:t>
            </w:r>
            <w:r w:rsidRPr="00387639">
              <w:rPr>
                <w:rFonts w:ascii="Arial Narrow" w:hAnsi="Arial Narrow"/>
                <w:bCs/>
                <w:snapToGrid w:val="0"/>
                <w:sz w:val="20"/>
                <w:szCs w:val="20"/>
              </w:rPr>
              <w:t xml:space="preserve"> GLP-1 receptor agonist (ii) a DPP4 inhibitor </w:t>
            </w:r>
          </w:p>
        </w:tc>
      </w:tr>
      <w:tr w:rsidR="00387639" w:rsidRPr="00387639" w14:paraId="66455AB2" w14:textId="77777777" w:rsidTr="00C66ECB">
        <w:trPr>
          <w:cantSplit/>
          <w:trHeight w:val="20"/>
        </w:trPr>
        <w:tc>
          <w:tcPr>
            <w:tcW w:w="12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AFEA0E0" w14:textId="72912E2A" w:rsidR="00387639" w:rsidRPr="00387639" w:rsidRDefault="00387639" w:rsidP="008A0848">
            <w:pPr>
              <w:keepNext/>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6E5F28"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
                <w:bCs/>
                <w:snapToGrid w:val="0"/>
                <w:sz w:val="20"/>
                <w:szCs w:val="20"/>
              </w:rPr>
              <w:t xml:space="preserve">Treatment criteria: </w:t>
            </w:r>
          </w:p>
        </w:tc>
      </w:tr>
      <w:tr w:rsidR="00387639" w:rsidRPr="00387639" w14:paraId="2A886AA2" w14:textId="77777777" w:rsidTr="002263C3">
        <w:trPr>
          <w:cantSplit/>
          <w:trHeight w:val="20"/>
        </w:trPr>
        <w:tc>
          <w:tcPr>
            <w:tcW w:w="12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DB53E5A" w14:textId="77777777" w:rsidR="00387639" w:rsidRPr="00387639" w:rsidRDefault="00387639" w:rsidP="008A0848">
            <w:pPr>
              <w:keepNext/>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D25B472"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The treatment must be used in conjunction with standard of care associated with both (i) the management of CVD and (ii) the prevention of future CV events, including dietary therapy and exercise</w:t>
            </w:r>
          </w:p>
        </w:tc>
      </w:tr>
      <w:tr w:rsidR="00387639" w:rsidRPr="00387639" w14:paraId="49BCCD06" w14:textId="77777777" w:rsidTr="00C66ECB">
        <w:trPr>
          <w:cantSplit/>
          <w:trHeight w:val="20"/>
        </w:trPr>
        <w:tc>
          <w:tcPr>
            <w:tcW w:w="12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E6F8E03" w14:textId="46A4F193" w:rsidR="00387639" w:rsidRPr="00387639" w:rsidRDefault="00387639" w:rsidP="008A0848">
            <w:pPr>
              <w:keepNext/>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8A7D5AB"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
                <w:bCs/>
                <w:snapToGrid w:val="0"/>
                <w:sz w:val="20"/>
                <w:szCs w:val="20"/>
              </w:rPr>
              <w:t>Population criteria:</w:t>
            </w:r>
          </w:p>
        </w:tc>
      </w:tr>
      <w:tr w:rsidR="00387639" w:rsidRPr="00387639" w14:paraId="6D3D6CC3" w14:textId="77777777" w:rsidTr="00C66ECB">
        <w:trPr>
          <w:cantSplit/>
          <w:trHeight w:val="20"/>
        </w:trPr>
        <w:tc>
          <w:tcPr>
            <w:tcW w:w="12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B123917" w14:textId="40D47908" w:rsidR="00387639" w:rsidRPr="00387639" w:rsidRDefault="00387639" w:rsidP="008A0848">
            <w:pPr>
              <w:keepNext/>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25265C"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Patient must be at least 18 years of age</w:t>
            </w:r>
          </w:p>
        </w:tc>
      </w:tr>
      <w:tr w:rsidR="002263C3" w:rsidRPr="00387639" w14:paraId="68CA1530" w14:textId="77777777" w:rsidTr="00C66ECB">
        <w:trPr>
          <w:cantSplit/>
          <w:trHeight w:val="20"/>
        </w:trPr>
        <w:tc>
          <w:tcPr>
            <w:tcW w:w="1273"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88270C5" w14:textId="3233FF93" w:rsidR="002263C3" w:rsidRPr="00387639" w:rsidRDefault="002263C3" w:rsidP="00387639">
            <w:pPr>
              <w:jc w:val="left"/>
              <w:rPr>
                <w:rFonts w:ascii="Arial Narrow" w:hAnsi="Arial Narrow"/>
                <w:bCs/>
                <w:snapToGrid w:val="0"/>
                <w:sz w:val="20"/>
                <w:szCs w:val="20"/>
              </w:rPr>
            </w:pPr>
          </w:p>
        </w:tc>
        <w:tc>
          <w:tcPr>
            <w:tcW w:w="7744"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1DF893" w14:textId="77777777" w:rsidR="002263C3" w:rsidRPr="00387639" w:rsidRDefault="002263C3" w:rsidP="00387639">
            <w:pPr>
              <w:jc w:val="left"/>
              <w:rPr>
                <w:rFonts w:ascii="Arial Narrow" w:hAnsi="Arial Narrow"/>
                <w:b/>
                <w:bCs/>
                <w:snapToGrid w:val="0"/>
                <w:sz w:val="20"/>
                <w:szCs w:val="20"/>
              </w:rPr>
            </w:pPr>
            <w:r w:rsidRPr="00387639">
              <w:rPr>
                <w:rFonts w:ascii="Arial Narrow" w:hAnsi="Arial Narrow"/>
                <w:b/>
                <w:bCs/>
                <w:snapToGrid w:val="0"/>
                <w:sz w:val="20"/>
                <w:szCs w:val="20"/>
              </w:rPr>
              <w:t>Prescribing instructions:</w:t>
            </w:r>
          </w:p>
          <w:p w14:paraId="3138BD7C" w14:textId="32DDEE25" w:rsidR="002263C3" w:rsidRPr="00387639" w:rsidRDefault="002263C3" w:rsidP="0A99B0B1">
            <w:pPr>
              <w:jc w:val="left"/>
              <w:rPr>
                <w:rFonts w:ascii="Arial Narrow" w:hAnsi="Arial Narrow"/>
                <w:snapToGrid w:val="0"/>
                <w:sz w:val="20"/>
                <w:szCs w:val="20"/>
              </w:rPr>
            </w:pPr>
            <w:r w:rsidRPr="00387639">
              <w:rPr>
                <w:rFonts w:ascii="Arial Narrow" w:hAnsi="Arial Narrow"/>
                <w:bCs/>
                <w:snapToGrid w:val="0"/>
                <w:sz w:val="20"/>
                <w:szCs w:val="20"/>
              </w:rPr>
              <w:t>Prescriber must ensure that patients are only receiving PBS subsidised treatment with one presentation of the maintenance dose of this drug at a time.</w:t>
            </w:r>
          </w:p>
        </w:tc>
      </w:tr>
    </w:tbl>
    <w:p w14:paraId="7AE75D86" w14:textId="77777777" w:rsidR="00387639" w:rsidRPr="00387639" w:rsidRDefault="00387639" w:rsidP="00387639">
      <w:pPr>
        <w:jc w:val="left"/>
        <w:rPr>
          <w:rFonts w:ascii="Arial Narrow" w:hAnsi="Arial Narrow"/>
          <w:bCs/>
          <w:snapToGrid w:val="0"/>
          <w:sz w:val="20"/>
          <w:szCs w:val="20"/>
        </w:rPr>
      </w:pPr>
    </w:p>
    <w:p w14:paraId="18FBC7DB"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lastRenderedPageBreak/>
        <w:t>Grandfather treatment (maintenance doses):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Grandfather treatment (maintenance doses):"/>
      </w:tblPr>
      <w:tblGrid>
        <w:gridCol w:w="1272"/>
        <w:gridCol w:w="2668"/>
        <w:gridCol w:w="811"/>
        <w:gridCol w:w="812"/>
        <w:gridCol w:w="811"/>
        <w:gridCol w:w="812"/>
        <w:gridCol w:w="1831"/>
      </w:tblGrid>
      <w:tr w:rsidR="00387639" w:rsidRPr="00387639" w14:paraId="1AFDEE0F" w14:textId="77777777" w:rsidTr="00387639">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0E2EDEE0"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MEDICINAL PRODUCT</w:t>
            </w:r>
          </w:p>
          <w:p w14:paraId="3728E156"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36596F4B"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200F5BED"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0846581C"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0DAEE8D1" w14:textId="77777777" w:rsidR="00387639" w:rsidRPr="00387639" w:rsidRDefault="00387639" w:rsidP="008A0848">
            <w:pPr>
              <w:keepNext/>
              <w:jc w:val="left"/>
              <w:rPr>
                <w:rFonts w:ascii="Arial Narrow" w:hAnsi="Arial Narrow"/>
                <w:b/>
                <w:bCs/>
                <w:snapToGrid w:val="0"/>
                <w:sz w:val="20"/>
                <w:szCs w:val="20"/>
              </w:rPr>
            </w:pPr>
            <w:r w:rsidRPr="00387639">
              <w:rPr>
                <w:rFonts w:ascii="Arial Narrow" w:hAnsi="Arial Narrow"/>
                <w:b/>
                <w:bCs/>
                <w:snapToGrid w:val="0"/>
                <w:sz w:val="20"/>
                <w:szCs w:val="20"/>
              </w:rPr>
              <w:t>№. of</w:t>
            </w:r>
          </w:p>
          <w:p w14:paraId="0A2647B6" w14:textId="77777777" w:rsidR="00387639" w:rsidRPr="00387639" w:rsidRDefault="00387639" w:rsidP="008A0848">
            <w:pPr>
              <w:keepNext/>
              <w:jc w:val="left"/>
              <w:rPr>
                <w:rFonts w:ascii="Arial Narrow" w:hAnsi="Arial Narrow"/>
                <w:b/>
                <w:bCs/>
                <w:snapToGrid w:val="0"/>
                <w:sz w:val="20"/>
                <w:szCs w:val="20"/>
              </w:rPr>
            </w:pPr>
            <w:proofErr w:type="spellStart"/>
            <w:r w:rsidRPr="00387639">
              <w:rPr>
                <w:rFonts w:ascii="Arial Narrow" w:hAnsi="Arial Narrow"/>
                <w:b/>
                <w:bCs/>
                <w:snapToGrid w:val="0"/>
                <w:sz w:val="20"/>
                <w:szCs w:val="20"/>
              </w:rPr>
              <w:t>Rpts</w:t>
            </w:r>
            <w:proofErr w:type="spellEnd"/>
          </w:p>
        </w:tc>
        <w:tc>
          <w:tcPr>
            <w:tcW w:w="1831" w:type="dxa"/>
            <w:tcBorders>
              <w:top w:val="single" w:sz="4" w:space="0" w:color="auto"/>
              <w:left w:val="single" w:sz="4" w:space="0" w:color="auto"/>
              <w:bottom w:val="single" w:sz="4" w:space="0" w:color="auto"/>
              <w:right w:val="single" w:sz="4" w:space="0" w:color="auto"/>
            </w:tcBorders>
            <w:vAlign w:val="center"/>
            <w:hideMark/>
          </w:tcPr>
          <w:p w14:paraId="7999C3EA" w14:textId="77777777" w:rsidR="00387639" w:rsidRPr="00387639" w:rsidRDefault="00387639" w:rsidP="008A0848">
            <w:pPr>
              <w:keepNext/>
              <w:jc w:val="left"/>
              <w:rPr>
                <w:rFonts w:ascii="Arial Narrow" w:hAnsi="Arial Narrow"/>
                <w:b/>
                <w:bCs/>
                <w:snapToGrid w:val="0"/>
                <w:sz w:val="20"/>
                <w:szCs w:val="20"/>
                <w:lang w:val="fr-FR"/>
              </w:rPr>
            </w:pPr>
            <w:r w:rsidRPr="00387639">
              <w:rPr>
                <w:rFonts w:ascii="Arial Narrow" w:hAnsi="Arial Narrow"/>
                <w:b/>
                <w:bCs/>
                <w:snapToGrid w:val="0"/>
                <w:sz w:val="20"/>
                <w:szCs w:val="20"/>
              </w:rPr>
              <w:t>Available brands</w:t>
            </w:r>
          </w:p>
        </w:tc>
      </w:tr>
      <w:tr w:rsidR="00387639" w:rsidRPr="00387639" w14:paraId="6360E09D" w14:textId="77777777" w:rsidTr="00387639">
        <w:trPr>
          <w:cantSplit/>
          <w:trHeight w:val="20"/>
        </w:trPr>
        <w:tc>
          <w:tcPr>
            <w:tcW w:w="9016" w:type="dxa"/>
            <w:gridSpan w:val="7"/>
            <w:tcBorders>
              <w:top w:val="single" w:sz="4" w:space="0" w:color="auto"/>
              <w:left w:val="single" w:sz="4" w:space="0" w:color="auto"/>
              <w:bottom w:val="single" w:sz="4" w:space="0" w:color="auto"/>
              <w:right w:val="single" w:sz="4" w:space="0" w:color="auto"/>
            </w:tcBorders>
            <w:vAlign w:val="center"/>
            <w:hideMark/>
          </w:tcPr>
          <w:p w14:paraId="1AA26747"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SEMAGLUTIDE</w:t>
            </w:r>
          </w:p>
        </w:tc>
      </w:tr>
      <w:tr w:rsidR="00387639" w:rsidRPr="00387639" w14:paraId="4C1FF9EC" w14:textId="77777777" w:rsidTr="00387639">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1695CE5D" w14:textId="77777777" w:rsidR="00387639" w:rsidRPr="005F3F95" w:rsidRDefault="00387639" w:rsidP="008A0848">
            <w:pPr>
              <w:keepNext/>
              <w:jc w:val="left"/>
              <w:rPr>
                <w:rFonts w:ascii="Arial Narrow" w:hAnsi="Arial Narrow"/>
                <w:snapToGrid w:val="0"/>
                <w:sz w:val="20"/>
                <w:szCs w:val="20"/>
                <w:lang w:val="fr-FR"/>
              </w:rPr>
            </w:pPr>
            <w:proofErr w:type="spellStart"/>
            <w:proofErr w:type="gramStart"/>
            <w:r w:rsidRPr="005F3F95">
              <w:rPr>
                <w:rFonts w:ascii="Arial Narrow" w:hAnsi="Arial Narrow"/>
                <w:snapToGrid w:val="0"/>
                <w:sz w:val="20"/>
                <w:szCs w:val="20"/>
                <w:lang w:val="fr-FR"/>
              </w:rPr>
              <w:t>semaglutide</w:t>
            </w:r>
            <w:proofErr w:type="spellEnd"/>
            <w:proofErr w:type="gramEnd"/>
            <w:r w:rsidRPr="005F3F95">
              <w:rPr>
                <w:rFonts w:ascii="Arial Narrow" w:hAnsi="Arial Narrow"/>
                <w:snapToGrid w:val="0"/>
                <w:sz w:val="20"/>
                <w:szCs w:val="20"/>
                <w:lang w:val="fr-FR"/>
              </w:rPr>
              <w:t xml:space="preserve"> 0.25 mg/0.5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injection, 4 x 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pen</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devices</w:t>
            </w:r>
            <w:proofErr w:type="spellEnd"/>
          </w:p>
        </w:tc>
        <w:tc>
          <w:tcPr>
            <w:tcW w:w="811" w:type="dxa"/>
            <w:tcBorders>
              <w:top w:val="single" w:sz="4" w:space="0" w:color="auto"/>
              <w:left w:val="single" w:sz="4" w:space="0" w:color="auto"/>
              <w:bottom w:val="single" w:sz="4" w:space="0" w:color="auto"/>
              <w:right w:val="single" w:sz="4" w:space="0" w:color="auto"/>
            </w:tcBorders>
            <w:vAlign w:val="center"/>
            <w:hideMark/>
          </w:tcPr>
          <w:p w14:paraId="0C1A8BC6"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7170D111"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1011647A"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4</w:t>
            </w:r>
          </w:p>
        </w:tc>
        <w:tc>
          <w:tcPr>
            <w:tcW w:w="812" w:type="dxa"/>
            <w:tcBorders>
              <w:top w:val="single" w:sz="4" w:space="0" w:color="auto"/>
              <w:left w:val="single" w:sz="4" w:space="0" w:color="auto"/>
              <w:bottom w:val="single" w:sz="4" w:space="0" w:color="auto"/>
              <w:right w:val="single" w:sz="4" w:space="0" w:color="auto"/>
            </w:tcBorders>
            <w:vAlign w:val="center"/>
            <w:hideMark/>
          </w:tcPr>
          <w:p w14:paraId="064853FF"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5</w:t>
            </w:r>
          </w:p>
        </w:tc>
        <w:tc>
          <w:tcPr>
            <w:tcW w:w="1831" w:type="dxa"/>
            <w:vMerge w:val="restart"/>
            <w:tcBorders>
              <w:top w:val="single" w:sz="4" w:space="0" w:color="auto"/>
              <w:left w:val="single" w:sz="4" w:space="0" w:color="auto"/>
              <w:bottom w:val="single" w:sz="4" w:space="0" w:color="auto"/>
              <w:right w:val="single" w:sz="4" w:space="0" w:color="auto"/>
            </w:tcBorders>
            <w:vAlign w:val="center"/>
            <w:hideMark/>
          </w:tcPr>
          <w:p w14:paraId="1FCB0F8B"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Wegovy</w:t>
            </w:r>
          </w:p>
        </w:tc>
      </w:tr>
      <w:tr w:rsidR="00387639" w:rsidRPr="00387639" w14:paraId="2E2E3408" w14:textId="77777777" w:rsidTr="00387639">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01C3B5F2" w14:textId="77777777" w:rsidR="00387639" w:rsidRPr="005F3F95" w:rsidRDefault="00387639" w:rsidP="008A0848">
            <w:pPr>
              <w:keepNext/>
              <w:jc w:val="left"/>
              <w:rPr>
                <w:rFonts w:ascii="Arial Narrow" w:hAnsi="Arial Narrow"/>
                <w:snapToGrid w:val="0"/>
                <w:sz w:val="20"/>
                <w:szCs w:val="20"/>
                <w:lang w:val="fr-FR"/>
              </w:rPr>
            </w:pPr>
            <w:proofErr w:type="spellStart"/>
            <w:proofErr w:type="gramStart"/>
            <w:r w:rsidRPr="005F3F95">
              <w:rPr>
                <w:rFonts w:ascii="Arial Narrow" w:hAnsi="Arial Narrow"/>
                <w:snapToGrid w:val="0"/>
                <w:sz w:val="20"/>
                <w:szCs w:val="20"/>
                <w:lang w:val="fr-FR"/>
              </w:rPr>
              <w:t>semaglutide</w:t>
            </w:r>
            <w:proofErr w:type="spellEnd"/>
            <w:proofErr w:type="gramEnd"/>
            <w:r w:rsidRPr="005F3F95">
              <w:rPr>
                <w:rFonts w:ascii="Arial Narrow" w:hAnsi="Arial Narrow"/>
                <w:snapToGrid w:val="0"/>
                <w:sz w:val="20"/>
                <w:szCs w:val="20"/>
                <w:lang w:val="fr-FR"/>
              </w:rPr>
              <w:t xml:space="preserve"> 0.5 mg/0.5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injection, 4 x 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pen</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devices</w:t>
            </w:r>
            <w:proofErr w:type="spellEnd"/>
          </w:p>
        </w:tc>
        <w:tc>
          <w:tcPr>
            <w:tcW w:w="811" w:type="dxa"/>
            <w:tcBorders>
              <w:top w:val="single" w:sz="4" w:space="0" w:color="auto"/>
              <w:left w:val="single" w:sz="4" w:space="0" w:color="auto"/>
              <w:bottom w:val="single" w:sz="4" w:space="0" w:color="auto"/>
              <w:right w:val="single" w:sz="4" w:space="0" w:color="auto"/>
            </w:tcBorders>
            <w:vAlign w:val="center"/>
            <w:hideMark/>
          </w:tcPr>
          <w:p w14:paraId="4C27A4E8"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27EE47A1"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7B3EB2D1"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4</w:t>
            </w:r>
          </w:p>
        </w:tc>
        <w:tc>
          <w:tcPr>
            <w:tcW w:w="812" w:type="dxa"/>
            <w:tcBorders>
              <w:top w:val="single" w:sz="4" w:space="0" w:color="auto"/>
              <w:left w:val="single" w:sz="4" w:space="0" w:color="auto"/>
              <w:bottom w:val="single" w:sz="4" w:space="0" w:color="auto"/>
              <w:right w:val="single" w:sz="4" w:space="0" w:color="auto"/>
            </w:tcBorders>
            <w:vAlign w:val="center"/>
            <w:hideMark/>
          </w:tcPr>
          <w:p w14:paraId="2F5EF922"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5</w:t>
            </w: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698854E8" w14:textId="77777777" w:rsidR="00387639" w:rsidRPr="00387639" w:rsidRDefault="00387639" w:rsidP="008A0848">
            <w:pPr>
              <w:keepNext/>
              <w:jc w:val="left"/>
              <w:rPr>
                <w:rFonts w:ascii="Arial Narrow" w:hAnsi="Arial Narrow"/>
                <w:bCs/>
                <w:snapToGrid w:val="0"/>
                <w:sz w:val="20"/>
                <w:szCs w:val="20"/>
              </w:rPr>
            </w:pPr>
          </w:p>
        </w:tc>
      </w:tr>
      <w:tr w:rsidR="00387639" w:rsidRPr="00387639" w14:paraId="56EFCF5A" w14:textId="77777777" w:rsidTr="00387639">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3D8ED206" w14:textId="77777777" w:rsidR="00387639" w:rsidRPr="005F3F95" w:rsidRDefault="00387639" w:rsidP="008A0848">
            <w:pPr>
              <w:keepNext/>
              <w:jc w:val="left"/>
              <w:rPr>
                <w:rFonts w:ascii="Arial Narrow" w:hAnsi="Arial Narrow"/>
                <w:snapToGrid w:val="0"/>
                <w:sz w:val="20"/>
                <w:szCs w:val="20"/>
                <w:lang w:val="fr-FR"/>
              </w:rPr>
            </w:pPr>
            <w:proofErr w:type="spellStart"/>
            <w:proofErr w:type="gramStart"/>
            <w:r w:rsidRPr="005F3F95">
              <w:rPr>
                <w:rFonts w:ascii="Arial Narrow" w:hAnsi="Arial Narrow"/>
                <w:snapToGrid w:val="0"/>
                <w:sz w:val="20"/>
                <w:szCs w:val="20"/>
                <w:lang w:val="fr-FR"/>
              </w:rPr>
              <w:t>semaglutide</w:t>
            </w:r>
            <w:proofErr w:type="spellEnd"/>
            <w:proofErr w:type="gramEnd"/>
            <w:r w:rsidRPr="005F3F95">
              <w:rPr>
                <w:rFonts w:ascii="Arial Narrow" w:hAnsi="Arial Narrow"/>
                <w:snapToGrid w:val="0"/>
                <w:sz w:val="20"/>
                <w:szCs w:val="20"/>
                <w:lang w:val="fr-FR"/>
              </w:rPr>
              <w:t xml:space="preserve"> 1 mg/0.5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injection, 4 x 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pen</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devices</w:t>
            </w:r>
            <w:proofErr w:type="spellEnd"/>
          </w:p>
        </w:tc>
        <w:tc>
          <w:tcPr>
            <w:tcW w:w="811" w:type="dxa"/>
            <w:tcBorders>
              <w:top w:val="single" w:sz="4" w:space="0" w:color="auto"/>
              <w:left w:val="single" w:sz="4" w:space="0" w:color="auto"/>
              <w:bottom w:val="single" w:sz="4" w:space="0" w:color="auto"/>
              <w:right w:val="single" w:sz="4" w:space="0" w:color="auto"/>
            </w:tcBorders>
            <w:vAlign w:val="center"/>
            <w:hideMark/>
          </w:tcPr>
          <w:p w14:paraId="2B1C1615"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6F87FEAA"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4F41B432"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4</w:t>
            </w:r>
          </w:p>
        </w:tc>
        <w:tc>
          <w:tcPr>
            <w:tcW w:w="812" w:type="dxa"/>
            <w:tcBorders>
              <w:top w:val="single" w:sz="4" w:space="0" w:color="auto"/>
              <w:left w:val="single" w:sz="4" w:space="0" w:color="auto"/>
              <w:bottom w:val="single" w:sz="4" w:space="0" w:color="auto"/>
              <w:right w:val="single" w:sz="4" w:space="0" w:color="auto"/>
            </w:tcBorders>
            <w:vAlign w:val="center"/>
            <w:hideMark/>
          </w:tcPr>
          <w:p w14:paraId="26AAC67F"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5</w:t>
            </w: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008DB1EF" w14:textId="77777777" w:rsidR="00387639" w:rsidRPr="00387639" w:rsidRDefault="00387639" w:rsidP="008A0848">
            <w:pPr>
              <w:keepNext/>
              <w:jc w:val="left"/>
              <w:rPr>
                <w:rFonts w:ascii="Arial Narrow" w:hAnsi="Arial Narrow"/>
                <w:bCs/>
                <w:snapToGrid w:val="0"/>
                <w:sz w:val="20"/>
                <w:szCs w:val="20"/>
              </w:rPr>
            </w:pPr>
          </w:p>
        </w:tc>
      </w:tr>
      <w:tr w:rsidR="00387639" w:rsidRPr="00387639" w14:paraId="1E398869" w14:textId="77777777" w:rsidTr="00387639">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48F28C02" w14:textId="77777777" w:rsidR="00387639" w:rsidRPr="005F3F95" w:rsidRDefault="00387639" w:rsidP="008A0848">
            <w:pPr>
              <w:keepNext/>
              <w:jc w:val="left"/>
              <w:rPr>
                <w:rFonts w:ascii="Arial Narrow" w:hAnsi="Arial Narrow"/>
                <w:snapToGrid w:val="0"/>
                <w:sz w:val="20"/>
                <w:szCs w:val="20"/>
                <w:lang w:val="fr-FR"/>
              </w:rPr>
            </w:pPr>
            <w:proofErr w:type="spellStart"/>
            <w:proofErr w:type="gramStart"/>
            <w:r w:rsidRPr="005F3F95">
              <w:rPr>
                <w:rFonts w:ascii="Arial Narrow" w:hAnsi="Arial Narrow"/>
                <w:snapToGrid w:val="0"/>
                <w:sz w:val="20"/>
                <w:szCs w:val="20"/>
                <w:lang w:val="fr-FR"/>
              </w:rPr>
              <w:t>semaglutide</w:t>
            </w:r>
            <w:proofErr w:type="spellEnd"/>
            <w:proofErr w:type="gramEnd"/>
            <w:r w:rsidRPr="005F3F95">
              <w:rPr>
                <w:rFonts w:ascii="Arial Narrow" w:hAnsi="Arial Narrow"/>
                <w:snapToGrid w:val="0"/>
                <w:sz w:val="20"/>
                <w:szCs w:val="20"/>
                <w:lang w:val="fr-FR"/>
              </w:rPr>
              <w:t xml:space="preserve"> 1.7 mg/0.5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injection, 4 x 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pen</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devices</w:t>
            </w:r>
            <w:proofErr w:type="spellEnd"/>
          </w:p>
        </w:tc>
        <w:tc>
          <w:tcPr>
            <w:tcW w:w="811" w:type="dxa"/>
            <w:tcBorders>
              <w:top w:val="single" w:sz="4" w:space="0" w:color="auto"/>
              <w:left w:val="single" w:sz="4" w:space="0" w:color="auto"/>
              <w:bottom w:val="single" w:sz="4" w:space="0" w:color="auto"/>
              <w:right w:val="single" w:sz="4" w:space="0" w:color="auto"/>
            </w:tcBorders>
            <w:vAlign w:val="center"/>
            <w:hideMark/>
          </w:tcPr>
          <w:p w14:paraId="1BF205A4"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2ECF210C"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5B33933D"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4</w:t>
            </w:r>
          </w:p>
        </w:tc>
        <w:tc>
          <w:tcPr>
            <w:tcW w:w="812" w:type="dxa"/>
            <w:tcBorders>
              <w:top w:val="single" w:sz="4" w:space="0" w:color="auto"/>
              <w:left w:val="single" w:sz="4" w:space="0" w:color="auto"/>
              <w:bottom w:val="single" w:sz="4" w:space="0" w:color="auto"/>
              <w:right w:val="single" w:sz="4" w:space="0" w:color="auto"/>
            </w:tcBorders>
            <w:vAlign w:val="center"/>
            <w:hideMark/>
          </w:tcPr>
          <w:p w14:paraId="64A468BE"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5</w:t>
            </w: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12533C35" w14:textId="77777777" w:rsidR="00387639" w:rsidRPr="00387639" w:rsidRDefault="00387639" w:rsidP="008A0848">
            <w:pPr>
              <w:keepNext/>
              <w:jc w:val="left"/>
              <w:rPr>
                <w:rFonts w:ascii="Arial Narrow" w:hAnsi="Arial Narrow"/>
                <w:bCs/>
                <w:snapToGrid w:val="0"/>
                <w:sz w:val="20"/>
                <w:szCs w:val="20"/>
              </w:rPr>
            </w:pPr>
          </w:p>
        </w:tc>
      </w:tr>
      <w:tr w:rsidR="00387639" w:rsidRPr="00387639" w14:paraId="06499586" w14:textId="77777777" w:rsidTr="00387639">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2032DEBE" w14:textId="77777777" w:rsidR="00387639" w:rsidRPr="005F3F95" w:rsidRDefault="00387639" w:rsidP="008A0848">
            <w:pPr>
              <w:keepNext/>
              <w:jc w:val="left"/>
              <w:rPr>
                <w:rFonts w:ascii="Arial Narrow" w:hAnsi="Arial Narrow"/>
                <w:snapToGrid w:val="0"/>
                <w:sz w:val="20"/>
                <w:szCs w:val="20"/>
                <w:lang w:val="fr-FR"/>
              </w:rPr>
            </w:pPr>
            <w:proofErr w:type="spellStart"/>
            <w:proofErr w:type="gramStart"/>
            <w:r w:rsidRPr="005F3F95">
              <w:rPr>
                <w:rFonts w:ascii="Arial Narrow" w:hAnsi="Arial Narrow"/>
                <w:snapToGrid w:val="0"/>
                <w:sz w:val="20"/>
                <w:szCs w:val="20"/>
                <w:lang w:val="fr-FR"/>
              </w:rPr>
              <w:t>semaglutide</w:t>
            </w:r>
            <w:proofErr w:type="spellEnd"/>
            <w:proofErr w:type="gramEnd"/>
            <w:r w:rsidRPr="005F3F95">
              <w:rPr>
                <w:rFonts w:ascii="Arial Narrow" w:hAnsi="Arial Narrow"/>
                <w:snapToGrid w:val="0"/>
                <w:sz w:val="20"/>
                <w:szCs w:val="20"/>
                <w:lang w:val="fr-FR"/>
              </w:rPr>
              <w:t xml:space="preserve"> 2.4 mg/0.5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injection, 4 x 0.5 </w:t>
            </w:r>
            <w:proofErr w:type="spellStart"/>
            <w:r w:rsidRPr="005F3F95">
              <w:rPr>
                <w:rFonts w:ascii="Arial Narrow" w:hAnsi="Arial Narrow"/>
                <w:snapToGrid w:val="0"/>
                <w:sz w:val="20"/>
                <w:szCs w:val="20"/>
                <w:lang w:val="fr-FR"/>
              </w:rPr>
              <w:t>mL</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pen</w:t>
            </w:r>
            <w:proofErr w:type="spellEnd"/>
            <w:r w:rsidRPr="005F3F95">
              <w:rPr>
                <w:rFonts w:ascii="Arial Narrow" w:hAnsi="Arial Narrow"/>
                <w:snapToGrid w:val="0"/>
                <w:sz w:val="20"/>
                <w:szCs w:val="20"/>
                <w:lang w:val="fr-FR"/>
              </w:rPr>
              <w:t xml:space="preserve"> </w:t>
            </w:r>
            <w:proofErr w:type="spellStart"/>
            <w:r w:rsidRPr="005F3F95">
              <w:rPr>
                <w:rFonts w:ascii="Arial Narrow" w:hAnsi="Arial Narrow"/>
                <w:snapToGrid w:val="0"/>
                <w:sz w:val="20"/>
                <w:szCs w:val="20"/>
                <w:lang w:val="fr-FR"/>
              </w:rPr>
              <w:t>devices</w:t>
            </w:r>
            <w:proofErr w:type="spellEnd"/>
          </w:p>
        </w:tc>
        <w:tc>
          <w:tcPr>
            <w:tcW w:w="811" w:type="dxa"/>
            <w:tcBorders>
              <w:top w:val="single" w:sz="4" w:space="0" w:color="auto"/>
              <w:left w:val="single" w:sz="4" w:space="0" w:color="auto"/>
              <w:bottom w:val="single" w:sz="4" w:space="0" w:color="auto"/>
              <w:right w:val="single" w:sz="4" w:space="0" w:color="auto"/>
            </w:tcBorders>
            <w:vAlign w:val="center"/>
            <w:hideMark/>
          </w:tcPr>
          <w:p w14:paraId="5A97D425"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0DB28754"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14FE6CF9"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4</w:t>
            </w:r>
          </w:p>
        </w:tc>
        <w:tc>
          <w:tcPr>
            <w:tcW w:w="812" w:type="dxa"/>
            <w:tcBorders>
              <w:top w:val="single" w:sz="4" w:space="0" w:color="auto"/>
              <w:left w:val="single" w:sz="4" w:space="0" w:color="auto"/>
              <w:bottom w:val="single" w:sz="4" w:space="0" w:color="auto"/>
              <w:right w:val="single" w:sz="4" w:space="0" w:color="auto"/>
            </w:tcBorders>
            <w:vAlign w:val="center"/>
            <w:hideMark/>
          </w:tcPr>
          <w:p w14:paraId="7FA73C8F" w14:textId="77777777" w:rsidR="00387639" w:rsidRPr="00387639" w:rsidRDefault="00387639" w:rsidP="008A0848">
            <w:pPr>
              <w:keepNext/>
              <w:jc w:val="left"/>
              <w:rPr>
                <w:rFonts w:ascii="Arial Narrow" w:hAnsi="Arial Narrow"/>
                <w:bCs/>
                <w:snapToGrid w:val="0"/>
                <w:sz w:val="20"/>
                <w:szCs w:val="20"/>
              </w:rPr>
            </w:pPr>
            <w:r w:rsidRPr="00387639">
              <w:rPr>
                <w:rFonts w:ascii="Arial Narrow" w:hAnsi="Arial Narrow"/>
                <w:bCs/>
                <w:snapToGrid w:val="0"/>
                <w:sz w:val="20"/>
                <w:szCs w:val="20"/>
              </w:rPr>
              <w:t>5</w:t>
            </w:r>
          </w:p>
        </w:tc>
        <w:tc>
          <w:tcPr>
            <w:tcW w:w="1831" w:type="dxa"/>
            <w:vMerge/>
            <w:tcBorders>
              <w:top w:val="single" w:sz="4" w:space="0" w:color="auto"/>
              <w:left w:val="single" w:sz="4" w:space="0" w:color="auto"/>
              <w:bottom w:val="single" w:sz="4" w:space="0" w:color="auto"/>
              <w:right w:val="single" w:sz="4" w:space="0" w:color="auto"/>
            </w:tcBorders>
            <w:vAlign w:val="center"/>
            <w:hideMark/>
          </w:tcPr>
          <w:p w14:paraId="4DCB2B51" w14:textId="77777777" w:rsidR="00387639" w:rsidRPr="00387639" w:rsidRDefault="00387639" w:rsidP="008A0848">
            <w:pPr>
              <w:keepNext/>
              <w:jc w:val="left"/>
              <w:rPr>
                <w:rFonts w:ascii="Arial Narrow" w:hAnsi="Arial Narrow"/>
                <w:bCs/>
                <w:snapToGrid w:val="0"/>
                <w:sz w:val="20"/>
                <w:szCs w:val="20"/>
              </w:rPr>
            </w:pPr>
          </w:p>
        </w:tc>
      </w:tr>
      <w:tr w:rsidR="00387639" w:rsidRPr="00387639" w14:paraId="43F9381B" w14:textId="77777777" w:rsidTr="00387639">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FF9FA03" w14:textId="77777777" w:rsidR="00387639" w:rsidRPr="00387639" w:rsidRDefault="00387639" w:rsidP="00387639">
            <w:pPr>
              <w:jc w:val="left"/>
              <w:rPr>
                <w:rFonts w:ascii="Arial Narrow" w:hAnsi="Arial Narrow"/>
                <w:bCs/>
                <w:snapToGrid w:val="0"/>
                <w:sz w:val="20"/>
                <w:szCs w:val="20"/>
              </w:rPr>
            </w:pPr>
          </w:p>
        </w:tc>
      </w:tr>
      <w:tr w:rsidR="00387639" w:rsidRPr="00387639" w14:paraId="16408702" w14:textId="77777777" w:rsidTr="00387639">
        <w:trPr>
          <w:trHeight w:val="20"/>
        </w:trPr>
        <w:tc>
          <w:tcPr>
            <w:tcW w:w="9016"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AEA36AE"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 xml:space="preserve">Restriction Summary [new] / Treatment of Concept: [new] </w:t>
            </w:r>
          </w:p>
        </w:tc>
      </w:tr>
      <w:tr w:rsidR="00387639" w:rsidRPr="00387639" w14:paraId="37B02FE8" w14:textId="77777777" w:rsidTr="00387639">
        <w:trPr>
          <w:trHeight w:val="20"/>
        </w:trPr>
        <w:tc>
          <w:tcPr>
            <w:tcW w:w="127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4880A61"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 xml:space="preserve">Concept ID </w:t>
            </w:r>
            <w:r w:rsidRPr="00387639">
              <w:rPr>
                <w:rFonts w:ascii="Arial Narrow" w:hAnsi="Arial Narrow"/>
                <w:bCs/>
                <w:snapToGrid w:val="0"/>
                <w:sz w:val="20"/>
                <w:szCs w:val="20"/>
              </w:rPr>
              <w:t>(for internal Dept. use)</w:t>
            </w: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202FCFC"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
                <w:bCs/>
                <w:snapToGrid w:val="0"/>
                <w:sz w:val="20"/>
                <w:szCs w:val="20"/>
              </w:rPr>
              <w:t xml:space="preserve">Category / Program: </w:t>
            </w:r>
            <w:r w:rsidRPr="00387639">
              <w:rPr>
                <w:rFonts w:ascii="Arial Narrow" w:hAnsi="Arial Narrow"/>
                <w:bCs/>
                <w:snapToGrid w:val="0"/>
                <w:sz w:val="20"/>
                <w:szCs w:val="20"/>
              </w:rPr>
              <w:t xml:space="preserve">GENERAL – General Schedule (Code GE) </w:t>
            </w:r>
          </w:p>
        </w:tc>
      </w:tr>
      <w:tr w:rsidR="00387639" w:rsidRPr="00387639" w14:paraId="6C7BA42C" w14:textId="77777777" w:rsidTr="00387639">
        <w:trPr>
          <w:trHeight w:val="20"/>
        </w:trPr>
        <w:tc>
          <w:tcPr>
            <w:tcW w:w="9016" w:type="dxa"/>
            <w:vMerge/>
            <w:tcBorders>
              <w:top w:val="single" w:sz="4" w:space="0" w:color="auto"/>
              <w:left w:val="single" w:sz="4" w:space="0" w:color="auto"/>
              <w:bottom w:val="single" w:sz="4" w:space="0" w:color="auto"/>
              <w:right w:val="single" w:sz="4" w:space="0" w:color="auto"/>
            </w:tcBorders>
            <w:vAlign w:val="center"/>
            <w:hideMark/>
          </w:tcPr>
          <w:p w14:paraId="7D2AA162" w14:textId="77777777" w:rsidR="00387639" w:rsidRPr="00387639" w:rsidRDefault="00387639" w:rsidP="00387639">
            <w:pPr>
              <w:jc w:val="left"/>
              <w:rPr>
                <w:rFonts w:ascii="Arial Narrow" w:hAnsi="Arial Narrow"/>
                <w:b/>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77E1F17"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 xml:space="preserve">Prescriber type: </w:t>
            </w:r>
            <w:r w:rsidRPr="00387639">
              <w:rPr>
                <w:rFonts w:ascii="Arial Narrow" w:hAnsi="Arial Narrow"/>
                <w:bCs/>
                <w:snapToGrid w:val="0"/>
                <w:sz w:val="20"/>
                <w:szCs w:val="20"/>
              </w:rPr>
              <w:fldChar w:fldCharType="begin">
                <w:ffData>
                  <w:name w:val=""/>
                  <w:enabled/>
                  <w:calcOnExit w:val="0"/>
                  <w:checkBox>
                    <w:sizeAuto/>
                    <w:default w:val="1"/>
                  </w:checkBox>
                </w:ffData>
              </w:fldChar>
            </w:r>
            <w:r w:rsidRPr="00387639">
              <w:rPr>
                <w:rFonts w:ascii="Arial Narrow" w:hAnsi="Arial Narrow"/>
                <w:bCs/>
                <w:snapToGrid w:val="0"/>
                <w:sz w:val="20"/>
                <w:szCs w:val="20"/>
              </w:rPr>
              <w:instrText xml:space="preserve"> FORMCHECKBOX </w:instrText>
            </w:r>
            <w:r w:rsidRPr="00387639">
              <w:rPr>
                <w:rFonts w:ascii="Arial Narrow" w:hAnsi="Arial Narrow"/>
                <w:bCs/>
                <w:snapToGrid w:val="0"/>
                <w:sz w:val="20"/>
                <w:szCs w:val="20"/>
              </w:rPr>
            </w:r>
            <w:r w:rsidRPr="00387639">
              <w:rPr>
                <w:rFonts w:ascii="Arial Narrow" w:hAnsi="Arial Narrow"/>
                <w:bCs/>
                <w:snapToGrid w:val="0"/>
                <w:sz w:val="20"/>
                <w:szCs w:val="20"/>
              </w:rPr>
              <w:fldChar w:fldCharType="separate"/>
            </w:r>
            <w:r w:rsidRPr="00387639">
              <w:rPr>
                <w:rFonts w:ascii="Arial Narrow" w:hAnsi="Arial Narrow"/>
                <w:bCs/>
                <w:snapToGrid w:val="0"/>
                <w:sz w:val="20"/>
                <w:szCs w:val="20"/>
              </w:rPr>
              <w:fldChar w:fldCharType="end"/>
            </w:r>
            <w:r w:rsidRPr="00387639">
              <w:rPr>
                <w:rFonts w:ascii="Arial Narrow" w:hAnsi="Arial Narrow"/>
                <w:bCs/>
                <w:snapToGrid w:val="0"/>
                <w:sz w:val="20"/>
                <w:szCs w:val="20"/>
              </w:rPr>
              <w:t xml:space="preserve">Medical Practitioners </w:t>
            </w:r>
          </w:p>
        </w:tc>
      </w:tr>
      <w:tr w:rsidR="00387639" w:rsidRPr="00387639" w14:paraId="76299017" w14:textId="77777777" w:rsidTr="00387639">
        <w:trPr>
          <w:trHeight w:val="20"/>
        </w:trPr>
        <w:tc>
          <w:tcPr>
            <w:tcW w:w="9016" w:type="dxa"/>
            <w:vMerge/>
            <w:tcBorders>
              <w:top w:val="single" w:sz="4" w:space="0" w:color="auto"/>
              <w:left w:val="single" w:sz="4" w:space="0" w:color="auto"/>
              <w:bottom w:val="single" w:sz="4" w:space="0" w:color="auto"/>
              <w:right w:val="single" w:sz="4" w:space="0" w:color="auto"/>
            </w:tcBorders>
            <w:vAlign w:val="center"/>
            <w:hideMark/>
          </w:tcPr>
          <w:p w14:paraId="5E561EA0" w14:textId="77777777" w:rsidR="00387639" w:rsidRPr="00387639" w:rsidRDefault="00387639" w:rsidP="00387639">
            <w:pPr>
              <w:jc w:val="left"/>
              <w:rPr>
                <w:rFonts w:ascii="Arial Narrow" w:hAnsi="Arial Narrow"/>
                <w:b/>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8E1B6AB"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
                <w:bCs/>
                <w:snapToGrid w:val="0"/>
                <w:sz w:val="20"/>
                <w:szCs w:val="20"/>
              </w:rPr>
              <w:t xml:space="preserve">Restriction type: </w:t>
            </w:r>
            <w:r w:rsidRPr="00387639">
              <w:rPr>
                <w:rFonts w:ascii="Arial Narrow" w:hAnsi="Arial Narrow"/>
                <w:bCs/>
                <w:snapToGrid w:val="0"/>
                <w:sz w:val="20"/>
                <w:szCs w:val="20"/>
              </w:rPr>
              <w:fldChar w:fldCharType="begin">
                <w:ffData>
                  <w:name w:val=""/>
                  <w:enabled/>
                  <w:calcOnExit w:val="0"/>
                  <w:checkBox>
                    <w:sizeAuto/>
                    <w:default w:val="1"/>
                  </w:checkBox>
                </w:ffData>
              </w:fldChar>
            </w:r>
            <w:r w:rsidRPr="00387639">
              <w:rPr>
                <w:rFonts w:ascii="Arial Narrow" w:hAnsi="Arial Narrow"/>
                <w:bCs/>
                <w:snapToGrid w:val="0"/>
                <w:sz w:val="20"/>
                <w:szCs w:val="20"/>
              </w:rPr>
              <w:instrText xml:space="preserve"> FORMCHECKBOX </w:instrText>
            </w:r>
            <w:r w:rsidRPr="00387639">
              <w:rPr>
                <w:rFonts w:ascii="Arial Narrow" w:hAnsi="Arial Narrow"/>
                <w:bCs/>
                <w:snapToGrid w:val="0"/>
                <w:sz w:val="20"/>
                <w:szCs w:val="20"/>
              </w:rPr>
            </w:r>
            <w:r w:rsidRPr="00387639">
              <w:rPr>
                <w:rFonts w:ascii="Arial Narrow" w:hAnsi="Arial Narrow"/>
                <w:bCs/>
                <w:snapToGrid w:val="0"/>
                <w:sz w:val="20"/>
                <w:szCs w:val="20"/>
              </w:rPr>
              <w:fldChar w:fldCharType="separate"/>
            </w:r>
            <w:r w:rsidRPr="00387639">
              <w:rPr>
                <w:rFonts w:ascii="Arial Narrow" w:hAnsi="Arial Narrow"/>
                <w:bCs/>
                <w:snapToGrid w:val="0"/>
                <w:sz w:val="20"/>
                <w:szCs w:val="20"/>
              </w:rPr>
              <w:fldChar w:fldCharType="end"/>
            </w:r>
            <w:r w:rsidRPr="00387639">
              <w:rPr>
                <w:rFonts w:ascii="Arial Narrow" w:hAnsi="Arial Narrow"/>
                <w:bCs/>
                <w:snapToGrid w:val="0"/>
                <w:sz w:val="20"/>
                <w:szCs w:val="20"/>
              </w:rPr>
              <w:t>Authority Required (telephone/online PBS Authorities system)</w:t>
            </w:r>
          </w:p>
        </w:tc>
      </w:tr>
      <w:tr w:rsidR="00387639" w:rsidRPr="00387639" w14:paraId="112D5DFD" w14:textId="77777777" w:rsidTr="00387639">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cPr>
          <w:p w14:paraId="3389B79F" w14:textId="77777777"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5560C94"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 xml:space="preserve">Prescribing rule level:  </w:t>
            </w:r>
          </w:p>
        </w:tc>
      </w:tr>
      <w:tr w:rsidR="00387639" w:rsidRPr="00387639" w14:paraId="0746C66C" w14:textId="77777777" w:rsidTr="00C66ECB">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47B6CAF" w14:textId="0FE071D0"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5E052AC6"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 xml:space="preserve">Administrative Advice: </w:t>
            </w:r>
            <w:r w:rsidRPr="00387639">
              <w:rPr>
                <w:rFonts w:ascii="Arial Narrow" w:hAnsi="Arial Narrow"/>
                <w:bCs/>
                <w:snapToGrid w:val="0"/>
                <w:sz w:val="20"/>
                <w:szCs w:val="20"/>
              </w:rPr>
              <w:t>No increase in the maximum quantity or number of units may be authorised.</w:t>
            </w:r>
          </w:p>
        </w:tc>
      </w:tr>
      <w:tr w:rsidR="00387639" w:rsidRPr="00387639" w14:paraId="6EA266CC" w14:textId="77777777" w:rsidTr="00C66ECB">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136E491" w14:textId="62B29DE3"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71EB6584"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 xml:space="preserve">Administrative Advice: </w:t>
            </w:r>
            <w:r w:rsidRPr="00387639">
              <w:rPr>
                <w:rFonts w:ascii="Arial Narrow" w:hAnsi="Arial Narrow"/>
                <w:bCs/>
                <w:snapToGrid w:val="0"/>
                <w:sz w:val="20"/>
                <w:szCs w:val="20"/>
              </w:rPr>
              <w:t>No increase in the maximum number of repeats may be authorised.</w:t>
            </w:r>
          </w:p>
        </w:tc>
      </w:tr>
      <w:tr w:rsidR="00387639" w:rsidRPr="00387639" w14:paraId="5E7FCB5B" w14:textId="77777777" w:rsidTr="00C66ECB">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4E8509" w14:textId="10B9D059"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4A529DE2"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 xml:space="preserve">Administrative Advice: </w:t>
            </w:r>
            <w:r w:rsidRPr="00387639">
              <w:rPr>
                <w:rFonts w:ascii="Arial Narrow" w:hAnsi="Arial Narrow"/>
                <w:bCs/>
                <w:snapToGrid w:val="0"/>
                <w:sz w:val="20"/>
                <w:szCs w:val="20"/>
              </w:rPr>
              <w:t>Special Pricing Arrangements apply.</w:t>
            </w:r>
          </w:p>
        </w:tc>
      </w:tr>
      <w:tr w:rsidR="00387639" w:rsidRPr="00387639" w14:paraId="1A7AD47F" w14:textId="77777777" w:rsidTr="00C66ECB">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A93D3F" w14:textId="437A8EDE"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29F75E6"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Indication:</w:t>
            </w:r>
            <w:r w:rsidRPr="00387639">
              <w:rPr>
                <w:rFonts w:ascii="Arial Narrow" w:hAnsi="Arial Narrow"/>
                <w:bCs/>
                <w:snapToGrid w:val="0"/>
                <w:sz w:val="20"/>
                <w:szCs w:val="20"/>
              </w:rPr>
              <w:t xml:space="preserve"> Established atherosclerotic cardiovascular disease (</w:t>
            </w:r>
            <w:proofErr w:type="spellStart"/>
            <w:r w:rsidRPr="00387639">
              <w:rPr>
                <w:rFonts w:ascii="Arial Narrow" w:hAnsi="Arial Narrow"/>
                <w:bCs/>
                <w:snapToGrid w:val="0"/>
                <w:sz w:val="20"/>
                <w:szCs w:val="20"/>
              </w:rPr>
              <w:t>eASVD</w:t>
            </w:r>
            <w:proofErr w:type="spellEnd"/>
            <w:r w:rsidRPr="00387639">
              <w:rPr>
                <w:rFonts w:ascii="Arial Narrow" w:hAnsi="Arial Narrow"/>
                <w:bCs/>
                <w:snapToGrid w:val="0"/>
                <w:sz w:val="20"/>
                <w:szCs w:val="20"/>
              </w:rPr>
              <w:t>)</w:t>
            </w:r>
          </w:p>
        </w:tc>
      </w:tr>
      <w:tr w:rsidR="00387639" w:rsidRPr="00387639" w14:paraId="508A0553" w14:textId="77777777" w:rsidTr="00C66ECB">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536BABD" w14:textId="77777777" w:rsidR="00387639" w:rsidRPr="00387639" w:rsidRDefault="00387639" w:rsidP="00387639">
            <w:pPr>
              <w:jc w:val="left"/>
              <w:rPr>
                <w:rFonts w:ascii="Arial Narrow" w:hAnsi="Arial Narrow"/>
                <w:b/>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FA6E41D"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
                <w:bCs/>
                <w:snapToGrid w:val="0"/>
                <w:sz w:val="20"/>
                <w:szCs w:val="20"/>
              </w:rPr>
              <w:t>Treatment Phase:</w:t>
            </w:r>
            <w:r w:rsidRPr="00387639">
              <w:rPr>
                <w:rFonts w:ascii="Arial Narrow" w:hAnsi="Arial Narrow"/>
                <w:bCs/>
                <w:snapToGrid w:val="0"/>
                <w:sz w:val="20"/>
                <w:szCs w:val="20"/>
              </w:rPr>
              <w:t xml:space="preserve"> Transitioning from non-PBS to PBS-subsided treatment </w:t>
            </w:r>
            <w:r w:rsidRPr="00387639">
              <w:rPr>
                <w:rFonts w:ascii="Arial Narrow" w:hAnsi="Arial Narrow"/>
                <w:b/>
                <w:bCs/>
                <w:snapToGrid w:val="0"/>
                <w:sz w:val="20"/>
                <w:szCs w:val="20"/>
              </w:rPr>
              <w:t>through maintenance doses</w:t>
            </w:r>
            <w:r w:rsidRPr="00387639">
              <w:rPr>
                <w:rFonts w:ascii="Arial Narrow" w:hAnsi="Arial Narrow"/>
                <w:bCs/>
                <w:snapToGrid w:val="0"/>
                <w:sz w:val="20"/>
                <w:szCs w:val="20"/>
              </w:rPr>
              <w:t xml:space="preserve"> - Grandfather arrangements</w:t>
            </w:r>
          </w:p>
        </w:tc>
      </w:tr>
      <w:tr w:rsidR="00387639" w:rsidRPr="00387639" w14:paraId="50CDF8A3" w14:textId="77777777" w:rsidTr="00C66ECB">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9FB245B" w14:textId="4FC7BEC1"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AEA3C8"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
                <w:bCs/>
                <w:snapToGrid w:val="0"/>
                <w:sz w:val="20"/>
                <w:szCs w:val="20"/>
              </w:rPr>
              <w:t xml:space="preserve">Clinical criteria: </w:t>
            </w:r>
          </w:p>
        </w:tc>
      </w:tr>
      <w:tr w:rsidR="00387639" w:rsidRPr="00387639" w14:paraId="43392575" w14:textId="77777777" w:rsidTr="00387639">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8C85BE9" w14:textId="77777777"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97AB331"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Patient must have previously received non-PBS-subsidised treatment with this drug for this condition prior to [date of listing]</w:t>
            </w:r>
          </w:p>
        </w:tc>
      </w:tr>
      <w:tr w:rsidR="00387639" w:rsidRPr="00387639" w14:paraId="6D6742E5" w14:textId="77777777" w:rsidTr="00387639">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25EDE5D" w14:textId="77777777"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C8535A2"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
                <w:bCs/>
                <w:snapToGrid w:val="0"/>
                <w:sz w:val="20"/>
                <w:szCs w:val="20"/>
              </w:rPr>
              <w:t>AND</w:t>
            </w:r>
          </w:p>
        </w:tc>
      </w:tr>
      <w:tr w:rsidR="00387639" w:rsidRPr="00387639" w14:paraId="738F83B4" w14:textId="77777777" w:rsidTr="00C66ECB">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D7E411F" w14:textId="3CEDBF5D"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950938"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
                <w:bCs/>
                <w:snapToGrid w:val="0"/>
                <w:sz w:val="20"/>
                <w:szCs w:val="20"/>
              </w:rPr>
              <w:t>Clinical criteria:</w:t>
            </w:r>
          </w:p>
        </w:tc>
      </w:tr>
      <w:tr w:rsidR="00387639" w:rsidRPr="00387639" w14:paraId="214D94CF" w14:textId="77777777" w:rsidTr="00387639">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3BC92D7" w14:textId="77777777"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5A2516" w14:textId="08198292"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 xml:space="preserve">Patient must have a confirmed diagnosis of at least one of (i) prior myocardial infarction, (ii) prior stroke (iii) symptomatic peripheral arterial disease (PAD) </w:t>
            </w:r>
          </w:p>
        </w:tc>
      </w:tr>
      <w:tr w:rsidR="00387639" w:rsidRPr="00387639" w14:paraId="0F0A204A" w14:textId="77777777" w:rsidTr="00387639">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8529E8B" w14:textId="77777777"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991010"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AND</w:t>
            </w:r>
          </w:p>
        </w:tc>
      </w:tr>
      <w:tr w:rsidR="00387639" w:rsidRPr="00387639" w14:paraId="146C8EE1" w14:textId="77777777" w:rsidTr="00C66ECB">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2856EA2" w14:textId="07D3370B"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3F1F5B9"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Clinical criteria:</w:t>
            </w:r>
          </w:p>
        </w:tc>
      </w:tr>
      <w:tr w:rsidR="00387639" w:rsidRPr="00387639" w14:paraId="4247E1D8" w14:textId="77777777" w:rsidTr="00387639">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3B20AF5" w14:textId="77777777"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5B1BD8"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Cs/>
                <w:snapToGrid w:val="0"/>
                <w:sz w:val="20"/>
                <w:szCs w:val="20"/>
              </w:rPr>
              <w:t xml:space="preserve">Patient must have had a Body Mass Index greater than or equal to 35 kg/m2 at the time of treatment initiation with this drug, </w:t>
            </w:r>
          </w:p>
        </w:tc>
      </w:tr>
      <w:tr w:rsidR="00387639" w:rsidRPr="00387639" w14:paraId="328359EE" w14:textId="77777777" w:rsidTr="00387639">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AAFF409" w14:textId="77777777" w:rsidR="00387639" w:rsidRPr="00387639" w:rsidRDefault="00387639" w:rsidP="00387639">
            <w:pPr>
              <w:jc w:val="left"/>
              <w:rPr>
                <w:rFonts w:ascii="Arial Narrow" w:hAnsi="Arial Narrow"/>
                <w:b/>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B31D9F5"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OR</w:t>
            </w:r>
          </w:p>
        </w:tc>
      </w:tr>
      <w:tr w:rsidR="00387639" w:rsidRPr="00387639" w14:paraId="7EF128BA" w14:textId="77777777" w:rsidTr="00387639">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41DD5B3" w14:textId="77777777"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79C36DA" w14:textId="5ED0CF31" w:rsidR="00387639" w:rsidRPr="00387639" w:rsidRDefault="00387639" w:rsidP="00387639">
            <w:pPr>
              <w:jc w:val="left"/>
              <w:rPr>
                <w:rFonts w:ascii="Arial Narrow" w:hAnsi="Arial Narrow"/>
                <w:b/>
                <w:bCs/>
                <w:snapToGrid w:val="0"/>
                <w:sz w:val="20"/>
                <w:szCs w:val="20"/>
              </w:rPr>
            </w:pPr>
            <w:r w:rsidRPr="00387639">
              <w:rPr>
                <w:rFonts w:ascii="Arial Narrow" w:hAnsi="Arial Narrow"/>
                <w:bCs/>
                <w:snapToGrid w:val="0"/>
                <w:sz w:val="20"/>
                <w:szCs w:val="20"/>
              </w:rPr>
              <w:t>Patient must have had a Body Mass Index greater than or equal to 32.5 kg/m2</w:t>
            </w:r>
            <w:r w:rsidR="00F77A30">
              <w:rPr>
                <w:rFonts w:ascii="Arial Narrow" w:hAnsi="Arial Narrow"/>
                <w:bCs/>
                <w:snapToGrid w:val="0"/>
                <w:sz w:val="20"/>
                <w:szCs w:val="20"/>
              </w:rPr>
              <w:t xml:space="preserve"> at the time of treatment initiation with this drug,</w:t>
            </w:r>
            <w:r w:rsidRPr="00387639">
              <w:rPr>
                <w:rFonts w:ascii="Arial Narrow" w:hAnsi="Arial Narrow"/>
                <w:bCs/>
                <w:snapToGrid w:val="0"/>
                <w:sz w:val="20"/>
                <w:szCs w:val="20"/>
              </w:rPr>
              <w:t xml:space="preserve"> for </w:t>
            </w:r>
            <w:r w:rsidR="00F77A30">
              <w:rPr>
                <w:rFonts w:ascii="Arial Narrow" w:hAnsi="Arial Narrow"/>
                <w:bCs/>
                <w:snapToGrid w:val="0"/>
                <w:sz w:val="20"/>
                <w:szCs w:val="20"/>
              </w:rPr>
              <w:t xml:space="preserve">people of </w:t>
            </w:r>
            <w:r w:rsidRPr="00387639">
              <w:rPr>
                <w:rFonts w:ascii="Arial Narrow" w:hAnsi="Arial Narrow"/>
                <w:bCs/>
                <w:snapToGrid w:val="0"/>
                <w:sz w:val="20"/>
                <w:szCs w:val="20"/>
              </w:rPr>
              <w:t xml:space="preserve">either (i) Aboriginal, (ii) Torres Strait Islander, (iii) Asian </w:t>
            </w:r>
            <w:r w:rsidR="00F77A30">
              <w:rPr>
                <w:rFonts w:ascii="Arial Narrow" w:hAnsi="Arial Narrow"/>
                <w:bCs/>
                <w:snapToGrid w:val="0"/>
                <w:sz w:val="20"/>
                <w:szCs w:val="20"/>
              </w:rPr>
              <w:t>ethnicity</w:t>
            </w:r>
            <w:r w:rsidR="00F77A30" w:rsidRPr="00387639">
              <w:rPr>
                <w:rFonts w:ascii="Arial Narrow" w:hAnsi="Arial Narrow"/>
                <w:bCs/>
                <w:snapToGrid w:val="0"/>
                <w:sz w:val="20"/>
                <w:szCs w:val="20"/>
              </w:rPr>
              <w:t xml:space="preserve"> </w:t>
            </w:r>
          </w:p>
        </w:tc>
      </w:tr>
      <w:tr w:rsidR="00387639" w:rsidRPr="00387639" w14:paraId="7B5A81ED" w14:textId="77777777" w:rsidTr="00387639">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4B4581E" w14:textId="77777777"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A523C9"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AND</w:t>
            </w:r>
          </w:p>
        </w:tc>
      </w:tr>
      <w:tr w:rsidR="00387639" w:rsidRPr="00387639" w14:paraId="74F15E78" w14:textId="77777777" w:rsidTr="00387639">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A374BDF" w14:textId="77777777"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6667DB6"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 xml:space="preserve">Clinical criteria: </w:t>
            </w:r>
          </w:p>
        </w:tc>
      </w:tr>
      <w:tr w:rsidR="00387639" w:rsidRPr="00387639" w14:paraId="61D08D49" w14:textId="77777777" w:rsidTr="00387639">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AC21A00" w14:textId="77777777"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6C6E4F"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Cs/>
                <w:snapToGrid w:val="0"/>
                <w:sz w:val="20"/>
                <w:szCs w:val="20"/>
              </w:rPr>
              <w:t>Patient must have completed the initial dose titration period with this drug for this condition</w:t>
            </w:r>
          </w:p>
        </w:tc>
      </w:tr>
      <w:tr w:rsidR="00387639" w:rsidRPr="00387639" w14:paraId="25A4B7F7" w14:textId="77777777" w:rsidTr="00C66ECB">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8C91964" w14:textId="4CF355D2"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5DFCC12"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Treatment criteria:</w:t>
            </w:r>
          </w:p>
        </w:tc>
      </w:tr>
      <w:tr w:rsidR="00387639" w:rsidRPr="00387639" w14:paraId="262AE190" w14:textId="77777777" w:rsidTr="00387639">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B324816" w14:textId="77777777"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04472A" w14:textId="06A8EC19" w:rsidR="00387639" w:rsidRPr="00387639" w:rsidRDefault="00387639" w:rsidP="00387639">
            <w:pPr>
              <w:jc w:val="left"/>
              <w:rPr>
                <w:rFonts w:ascii="Arial Narrow" w:hAnsi="Arial Narrow"/>
                <w:b/>
                <w:bCs/>
                <w:snapToGrid w:val="0"/>
                <w:sz w:val="20"/>
                <w:szCs w:val="20"/>
              </w:rPr>
            </w:pPr>
            <w:r w:rsidRPr="00387639">
              <w:rPr>
                <w:rFonts w:ascii="Arial Narrow" w:hAnsi="Arial Narrow"/>
                <w:bCs/>
                <w:snapToGrid w:val="0"/>
                <w:sz w:val="20"/>
                <w:szCs w:val="20"/>
              </w:rPr>
              <w:t>Patient must not be undergoing concomitant PBS-subsidised treatment with any of: (i) a</w:t>
            </w:r>
            <w:r w:rsidR="00C06B23">
              <w:rPr>
                <w:rFonts w:ascii="Arial Narrow" w:hAnsi="Arial Narrow"/>
                <w:bCs/>
                <w:snapToGrid w:val="0"/>
                <w:sz w:val="20"/>
                <w:szCs w:val="20"/>
              </w:rPr>
              <w:t>nother</w:t>
            </w:r>
            <w:r w:rsidRPr="00387639">
              <w:rPr>
                <w:rFonts w:ascii="Arial Narrow" w:hAnsi="Arial Narrow"/>
                <w:bCs/>
                <w:snapToGrid w:val="0"/>
                <w:sz w:val="20"/>
                <w:szCs w:val="20"/>
              </w:rPr>
              <w:t xml:space="preserve"> GLP-1 receptor agonist (ii) a DPP4 inhibitor </w:t>
            </w:r>
          </w:p>
        </w:tc>
      </w:tr>
      <w:tr w:rsidR="00387639" w:rsidRPr="00387639" w14:paraId="315DACC1" w14:textId="77777777" w:rsidTr="00C66ECB">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61C19D8" w14:textId="2E30354D"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1846B8"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 xml:space="preserve">Treatment criteria: </w:t>
            </w:r>
          </w:p>
        </w:tc>
      </w:tr>
      <w:tr w:rsidR="00387639" w:rsidRPr="00387639" w14:paraId="2C5C2CB9" w14:textId="77777777" w:rsidTr="00387639">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1B92C85" w14:textId="77777777"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7EDE44C"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Cs/>
                <w:snapToGrid w:val="0"/>
                <w:sz w:val="20"/>
                <w:szCs w:val="20"/>
              </w:rPr>
              <w:t>The treatment must be used in conjunction with standard of care associated with both (i) the management of CVD and (ii) the prevention of future CV events, including dietary therapy and exercise</w:t>
            </w:r>
          </w:p>
        </w:tc>
      </w:tr>
      <w:tr w:rsidR="00387639" w:rsidRPr="00387639" w14:paraId="17E674A8" w14:textId="77777777" w:rsidTr="00C66ECB">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72C8B5F" w14:textId="0A79A6EA"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2EBB75F"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Population criteria:</w:t>
            </w:r>
          </w:p>
        </w:tc>
      </w:tr>
      <w:tr w:rsidR="00387639" w:rsidRPr="00387639" w14:paraId="053E64DA" w14:textId="77777777" w:rsidTr="00C66ECB">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F160CE5" w14:textId="78050D9C"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BF9B26B"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Patient must be at least 18 years of age</w:t>
            </w:r>
          </w:p>
        </w:tc>
      </w:tr>
      <w:tr w:rsidR="00387639" w:rsidRPr="00387639" w14:paraId="4E82D8FB" w14:textId="77777777" w:rsidTr="00C66ECB">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5AFB897" w14:textId="74E8191F"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4957F2"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Prescribing instructions:</w:t>
            </w:r>
          </w:p>
          <w:p w14:paraId="75BF7F48"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 xml:space="preserve">Symptomatic peripheral arterial disease (PAD) should be evidenced by intermittent claudication with ankle-brachial index (ABI) &lt;0.85 at rest or peripheral arterial revascularisation procedure or amputation due to atherosclerotic disease. </w:t>
            </w:r>
          </w:p>
        </w:tc>
      </w:tr>
      <w:tr w:rsidR="00387639" w:rsidRPr="00387639" w14:paraId="5487D5DE" w14:textId="77777777" w:rsidTr="00C66ECB">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CCAE2E3" w14:textId="0718B96B"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E6EDFCD"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Prescribing instructions:</w:t>
            </w:r>
          </w:p>
          <w:p w14:paraId="5E8CA44C" w14:textId="7FDE4E0D"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 xml:space="preserve">The patient’s measured </w:t>
            </w:r>
            <w:r w:rsidR="002C58BB">
              <w:rPr>
                <w:rFonts w:ascii="Arial Narrow" w:hAnsi="Arial Narrow"/>
                <w:bCs/>
                <w:snapToGrid w:val="0"/>
                <w:sz w:val="20"/>
                <w:szCs w:val="20"/>
              </w:rPr>
              <w:t xml:space="preserve">Body Mass Index </w:t>
            </w:r>
            <w:r w:rsidRPr="00387639">
              <w:rPr>
                <w:rFonts w:ascii="Arial Narrow" w:hAnsi="Arial Narrow"/>
                <w:bCs/>
                <w:snapToGrid w:val="0"/>
                <w:sz w:val="20"/>
                <w:szCs w:val="20"/>
              </w:rPr>
              <w:t xml:space="preserve">at the time </w:t>
            </w:r>
            <w:r w:rsidR="00C87271">
              <w:rPr>
                <w:rFonts w:ascii="Arial Narrow" w:hAnsi="Arial Narrow"/>
                <w:bCs/>
                <w:snapToGrid w:val="0"/>
                <w:sz w:val="20"/>
                <w:szCs w:val="20"/>
              </w:rPr>
              <w:t xml:space="preserve">of </w:t>
            </w:r>
            <w:r w:rsidR="00A93E03">
              <w:rPr>
                <w:rFonts w:ascii="Arial Narrow" w:hAnsi="Arial Narrow"/>
                <w:bCs/>
                <w:snapToGrid w:val="0"/>
                <w:sz w:val="20"/>
                <w:szCs w:val="20"/>
              </w:rPr>
              <w:t>initiating</w:t>
            </w:r>
            <w:r w:rsidR="00C87271">
              <w:rPr>
                <w:rFonts w:ascii="Arial Narrow" w:hAnsi="Arial Narrow"/>
                <w:bCs/>
                <w:snapToGrid w:val="0"/>
                <w:sz w:val="20"/>
                <w:szCs w:val="20"/>
              </w:rPr>
              <w:t xml:space="preserve"> non-PBS subsidised treatment with this drug must be </w:t>
            </w:r>
            <w:r w:rsidRPr="00387639">
              <w:rPr>
                <w:rFonts w:ascii="Arial Narrow" w:hAnsi="Arial Narrow"/>
                <w:bCs/>
                <w:snapToGrid w:val="0"/>
                <w:sz w:val="20"/>
                <w:szCs w:val="20"/>
              </w:rPr>
              <w:t>documented in the patient’s medical record</w:t>
            </w:r>
          </w:p>
        </w:tc>
      </w:tr>
      <w:tr w:rsidR="00387639" w:rsidRPr="00387639" w14:paraId="7F6D355A" w14:textId="77777777" w:rsidTr="00C66ECB">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A2492D1" w14:textId="5A8DFAC9"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8214EB7"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Prescribing instructions:</w:t>
            </w:r>
          </w:p>
          <w:p w14:paraId="60D5A6CF"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Prescriber must ensure that patients are only receiving PBS subsidised treatment with one presentation of the maintenance dose of this drug at a time.</w:t>
            </w:r>
          </w:p>
        </w:tc>
      </w:tr>
      <w:tr w:rsidR="00387639" w:rsidRPr="00387639" w14:paraId="79D8E5B5" w14:textId="77777777" w:rsidTr="00C66ECB">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BA4BBF4" w14:textId="13DAE4B6"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CB35AB"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Prescribing Instructions:</w:t>
            </w:r>
          </w:p>
          <w:p w14:paraId="23D6932D"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Cs/>
                <w:snapToGrid w:val="0"/>
                <w:sz w:val="20"/>
                <w:szCs w:val="20"/>
              </w:rPr>
              <w:t>A patient may qualify for PBS-subsidised treatment under this restriction once only. For continuing PBS-subsidised treatment, a Grandfathered patient must qualify under the Continuing treatment criteria.</w:t>
            </w:r>
          </w:p>
        </w:tc>
      </w:tr>
      <w:tr w:rsidR="00387639" w:rsidRPr="00387639" w14:paraId="7617BF35" w14:textId="77777777" w:rsidTr="00C66ECB">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0F15215" w14:textId="4F84DEFA" w:rsidR="00387639" w:rsidRPr="00387639" w:rsidRDefault="00387639" w:rsidP="00387639">
            <w:pPr>
              <w:jc w:val="left"/>
              <w:rPr>
                <w:rFonts w:ascii="Arial Narrow" w:hAnsi="Arial Narrow"/>
                <w:bCs/>
                <w:snapToGrid w:val="0"/>
                <w:sz w:val="20"/>
                <w:szCs w:val="20"/>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4E6B6E3"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Administrative Advice:</w:t>
            </w:r>
          </w:p>
          <w:p w14:paraId="7202F256"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Cs/>
                <w:snapToGrid w:val="0"/>
                <w:sz w:val="20"/>
                <w:szCs w:val="20"/>
              </w:rPr>
              <w:t>This grandfather restriction will cease to operate from 12 months after the date specified in the clinical criteria.</w:t>
            </w:r>
          </w:p>
        </w:tc>
      </w:tr>
    </w:tbl>
    <w:p w14:paraId="080F38BD" w14:textId="77777777" w:rsidR="00387639" w:rsidRPr="00387639" w:rsidRDefault="00387639" w:rsidP="00387639">
      <w:pPr>
        <w:jc w:val="left"/>
        <w:rPr>
          <w:rFonts w:ascii="Arial Narrow" w:hAnsi="Arial Narrow"/>
          <w:bCs/>
          <w:snapToGrid w:val="0"/>
          <w:sz w:val="20"/>
          <w:szCs w:val="20"/>
        </w:rPr>
      </w:pPr>
    </w:p>
    <w:p w14:paraId="44387CC4" w14:textId="77777777" w:rsidR="009A52B5" w:rsidRDefault="009A52B5" w:rsidP="009A52B5">
      <w:pPr>
        <w:pStyle w:val="COMESnumberedpara"/>
        <w:numPr>
          <w:ilvl w:val="0"/>
          <w:numId w:val="0"/>
        </w:numPr>
        <w:ind w:left="720"/>
      </w:pPr>
    </w:p>
    <w:p w14:paraId="4C54F9A5" w14:textId="7B6B5831" w:rsidR="009A52B5" w:rsidRPr="009A52B5" w:rsidRDefault="6D7078A8" w:rsidP="009A52B5">
      <w:pPr>
        <w:pStyle w:val="COMESnumberedpara"/>
      </w:pPr>
      <w:r w:rsidRPr="00387639">
        <w:rPr>
          <w:snapToGrid w:val="0"/>
        </w:rPr>
        <w:t xml:space="preserve">Flow on changes to GLP1 RA listings (semaglutide and dulaglutide) for type </w:t>
      </w:r>
      <w:r w:rsidR="14F3CF96" w:rsidRPr="00387639">
        <w:rPr>
          <w:snapToGrid w:val="0"/>
        </w:rPr>
        <w:t>2</w:t>
      </w:r>
      <w:r w:rsidRPr="00387639">
        <w:rPr>
          <w:snapToGrid w:val="0"/>
        </w:rPr>
        <w:t xml:space="preserve"> diabetes mellitus</w:t>
      </w:r>
      <w:r w:rsidR="44C14A98">
        <w:rPr>
          <w:snapToGrid w:val="0"/>
        </w:rPr>
        <w:t>.</w:t>
      </w:r>
    </w:p>
    <w:p w14:paraId="7EC7DFF6" w14:textId="77777777" w:rsidR="009A52B5" w:rsidRPr="00387639" w:rsidRDefault="009A52B5" w:rsidP="00164A0E">
      <w:pPr>
        <w:pStyle w:val="COMESnumberedpara"/>
        <w:numPr>
          <w:ilvl w:val="0"/>
          <w:numId w:val="0"/>
        </w:numPr>
      </w:pPr>
    </w:p>
    <w:p w14:paraId="65C1120F" w14:textId="77777777" w:rsidR="00387639" w:rsidRPr="00387639" w:rsidRDefault="00387639" w:rsidP="00387639">
      <w:pPr>
        <w:jc w:val="left"/>
        <w:rPr>
          <w:rFonts w:ascii="Arial Narrow" w:hAnsi="Arial Narrow"/>
          <w:bCs/>
          <w:snapToGrid w:val="0"/>
          <w:sz w:val="20"/>
          <w:szCs w:val="20"/>
          <w:u w:val="single"/>
        </w:rPr>
      </w:pPr>
      <w:r w:rsidRPr="00387639">
        <w:rPr>
          <w:rFonts w:ascii="Arial Narrow" w:hAnsi="Arial Narrow"/>
          <w:bCs/>
          <w:snapToGrid w:val="0"/>
          <w:sz w:val="20"/>
          <w:szCs w:val="20"/>
          <w:u w:val="single"/>
        </w:rPr>
        <w:t>Add the following concept IDs to subsequent PBS prescription treatment phase: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dd the following concept IDs to subsequent PBS prescription treatment phase:"/>
      </w:tblPr>
      <w:tblGrid>
        <w:gridCol w:w="1272"/>
        <w:gridCol w:w="7745"/>
      </w:tblGrid>
      <w:tr w:rsidR="00387639" w:rsidRPr="00387639" w14:paraId="14ED354F" w14:textId="77777777" w:rsidTr="00C66ECB">
        <w:trPr>
          <w:cantSplit/>
          <w:trHeight w:val="20"/>
        </w:trPr>
        <w:tc>
          <w:tcPr>
            <w:tcW w:w="127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ADEC8C1" w14:textId="15E58585" w:rsidR="00387639" w:rsidRPr="00387639" w:rsidRDefault="00387639" w:rsidP="00387639">
            <w:pPr>
              <w:jc w:val="left"/>
              <w:rPr>
                <w:rFonts w:ascii="Arial Narrow" w:hAnsi="Arial Narrow"/>
                <w:bCs/>
                <w:snapToGrid w:val="0"/>
                <w:sz w:val="20"/>
                <w:szCs w:val="20"/>
              </w:rPr>
            </w:pPr>
          </w:p>
        </w:tc>
        <w:tc>
          <w:tcPr>
            <w:tcW w:w="774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C85EE5"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Clinical criteria:</w:t>
            </w:r>
          </w:p>
        </w:tc>
      </w:tr>
      <w:tr w:rsidR="00387639" w:rsidRPr="00387639" w14:paraId="0B6A25D0" w14:textId="77777777" w:rsidTr="00C66ECB">
        <w:trPr>
          <w:cantSplit/>
          <w:trHeight w:val="20"/>
        </w:trPr>
        <w:tc>
          <w:tcPr>
            <w:tcW w:w="127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B22E16D" w14:textId="5C56CD94" w:rsidR="00387639" w:rsidRPr="00387639" w:rsidRDefault="00387639" w:rsidP="00387639">
            <w:pPr>
              <w:jc w:val="left"/>
              <w:rPr>
                <w:rFonts w:ascii="Arial Narrow" w:hAnsi="Arial Narrow"/>
                <w:bCs/>
                <w:snapToGrid w:val="0"/>
                <w:sz w:val="20"/>
                <w:szCs w:val="20"/>
              </w:rPr>
            </w:pPr>
          </w:p>
        </w:tc>
        <w:tc>
          <w:tcPr>
            <w:tcW w:w="774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42F089C"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 xml:space="preserve">Patient must have previously received PBS-subsidised treatment with this drug for this condition under the first PBS-prescription for this drug treatment phase; </w:t>
            </w:r>
          </w:p>
        </w:tc>
      </w:tr>
      <w:tr w:rsidR="00387639" w:rsidRPr="00387639" w14:paraId="214D0916" w14:textId="77777777" w:rsidTr="1F25492A">
        <w:trPr>
          <w:cantSplit/>
          <w:trHeight w:val="20"/>
        </w:trPr>
        <w:tc>
          <w:tcPr>
            <w:tcW w:w="127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2394793" w14:textId="77777777" w:rsidR="00387639" w:rsidRPr="00387639" w:rsidRDefault="00387639" w:rsidP="00387639">
            <w:pPr>
              <w:jc w:val="left"/>
              <w:rPr>
                <w:rFonts w:ascii="Arial Narrow" w:hAnsi="Arial Narrow"/>
                <w:bCs/>
                <w:snapToGrid w:val="0"/>
                <w:sz w:val="20"/>
                <w:szCs w:val="20"/>
              </w:rPr>
            </w:pPr>
          </w:p>
        </w:tc>
        <w:tc>
          <w:tcPr>
            <w:tcW w:w="774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7B8FEB" w14:textId="77777777" w:rsidR="00387639" w:rsidRPr="00387639" w:rsidRDefault="00387639" w:rsidP="00387639">
            <w:pPr>
              <w:jc w:val="left"/>
              <w:rPr>
                <w:rFonts w:ascii="Arial Narrow" w:hAnsi="Arial Narrow"/>
                <w:b/>
                <w:bCs/>
                <w:snapToGrid w:val="0"/>
                <w:sz w:val="20"/>
                <w:szCs w:val="20"/>
              </w:rPr>
            </w:pPr>
            <w:r w:rsidRPr="00387639">
              <w:rPr>
                <w:rFonts w:ascii="Arial Narrow" w:hAnsi="Arial Narrow"/>
                <w:b/>
                <w:bCs/>
                <w:snapToGrid w:val="0"/>
                <w:sz w:val="20"/>
                <w:szCs w:val="20"/>
              </w:rPr>
              <w:t>OR</w:t>
            </w:r>
          </w:p>
        </w:tc>
      </w:tr>
      <w:tr w:rsidR="00387639" w:rsidRPr="00387639" w14:paraId="3D4BDA45" w14:textId="77777777" w:rsidTr="1F25492A">
        <w:trPr>
          <w:cantSplit/>
          <w:trHeight w:val="20"/>
        </w:trPr>
        <w:tc>
          <w:tcPr>
            <w:tcW w:w="1272"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3624BE3" w14:textId="77777777" w:rsidR="00387639" w:rsidRPr="00387639" w:rsidRDefault="00387639" w:rsidP="00387639">
            <w:pPr>
              <w:jc w:val="left"/>
              <w:rPr>
                <w:rFonts w:ascii="Arial Narrow" w:hAnsi="Arial Narrow"/>
                <w:bCs/>
                <w:snapToGrid w:val="0"/>
                <w:sz w:val="20"/>
                <w:szCs w:val="20"/>
              </w:rPr>
            </w:pPr>
          </w:p>
        </w:tc>
        <w:tc>
          <w:tcPr>
            <w:tcW w:w="7744"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D061477" w14:textId="77777777" w:rsidR="00387639" w:rsidRPr="00387639" w:rsidRDefault="00387639" w:rsidP="1F25492A">
            <w:pPr>
              <w:jc w:val="left"/>
              <w:rPr>
                <w:rFonts w:ascii="Arial Narrow" w:hAnsi="Arial Narrow"/>
                <w:snapToGrid w:val="0"/>
                <w:sz w:val="20"/>
                <w:szCs w:val="20"/>
              </w:rPr>
            </w:pPr>
            <w:r w:rsidRPr="1F25492A">
              <w:rPr>
                <w:rFonts w:ascii="Arial Narrow" w:hAnsi="Arial Narrow"/>
                <w:snapToGrid w:val="0"/>
                <w:sz w:val="20"/>
                <w:szCs w:val="20"/>
              </w:rPr>
              <w:t>Patient must have previously received PBS-subsidised treatment with this drug for this condition commenced prior to 1 June 2024</w:t>
            </w:r>
          </w:p>
        </w:tc>
      </w:tr>
      <w:tr w:rsidR="00387639" w:rsidRPr="00387639" w14:paraId="284DC633" w14:textId="77777777" w:rsidTr="1F25492A">
        <w:trPr>
          <w:cantSplit/>
          <w:trHeight w:val="20"/>
        </w:trPr>
        <w:tc>
          <w:tcPr>
            <w:tcW w:w="901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015605"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PBS item codes to be changed:</w:t>
            </w:r>
          </w:p>
        </w:tc>
      </w:tr>
      <w:tr w:rsidR="00387639" w:rsidRPr="00387639" w14:paraId="2EE91656" w14:textId="77777777" w:rsidTr="1F25492A">
        <w:trPr>
          <w:cantSplit/>
          <w:trHeight w:val="20"/>
        </w:trPr>
        <w:tc>
          <w:tcPr>
            <w:tcW w:w="9016"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6B8741" w14:textId="69D90F89"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14163K</w:t>
            </w:r>
          </w:p>
          <w:p w14:paraId="0F30B2A4"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14846J</w:t>
            </w:r>
          </w:p>
          <w:p w14:paraId="5A41F1E0" w14:textId="77777777" w:rsidR="00387639" w:rsidRPr="00387639" w:rsidRDefault="00387639" w:rsidP="00387639">
            <w:pPr>
              <w:jc w:val="left"/>
              <w:rPr>
                <w:rFonts w:ascii="Arial Narrow" w:hAnsi="Arial Narrow"/>
                <w:bCs/>
                <w:snapToGrid w:val="0"/>
                <w:sz w:val="20"/>
                <w:szCs w:val="20"/>
              </w:rPr>
            </w:pPr>
            <w:r w:rsidRPr="00387639">
              <w:rPr>
                <w:rFonts w:ascii="Arial Narrow" w:hAnsi="Arial Narrow"/>
                <w:bCs/>
                <w:snapToGrid w:val="0"/>
                <w:sz w:val="20"/>
                <w:szCs w:val="20"/>
              </w:rPr>
              <w:t>14150R</w:t>
            </w:r>
          </w:p>
        </w:tc>
      </w:tr>
    </w:tbl>
    <w:p w14:paraId="4958D001" w14:textId="77777777" w:rsidR="00387639" w:rsidRDefault="00387639" w:rsidP="00F83289">
      <w:pPr>
        <w:jc w:val="left"/>
        <w:rPr>
          <w:rFonts w:asciiTheme="minorHAnsi" w:hAnsiTheme="minorHAnsi"/>
          <w:bCs/>
          <w:snapToGrid w:val="0"/>
        </w:rPr>
      </w:pPr>
    </w:p>
    <w:p w14:paraId="29094D22" w14:textId="38E2587E" w:rsidR="00FE1C12" w:rsidRDefault="00F83289" w:rsidP="00F83289">
      <w:pPr>
        <w:jc w:val="left"/>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 the sponsor will be informed.</w:t>
      </w:r>
    </w:p>
    <w:p w14:paraId="4C29C8AE" w14:textId="77777777" w:rsidR="00E273E4" w:rsidRDefault="00E273E4" w:rsidP="00E273E4">
      <w:pPr>
        <w:pStyle w:val="COMH1numbered"/>
        <w:numPr>
          <w:ilvl w:val="0"/>
          <w:numId w:val="0"/>
        </w:numPr>
        <w:ind w:left="720" w:hanging="720"/>
        <w:rPr>
          <w:bCs/>
          <w:lang w:val="en-GB"/>
        </w:rPr>
      </w:pPr>
      <w:bookmarkStart w:id="80" w:name="_Hlk219795394"/>
      <w:bookmarkStart w:id="81" w:name="_Hlk219795414"/>
      <w:bookmarkStart w:id="82" w:name="_Hlk219383813"/>
      <w:r w:rsidRPr="00C07617">
        <w:t>9</w:t>
      </w:r>
      <w:r w:rsidRPr="00C07617">
        <w:tab/>
        <w:t>Context for Decision</w:t>
      </w:r>
    </w:p>
    <w:p w14:paraId="7A048BE8" w14:textId="77777777" w:rsidR="00E273E4" w:rsidRPr="00311EEF" w:rsidRDefault="00E273E4" w:rsidP="00E273E4">
      <w:pPr>
        <w:spacing w:after="120"/>
        <w:ind w:left="720"/>
        <w:rPr>
          <w:rFonts w:asciiTheme="minorHAnsi" w:hAnsiTheme="minorHAnsi"/>
          <w:bCs/>
          <w:lang w:val="en-GB"/>
        </w:rPr>
      </w:pPr>
      <w:r w:rsidRPr="00311EEF">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w:t>
      </w:r>
      <w:r w:rsidRPr="00311EEF">
        <w:rPr>
          <w:rFonts w:asciiTheme="minorHAnsi" w:hAnsiTheme="minorHAnsi"/>
          <w:bCs/>
          <w:lang w:val="en-GB"/>
        </w:rPr>
        <w:lastRenderedPageBreak/>
        <w:t>through the PBS. The PBAC welcomes applications containing new information at any time.</w:t>
      </w:r>
    </w:p>
    <w:p w14:paraId="1B78352D" w14:textId="77777777" w:rsidR="00E273E4" w:rsidRPr="00311EEF" w:rsidRDefault="00E273E4" w:rsidP="00E273E4">
      <w:pPr>
        <w:pStyle w:val="COMH1numbered"/>
        <w:numPr>
          <w:ilvl w:val="0"/>
          <w:numId w:val="0"/>
        </w:numPr>
        <w:ind w:left="720" w:hanging="720"/>
      </w:pPr>
      <w:r w:rsidRPr="00311EEF">
        <w:t>10</w:t>
      </w:r>
      <w:r>
        <w:tab/>
      </w:r>
      <w:r w:rsidRPr="00311EEF">
        <w:t>Sponsor’s Comment</w:t>
      </w:r>
    </w:p>
    <w:p w14:paraId="02ECFDBC" w14:textId="77777777" w:rsidR="001D6C6C" w:rsidRPr="001D6C6C" w:rsidRDefault="001D6C6C" w:rsidP="001D6C6C">
      <w:pPr>
        <w:spacing w:after="120"/>
        <w:ind w:left="720"/>
        <w:rPr>
          <w:rFonts w:asciiTheme="minorHAnsi" w:hAnsiTheme="minorHAnsi"/>
          <w:bCs/>
        </w:rPr>
      </w:pPr>
      <w:bookmarkStart w:id="83" w:name="_Hlk219795403"/>
      <w:bookmarkEnd w:id="80"/>
      <w:r w:rsidRPr="001D6C6C">
        <w:rPr>
          <w:rFonts w:asciiTheme="minorHAnsi" w:hAnsiTheme="minorHAnsi"/>
          <w:bCs/>
        </w:rPr>
        <w:t xml:space="preserve">Novo Nordisk welcomes the PBAC’s recommendation to list Wegovy® (semaglutide) on the PBS for the treatment of adult patients with established atherosclerotic cardiovascular disease (ASCVD) and obesity. </w:t>
      </w:r>
    </w:p>
    <w:p w14:paraId="47927EB2" w14:textId="54427DF5" w:rsidR="001D6C6C" w:rsidRPr="001D6C6C" w:rsidRDefault="001D6C6C" w:rsidP="001D6C6C">
      <w:pPr>
        <w:spacing w:after="120"/>
        <w:ind w:left="720"/>
        <w:rPr>
          <w:rFonts w:asciiTheme="minorHAnsi" w:hAnsiTheme="minorHAnsi"/>
          <w:bCs/>
        </w:rPr>
      </w:pPr>
      <w:r w:rsidRPr="001D6C6C">
        <w:rPr>
          <w:rFonts w:asciiTheme="minorHAnsi" w:hAnsiTheme="minorHAnsi"/>
          <w:bCs/>
        </w:rPr>
        <w:t xml:space="preserve"> This recommendation, which applies to patients with a BMI ≥35 kg/m2 reflects the growing recognition of the importance of addressing cardiovascular risk in people living with </w:t>
      </w:r>
      <w:r w:rsidR="004F310D" w:rsidRPr="001D6C6C">
        <w:rPr>
          <w:rFonts w:asciiTheme="minorHAnsi" w:hAnsiTheme="minorHAnsi"/>
          <w:bCs/>
        </w:rPr>
        <w:t>obesity and</w:t>
      </w:r>
      <w:r w:rsidRPr="001D6C6C">
        <w:rPr>
          <w:rFonts w:asciiTheme="minorHAnsi" w:hAnsiTheme="minorHAnsi"/>
          <w:bCs/>
        </w:rPr>
        <w:t xml:space="preserve"> marks an important first step toward securing more equitable access. </w:t>
      </w:r>
    </w:p>
    <w:p w14:paraId="69AC8488" w14:textId="77777777" w:rsidR="001D6C6C" w:rsidRPr="001D6C6C" w:rsidRDefault="001D6C6C" w:rsidP="001D6C6C">
      <w:pPr>
        <w:spacing w:after="120"/>
        <w:ind w:left="720"/>
        <w:rPr>
          <w:rFonts w:asciiTheme="minorHAnsi" w:hAnsiTheme="minorHAnsi"/>
          <w:bCs/>
        </w:rPr>
      </w:pPr>
      <w:r w:rsidRPr="001D6C6C">
        <w:rPr>
          <w:rFonts w:asciiTheme="minorHAnsi" w:hAnsiTheme="minorHAnsi"/>
          <w:bCs/>
        </w:rPr>
        <w:t xml:space="preserve">We extend our sincere appreciation to healthcare professionals, professional societies, peak bodies, patient organisations, patients and caregivers who provided invaluable input throughout the submission process.  </w:t>
      </w:r>
    </w:p>
    <w:p w14:paraId="300F141E" w14:textId="32054095" w:rsidR="00E273E4" w:rsidRPr="001179AC" w:rsidRDefault="001D6C6C" w:rsidP="001D6C6C">
      <w:pPr>
        <w:spacing w:after="120"/>
        <w:ind w:left="720"/>
        <w:rPr>
          <w:rFonts w:asciiTheme="minorHAnsi" w:hAnsiTheme="minorHAnsi"/>
          <w:bCs/>
        </w:rPr>
      </w:pPr>
      <w:r w:rsidRPr="001D6C6C">
        <w:rPr>
          <w:rFonts w:asciiTheme="minorHAnsi" w:hAnsiTheme="minorHAnsi"/>
          <w:bCs/>
        </w:rPr>
        <w:t>Novo Nordisk will continue to work with the PBAC and the Department of Health to support timely, equitable and expanded access to Wegovy® (semaglutide) for adult patients living with established ASCVD and obesity.</w:t>
      </w:r>
      <w:bookmarkEnd w:id="81"/>
    </w:p>
    <w:bookmarkEnd w:id="82"/>
    <w:bookmarkEnd w:id="83"/>
    <w:p w14:paraId="23D98668" w14:textId="77777777" w:rsidR="00FE1C12" w:rsidRPr="00C66ECB" w:rsidRDefault="00FE1C12" w:rsidP="00F83289">
      <w:pPr>
        <w:jc w:val="left"/>
        <w:rPr>
          <w:rFonts w:asciiTheme="minorHAnsi" w:hAnsiTheme="minorHAnsi"/>
          <w:b/>
          <w:snapToGrid w:val="0"/>
          <w:lang w:val="en-GB"/>
        </w:rPr>
      </w:pPr>
    </w:p>
    <w:p w14:paraId="129446CB" w14:textId="5A6B0EAD" w:rsidR="00F83289" w:rsidRPr="00370156" w:rsidRDefault="00F83289">
      <w:pPr>
        <w:jc w:val="left"/>
        <w:rPr>
          <w:b/>
          <w:caps/>
          <w:sz w:val="32"/>
        </w:rPr>
      </w:pPr>
      <w:bookmarkStart w:id="84" w:name="_Toc208928377"/>
      <w:bookmarkEnd w:id="84"/>
    </w:p>
    <w:sectPr w:rsidR="00F83289" w:rsidRPr="00370156" w:rsidSect="00965E5E">
      <w:headerReference w:type="default" r:id="rId15"/>
      <w:footerReference w:type="default" r:id="rId16"/>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4E1E" w14:textId="77777777" w:rsidR="00590076" w:rsidRDefault="00590076" w:rsidP="00124A51">
      <w:r>
        <w:separator/>
      </w:r>
    </w:p>
    <w:p w14:paraId="0D8FB3C3" w14:textId="77777777" w:rsidR="00590076" w:rsidRDefault="00590076"/>
    <w:p w14:paraId="5CEFF1AA" w14:textId="77777777" w:rsidR="00590076" w:rsidRDefault="00590076"/>
    <w:p w14:paraId="7C16FEF0" w14:textId="77777777" w:rsidR="00590076" w:rsidRDefault="00590076"/>
    <w:p w14:paraId="193F4AE1" w14:textId="77777777" w:rsidR="00590076" w:rsidRDefault="00590076"/>
  </w:endnote>
  <w:endnote w:type="continuationSeparator" w:id="0">
    <w:p w14:paraId="23EFE895" w14:textId="77777777" w:rsidR="00590076" w:rsidRDefault="00590076" w:rsidP="00124A51">
      <w:r>
        <w:continuationSeparator/>
      </w:r>
    </w:p>
    <w:p w14:paraId="45BA5CF1" w14:textId="77777777" w:rsidR="00590076" w:rsidRDefault="00590076"/>
    <w:p w14:paraId="198C67F7" w14:textId="77777777" w:rsidR="00590076" w:rsidRDefault="00590076"/>
    <w:p w14:paraId="3A7D1D1D" w14:textId="77777777" w:rsidR="00590076" w:rsidRDefault="00590076"/>
    <w:p w14:paraId="6CD2A5B8" w14:textId="77777777" w:rsidR="00590076" w:rsidRDefault="005900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3CEDDCAF" w:rsidR="00D843F2" w:rsidRDefault="00D843F2" w:rsidP="00753B29">
    <w:pPr>
      <w:jc w:val="center"/>
    </w:pPr>
  </w:p>
  <w:p w14:paraId="37484CD3" w14:textId="4CF168C2" w:rsidR="00D843F2" w:rsidRPr="007C1CD9" w:rsidRDefault="00000000" w:rsidP="006028D3">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4C9FA" w14:textId="77777777" w:rsidR="00590076" w:rsidRDefault="00590076" w:rsidP="00124A51">
      <w:r>
        <w:separator/>
      </w:r>
    </w:p>
    <w:p w14:paraId="05855A03" w14:textId="77777777" w:rsidR="00590076" w:rsidRDefault="00590076"/>
    <w:p w14:paraId="67DACA07" w14:textId="77777777" w:rsidR="00590076" w:rsidRDefault="00590076"/>
    <w:p w14:paraId="4F855D70" w14:textId="77777777" w:rsidR="00590076" w:rsidRDefault="00590076"/>
    <w:p w14:paraId="4A5E64EF" w14:textId="77777777" w:rsidR="00590076" w:rsidRDefault="00590076"/>
  </w:footnote>
  <w:footnote w:type="continuationSeparator" w:id="0">
    <w:p w14:paraId="63DE3E7D" w14:textId="77777777" w:rsidR="00590076" w:rsidRDefault="00590076" w:rsidP="00124A51">
      <w:r>
        <w:continuationSeparator/>
      </w:r>
    </w:p>
    <w:p w14:paraId="60103B64" w14:textId="77777777" w:rsidR="00590076" w:rsidRDefault="00590076"/>
    <w:p w14:paraId="69C36070" w14:textId="77777777" w:rsidR="00590076" w:rsidRDefault="00590076"/>
    <w:p w14:paraId="0757A539" w14:textId="77777777" w:rsidR="00590076" w:rsidRDefault="00590076"/>
    <w:p w14:paraId="486A2AD6" w14:textId="77777777" w:rsidR="00590076" w:rsidRDefault="00590076"/>
  </w:footnote>
  <w:footnote w:id="1">
    <w:p w14:paraId="1FE2A05A" w14:textId="7B642AA5" w:rsidR="007606E6" w:rsidRDefault="007606E6">
      <w:pPr>
        <w:pStyle w:val="FootnoteText"/>
      </w:pPr>
      <w:r>
        <w:rPr>
          <w:rStyle w:val="FootnoteReference"/>
        </w:rPr>
        <w:footnoteRef/>
      </w:r>
      <w:r>
        <w:t xml:space="preserve"> </w:t>
      </w:r>
      <w:r w:rsidRPr="00996F20">
        <w:t>Rubino</w:t>
      </w:r>
      <w:r>
        <w:t xml:space="preserve">, F. et al; “Definition and diagnostic criteria of clinical obesity”, </w:t>
      </w:r>
      <w:r w:rsidRPr="00F41825">
        <w:rPr>
          <w:i/>
          <w:iCs/>
        </w:rPr>
        <w:t>The Lancet Diabetes &amp; Endocrinology</w:t>
      </w:r>
      <w:r>
        <w:t>, Volume 13, Issue 3, 2025, Pages 221-262</w:t>
      </w:r>
    </w:p>
  </w:footnote>
  <w:footnote w:id="2">
    <w:p w14:paraId="5529C968" w14:textId="77777777" w:rsidR="00676788" w:rsidRPr="000C2641" w:rsidRDefault="00676788" w:rsidP="00676788">
      <w:pPr>
        <w:pStyle w:val="FootnoteText"/>
        <w:rPr>
          <w:rFonts w:asciiTheme="minorHAnsi" w:hAnsiTheme="minorHAnsi" w:cstheme="minorHAnsi"/>
        </w:rPr>
      </w:pPr>
      <w:r>
        <w:rPr>
          <w:rStyle w:val="FootnoteReference"/>
        </w:rPr>
        <w:footnoteRef/>
      </w:r>
      <w:r>
        <w:t xml:space="preserve"> </w:t>
      </w:r>
      <w:r w:rsidRPr="000C2641">
        <w:rPr>
          <w:rFonts w:asciiTheme="minorHAnsi" w:hAnsiTheme="minorHAnsi" w:cstheme="minorHAnsi"/>
          <w:color w:val="45494B"/>
          <w:shd w:val="clear" w:color="auto" w:fill="FFFFFF"/>
        </w:rPr>
        <w:t>House of Representatives. (2025). Responses: Obesity. Parliament of Australia.</w:t>
      </w:r>
      <w:r w:rsidRPr="000C2641">
        <w:rPr>
          <w:rFonts w:asciiTheme="minorHAnsi" w:hAnsiTheme="minorHAnsi" w:cstheme="minorHAnsi"/>
        </w:rPr>
        <w:t xml:space="preserve"> </w:t>
      </w:r>
      <w:r w:rsidRPr="000C2641">
        <w:rPr>
          <w:rFonts w:asciiTheme="minorHAnsi" w:hAnsiTheme="minorHAnsi" w:cstheme="minorHAnsi"/>
          <w:color w:val="0000FF"/>
          <w:u w:val="single"/>
        </w:rPr>
        <w:t>https://www.aph.gov.au</w:t>
      </w:r>
      <w:r w:rsidRPr="000C2641">
        <w:rPr>
          <w:rFonts w:asciiTheme="minorHAnsi" w:hAnsiTheme="minorHAnsi" w:cstheme="minorHAnsi"/>
          <w:color w:val="0000FF"/>
          <w:u w:val="single"/>
        </w:rPr>
        <w:br/>
        <w:t>/Parliamentary_Business/Hansard/Hansard_Display?bid=chamber/hansardr/28774/&amp;sid=0147#:~:text=Mr%20Dreyfus%20KC-,Obesity,-Dear%20Chair</w:t>
      </w:r>
    </w:p>
  </w:footnote>
  <w:footnote w:id="3">
    <w:p w14:paraId="48B94470" w14:textId="77777777" w:rsidR="00E3772C" w:rsidRDefault="00E3772C" w:rsidP="00E3772C">
      <w:pPr>
        <w:pStyle w:val="FootnoteText"/>
      </w:pPr>
      <w:r>
        <w:rPr>
          <w:rStyle w:val="FootnoteReference"/>
        </w:rPr>
        <w:footnoteRef/>
      </w:r>
      <w:r>
        <w:t xml:space="preserve"> </w:t>
      </w:r>
      <w:r w:rsidRPr="00837926">
        <w:t>Australian Institute of Health and Welfare. Heart, stroke and vascular disease: Australian facts [Internet]. Canberra: Australian Institute of Health and Welfare, 2024 [cited 2025 Oct. 17]. Available from: https://www.aihw.gov.au/reports/heart-stroke-vascular-diseases/hsvd-facts</w:t>
      </w:r>
    </w:p>
  </w:footnote>
  <w:footnote w:id="4">
    <w:p w14:paraId="068355DB" w14:textId="77777777" w:rsidR="00E3772C" w:rsidRDefault="00E3772C" w:rsidP="00E3772C">
      <w:pPr>
        <w:pStyle w:val="FootnoteText"/>
      </w:pPr>
      <w:r>
        <w:rPr>
          <w:rStyle w:val="FootnoteReference"/>
        </w:rPr>
        <w:footnoteRef/>
      </w:r>
      <w:r>
        <w:t xml:space="preserve"> Heart Foundation. </w:t>
      </w:r>
      <w:r w:rsidRPr="00654D39">
        <w:t>Statistics and information on cardiovascular disease in Australia</w:t>
      </w:r>
      <w:r>
        <w:t xml:space="preserve"> </w:t>
      </w:r>
      <w:r w:rsidRPr="00837926">
        <w:t>[Internet].</w:t>
      </w:r>
      <w:r>
        <w:t xml:space="preserve"> </w:t>
      </w:r>
      <w:r w:rsidRPr="00837926">
        <w:t>202</w:t>
      </w:r>
      <w:r>
        <w:t>5</w:t>
      </w:r>
      <w:r w:rsidRPr="00837926">
        <w:t xml:space="preserve"> [cited 2025 Oct. 17]. Available from: </w:t>
      </w:r>
      <w:r w:rsidRPr="00594019">
        <w:t>https://www.heartfoundation.org.au/your-heart/evidence-and-statistics/key-stats-cardiovascular-disease</w:t>
      </w:r>
    </w:p>
  </w:footnote>
  <w:footnote w:id="5">
    <w:p w14:paraId="3ED88804" w14:textId="77777777" w:rsidR="00D035FA" w:rsidRDefault="00D035FA" w:rsidP="00D035FA">
      <w:pPr>
        <w:pStyle w:val="FootnoteText"/>
      </w:pPr>
      <w:r>
        <w:rPr>
          <w:rStyle w:val="FootnoteReference"/>
        </w:rPr>
        <w:footnoteRef/>
      </w:r>
      <w:r>
        <w:t xml:space="preserve"> </w:t>
      </w:r>
      <w:r w:rsidRPr="00996F20">
        <w:t>Rubino</w:t>
      </w:r>
      <w:r>
        <w:t xml:space="preserve">, F. et al; “Definition and diagnostic criteria of clinical obesity”, </w:t>
      </w:r>
      <w:r w:rsidRPr="00F41825">
        <w:rPr>
          <w:i/>
          <w:iCs/>
        </w:rPr>
        <w:t>The Lancet Diabetes &amp; Endocrinology</w:t>
      </w:r>
      <w:r>
        <w:t>, Volume 13, Issue 3, 2025, Pages 221-262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943B" w14:textId="187EC86F" w:rsidR="00D843F2" w:rsidRDefault="0058221A" w:rsidP="0058221A">
    <w:pPr>
      <w:pStyle w:val="Header"/>
    </w:pPr>
    <w:r>
      <w:t>Public Summary Document</w:t>
    </w:r>
    <w:r w:rsidR="00543537" w:rsidRPr="00056684">
      <w:t xml:space="preserve"> </w:t>
    </w:r>
    <w:r w:rsidR="00543537">
      <w:rPr>
        <w:noProof/>
      </w:rPr>
      <w:t xml:space="preserve">- </w:t>
    </w:r>
    <w:r w:rsidR="001E46C8">
      <w:t>November</w:t>
    </w:r>
    <w:r w:rsidR="00D843F2" w:rsidRPr="00B94414">
      <w:t xml:space="preserve"> 202</w:t>
    </w:r>
    <w:r w:rsidR="001E46C8">
      <w:t>5</w:t>
    </w:r>
    <w:r w:rsidR="00D843F2" w:rsidRPr="00B94414">
      <w:t xml:space="preserve"> PBAC Meeting</w:t>
    </w:r>
  </w:p>
  <w:p w14:paraId="4989D62B" w14:textId="77777777" w:rsidR="0001563B" w:rsidRPr="008C7ECB" w:rsidRDefault="0001563B" w:rsidP="00582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73EC6F2"/>
    <w:lvl w:ilvl="0">
      <w:start w:val="1"/>
      <w:numFmt w:val="bullet"/>
      <w:pStyle w:val="COMBodybulletlist"/>
      <w:lvlText w:val=""/>
      <w:lvlJc w:val="left"/>
      <w:pPr>
        <w:tabs>
          <w:tab w:val="num" w:pos="360"/>
        </w:tabs>
        <w:ind w:left="360" w:hanging="360"/>
      </w:pPr>
      <w:rPr>
        <w:rFonts w:ascii="Symbol" w:hAnsi="Symbol" w:hint="default"/>
      </w:rPr>
    </w:lvl>
  </w:abstractNum>
  <w:abstractNum w:abstractNumId="1" w15:restartNumberingAfterBreak="0">
    <w:nsid w:val="004D2682"/>
    <w:multiLevelType w:val="hybridMultilevel"/>
    <w:tmpl w:val="BA025A9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9501AC"/>
    <w:multiLevelType w:val="multilevel"/>
    <w:tmpl w:val="12FA4E58"/>
    <w:lvl w:ilvl="0">
      <w:start w:val="1"/>
      <w:numFmt w:val="decimal"/>
      <w:lvlText w:val="%1"/>
      <w:lvlJc w:val="left"/>
      <w:pPr>
        <w:ind w:left="720" w:hanging="720"/>
      </w:pPr>
      <w:rPr>
        <w:rFonts w:ascii="Calibri" w:hAnsi="Calibri" w:hint="default"/>
        <w:b/>
        <w:i w:val="0"/>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D54BFB"/>
    <w:multiLevelType w:val="hybridMultilevel"/>
    <w:tmpl w:val="B9464B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F99009E"/>
    <w:multiLevelType w:val="hybridMultilevel"/>
    <w:tmpl w:val="D9205908"/>
    <w:lvl w:ilvl="0" w:tplc="0C090001">
      <w:start w:val="1"/>
      <w:numFmt w:val="bullet"/>
      <w:lvlText w:val=""/>
      <w:lvlJc w:val="left"/>
      <w:pPr>
        <w:ind w:left="1080" w:hanging="360"/>
      </w:pPr>
      <w:rPr>
        <w:rFonts w:ascii="Symbol" w:hAnsi="Symbol" w:hint="default"/>
      </w:rPr>
    </w:lvl>
    <w:lvl w:ilvl="1" w:tplc="F41C5A88">
      <w:numFmt w:val="bullet"/>
      <w:lvlText w:val="•"/>
      <w:lvlJc w:val="left"/>
      <w:pPr>
        <w:ind w:left="1800" w:hanging="360"/>
      </w:pPr>
      <w:rPr>
        <w:rFonts w:ascii="Arial Narrow" w:eastAsiaTheme="majorEastAsia" w:hAnsi="Arial Narrow" w:cstheme="majorBidi"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7136428"/>
    <w:multiLevelType w:val="hybridMultilevel"/>
    <w:tmpl w:val="066A73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FB219F8"/>
    <w:multiLevelType w:val="hybridMultilevel"/>
    <w:tmpl w:val="F08494D8"/>
    <w:lvl w:ilvl="0" w:tplc="4F38898A">
      <w:start w:val="1"/>
      <w:numFmt w:val="bullet"/>
      <w:pStyle w:val="COMESmainissue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2E64B5"/>
    <w:multiLevelType w:val="hybridMultilevel"/>
    <w:tmpl w:val="71FADD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346AD7"/>
    <w:multiLevelType w:val="hybridMultilevel"/>
    <w:tmpl w:val="6396E1F4"/>
    <w:lvl w:ilvl="0" w:tplc="CFE87BE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44442297"/>
    <w:multiLevelType w:val="hybridMultilevel"/>
    <w:tmpl w:val="E6FE4E00"/>
    <w:lvl w:ilvl="0" w:tplc="C324F4FC">
      <w:start w:val="1"/>
      <w:numFmt w:val="bullet"/>
      <w:pStyle w:val="Templateinstructions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6504B5"/>
    <w:multiLevelType w:val="hybridMultilevel"/>
    <w:tmpl w:val="4EC070CC"/>
    <w:lvl w:ilvl="0" w:tplc="B5F4CF32">
      <w:start w:val="1"/>
      <w:numFmt w:val="decimal"/>
      <w:lvlText w:val="%1."/>
      <w:lvlJc w:val="left"/>
      <w:pPr>
        <w:ind w:left="1080" w:hanging="360"/>
      </w:pPr>
      <w:rPr>
        <w:rFonts w:hint="default"/>
        <w:b w:val="0"/>
        <w:bCs w:val="0"/>
        <w:i w:val="0"/>
        <w:iCs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4F291BFB"/>
    <w:multiLevelType w:val="hybridMultilevel"/>
    <w:tmpl w:val="48A0A2EC"/>
    <w:lvl w:ilvl="0" w:tplc="B880B3C0">
      <w:start w:val="27"/>
      <w:numFmt w:val="bullet"/>
      <w:lvlText w:val="-"/>
      <w:lvlJc w:val="left"/>
      <w:pPr>
        <w:ind w:left="720" w:hanging="360"/>
      </w:pPr>
      <w:rPr>
        <w:rFonts w:ascii="Calibri" w:eastAsiaTheme="majorEastAsia"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2E55520"/>
    <w:multiLevelType w:val="hybridMultilevel"/>
    <w:tmpl w:val="C9287A56"/>
    <w:lvl w:ilvl="0" w:tplc="D632E68E">
      <w:start w:val="1"/>
      <w:numFmt w:val="bullet"/>
      <w:lvlText w:val="•"/>
      <w:lvlJc w:val="left"/>
      <w:pPr>
        <w:tabs>
          <w:tab w:val="num" w:pos="720"/>
        </w:tabs>
        <w:ind w:left="720" w:hanging="360"/>
      </w:pPr>
      <w:rPr>
        <w:rFonts w:ascii="Arial" w:hAnsi="Arial" w:hint="default"/>
      </w:rPr>
    </w:lvl>
    <w:lvl w:ilvl="1" w:tplc="668202D2">
      <w:numFmt w:val="bullet"/>
      <w:lvlText w:val="•"/>
      <w:lvlJc w:val="left"/>
      <w:pPr>
        <w:tabs>
          <w:tab w:val="num" w:pos="1440"/>
        </w:tabs>
        <w:ind w:left="1440" w:hanging="360"/>
      </w:pPr>
      <w:rPr>
        <w:rFonts w:ascii="Arial" w:hAnsi="Arial" w:hint="default"/>
      </w:rPr>
    </w:lvl>
    <w:lvl w:ilvl="2" w:tplc="9A320F48">
      <w:numFmt w:val="bullet"/>
      <w:lvlText w:val="•"/>
      <w:lvlJc w:val="left"/>
      <w:pPr>
        <w:tabs>
          <w:tab w:val="num" w:pos="2160"/>
        </w:tabs>
        <w:ind w:left="2160" w:hanging="360"/>
      </w:pPr>
      <w:rPr>
        <w:rFonts w:ascii="Arial" w:hAnsi="Arial" w:hint="default"/>
      </w:rPr>
    </w:lvl>
    <w:lvl w:ilvl="3" w:tplc="925AED0E" w:tentative="1">
      <w:start w:val="1"/>
      <w:numFmt w:val="bullet"/>
      <w:lvlText w:val="•"/>
      <w:lvlJc w:val="left"/>
      <w:pPr>
        <w:tabs>
          <w:tab w:val="num" w:pos="2880"/>
        </w:tabs>
        <w:ind w:left="2880" w:hanging="360"/>
      </w:pPr>
      <w:rPr>
        <w:rFonts w:ascii="Arial" w:hAnsi="Arial" w:hint="default"/>
      </w:rPr>
    </w:lvl>
    <w:lvl w:ilvl="4" w:tplc="B9F442BC" w:tentative="1">
      <w:start w:val="1"/>
      <w:numFmt w:val="bullet"/>
      <w:lvlText w:val="•"/>
      <w:lvlJc w:val="left"/>
      <w:pPr>
        <w:tabs>
          <w:tab w:val="num" w:pos="3600"/>
        </w:tabs>
        <w:ind w:left="3600" w:hanging="360"/>
      </w:pPr>
      <w:rPr>
        <w:rFonts w:ascii="Arial" w:hAnsi="Arial" w:hint="default"/>
      </w:rPr>
    </w:lvl>
    <w:lvl w:ilvl="5" w:tplc="82B013B4" w:tentative="1">
      <w:start w:val="1"/>
      <w:numFmt w:val="bullet"/>
      <w:lvlText w:val="•"/>
      <w:lvlJc w:val="left"/>
      <w:pPr>
        <w:tabs>
          <w:tab w:val="num" w:pos="4320"/>
        </w:tabs>
        <w:ind w:left="4320" w:hanging="360"/>
      </w:pPr>
      <w:rPr>
        <w:rFonts w:ascii="Arial" w:hAnsi="Arial" w:hint="default"/>
      </w:rPr>
    </w:lvl>
    <w:lvl w:ilvl="6" w:tplc="58AA09F6" w:tentative="1">
      <w:start w:val="1"/>
      <w:numFmt w:val="bullet"/>
      <w:lvlText w:val="•"/>
      <w:lvlJc w:val="left"/>
      <w:pPr>
        <w:tabs>
          <w:tab w:val="num" w:pos="5040"/>
        </w:tabs>
        <w:ind w:left="5040" w:hanging="360"/>
      </w:pPr>
      <w:rPr>
        <w:rFonts w:ascii="Arial" w:hAnsi="Arial" w:hint="default"/>
      </w:rPr>
    </w:lvl>
    <w:lvl w:ilvl="7" w:tplc="99B8D684" w:tentative="1">
      <w:start w:val="1"/>
      <w:numFmt w:val="bullet"/>
      <w:lvlText w:val="•"/>
      <w:lvlJc w:val="left"/>
      <w:pPr>
        <w:tabs>
          <w:tab w:val="num" w:pos="5760"/>
        </w:tabs>
        <w:ind w:left="5760" w:hanging="360"/>
      </w:pPr>
      <w:rPr>
        <w:rFonts w:ascii="Arial" w:hAnsi="Arial" w:hint="default"/>
      </w:rPr>
    </w:lvl>
    <w:lvl w:ilvl="8" w:tplc="434646C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3C3BDE"/>
    <w:multiLevelType w:val="hybridMultilevel"/>
    <w:tmpl w:val="63A294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8F0D31"/>
    <w:multiLevelType w:val="hybridMultilevel"/>
    <w:tmpl w:val="58621F7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6"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FA3C06"/>
    <w:multiLevelType w:val="hybridMultilevel"/>
    <w:tmpl w:val="C478C4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1830002"/>
    <w:multiLevelType w:val="hybridMultilevel"/>
    <w:tmpl w:val="E74858B2"/>
    <w:lvl w:ilvl="0" w:tplc="DC0AEA28">
      <w:start w:val="1"/>
      <w:numFmt w:val="decimal"/>
      <w:pStyle w:val="Table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84D033C"/>
    <w:multiLevelType w:val="multilevel"/>
    <w:tmpl w:val="C22A59B0"/>
    <w:lvl w:ilvl="0">
      <w:start w:val="1"/>
      <w:numFmt w:val="decimal"/>
      <w:pStyle w:val="COMESH2"/>
      <w:lvlText w:val="%1"/>
      <w:lvlJc w:val="left"/>
      <w:pPr>
        <w:ind w:left="720" w:hanging="720"/>
      </w:pPr>
      <w:rPr>
        <w:rFonts w:ascii="Calibri" w:hAnsi="Calibri" w:hint="default"/>
        <w:b/>
        <w:i w:val="0"/>
      </w:rPr>
    </w:lvl>
    <w:lvl w:ilvl="1">
      <w:start w:val="1"/>
      <w:numFmt w:val="decimal"/>
      <w:pStyle w:val="COMESnumberedpara"/>
      <w:lvlText w:val="%1.%2"/>
      <w:lvlJc w:val="left"/>
      <w:pPr>
        <w:ind w:left="720" w:hanging="720"/>
      </w:pPr>
      <w:rPr>
        <w:rFonts w:hint="default"/>
        <w:b w:val="0"/>
        <w:bCs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CB033E8"/>
    <w:multiLevelType w:val="hybridMultilevel"/>
    <w:tmpl w:val="33B2B2A2"/>
    <w:lvl w:ilvl="0" w:tplc="9DA8C8E4">
      <w:start w:val="1"/>
      <w:numFmt w:val="bullet"/>
      <w:lvlText w:val="•"/>
      <w:lvlJc w:val="left"/>
      <w:pPr>
        <w:tabs>
          <w:tab w:val="num" w:pos="720"/>
        </w:tabs>
        <w:ind w:left="720" w:hanging="360"/>
      </w:pPr>
      <w:rPr>
        <w:rFonts w:ascii="Arial" w:hAnsi="Arial" w:hint="default"/>
      </w:rPr>
    </w:lvl>
    <w:lvl w:ilvl="1" w:tplc="7C425806" w:tentative="1">
      <w:start w:val="1"/>
      <w:numFmt w:val="bullet"/>
      <w:lvlText w:val="•"/>
      <w:lvlJc w:val="left"/>
      <w:pPr>
        <w:tabs>
          <w:tab w:val="num" w:pos="1440"/>
        </w:tabs>
        <w:ind w:left="1440" w:hanging="360"/>
      </w:pPr>
      <w:rPr>
        <w:rFonts w:ascii="Arial" w:hAnsi="Arial" w:hint="default"/>
      </w:rPr>
    </w:lvl>
    <w:lvl w:ilvl="2" w:tplc="55367A98" w:tentative="1">
      <w:start w:val="1"/>
      <w:numFmt w:val="bullet"/>
      <w:lvlText w:val="•"/>
      <w:lvlJc w:val="left"/>
      <w:pPr>
        <w:tabs>
          <w:tab w:val="num" w:pos="2160"/>
        </w:tabs>
        <w:ind w:left="2160" w:hanging="360"/>
      </w:pPr>
      <w:rPr>
        <w:rFonts w:ascii="Arial" w:hAnsi="Arial" w:hint="default"/>
      </w:rPr>
    </w:lvl>
    <w:lvl w:ilvl="3" w:tplc="BB66C972" w:tentative="1">
      <w:start w:val="1"/>
      <w:numFmt w:val="bullet"/>
      <w:lvlText w:val="•"/>
      <w:lvlJc w:val="left"/>
      <w:pPr>
        <w:tabs>
          <w:tab w:val="num" w:pos="2880"/>
        </w:tabs>
        <w:ind w:left="2880" w:hanging="360"/>
      </w:pPr>
      <w:rPr>
        <w:rFonts w:ascii="Arial" w:hAnsi="Arial" w:hint="default"/>
      </w:rPr>
    </w:lvl>
    <w:lvl w:ilvl="4" w:tplc="A7F85914" w:tentative="1">
      <w:start w:val="1"/>
      <w:numFmt w:val="bullet"/>
      <w:lvlText w:val="•"/>
      <w:lvlJc w:val="left"/>
      <w:pPr>
        <w:tabs>
          <w:tab w:val="num" w:pos="3600"/>
        </w:tabs>
        <w:ind w:left="3600" w:hanging="360"/>
      </w:pPr>
      <w:rPr>
        <w:rFonts w:ascii="Arial" w:hAnsi="Arial" w:hint="default"/>
      </w:rPr>
    </w:lvl>
    <w:lvl w:ilvl="5" w:tplc="C936A928" w:tentative="1">
      <w:start w:val="1"/>
      <w:numFmt w:val="bullet"/>
      <w:lvlText w:val="•"/>
      <w:lvlJc w:val="left"/>
      <w:pPr>
        <w:tabs>
          <w:tab w:val="num" w:pos="4320"/>
        </w:tabs>
        <w:ind w:left="4320" w:hanging="360"/>
      </w:pPr>
      <w:rPr>
        <w:rFonts w:ascii="Arial" w:hAnsi="Arial" w:hint="default"/>
      </w:rPr>
    </w:lvl>
    <w:lvl w:ilvl="6" w:tplc="FA727590" w:tentative="1">
      <w:start w:val="1"/>
      <w:numFmt w:val="bullet"/>
      <w:lvlText w:val="•"/>
      <w:lvlJc w:val="left"/>
      <w:pPr>
        <w:tabs>
          <w:tab w:val="num" w:pos="5040"/>
        </w:tabs>
        <w:ind w:left="5040" w:hanging="360"/>
      </w:pPr>
      <w:rPr>
        <w:rFonts w:ascii="Arial" w:hAnsi="Arial" w:hint="default"/>
      </w:rPr>
    </w:lvl>
    <w:lvl w:ilvl="7" w:tplc="B2D64D72" w:tentative="1">
      <w:start w:val="1"/>
      <w:numFmt w:val="bullet"/>
      <w:lvlText w:val="•"/>
      <w:lvlJc w:val="left"/>
      <w:pPr>
        <w:tabs>
          <w:tab w:val="num" w:pos="5760"/>
        </w:tabs>
        <w:ind w:left="5760" w:hanging="360"/>
      </w:pPr>
      <w:rPr>
        <w:rFonts w:ascii="Arial" w:hAnsi="Arial" w:hint="default"/>
      </w:rPr>
    </w:lvl>
    <w:lvl w:ilvl="8" w:tplc="83E66C50" w:tentative="1">
      <w:start w:val="1"/>
      <w:numFmt w:val="bullet"/>
      <w:lvlText w:val="•"/>
      <w:lvlJc w:val="left"/>
      <w:pPr>
        <w:tabs>
          <w:tab w:val="num" w:pos="6480"/>
        </w:tabs>
        <w:ind w:left="6480" w:hanging="360"/>
      </w:pPr>
      <w:rPr>
        <w:rFonts w:ascii="Arial" w:hAnsi="Arial" w:hint="default"/>
      </w:rPr>
    </w:lvl>
  </w:abstractNum>
  <w:num w:numId="1" w16cid:durableId="816186631">
    <w:abstractNumId w:val="30"/>
  </w:num>
  <w:num w:numId="2" w16cid:durableId="917793048">
    <w:abstractNumId w:val="15"/>
  </w:num>
  <w:num w:numId="3" w16cid:durableId="220360847">
    <w:abstractNumId w:val="25"/>
  </w:num>
  <w:num w:numId="4" w16cid:durableId="268196418">
    <w:abstractNumId w:val="14"/>
  </w:num>
  <w:num w:numId="5" w16cid:durableId="1048839230">
    <w:abstractNumId w:val="30"/>
  </w:num>
  <w:num w:numId="6" w16cid:durableId="374349641">
    <w:abstractNumId w:val="0"/>
  </w:num>
  <w:num w:numId="7" w16cid:durableId="1681078653">
    <w:abstractNumId w:val="9"/>
  </w:num>
  <w:num w:numId="8" w16cid:durableId="1761756676">
    <w:abstractNumId w:val="23"/>
  </w:num>
  <w:num w:numId="9" w16cid:durableId="2090803738">
    <w:abstractNumId w:val="1"/>
  </w:num>
  <w:num w:numId="10" w16cid:durableId="139152260">
    <w:abstractNumId w:val="21"/>
  </w:num>
  <w:num w:numId="11" w16cid:durableId="664167502">
    <w:abstractNumId w:val="24"/>
  </w:num>
  <w:num w:numId="12" w16cid:durableId="62721842">
    <w:abstractNumId w:val="8"/>
  </w:num>
  <w:num w:numId="13" w16cid:durableId="2045136431">
    <w:abstractNumId w:val="10"/>
  </w:num>
  <w:num w:numId="14" w16cid:durableId="1170558757">
    <w:abstractNumId w:val="6"/>
  </w:num>
  <w:num w:numId="15" w16cid:durableId="786705118">
    <w:abstractNumId w:val="17"/>
  </w:num>
  <w:num w:numId="16" w16cid:durableId="2098019262">
    <w:abstractNumId w:val="16"/>
  </w:num>
  <w:num w:numId="17" w16cid:durableId="812868671">
    <w:abstractNumId w:val="5"/>
  </w:num>
  <w:num w:numId="18" w16cid:durableId="126240624">
    <w:abstractNumId w:val="26"/>
  </w:num>
  <w:num w:numId="19" w16cid:durableId="1112163318">
    <w:abstractNumId w:val="30"/>
  </w:num>
  <w:num w:numId="20" w16cid:durableId="1330596843">
    <w:abstractNumId w:val="30"/>
  </w:num>
  <w:num w:numId="21" w16cid:durableId="2091925540">
    <w:abstractNumId w:val="30"/>
  </w:num>
  <w:num w:numId="22" w16cid:durableId="909391459">
    <w:abstractNumId w:val="30"/>
  </w:num>
  <w:num w:numId="23" w16cid:durableId="762997603">
    <w:abstractNumId w:val="30"/>
  </w:num>
  <w:num w:numId="24" w16cid:durableId="1573005167">
    <w:abstractNumId w:val="19"/>
  </w:num>
  <w:num w:numId="25" w16cid:durableId="408699874">
    <w:abstractNumId w:val="20"/>
  </w:num>
  <w:num w:numId="26" w16cid:durableId="1569418770">
    <w:abstractNumId w:val="4"/>
  </w:num>
  <w:num w:numId="27" w16cid:durableId="705176722">
    <w:abstractNumId w:val="2"/>
  </w:num>
  <w:num w:numId="28" w16cid:durableId="1926569401">
    <w:abstractNumId w:val="12"/>
  </w:num>
  <w:num w:numId="29" w16cid:durableId="1979457665">
    <w:abstractNumId w:val="13"/>
  </w:num>
  <w:num w:numId="30" w16cid:durableId="2038313566">
    <w:abstractNumId w:val="11"/>
  </w:num>
  <w:num w:numId="31" w16cid:durableId="129744317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997201">
    <w:abstractNumId w:val="28"/>
  </w:num>
  <w:num w:numId="33" w16cid:durableId="363988700">
    <w:abstractNumId w:val="27"/>
  </w:num>
  <w:num w:numId="34" w16cid:durableId="548608938">
    <w:abstractNumId w:val="30"/>
  </w:num>
  <w:num w:numId="35" w16cid:durableId="404107159">
    <w:abstractNumId w:val="29"/>
  </w:num>
  <w:num w:numId="36" w16cid:durableId="694621818">
    <w:abstractNumId w:val="30"/>
  </w:num>
  <w:num w:numId="37" w16cid:durableId="436756304">
    <w:abstractNumId w:val="30"/>
  </w:num>
  <w:num w:numId="38" w16cid:durableId="2070957343">
    <w:abstractNumId w:val="30"/>
  </w:num>
  <w:num w:numId="39" w16cid:durableId="966348682">
    <w:abstractNumId w:val="14"/>
  </w:num>
  <w:num w:numId="40" w16cid:durableId="1519924854">
    <w:abstractNumId w:val="3"/>
  </w:num>
  <w:num w:numId="41" w16cid:durableId="1222402243">
    <w:abstractNumId w:val="18"/>
  </w:num>
  <w:num w:numId="42" w16cid:durableId="1235432580">
    <w:abstractNumId w:val="31"/>
  </w:num>
  <w:num w:numId="43" w16cid:durableId="341587399">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4ED"/>
    <w:rsid w:val="00000790"/>
    <w:rsid w:val="00000976"/>
    <w:rsid w:val="00000CF4"/>
    <w:rsid w:val="0000110B"/>
    <w:rsid w:val="00001269"/>
    <w:rsid w:val="000016B1"/>
    <w:rsid w:val="00001A5B"/>
    <w:rsid w:val="00001AA5"/>
    <w:rsid w:val="00001EAA"/>
    <w:rsid w:val="00002156"/>
    <w:rsid w:val="00002822"/>
    <w:rsid w:val="00002B57"/>
    <w:rsid w:val="00002C96"/>
    <w:rsid w:val="00002FA1"/>
    <w:rsid w:val="00003016"/>
    <w:rsid w:val="00003244"/>
    <w:rsid w:val="00003499"/>
    <w:rsid w:val="00003523"/>
    <w:rsid w:val="000039B7"/>
    <w:rsid w:val="00003ADF"/>
    <w:rsid w:val="00004127"/>
    <w:rsid w:val="00004142"/>
    <w:rsid w:val="00004F8B"/>
    <w:rsid w:val="000056B9"/>
    <w:rsid w:val="00005B04"/>
    <w:rsid w:val="000060EE"/>
    <w:rsid w:val="0000639A"/>
    <w:rsid w:val="000064E4"/>
    <w:rsid w:val="000068B5"/>
    <w:rsid w:val="00006BB7"/>
    <w:rsid w:val="00007546"/>
    <w:rsid w:val="00010B1B"/>
    <w:rsid w:val="0001103F"/>
    <w:rsid w:val="0001160D"/>
    <w:rsid w:val="00011843"/>
    <w:rsid w:val="00012607"/>
    <w:rsid w:val="00012AE5"/>
    <w:rsid w:val="00012D3C"/>
    <w:rsid w:val="00012F00"/>
    <w:rsid w:val="00013247"/>
    <w:rsid w:val="00013D36"/>
    <w:rsid w:val="0001446E"/>
    <w:rsid w:val="000144FB"/>
    <w:rsid w:val="00014DED"/>
    <w:rsid w:val="00014EEC"/>
    <w:rsid w:val="00015033"/>
    <w:rsid w:val="000150C3"/>
    <w:rsid w:val="0001563B"/>
    <w:rsid w:val="00015692"/>
    <w:rsid w:val="0001587E"/>
    <w:rsid w:val="00015886"/>
    <w:rsid w:val="00015EE8"/>
    <w:rsid w:val="00015EEB"/>
    <w:rsid w:val="000162EF"/>
    <w:rsid w:val="00016313"/>
    <w:rsid w:val="00016E41"/>
    <w:rsid w:val="00017DA3"/>
    <w:rsid w:val="00017E59"/>
    <w:rsid w:val="000207C9"/>
    <w:rsid w:val="000209D7"/>
    <w:rsid w:val="000215D7"/>
    <w:rsid w:val="00021889"/>
    <w:rsid w:val="0002225F"/>
    <w:rsid w:val="00022AA1"/>
    <w:rsid w:val="00022E3B"/>
    <w:rsid w:val="00023763"/>
    <w:rsid w:val="00023939"/>
    <w:rsid w:val="00023FFA"/>
    <w:rsid w:val="00024964"/>
    <w:rsid w:val="00024A6F"/>
    <w:rsid w:val="00024C1F"/>
    <w:rsid w:val="00024EB5"/>
    <w:rsid w:val="0002522C"/>
    <w:rsid w:val="00025237"/>
    <w:rsid w:val="00025530"/>
    <w:rsid w:val="00025925"/>
    <w:rsid w:val="00025C58"/>
    <w:rsid w:val="0002652E"/>
    <w:rsid w:val="00027108"/>
    <w:rsid w:val="000272FD"/>
    <w:rsid w:val="000274B8"/>
    <w:rsid w:val="00027965"/>
    <w:rsid w:val="0003013C"/>
    <w:rsid w:val="0003026B"/>
    <w:rsid w:val="00030D3F"/>
    <w:rsid w:val="00030E22"/>
    <w:rsid w:val="00031117"/>
    <w:rsid w:val="000316E6"/>
    <w:rsid w:val="0003174D"/>
    <w:rsid w:val="00031E97"/>
    <w:rsid w:val="00032034"/>
    <w:rsid w:val="000321BF"/>
    <w:rsid w:val="00032F7A"/>
    <w:rsid w:val="00033248"/>
    <w:rsid w:val="00033785"/>
    <w:rsid w:val="00033863"/>
    <w:rsid w:val="000339BA"/>
    <w:rsid w:val="000339F6"/>
    <w:rsid w:val="000341EE"/>
    <w:rsid w:val="00035702"/>
    <w:rsid w:val="00035DC0"/>
    <w:rsid w:val="00036498"/>
    <w:rsid w:val="00036569"/>
    <w:rsid w:val="00036829"/>
    <w:rsid w:val="000369A1"/>
    <w:rsid w:val="00036CA2"/>
    <w:rsid w:val="0003769C"/>
    <w:rsid w:val="00037A5F"/>
    <w:rsid w:val="00037CC6"/>
    <w:rsid w:val="0003B785"/>
    <w:rsid w:val="000407BD"/>
    <w:rsid w:val="00040895"/>
    <w:rsid w:val="00040ED4"/>
    <w:rsid w:val="00040EDF"/>
    <w:rsid w:val="000410A0"/>
    <w:rsid w:val="0004110A"/>
    <w:rsid w:val="00041E55"/>
    <w:rsid w:val="00041EBB"/>
    <w:rsid w:val="00041F25"/>
    <w:rsid w:val="00042D5C"/>
    <w:rsid w:val="00042D9B"/>
    <w:rsid w:val="00042F21"/>
    <w:rsid w:val="000435EE"/>
    <w:rsid w:val="00043786"/>
    <w:rsid w:val="00043C37"/>
    <w:rsid w:val="0004415A"/>
    <w:rsid w:val="000443B9"/>
    <w:rsid w:val="00044C12"/>
    <w:rsid w:val="00045017"/>
    <w:rsid w:val="0004513F"/>
    <w:rsid w:val="00045653"/>
    <w:rsid w:val="00045A2B"/>
    <w:rsid w:val="00045DB2"/>
    <w:rsid w:val="00045F61"/>
    <w:rsid w:val="000466A3"/>
    <w:rsid w:val="0004698F"/>
    <w:rsid w:val="00046D64"/>
    <w:rsid w:val="00047687"/>
    <w:rsid w:val="00047891"/>
    <w:rsid w:val="00047921"/>
    <w:rsid w:val="0005068A"/>
    <w:rsid w:val="000508C2"/>
    <w:rsid w:val="00050CCE"/>
    <w:rsid w:val="00051682"/>
    <w:rsid w:val="00051AA2"/>
    <w:rsid w:val="00051F4E"/>
    <w:rsid w:val="000520AD"/>
    <w:rsid w:val="00053647"/>
    <w:rsid w:val="000537DD"/>
    <w:rsid w:val="000539D0"/>
    <w:rsid w:val="000540CF"/>
    <w:rsid w:val="00054557"/>
    <w:rsid w:val="00054621"/>
    <w:rsid w:val="000546D7"/>
    <w:rsid w:val="000547A4"/>
    <w:rsid w:val="00054A8D"/>
    <w:rsid w:val="00055136"/>
    <w:rsid w:val="000551AF"/>
    <w:rsid w:val="0005523A"/>
    <w:rsid w:val="0005531B"/>
    <w:rsid w:val="000562E2"/>
    <w:rsid w:val="00056AA1"/>
    <w:rsid w:val="00056ECF"/>
    <w:rsid w:val="0005793C"/>
    <w:rsid w:val="00057AFB"/>
    <w:rsid w:val="000604DF"/>
    <w:rsid w:val="00060837"/>
    <w:rsid w:val="00060F78"/>
    <w:rsid w:val="00060FEC"/>
    <w:rsid w:val="00061065"/>
    <w:rsid w:val="00062324"/>
    <w:rsid w:val="00062A4F"/>
    <w:rsid w:val="00062AAA"/>
    <w:rsid w:val="00062D3C"/>
    <w:rsid w:val="00063209"/>
    <w:rsid w:val="000633AB"/>
    <w:rsid w:val="000637EF"/>
    <w:rsid w:val="00063E54"/>
    <w:rsid w:val="0006416A"/>
    <w:rsid w:val="00064993"/>
    <w:rsid w:val="00064A73"/>
    <w:rsid w:val="00065047"/>
    <w:rsid w:val="000653B5"/>
    <w:rsid w:val="0006576E"/>
    <w:rsid w:val="00065D36"/>
    <w:rsid w:val="00066360"/>
    <w:rsid w:val="00066416"/>
    <w:rsid w:val="0006645F"/>
    <w:rsid w:val="00066A75"/>
    <w:rsid w:val="00066AF8"/>
    <w:rsid w:val="00066C63"/>
    <w:rsid w:val="00066DCA"/>
    <w:rsid w:val="00067776"/>
    <w:rsid w:val="00067AC5"/>
    <w:rsid w:val="00067F61"/>
    <w:rsid w:val="00070941"/>
    <w:rsid w:val="00070A47"/>
    <w:rsid w:val="00070BAA"/>
    <w:rsid w:val="00071184"/>
    <w:rsid w:val="00071248"/>
    <w:rsid w:val="00071306"/>
    <w:rsid w:val="00071738"/>
    <w:rsid w:val="00071BEB"/>
    <w:rsid w:val="00071CD7"/>
    <w:rsid w:val="00071E6D"/>
    <w:rsid w:val="000720B9"/>
    <w:rsid w:val="000723E5"/>
    <w:rsid w:val="000724B3"/>
    <w:rsid w:val="000726D4"/>
    <w:rsid w:val="00073623"/>
    <w:rsid w:val="00073786"/>
    <w:rsid w:val="000737C1"/>
    <w:rsid w:val="000737F7"/>
    <w:rsid w:val="00073F41"/>
    <w:rsid w:val="00073FDC"/>
    <w:rsid w:val="000749F5"/>
    <w:rsid w:val="000750FE"/>
    <w:rsid w:val="0007512D"/>
    <w:rsid w:val="00075215"/>
    <w:rsid w:val="00075B15"/>
    <w:rsid w:val="00075C6B"/>
    <w:rsid w:val="00076258"/>
    <w:rsid w:val="00076298"/>
    <w:rsid w:val="0007672F"/>
    <w:rsid w:val="00076902"/>
    <w:rsid w:val="00076AF8"/>
    <w:rsid w:val="00076B54"/>
    <w:rsid w:val="00076FD7"/>
    <w:rsid w:val="000774F0"/>
    <w:rsid w:val="00077B4A"/>
    <w:rsid w:val="00080909"/>
    <w:rsid w:val="00080BA5"/>
    <w:rsid w:val="000812CA"/>
    <w:rsid w:val="00081589"/>
    <w:rsid w:val="00081BF5"/>
    <w:rsid w:val="00081E63"/>
    <w:rsid w:val="00082058"/>
    <w:rsid w:val="000820EE"/>
    <w:rsid w:val="0008236E"/>
    <w:rsid w:val="0008246B"/>
    <w:rsid w:val="000824CC"/>
    <w:rsid w:val="0008258D"/>
    <w:rsid w:val="00082A56"/>
    <w:rsid w:val="00082B1C"/>
    <w:rsid w:val="00082E39"/>
    <w:rsid w:val="000830F0"/>
    <w:rsid w:val="0008318E"/>
    <w:rsid w:val="000832F5"/>
    <w:rsid w:val="000834AD"/>
    <w:rsid w:val="000836D9"/>
    <w:rsid w:val="00083B32"/>
    <w:rsid w:val="00083E99"/>
    <w:rsid w:val="000841A5"/>
    <w:rsid w:val="000841F3"/>
    <w:rsid w:val="00084424"/>
    <w:rsid w:val="00084820"/>
    <w:rsid w:val="000849E6"/>
    <w:rsid w:val="00084FA8"/>
    <w:rsid w:val="00085010"/>
    <w:rsid w:val="000856C5"/>
    <w:rsid w:val="00085718"/>
    <w:rsid w:val="000858FB"/>
    <w:rsid w:val="00085A71"/>
    <w:rsid w:val="00085C31"/>
    <w:rsid w:val="00085E3C"/>
    <w:rsid w:val="00085EAF"/>
    <w:rsid w:val="00086551"/>
    <w:rsid w:val="00086583"/>
    <w:rsid w:val="000865A1"/>
    <w:rsid w:val="000865DB"/>
    <w:rsid w:val="00086974"/>
    <w:rsid w:val="00086AA6"/>
    <w:rsid w:val="00087535"/>
    <w:rsid w:val="00087849"/>
    <w:rsid w:val="00087903"/>
    <w:rsid w:val="00087B8C"/>
    <w:rsid w:val="00087DD3"/>
    <w:rsid w:val="00087DD4"/>
    <w:rsid w:val="000902D9"/>
    <w:rsid w:val="0009038F"/>
    <w:rsid w:val="00090400"/>
    <w:rsid w:val="000906B1"/>
    <w:rsid w:val="000907D6"/>
    <w:rsid w:val="00090B60"/>
    <w:rsid w:val="00090C7E"/>
    <w:rsid w:val="00091082"/>
    <w:rsid w:val="000911AC"/>
    <w:rsid w:val="0009237A"/>
    <w:rsid w:val="00092600"/>
    <w:rsid w:val="0009262B"/>
    <w:rsid w:val="0009292A"/>
    <w:rsid w:val="00092BA3"/>
    <w:rsid w:val="00093039"/>
    <w:rsid w:val="00093310"/>
    <w:rsid w:val="00093347"/>
    <w:rsid w:val="000942F1"/>
    <w:rsid w:val="0009445C"/>
    <w:rsid w:val="00095200"/>
    <w:rsid w:val="00095C16"/>
    <w:rsid w:val="00095C40"/>
    <w:rsid w:val="00095FE5"/>
    <w:rsid w:val="00096284"/>
    <w:rsid w:val="00097960"/>
    <w:rsid w:val="000A00AA"/>
    <w:rsid w:val="000A0A6D"/>
    <w:rsid w:val="000A0B4F"/>
    <w:rsid w:val="000A106F"/>
    <w:rsid w:val="000A1391"/>
    <w:rsid w:val="000A1BC0"/>
    <w:rsid w:val="000A1E24"/>
    <w:rsid w:val="000A2299"/>
    <w:rsid w:val="000A261D"/>
    <w:rsid w:val="000A28CD"/>
    <w:rsid w:val="000A2F9E"/>
    <w:rsid w:val="000A3058"/>
    <w:rsid w:val="000A3BC0"/>
    <w:rsid w:val="000A3E47"/>
    <w:rsid w:val="000A50F9"/>
    <w:rsid w:val="000A5218"/>
    <w:rsid w:val="000A522B"/>
    <w:rsid w:val="000A527E"/>
    <w:rsid w:val="000A529F"/>
    <w:rsid w:val="000A5447"/>
    <w:rsid w:val="000A572F"/>
    <w:rsid w:val="000A5BCC"/>
    <w:rsid w:val="000A6039"/>
    <w:rsid w:val="000A6332"/>
    <w:rsid w:val="000A6417"/>
    <w:rsid w:val="000A6450"/>
    <w:rsid w:val="000A691E"/>
    <w:rsid w:val="000A698F"/>
    <w:rsid w:val="000A6B4E"/>
    <w:rsid w:val="000A6D36"/>
    <w:rsid w:val="000A6EE1"/>
    <w:rsid w:val="000A7453"/>
    <w:rsid w:val="000A7706"/>
    <w:rsid w:val="000A7D08"/>
    <w:rsid w:val="000B0121"/>
    <w:rsid w:val="000B012A"/>
    <w:rsid w:val="000B0670"/>
    <w:rsid w:val="000B0E44"/>
    <w:rsid w:val="000B0E75"/>
    <w:rsid w:val="000B0F0E"/>
    <w:rsid w:val="000B1864"/>
    <w:rsid w:val="000B1D50"/>
    <w:rsid w:val="000B2036"/>
    <w:rsid w:val="000B2498"/>
    <w:rsid w:val="000B27E5"/>
    <w:rsid w:val="000B2DCB"/>
    <w:rsid w:val="000B2E9C"/>
    <w:rsid w:val="000B33F5"/>
    <w:rsid w:val="000B37EF"/>
    <w:rsid w:val="000B3BDF"/>
    <w:rsid w:val="000B4133"/>
    <w:rsid w:val="000B45B0"/>
    <w:rsid w:val="000B478C"/>
    <w:rsid w:val="000B4A57"/>
    <w:rsid w:val="000B4DE6"/>
    <w:rsid w:val="000B5090"/>
    <w:rsid w:val="000B528B"/>
    <w:rsid w:val="000B528E"/>
    <w:rsid w:val="000B55DB"/>
    <w:rsid w:val="000B5854"/>
    <w:rsid w:val="000B5CE0"/>
    <w:rsid w:val="000B5F8D"/>
    <w:rsid w:val="000B60DF"/>
    <w:rsid w:val="000B66B1"/>
    <w:rsid w:val="000B6A74"/>
    <w:rsid w:val="000B6CAC"/>
    <w:rsid w:val="000B72ED"/>
    <w:rsid w:val="000B73D8"/>
    <w:rsid w:val="000B74CC"/>
    <w:rsid w:val="000B7612"/>
    <w:rsid w:val="000B78AE"/>
    <w:rsid w:val="000B7909"/>
    <w:rsid w:val="000B7ADD"/>
    <w:rsid w:val="000C0927"/>
    <w:rsid w:val="000C0B9D"/>
    <w:rsid w:val="000C0BA5"/>
    <w:rsid w:val="000C0E06"/>
    <w:rsid w:val="000C144D"/>
    <w:rsid w:val="000C152D"/>
    <w:rsid w:val="000C15E6"/>
    <w:rsid w:val="000C1AB1"/>
    <w:rsid w:val="000C1AE2"/>
    <w:rsid w:val="000C1D29"/>
    <w:rsid w:val="000C1F2B"/>
    <w:rsid w:val="000C20AF"/>
    <w:rsid w:val="000C25C5"/>
    <w:rsid w:val="000C3B37"/>
    <w:rsid w:val="000C3C5D"/>
    <w:rsid w:val="000C3C89"/>
    <w:rsid w:val="000C3DF9"/>
    <w:rsid w:val="000C3F5A"/>
    <w:rsid w:val="000C408A"/>
    <w:rsid w:val="000C42F4"/>
    <w:rsid w:val="000C4B13"/>
    <w:rsid w:val="000C4CF2"/>
    <w:rsid w:val="000C52BA"/>
    <w:rsid w:val="000C5489"/>
    <w:rsid w:val="000C5AD3"/>
    <w:rsid w:val="000C6093"/>
    <w:rsid w:val="000C6211"/>
    <w:rsid w:val="000C6713"/>
    <w:rsid w:val="000C68C4"/>
    <w:rsid w:val="000C68E3"/>
    <w:rsid w:val="000C73C1"/>
    <w:rsid w:val="000C7802"/>
    <w:rsid w:val="000D03BE"/>
    <w:rsid w:val="000D0606"/>
    <w:rsid w:val="000D0F90"/>
    <w:rsid w:val="000D1B03"/>
    <w:rsid w:val="000D1BFC"/>
    <w:rsid w:val="000D1D5D"/>
    <w:rsid w:val="000D221D"/>
    <w:rsid w:val="000D281A"/>
    <w:rsid w:val="000D2848"/>
    <w:rsid w:val="000D2D40"/>
    <w:rsid w:val="000D326A"/>
    <w:rsid w:val="000D34AC"/>
    <w:rsid w:val="000D350E"/>
    <w:rsid w:val="000D3D2C"/>
    <w:rsid w:val="000D40EC"/>
    <w:rsid w:val="000D4430"/>
    <w:rsid w:val="000D51FB"/>
    <w:rsid w:val="000D52EB"/>
    <w:rsid w:val="000D593F"/>
    <w:rsid w:val="000D5995"/>
    <w:rsid w:val="000D5C85"/>
    <w:rsid w:val="000D5EBE"/>
    <w:rsid w:val="000D6074"/>
    <w:rsid w:val="000D6FEB"/>
    <w:rsid w:val="000D7F3B"/>
    <w:rsid w:val="000E0640"/>
    <w:rsid w:val="000E0641"/>
    <w:rsid w:val="000E073C"/>
    <w:rsid w:val="000E135D"/>
    <w:rsid w:val="000E222F"/>
    <w:rsid w:val="000E276D"/>
    <w:rsid w:val="000E2776"/>
    <w:rsid w:val="000E2FFB"/>
    <w:rsid w:val="000E305B"/>
    <w:rsid w:val="000E3940"/>
    <w:rsid w:val="000E3C4D"/>
    <w:rsid w:val="000E40FF"/>
    <w:rsid w:val="000E46C8"/>
    <w:rsid w:val="000E49B0"/>
    <w:rsid w:val="000E4EC4"/>
    <w:rsid w:val="000E52D3"/>
    <w:rsid w:val="000E5366"/>
    <w:rsid w:val="000E53BF"/>
    <w:rsid w:val="000E5684"/>
    <w:rsid w:val="000E5708"/>
    <w:rsid w:val="000E6CC9"/>
    <w:rsid w:val="000E703E"/>
    <w:rsid w:val="000E7677"/>
    <w:rsid w:val="000E7DA6"/>
    <w:rsid w:val="000F00BA"/>
    <w:rsid w:val="000F00D2"/>
    <w:rsid w:val="000F03D6"/>
    <w:rsid w:val="000F0725"/>
    <w:rsid w:val="000F11E6"/>
    <w:rsid w:val="000F1265"/>
    <w:rsid w:val="000F12E4"/>
    <w:rsid w:val="000F148F"/>
    <w:rsid w:val="000F14C2"/>
    <w:rsid w:val="000F2159"/>
    <w:rsid w:val="000F2972"/>
    <w:rsid w:val="000F2A1A"/>
    <w:rsid w:val="000F2CF3"/>
    <w:rsid w:val="000F316A"/>
    <w:rsid w:val="000F318F"/>
    <w:rsid w:val="000F31DD"/>
    <w:rsid w:val="000F326C"/>
    <w:rsid w:val="000F33FD"/>
    <w:rsid w:val="000F3543"/>
    <w:rsid w:val="000F375D"/>
    <w:rsid w:val="000F3A4F"/>
    <w:rsid w:val="000F3C74"/>
    <w:rsid w:val="000F4135"/>
    <w:rsid w:val="000F44C7"/>
    <w:rsid w:val="000F4BB8"/>
    <w:rsid w:val="000F4EE5"/>
    <w:rsid w:val="000F4FA9"/>
    <w:rsid w:val="000F53FB"/>
    <w:rsid w:val="000F5E86"/>
    <w:rsid w:val="000F626F"/>
    <w:rsid w:val="000F6AD3"/>
    <w:rsid w:val="000F7126"/>
    <w:rsid w:val="000F7127"/>
    <w:rsid w:val="000F7747"/>
    <w:rsid w:val="000F79CF"/>
    <w:rsid w:val="000F7B54"/>
    <w:rsid w:val="000F7BC4"/>
    <w:rsid w:val="001000B3"/>
    <w:rsid w:val="0010055B"/>
    <w:rsid w:val="0010080C"/>
    <w:rsid w:val="00100964"/>
    <w:rsid w:val="00100F8A"/>
    <w:rsid w:val="00101283"/>
    <w:rsid w:val="001015E8"/>
    <w:rsid w:val="001018C3"/>
    <w:rsid w:val="001025EB"/>
    <w:rsid w:val="00102767"/>
    <w:rsid w:val="00102A64"/>
    <w:rsid w:val="0010300E"/>
    <w:rsid w:val="00103084"/>
    <w:rsid w:val="001032CB"/>
    <w:rsid w:val="0010357D"/>
    <w:rsid w:val="00103603"/>
    <w:rsid w:val="00103AC0"/>
    <w:rsid w:val="00104491"/>
    <w:rsid w:val="001044B0"/>
    <w:rsid w:val="0010452E"/>
    <w:rsid w:val="00104615"/>
    <w:rsid w:val="001058A2"/>
    <w:rsid w:val="00105AE2"/>
    <w:rsid w:val="001060C6"/>
    <w:rsid w:val="001060EB"/>
    <w:rsid w:val="001062B1"/>
    <w:rsid w:val="00106B80"/>
    <w:rsid w:val="00106D4C"/>
    <w:rsid w:val="00106F1B"/>
    <w:rsid w:val="00107863"/>
    <w:rsid w:val="00107E97"/>
    <w:rsid w:val="0011027C"/>
    <w:rsid w:val="0011032E"/>
    <w:rsid w:val="0011060E"/>
    <w:rsid w:val="001106C4"/>
    <w:rsid w:val="00110B00"/>
    <w:rsid w:val="00110B89"/>
    <w:rsid w:val="00110B90"/>
    <w:rsid w:val="00111D44"/>
    <w:rsid w:val="00111F99"/>
    <w:rsid w:val="001121FF"/>
    <w:rsid w:val="0011241C"/>
    <w:rsid w:val="001129EE"/>
    <w:rsid w:val="0011348B"/>
    <w:rsid w:val="001134F7"/>
    <w:rsid w:val="0011373B"/>
    <w:rsid w:val="00113859"/>
    <w:rsid w:val="0011385E"/>
    <w:rsid w:val="001150BD"/>
    <w:rsid w:val="00115982"/>
    <w:rsid w:val="001159A7"/>
    <w:rsid w:val="00115CDD"/>
    <w:rsid w:val="00116B0B"/>
    <w:rsid w:val="00116C53"/>
    <w:rsid w:val="001171FE"/>
    <w:rsid w:val="00117AA4"/>
    <w:rsid w:val="001203A4"/>
    <w:rsid w:val="00120599"/>
    <w:rsid w:val="00120E9F"/>
    <w:rsid w:val="001213CE"/>
    <w:rsid w:val="0012144B"/>
    <w:rsid w:val="00121799"/>
    <w:rsid w:val="00121B7C"/>
    <w:rsid w:val="00121BE5"/>
    <w:rsid w:val="00121EC1"/>
    <w:rsid w:val="00121F66"/>
    <w:rsid w:val="001221C5"/>
    <w:rsid w:val="001222FC"/>
    <w:rsid w:val="001224B4"/>
    <w:rsid w:val="00123377"/>
    <w:rsid w:val="00123902"/>
    <w:rsid w:val="00123921"/>
    <w:rsid w:val="00123BB5"/>
    <w:rsid w:val="00123CDE"/>
    <w:rsid w:val="00123E7D"/>
    <w:rsid w:val="001240C1"/>
    <w:rsid w:val="001242C4"/>
    <w:rsid w:val="00124423"/>
    <w:rsid w:val="00124822"/>
    <w:rsid w:val="001248EA"/>
    <w:rsid w:val="00124A51"/>
    <w:rsid w:val="00124F7E"/>
    <w:rsid w:val="00124FA1"/>
    <w:rsid w:val="00125437"/>
    <w:rsid w:val="00125630"/>
    <w:rsid w:val="00126356"/>
    <w:rsid w:val="00126621"/>
    <w:rsid w:val="001266F7"/>
    <w:rsid w:val="00126867"/>
    <w:rsid w:val="00126B1D"/>
    <w:rsid w:val="00126B4D"/>
    <w:rsid w:val="00126E76"/>
    <w:rsid w:val="00127203"/>
    <w:rsid w:val="00127CFC"/>
    <w:rsid w:val="00127EB0"/>
    <w:rsid w:val="001301E9"/>
    <w:rsid w:val="00130205"/>
    <w:rsid w:val="001303E6"/>
    <w:rsid w:val="001308E0"/>
    <w:rsid w:val="001308F1"/>
    <w:rsid w:val="0013095A"/>
    <w:rsid w:val="00130EAD"/>
    <w:rsid w:val="00130F3E"/>
    <w:rsid w:val="00131180"/>
    <w:rsid w:val="001315AE"/>
    <w:rsid w:val="00131965"/>
    <w:rsid w:val="00131D82"/>
    <w:rsid w:val="00132418"/>
    <w:rsid w:val="001326A7"/>
    <w:rsid w:val="00132B22"/>
    <w:rsid w:val="00133319"/>
    <w:rsid w:val="00133D36"/>
    <w:rsid w:val="00134B04"/>
    <w:rsid w:val="00134C6B"/>
    <w:rsid w:val="0013600B"/>
    <w:rsid w:val="001364C9"/>
    <w:rsid w:val="00136A2D"/>
    <w:rsid w:val="00136A97"/>
    <w:rsid w:val="00136EFD"/>
    <w:rsid w:val="001370E4"/>
    <w:rsid w:val="00137239"/>
    <w:rsid w:val="00137645"/>
    <w:rsid w:val="0013793D"/>
    <w:rsid w:val="0014015A"/>
    <w:rsid w:val="00140399"/>
    <w:rsid w:val="00140744"/>
    <w:rsid w:val="00140C0D"/>
    <w:rsid w:val="00140D4E"/>
    <w:rsid w:val="00140E99"/>
    <w:rsid w:val="00140EDE"/>
    <w:rsid w:val="00140FC7"/>
    <w:rsid w:val="00141972"/>
    <w:rsid w:val="00141A9D"/>
    <w:rsid w:val="00142331"/>
    <w:rsid w:val="00142DEB"/>
    <w:rsid w:val="0014348A"/>
    <w:rsid w:val="00143816"/>
    <w:rsid w:val="00143884"/>
    <w:rsid w:val="00143D67"/>
    <w:rsid w:val="00143F67"/>
    <w:rsid w:val="00144104"/>
    <w:rsid w:val="00144275"/>
    <w:rsid w:val="00144314"/>
    <w:rsid w:val="001451AC"/>
    <w:rsid w:val="00145234"/>
    <w:rsid w:val="00145540"/>
    <w:rsid w:val="001456B0"/>
    <w:rsid w:val="00145831"/>
    <w:rsid w:val="001459BB"/>
    <w:rsid w:val="00145B4E"/>
    <w:rsid w:val="0014647A"/>
    <w:rsid w:val="00146F5B"/>
    <w:rsid w:val="00147395"/>
    <w:rsid w:val="001476C7"/>
    <w:rsid w:val="0014781F"/>
    <w:rsid w:val="00147D1D"/>
    <w:rsid w:val="00150099"/>
    <w:rsid w:val="0015080E"/>
    <w:rsid w:val="001518D5"/>
    <w:rsid w:val="001523FA"/>
    <w:rsid w:val="001528ED"/>
    <w:rsid w:val="00153077"/>
    <w:rsid w:val="001534C0"/>
    <w:rsid w:val="00153CA7"/>
    <w:rsid w:val="00154272"/>
    <w:rsid w:val="001547AB"/>
    <w:rsid w:val="00154C2F"/>
    <w:rsid w:val="00154DC8"/>
    <w:rsid w:val="0015501B"/>
    <w:rsid w:val="001557C9"/>
    <w:rsid w:val="00156A0E"/>
    <w:rsid w:val="00156BAC"/>
    <w:rsid w:val="00156F8F"/>
    <w:rsid w:val="00157130"/>
    <w:rsid w:val="001573A6"/>
    <w:rsid w:val="001573BB"/>
    <w:rsid w:val="001574B3"/>
    <w:rsid w:val="001576B1"/>
    <w:rsid w:val="00157915"/>
    <w:rsid w:val="00157A60"/>
    <w:rsid w:val="0016047B"/>
    <w:rsid w:val="001608F3"/>
    <w:rsid w:val="00160A4C"/>
    <w:rsid w:val="0016183B"/>
    <w:rsid w:val="00161C95"/>
    <w:rsid w:val="00161D89"/>
    <w:rsid w:val="00162285"/>
    <w:rsid w:val="00162913"/>
    <w:rsid w:val="00162F7C"/>
    <w:rsid w:val="00163787"/>
    <w:rsid w:val="001638CC"/>
    <w:rsid w:val="00163AD8"/>
    <w:rsid w:val="00163BF4"/>
    <w:rsid w:val="00163D1B"/>
    <w:rsid w:val="00163EFF"/>
    <w:rsid w:val="00163F66"/>
    <w:rsid w:val="0016478E"/>
    <w:rsid w:val="0016480B"/>
    <w:rsid w:val="00164A0E"/>
    <w:rsid w:val="00164D61"/>
    <w:rsid w:val="001657FF"/>
    <w:rsid w:val="00165BB8"/>
    <w:rsid w:val="00165DBB"/>
    <w:rsid w:val="00165E84"/>
    <w:rsid w:val="00165EC4"/>
    <w:rsid w:val="001661FB"/>
    <w:rsid w:val="0016640C"/>
    <w:rsid w:val="00166C18"/>
    <w:rsid w:val="001670D5"/>
    <w:rsid w:val="001671A0"/>
    <w:rsid w:val="001672B8"/>
    <w:rsid w:val="0016767F"/>
    <w:rsid w:val="001700EC"/>
    <w:rsid w:val="00170DB1"/>
    <w:rsid w:val="001711BE"/>
    <w:rsid w:val="00171250"/>
    <w:rsid w:val="00171725"/>
    <w:rsid w:val="00172337"/>
    <w:rsid w:val="001724F5"/>
    <w:rsid w:val="0017273B"/>
    <w:rsid w:val="00173427"/>
    <w:rsid w:val="0017342B"/>
    <w:rsid w:val="00173565"/>
    <w:rsid w:val="00173B07"/>
    <w:rsid w:val="00174736"/>
    <w:rsid w:val="00174F16"/>
    <w:rsid w:val="001751FA"/>
    <w:rsid w:val="001754C8"/>
    <w:rsid w:val="0017590A"/>
    <w:rsid w:val="00175C41"/>
    <w:rsid w:val="00175E3B"/>
    <w:rsid w:val="001762AB"/>
    <w:rsid w:val="001765B4"/>
    <w:rsid w:val="00176CFD"/>
    <w:rsid w:val="00176E02"/>
    <w:rsid w:val="00177B0C"/>
    <w:rsid w:val="001804D1"/>
    <w:rsid w:val="00180618"/>
    <w:rsid w:val="001806BD"/>
    <w:rsid w:val="00180750"/>
    <w:rsid w:val="00180E11"/>
    <w:rsid w:val="00181B49"/>
    <w:rsid w:val="00181C10"/>
    <w:rsid w:val="00181CC9"/>
    <w:rsid w:val="00181D9C"/>
    <w:rsid w:val="00181E5C"/>
    <w:rsid w:val="00181EAF"/>
    <w:rsid w:val="00182A6E"/>
    <w:rsid w:val="00182AA9"/>
    <w:rsid w:val="00182BE9"/>
    <w:rsid w:val="0018368E"/>
    <w:rsid w:val="001837FF"/>
    <w:rsid w:val="00183A80"/>
    <w:rsid w:val="00183B6C"/>
    <w:rsid w:val="001842B6"/>
    <w:rsid w:val="00184621"/>
    <w:rsid w:val="00184B0E"/>
    <w:rsid w:val="001853C1"/>
    <w:rsid w:val="00185BAA"/>
    <w:rsid w:val="001860B3"/>
    <w:rsid w:val="001861AD"/>
    <w:rsid w:val="00186A20"/>
    <w:rsid w:val="00186BE4"/>
    <w:rsid w:val="00187292"/>
    <w:rsid w:val="001874F4"/>
    <w:rsid w:val="0018752F"/>
    <w:rsid w:val="00187E26"/>
    <w:rsid w:val="001912E2"/>
    <w:rsid w:val="00191328"/>
    <w:rsid w:val="00191544"/>
    <w:rsid w:val="00191855"/>
    <w:rsid w:val="001928CE"/>
    <w:rsid w:val="00192FFF"/>
    <w:rsid w:val="0019378C"/>
    <w:rsid w:val="00193838"/>
    <w:rsid w:val="00193A34"/>
    <w:rsid w:val="00193AA6"/>
    <w:rsid w:val="00193B88"/>
    <w:rsid w:val="00193C57"/>
    <w:rsid w:val="0019451A"/>
    <w:rsid w:val="001948DE"/>
    <w:rsid w:val="00194AD8"/>
    <w:rsid w:val="00194B81"/>
    <w:rsid w:val="00194D57"/>
    <w:rsid w:val="00195222"/>
    <w:rsid w:val="00195452"/>
    <w:rsid w:val="00195C74"/>
    <w:rsid w:val="00195DCA"/>
    <w:rsid w:val="0019643A"/>
    <w:rsid w:val="0019651E"/>
    <w:rsid w:val="00196823"/>
    <w:rsid w:val="00196D11"/>
    <w:rsid w:val="0019717E"/>
    <w:rsid w:val="001975D8"/>
    <w:rsid w:val="00197773"/>
    <w:rsid w:val="00197965"/>
    <w:rsid w:val="00197C27"/>
    <w:rsid w:val="00197D3A"/>
    <w:rsid w:val="00197E5F"/>
    <w:rsid w:val="001A05C5"/>
    <w:rsid w:val="001A0A18"/>
    <w:rsid w:val="001A0B5E"/>
    <w:rsid w:val="001A0FF2"/>
    <w:rsid w:val="001A1161"/>
    <w:rsid w:val="001A1602"/>
    <w:rsid w:val="001A178E"/>
    <w:rsid w:val="001A17EB"/>
    <w:rsid w:val="001A19FA"/>
    <w:rsid w:val="001A1A99"/>
    <w:rsid w:val="001A1D1E"/>
    <w:rsid w:val="001A1DA0"/>
    <w:rsid w:val="001A2D08"/>
    <w:rsid w:val="001A2D1B"/>
    <w:rsid w:val="001A2D58"/>
    <w:rsid w:val="001A3455"/>
    <w:rsid w:val="001A39BB"/>
    <w:rsid w:val="001A3E20"/>
    <w:rsid w:val="001A43FA"/>
    <w:rsid w:val="001A47C5"/>
    <w:rsid w:val="001A59FB"/>
    <w:rsid w:val="001A5E9E"/>
    <w:rsid w:val="001A60DD"/>
    <w:rsid w:val="001A6152"/>
    <w:rsid w:val="001A6354"/>
    <w:rsid w:val="001A6366"/>
    <w:rsid w:val="001A65E2"/>
    <w:rsid w:val="001A665F"/>
    <w:rsid w:val="001A6C95"/>
    <w:rsid w:val="001A6DDE"/>
    <w:rsid w:val="001A7088"/>
    <w:rsid w:val="001A7099"/>
    <w:rsid w:val="001A7AE8"/>
    <w:rsid w:val="001A7B27"/>
    <w:rsid w:val="001B0DE5"/>
    <w:rsid w:val="001B1392"/>
    <w:rsid w:val="001B16F1"/>
    <w:rsid w:val="001B1706"/>
    <w:rsid w:val="001B17E7"/>
    <w:rsid w:val="001B1E65"/>
    <w:rsid w:val="001B2009"/>
    <w:rsid w:val="001B204E"/>
    <w:rsid w:val="001B2372"/>
    <w:rsid w:val="001B2A27"/>
    <w:rsid w:val="001B2E26"/>
    <w:rsid w:val="001B2FF0"/>
    <w:rsid w:val="001B304E"/>
    <w:rsid w:val="001B3443"/>
    <w:rsid w:val="001B3835"/>
    <w:rsid w:val="001B386F"/>
    <w:rsid w:val="001B493B"/>
    <w:rsid w:val="001B4D20"/>
    <w:rsid w:val="001B51A6"/>
    <w:rsid w:val="001B5526"/>
    <w:rsid w:val="001B5688"/>
    <w:rsid w:val="001B58CC"/>
    <w:rsid w:val="001B5BCA"/>
    <w:rsid w:val="001B5D9B"/>
    <w:rsid w:val="001B627C"/>
    <w:rsid w:val="001B6C41"/>
    <w:rsid w:val="001B6D0F"/>
    <w:rsid w:val="001B7250"/>
    <w:rsid w:val="001B7CCA"/>
    <w:rsid w:val="001B7F84"/>
    <w:rsid w:val="001C006C"/>
    <w:rsid w:val="001C04C4"/>
    <w:rsid w:val="001C05A1"/>
    <w:rsid w:val="001C07E0"/>
    <w:rsid w:val="001C0D86"/>
    <w:rsid w:val="001C2A9B"/>
    <w:rsid w:val="001C3269"/>
    <w:rsid w:val="001C36CA"/>
    <w:rsid w:val="001C39BD"/>
    <w:rsid w:val="001C3CD1"/>
    <w:rsid w:val="001C3CE4"/>
    <w:rsid w:val="001C3DD6"/>
    <w:rsid w:val="001C415E"/>
    <w:rsid w:val="001C4299"/>
    <w:rsid w:val="001C4874"/>
    <w:rsid w:val="001C56CD"/>
    <w:rsid w:val="001C5718"/>
    <w:rsid w:val="001C57FD"/>
    <w:rsid w:val="001C5D43"/>
    <w:rsid w:val="001C5F94"/>
    <w:rsid w:val="001C6B82"/>
    <w:rsid w:val="001C6E66"/>
    <w:rsid w:val="001C7B49"/>
    <w:rsid w:val="001D0578"/>
    <w:rsid w:val="001D0750"/>
    <w:rsid w:val="001D107D"/>
    <w:rsid w:val="001D1100"/>
    <w:rsid w:val="001D1391"/>
    <w:rsid w:val="001D1616"/>
    <w:rsid w:val="001D16C6"/>
    <w:rsid w:val="001D1C86"/>
    <w:rsid w:val="001D1F49"/>
    <w:rsid w:val="001D1F8A"/>
    <w:rsid w:val="001D25D7"/>
    <w:rsid w:val="001D2CFA"/>
    <w:rsid w:val="001D324C"/>
    <w:rsid w:val="001D3747"/>
    <w:rsid w:val="001D3894"/>
    <w:rsid w:val="001D3B93"/>
    <w:rsid w:val="001D3FCC"/>
    <w:rsid w:val="001D4F08"/>
    <w:rsid w:val="001D50B2"/>
    <w:rsid w:val="001D5444"/>
    <w:rsid w:val="001D57FB"/>
    <w:rsid w:val="001D583A"/>
    <w:rsid w:val="001D6C6C"/>
    <w:rsid w:val="001D6D0A"/>
    <w:rsid w:val="001D6FD4"/>
    <w:rsid w:val="001D6FE8"/>
    <w:rsid w:val="001D71F4"/>
    <w:rsid w:val="001D72FD"/>
    <w:rsid w:val="001D7357"/>
    <w:rsid w:val="001D7645"/>
    <w:rsid w:val="001D78E1"/>
    <w:rsid w:val="001D79EF"/>
    <w:rsid w:val="001D7AF8"/>
    <w:rsid w:val="001D7D19"/>
    <w:rsid w:val="001E0827"/>
    <w:rsid w:val="001E0969"/>
    <w:rsid w:val="001E12E5"/>
    <w:rsid w:val="001E17EC"/>
    <w:rsid w:val="001E1E86"/>
    <w:rsid w:val="001E1EDA"/>
    <w:rsid w:val="001E238E"/>
    <w:rsid w:val="001E2483"/>
    <w:rsid w:val="001E2B1E"/>
    <w:rsid w:val="001E2CFF"/>
    <w:rsid w:val="001E2DE6"/>
    <w:rsid w:val="001E2F24"/>
    <w:rsid w:val="001E30D4"/>
    <w:rsid w:val="001E32B9"/>
    <w:rsid w:val="001E34DF"/>
    <w:rsid w:val="001E3B48"/>
    <w:rsid w:val="001E3DC0"/>
    <w:rsid w:val="001E46C8"/>
    <w:rsid w:val="001E497C"/>
    <w:rsid w:val="001E4DBD"/>
    <w:rsid w:val="001E52EB"/>
    <w:rsid w:val="001E550D"/>
    <w:rsid w:val="001E5664"/>
    <w:rsid w:val="001E57A0"/>
    <w:rsid w:val="001E5B49"/>
    <w:rsid w:val="001E61D2"/>
    <w:rsid w:val="001E655D"/>
    <w:rsid w:val="001E6FB6"/>
    <w:rsid w:val="001E740C"/>
    <w:rsid w:val="001E7573"/>
    <w:rsid w:val="001E75D5"/>
    <w:rsid w:val="001E78E5"/>
    <w:rsid w:val="001F04E4"/>
    <w:rsid w:val="001F0865"/>
    <w:rsid w:val="001F0B5B"/>
    <w:rsid w:val="001F11ED"/>
    <w:rsid w:val="001F1235"/>
    <w:rsid w:val="001F19D5"/>
    <w:rsid w:val="001F1AF2"/>
    <w:rsid w:val="001F1CB3"/>
    <w:rsid w:val="001F28EB"/>
    <w:rsid w:val="001F2A20"/>
    <w:rsid w:val="001F2B9D"/>
    <w:rsid w:val="001F3134"/>
    <w:rsid w:val="001F33F2"/>
    <w:rsid w:val="001F3612"/>
    <w:rsid w:val="001F38B5"/>
    <w:rsid w:val="001F3A28"/>
    <w:rsid w:val="001F3B69"/>
    <w:rsid w:val="001F3C62"/>
    <w:rsid w:val="001F3E45"/>
    <w:rsid w:val="001F4081"/>
    <w:rsid w:val="001F42A2"/>
    <w:rsid w:val="001F4FAC"/>
    <w:rsid w:val="001F4FF7"/>
    <w:rsid w:val="001F531B"/>
    <w:rsid w:val="001F537E"/>
    <w:rsid w:val="001F5D5D"/>
    <w:rsid w:val="001F5E97"/>
    <w:rsid w:val="001F6448"/>
    <w:rsid w:val="001F653D"/>
    <w:rsid w:val="001F68F6"/>
    <w:rsid w:val="001F6BAA"/>
    <w:rsid w:val="001F7206"/>
    <w:rsid w:val="001F72D2"/>
    <w:rsid w:val="001F7361"/>
    <w:rsid w:val="001F753C"/>
    <w:rsid w:val="001F7AF4"/>
    <w:rsid w:val="001F7AFD"/>
    <w:rsid w:val="00200064"/>
    <w:rsid w:val="00200DB7"/>
    <w:rsid w:val="00201069"/>
    <w:rsid w:val="002011B0"/>
    <w:rsid w:val="002014E7"/>
    <w:rsid w:val="00201681"/>
    <w:rsid w:val="00201A81"/>
    <w:rsid w:val="00201D85"/>
    <w:rsid w:val="002020CA"/>
    <w:rsid w:val="00202825"/>
    <w:rsid w:val="00202D18"/>
    <w:rsid w:val="00203181"/>
    <w:rsid w:val="002031BF"/>
    <w:rsid w:val="00203783"/>
    <w:rsid w:val="0020385F"/>
    <w:rsid w:val="00203989"/>
    <w:rsid w:val="00203B50"/>
    <w:rsid w:val="00203B66"/>
    <w:rsid w:val="00203F94"/>
    <w:rsid w:val="002042A3"/>
    <w:rsid w:val="002042D6"/>
    <w:rsid w:val="00204399"/>
    <w:rsid w:val="002043DF"/>
    <w:rsid w:val="002043F6"/>
    <w:rsid w:val="00204867"/>
    <w:rsid w:val="0020516D"/>
    <w:rsid w:val="00205D95"/>
    <w:rsid w:val="00205D9D"/>
    <w:rsid w:val="002060F3"/>
    <w:rsid w:val="002062A3"/>
    <w:rsid w:val="002068A0"/>
    <w:rsid w:val="00206E0F"/>
    <w:rsid w:val="00207021"/>
    <w:rsid w:val="0020732F"/>
    <w:rsid w:val="00207D00"/>
    <w:rsid w:val="00207FA0"/>
    <w:rsid w:val="002105C1"/>
    <w:rsid w:val="00210B27"/>
    <w:rsid w:val="00210C21"/>
    <w:rsid w:val="00211380"/>
    <w:rsid w:val="00211448"/>
    <w:rsid w:val="002115D1"/>
    <w:rsid w:val="002116FD"/>
    <w:rsid w:val="00211848"/>
    <w:rsid w:val="00211C97"/>
    <w:rsid w:val="002125CC"/>
    <w:rsid w:val="00213098"/>
    <w:rsid w:val="002132AF"/>
    <w:rsid w:val="002136E7"/>
    <w:rsid w:val="00213BBA"/>
    <w:rsid w:val="00213EF5"/>
    <w:rsid w:val="00214206"/>
    <w:rsid w:val="00214533"/>
    <w:rsid w:val="00214AC5"/>
    <w:rsid w:val="00214DF1"/>
    <w:rsid w:val="0021544F"/>
    <w:rsid w:val="002158AF"/>
    <w:rsid w:val="00215F8F"/>
    <w:rsid w:val="002169C6"/>
    <w:rsid w:val="00216BF5"/>
    <w:rsid w:val="00216D8F"/>
    <w:rsid w:val="00217394"/>
    <w:rsid w:val="0021777B"/>
    <w:rsid w:val="00217D4F"/>
    <w:rsid w:val="00220175"/>
    <w:rsid w:val="00220D19"/>
    <w:rsid w:val="00221604"/>
    <w:rsid w:val="002218C9"/>
    <w:rsid w:val="00221B86"/>
    <w:rsid w:val="00221E81"/>
    <w:rsid w:val="00222431"/>
    <w:rsid w:val="00222C6A"/>
    <w:rsid w:val="00222E5D"/>
    <w:rsid w:val="00222F04"/>
    <w:rsid w:val="00223294"/>
    <w:rsid w:val="00223441"/>
    <w:rsid w:val="00223B49"/>
    <w:rsid w:val="00223D5A"/>
    <w:rsid w:val="00223EDC"/>
    <w:rsid w:val="00224050"/>
    <w:rsid w:val="0022445D"/>
    <w:rsid w:val="00224847"/>
    <w:rsid w:val="00224924"/>
    <w:rsid w:val="00224DAB"/>
    <w:rsid w:val="00224DD4"/>
    <w:rsid w:val="00225B42"/>
    <w:rsid w:val="002263C3"/>
    <w:rsid w:val="002270D3"/>
    <w:rsid w:val="00227534"/>
    <w:rsid w:val="002278A0"/>
    <w:rsid w:val="002278D6"/>
    <w:rsid w:val="002300D6"/>
    <w:rsid w:val="00230854"/>
    <w:rsid w:val="002309CC"/>
    <w:rsid w:val="002316D9"/>
    <w:rsid w:val="00231A17"/>
    <w:rsid w:val="00231BA9"/>
    <w:rsid w:val="00231C01"/>
    <w:rsid w:val="0023209F"/>
    <w:rsid w:val="002326FA"/>
    <w:rsid w:val="00232A41"/>
    <w:rsid w:val="0023369D"/>
    <w:rsid w:val="00233C01"/>
    <w:rsid w:val="0023413C"/>
    <w:rsid w:val="00234364"/>
    <w:rsid w:val="002346F0"/>
    <w:rsid w:val="00234878"/>
    <w:rsid w:val="00234C9F"/>
    <w:rsid w:val="0023535B"/>
    <w:rsid w:val="0023538F"/>
    <w:rsid w:val="002356FA"/>
    <w:rsid w:val="00235943"/>
    <w:rsid w:val="00235B51"/>
    <w:rsid w:val="00235BD5"/>
    <w:rsid w:val="0023629D"/>
    <w:rsid w:val="00236A34"/>
    <w:rsid w:val="00236A7F"/>
    <w:rsid w:val="00237255"/>
    <w:rsid w:val="0023730A"/>
    <w:rsid w:val="00237913"/>
    <w:rsid w:val="00237B5F"/>
    <w:rsid w:val="0024027F"/>
    <w:rsid w:val="002403FE"/>
    <w:rsid w:val="0024049A"/>
    <w:rsid w:val="002406A9"/>
    <w:rsid w:val="002416A7"/>
    <w:rsid w:val="002424AF"/>
    <w:rsid w:val="002427CB"/>
    <w:rsid w:val="00243543"/>
    <w:rsid w:val="002439DC"/>
    <w:rsid w:val="00243D20"/>
    <w:rsid w:val="002441D2"/>
    <w:rsid w:val="0024453D"/>
    <w:rsid w:val="00244A40"/>
    <w:rsid w:val="00244B6F"/>
    <w:rsid w:val="00244B7C"/>
    <w:rsid w:val="00244DC8"/>
    <w:rsid w:val="002453CC"/>
    <w:rsid w:val="002458BA"/>
    <w:rsid w:val="00245CE9"/>
    <w:rsid w:val="00246010"/>
    <w:rsid w:val="00246199"/>
    <w:rsid w:val="0024636C"/>
    <w:rsid w:val="0024702F"/>
    <w:rsid w:val="00247925"/>
    <w:rsid w:val="00250B97"/>
    <w:rsid w:val="00250DF0"/>
    <w:rsid w:val="00250F93"/>
    <w:rsid w:val="00251006"/>
    <w:rsid w:val="0025113F"/>
    <w:rsid w:val="002513D2"/>
    <w:rsid w:val="002524D4"/>
    <w:rsid w:val="002524D5"/>
    <w:rsid w:val="0025271F"/>
    <w:rsid w:val="00252BDE"/>
    <w:rsid w:val="00252CA5"/>
    <w:rsid w:val="00252DD8"/>
    <w:rsid w:val="00252F9D"/>
    <w:rsid w:val="00253550"/>
    <w:rsid w:val="00253B1D"/>
    <w:rsid w:val="00253FB1"/>
    <w:rsid w:val="002542FB"/>
    <w:rsid w:val="00254499"/>
    <w:rsid w:val="0025467C"/>
    <w:rsid w:val="002546DD"/>
    <w:rsid w:val="00254DCF"/>
    <w:rsid w:val="0025534B"/>
    <w:rsid w:val="002556BF"/>
    <w:rsid w:val="00255BB7"/>
    <w:rsid w:val="00255DA5"/>
    <w:rsid w:val="00255FD7"/>
    <w:rsid w:val="00256B90"/>
    <w:rsid w:val="00256D0E"/>
    <w:rsid w:val="00256F1B"/>
    <w:rsid w:val="00256F64"/>
    <w:rsid w:val="00257541"/>
    <w:rsid w:val="002578D4"/>
    <w:rsid w:val="00257A39"/>
    <w:rsid w:val="00257AC4"/>
    <w:rsid w:val="00257BBE"/>
    <w:rsid w:val="00260456"/>
    <w:rsid w:val="00260ED2"/>
    <w:rsid w:val="00261E67"/>
    <w:rsid w:val="00261EEF"/>
    <w:rsid w:val="0026265A"/>
    <w:rsid w:val="00262A1A"/>
    <w:rsid w:val="00262A87"/>
    <w:rsid w:val="00262C17"/>
    <w:rsid w:val="00263063"/>
    <w:rsid w:val="002633CB"/>
    <w:rsid w:val="002640E2"/>
    <w:rsid w:val="002641F5"/>
    <w:rsid w:val="00264476"/>
    <w:rsid w:val="00264786"/>
    <w:rsid w:val="00264D26"/>
    <w:rsid w:val="00264E92"/>
    <w:rsid w:val="00265344"/>
    <w:rsid w:val="00265D64"/>
    <w:rsid w:val="0026614F"/>
    <w:rsid w:val="002664F6"/>
    <w:rsid w:val="002667FB"/>
    <w:rsid w:val="0026693A"/>
    <w:rsid w:val="00266C9F"/>
    <w:rsid w:val="00267642"/>
    <w:rsid w:val="00267760"/>
    <w:rsid w:val="00267AEA"/>
    <w:rsid w:val="002700E6"/>
    <w:rsid w:val="00270659"/>
    <w:rsid w:val="00270AFA"/>
    <w:rsid w:val="00270FDF"/>
    <w:rsid w:val="002714BB"/>
    <w:rsid w:val="00271E6B"/>
    <w:rsid w:val="00272207"/>
    <w:rsid w:val="0027294B"/>
    <w:rsid w:val="00273270"/>
    <w:rsid w:val="00273353"/>
    <w:rsid w:val="002735C6"/>
    <w:rsid w:val="00273A89"/>
    <w:rsid w:val="00273C38"/>
    <w:rsid w:val="00273DCA"/>
    <w:rsid w:val="00273EB4"/>
    <w:rsid w:val="00273F37"/>
    <w:rsid w:val="00274325"/>
    <w:rsid w:val="00274429"/>
    <w:rsid w:val="00274682"/>
    <w:rsid w:val="002749D5"/>
    <w:rsid w:val="002749D6"/>
    <w:rsid w:val="00274FBD"/>
    <w:rsid w:val="00275158"/>
    <w:rsid w:val="00275C5A"/>
    <w:rsid w:val="00275F0E"/>
    <w:rsid w:val="00276065"/>
    <w:rsid w:val="0027611B"/>
    <w:rsid w:val="0027621C"/>
    <w:rsid w:val="00276533"/>
    <w:rsid w:val="00276818"/>
    <w:rsid w:val="002769EE"/>
    <w:rsid w:val="00277256"/>
    <w:rsid w:val="002777ED"/>
    <w:rsid w:val="00277A40"/>
    <w:rsid w:val="00277CDD"/>
    <w:rsid w:val="00277DC2"/>
    <w:rsid w:val="00277FF8"/>
    <w:rsid w:val="0028013C"/>
    <w:rsid w:val="00280875"/>
    <w:rsid w:val="00281014"/>
    <w:rsid w:val="0028117B"/>
    <w:rsid w:val="0028127B"/>
    <w:rsid w:val="00281DCC"/>
    <w:rsid w:val="002820D3"/>
    <w:rsid w:val="002825CE"/>
    <w:rsid w:val="0028289C"/>
    <w:rsid w:val="00282A1E"/>
    <w:rsid w:val="00282C7C"/>
    <w:rsid w:val="00282E74"/>
    <w:rsid w:val="002831EF"/>
    <w:rsid w:val="00283655"/>
    <w:rsid w:val="00284BD7"/>
    <w:rsid w:val="00284DC6"/>
    <w:rsid w:val="002858AA"/>
    <w:rsid w:val="0028599D"/>
    <w:rsid w:val="00285BCE"/>
    <w:rsid w:val="00285D6E"/>
    <w:rsid w:val="002861F2"/>
    <w:rsid w:val="0028665D"/>
    <w:rsid w:val="00286ED8"/>
    <w:rsid w:val="0028728D"/>
    <w:rsid w:val="0028738F"/>
    <w:rsid w:val="002873E0"/>
    <w:rsid w:val="00287D54"/>
    <w:rsid w:val="00287F55"/>
    <w:rsid w:val="00287F7D"/>
    <w:rsid w:val="0028CB3E"/>
    <w:rsid w:val="00290348"/>
    <w:rsid w:val="00290E82"/>
    <w:rsid w:val="00291305"/>
    <w:rsid w:val="002922BA"/>
    <w:rsid w:val="00293339"/>
    <w:rsid w:val="0029383D"/>
    <w:rsid w:val="0029428A"/>
    <w:rsid w:val="00295EAF"/>
    <w:rsid w:val="00297252"/>
    <w:rsid w:val="002973A2"/>
    <w:rsid w:val="002973B5"/>
    <w:rsid w:val="002975D6"/>
    <w:rsid w:val="002A039F"/>
    <w:rsid w:val="002A0E3C"/>
    <w:rsid w:val="002A14AB"/>
    <w:rsid w:val="002A15CC"/>
    <w:rsid w:val="002A168E"/>
    <w:rsid w:val="002A170B"/>
    <w:rsid w:val="002A2994"/>
    <w:rsid w:val="002A2A4D"/>
    <w:rsid w:val="002A2A9D"/>
    <w:rsid w:val="002A2ADE"/>
    <w:rsid w:val="002A2E36"/>
    <w:rsid w:val="002A2F50"/>
    <w:rsid w:val="002A3D27"/>
    <w:rsid w:val="002A3DB2"/>
    <w:rsid w:val="002A402C"/>
    <w:rsid w:val="002A468A"/>
    <w:rsid w:val="002A4789"/>
    <w:rsid w:val="002A4A52"/>
    <w:rsid w:val="002A5866"/>
    <w:rsid w:val="002A6477"/>
    <w:rsid w:val="002A6A52"/>
    <w:rsid w:val="002A6B58"/>
    <w:rsid w:val="002A768A"/>
    <w:rsid w:val="002A7755"/>
    <w:rsid w:val="002A77AE"/>
    <w:rsid w:val="002A77BE"/>
    <w:rsid w:val="002A792A"/>
    <w:rsid w:val="002A7943"/>
    <w:rsid w:val="002A7BD2"/>
    <w:rsid w:val="002B01AA"/>
    <w:rsid w:val="002B0385"/>
    <w:rsid w:val="002B05A1"/>
    <w:rsid w:val="002B09A4"/>
    <w:rsid w:val="002B1049"/>
    <w:rsid w:val="002B1569"/>
    <w:rsid w:val="002B1C1F"/>
    <w:rsid w:val="002B1C97"/>
    <w:rsid w:val="002B1D22"/>
    <w:rsid w:val="002B1FC9"/>
    <w:rsid w:val="002B1FE6"/>
    <w:rsid w:val="002B2031"/>
    <w:rsid w:val="002B2723"/>
    <w:rsid w:val="002B3C70"/>
    <w:rsid w:val="002B432F"/>
    <w:rsid w:val="002B446E"/>
    <w:rsid w:val="002B4BEC"/>
    <w:rsid w:val="002B4F03"/>
    <w:rsid w:val="002B56FE"/>
    <w:rsid w:val="002B5E6E"/>
    <w:rsid w:val="002B62B3"/>
    <w:rsid w:val="002B6754"/>
    <w:rsid w:val="002B6A7D"/>
    <w:rsid w:val="002B6CCE"/>
    <w:rsid w:val="002B7B52"/>
    <w:rsid w:val="002B7C2C"/>
    <w:rsid w:val="002C076E"/>
    <w:rsid w:val="002C0D17"/>
    <w:rsid w:val="002C1E52"/>
    <w:rsid w:val="002C2012"/>
    <w:rsid w:val="002C2510"/>
    <w:rsid w:val="002C2775"/>
    <w:rsid w:val="002C27C1"/>
    <w:rsid w:val="002C31D4"/>
    <w:rsid w:val="002C32B0"/>
    <w:rsid w:val="002C3371"/>
    <w:rsid w:val="002C35BB"/>
    <w:rsid w:val="002C36E3"/>
    <w:rsid w:val="002C3F18"/>
    <w:rsid w:val="002C3FF5"/>
    <w:rsid w:val="002C4C94"/>
    <w:rsid w:val="002C4D3F"/>
    <w:rsid w:val="002C5099"/>
    <w:rsid w:val="002C5889"/>
    <w:rsid w:val="002C58BB"/>
    <w:rsid w:val="002C618B"/>
    <w:rsid w:val="002C62BD"/>
    <w:rsid w:val="002C6388"/>
    <w:rsid w:val="002C63DA"/>
    <w:rsid w:val="002C6479"/>
    <w:rsid w:val="002C661A"/>
    <w:rsid w:val="002C71CE"/>
    <w:rsid w:val="002C760D"/>
    <w:rsid w:val="002C7763"/>
    <w:rsid w:val="002C7790"/>
    <w:rsid w:val="002C7867"/>
    <w:rsid w:val="002C7C3D"/>
    <w:rsid w:val="002C7C6E"/>
    <w:rsid w:val="002C7D48"/>
    <w:rsid w:val="002D00F9"/>
    <w:rsid w:val="002D05B5"/>
    <w:rsid w:val="002D08F8"/>
    <w:rsid w:val="002D107C"/>
    <w:rsid w:val="002D1CAA"/>
    <w:rsid w:val="002D1EC7"/>
    <w:rsid w:val="002D2018"/>
    <w:rsid w:val="002D29D4"/>
    <w:rsid w:val="002D2FA5"/>
    <w:rsid w:val="002D35DE"/>
    <w:rsid w:val="002D3B84"/>
    <w:rsid w:val="002D3C71"/>
    <w:rsid w:val="002D4357"/>
    <w:rsid w:val="002D44CD"/>
    <w:rsid w:val="002D48B2"/>
    <w:rsid w:val="002D4A90"/>
    <w:rsid w:val="002D4F27"/>
    <w:rsid w:val="002D577C"/>
    <w:rsid w:val="002D5ADF"/>
    <w:rsid w:val="002D6014"/>
    <w:rsid w:val="002D63AF"/>
    <w:rsid w:val="002D6DE8"/>
    <w:rsid w:val="002D744A"/>
    <w:rsid w:val="002D7832"/>
    <w:rsid w:val="002D7C39"/>
    <w:rsid w:val="002D7FB3"/>
    <w:rsid w:val="002E01A5"/>
    <w:rsid w:val="002E0DBF"/>
    <w:rsid w:val="002E0EDA"/>
    <w:rsid w:val="002E0F8B"/>
    <w:rsid w:val="002E1071"/>
    <w:rsid w:val="002E1334"/>
    <w:rsid w:val="002E1367"/>
    <w:rsid w:val="002E15B9"/>
    <w:rsid w:val="002E194F"/>
    <w:rsid w:val="002E1A89"/>
    <w:rsid w:val="002E1F82"/>
    <w:rsid w:val="002E2158"/>
    <w:rsid w:val="002E27E2"/>
    <w:rsid w:val="002E2D5F"/>
    <w:rsid w:val="002E35A3"/>
    <w:rsid w:val="002E3D98"/>
    <w:rsid w:val="002E41A3"/>
    <w:rsid w:val="002E4278"/>
    <w:rsid w:val="002E428E"/>
    <w:rsid w:val="002E4AEF"/>
    <w:rsid w:val="002E4F02"/>
    <w:rsid w:val="002E4F75"/>
    <w:rsid w:val="002E5254"/>
    <w:rsid w:val="002E5430"/>
    <w:rsid w:val="002E554E"/>
    <w:rsid w:val="002E6306"/>
    <w:rsid w:val="002E6473"/>
    <w:rsid w:val="002E6A0D"/>
    <w:rsid w:val="002E6CEE"/>
    <w:rsid w:val="002E6D8F"/>
    <w:rsid w:val="002E6DF4"/>
    <w:rsid w:val="002E7025"/>
    <w:rsid w:val="002E7164"/>
    <w:rsid w:val="002E753E"/>
    <w:rsid w:val="002E7722"/>
    <w:rsid w:val="002E7E43"/>
    <w:rsid w:val="002F0578"/>
    <w:rsid w:val="002F07BA"/>
    <w:rsid w:val="002F0DA9"/>
    <w:rsid w:val="002F0FCB"/>
    <w:rsid w:val="002F1014"/>
    <w:rsid w:val="002F1098"/>
    <w:rsid w:val="002F1382"/>
    <w:rsid w:val="002F1E3B"/>
    <w:rsid w:val="002F2603"/>
    <w:rsid w:val="002F26F3"/>
    <w:rsid w:val="002F28EF"/>
    <w:rsid w:val="002F2B47"/>
    <w:rsid w:val="002F3011"/>
    <w:rsid w:val="002F3054"/>
    <w:rsid w:val="002F365E"/>
    <w:rsid w:val="002F3C6A"/>
    <w:rsid w:val="002F3DF6"/>
    <w:rsid w:val="002F3E7D"/>
    <w:rsid w:val="002F3F4B"/>
    <w:rsid w:val="002F4053"/>
    <w:rsid w:val="002F41BF"/>
    <w:rsid w:val="002F43D7"/>
    <w:rsid w:val="002F4A53"/>
    <w:rsid w:val="002F4B6F"/>
    <w:rsid w:val="002F4D49"/>
    <w:rsid w:val="002F4E9A"/>
    <w:rsid w:val="002F4FDE"/>
    <w:rsid w:val="002F590F"/>
    <w:rsid w:val="002F5F36"/>
    <w:rsid w:val="002F643C"/>
    <w:rsid w:val="002F646E"/>
    <w:rsid w:val="002F71C0"/>
    <w:rsid w:val="002F74F1"/>
    <w:rsid w:val="002F775C"/>
    <w:rsid w:val="002F79A2"/>
    <w:rsid w:val="0030042C"/>
    <w:rsid w:val="00300647"/>
    <w:rsid w:val="00301017"/>
    <w:rsid w:val="00301513"/>
    <w:rsid w:val="0030155F"/>
    <w:rsid w:val="00301867"/>
    <w:rsid w:val="00301C7A"/>
    <w:rsid w:val="00302470"/>
    <w:rsid w:val="00302CD9"/>
    <w:rsid w:val="00303235"/>
    <w:rsid w:val="0030352A"/>
    <w:rsid w:val="00303C8B"/>
    <w:rsid w:val="00303D7B"/>
    <w:rsid w:val="0030418F"/>
    <w:rsid w:val="00304713"/>
    <w:rsid w:val="00304857"/>
    <w:rsid w:val="00304B44"/>
    <w:rsid w:val="00304DD0"/>
    <w:rsid w:val="00304DE1"/>
    <w:rsid w:val="00305369"/>
    <w:rsid w:val="003054C9"/>
    <w:rsid w:val="00305735"/>
    <w:rsid w:val="0030587B"/>
    <w:rsid w:val="00305A1E"/>
    <w:rsid w:val="003063BB"/>
    <w:rsid w:val="00306571"/>
    <w:rsid w:val="003068DF"/>
    <w:rsid w:val="00306CF0"/>
    <w:rsid w:val="00306D2C"/>
    <w:rsid w:val="00306D98"/>
    <w:rsid w:val="00307280"/>
    <w:rsid w:val="00307460"/>
    <w:rsid w:val="0030786C"/>
    <w:rsid w:val="0031031A"/>
    <w:rsid w:val="0031043E"/>
    <w:rsid w:val="00310452"/>
    <w:rsid w:val="0031090B"/>
    <w:rsid w:val="00310981"/>
    <w:rsid w:val="0031139E"/>
    <w:rsid w:val="0031187D"/>
    <w:rsid w:val="0031192D"/>
    <w:rsid w:val="00311A1A"/>
    <w:rsid w:val="00311A69"/>
    <w:rsid w:val="00311BC4"/>
    <w:rsid w:val="00311D9B"/>
    <w:rsid w:val="00312267"/>
    <w:rsid w:val="003124D9"/>
    <w:rsid w:val="00312594"/>
    <w:rsid w:val="0031264B"/>
    <w:rsid w:val="00312765"/>
    <w:rsid w:val="00312A7B"/>
    <w:rsid w:val="003135ED"/>
    <w:rsid w:val="003137A4"/>
    <w:rsid w:val="00313C4A"/>
    <w:rsid w:val="0031412F"/>
    <w:rsid w:val="0031481C"/>
    <w:rsid w:val="00314C5C"/>
    <w:rsid w:val="0031516E"/>
    <w:rsid w:val="003151FB"/>
    <w:rsid w:val="00315498"/>
    <w:rsid w:val="00316165"/>
    <w:rsid w:val="00316227"/>
    <w:rsid w:val="00316235"/>
    <w:rsid w:val="00316474"/>
    <w:rsid w:val="00316983"/>
    <w:rsid w:val="003169B9"/>
    <w:rsid w:val="003174E5"/>
    <w:rsid w:val="00317AEF"/>
    <w:rsid w:val="00317BA3"/>
    <w:rsid w:val="00317D72"/>
    <w:rsid w:val="00317F5E"/>
    <w:rsid w:val="0032007D"/>
    <w:rsid w:val="003204B0"/>
    <w:rsid w:val="003205A9"/>
    <w:rsid w:val="003208CE"/>
    <w:rsid w:val="00320AEC"/>
    <w:rsid w:val="00320D8C"/>
    <w:rsid w:val="00321180"/>
    <w:rsid w:val="0032158F"/>
    <w:rsid w:val="00321A18"/>
    <w:rsid w:val="00322107"/>
    <w:rsid w:val="00322355"/>
    <w:rsid w:val="00322846"/>
    <w:rsid w:val="003232B5"/>
    <w:rsid w:val="00323BBE"/>
    <w:rsid w:val="0032428D"/>
    <w:rsid w:val="003249F5"/>
    <w:rsid w:val="00324AFD"/>
    <w:rsid w:val="003259D4"/>
    <w:rsid w:val="00325EBF"/>
    <w:rsid w:val="00326B5F"/>
    <w:rsid w:val="00326DA7"/>
    <w:rsid w:val="003270E4"/>
    <w:rsid w:val="0032752F"/>
    <w:rsid w:val="00330025"/>
    <w:rsid w:val="003300EF"/>
    <w:rsid w:val="0033085F"/>
    <w:rsid w:val="00330DAA"/>
    <w:rsid w:val="00330F5C"/>
    <w:rsid w:val="003310E8"/>
    <w:rsid w:val="00331D72"/>
    <w:rsid w:val="0033371E"/>
    <w:rsid w:val="00333F0D"/>
    <w:rsid w:val="00333FA0"/>
    <w:rsid w:val="003341C9"/>
    <w:rsid w:val="003342C6"/>
    <w:rsid w:val="00334746"/>
    <w:rsid w:val="00334750"/>
    <w:rsid w:val="0033496A"/>
    <w:rsid w:val="00334CB2"/>
    <w:rsid w:val="00334D2F"/>
    <w:rsid w:val="003358DC"/>
    <w:rsid w:val="0033590F"/>
    <w:rsid w:val="00336630"/>
    <w:rsid w:val="003366C9"/>
    <w:rsid w:val="00336FC7"/>
    <w:rsid w:val="003371B0"/>
    <w:rsid w:val="00337538"/>
    <w:rsid w:val="003379ED"/>
    <w:rsid w:val="0034013E"/>
    <w:rsid w:val="00340776"/>
    <w:rsid w:val="0034094F"/>
    <w:rsid w:val="00340DF1"/>
    <w:rsid w:val="003419BB"/>
    <w:rsid w:val="00341B87"/>
    <w:rsid w:val="003431AA"/>
    <w:rsid w:val="0034331F"/>
    <w:rsid w:val="00343710"/>
    <w:rsid w:val="00343984"/>
    <w:rsid w:val="00343A93"/>
    <w:rsid w:val="00343A9B"/>
    <w:rsid w:val="003446ED"/>
    <w:rsid w:val="00344B47"/>
    <w:rsid w:val="00344EBC"/>
    <w:rsid w:val="00345343"/>
    <w:rsid w:val="00345608"/>
    <w:rsid w:val="003458B3"/>
    <w:rsid w:val="00345F19"/>
    <w:rsid w:val="003466E2"/>
    <w:rsid w:val="00346E76"/>
    <w:rsid w:val="0034702E"/>
    <w:rsid w:val="0034714D"/>
    <w:rsid w:val="003473D7"/>
    <w:rsid w:val="00347759"/>
    <w:rsid w:val="00347F30"/>
    <w:rsid w:val="003500BA"/>
    <w:rsid w:val="0035010A"/>
    <w:rsid w:val="00350636"/>
    <w:rsid w:val="00350914"/>
    <w:rsid w:val="00350DD0"/>
    <w:rsid w:val="0035118D"/>
    <w:rsid w:val="00351588"/>
    <w:rsid w:val="00351736"/>
    <w:rsid w:val="003517F9"/>
    <w:rsid w:val="00351B83"/>
    <w:rsid w:val="00351BA9"/>
    <w:rsid w:val="00351DC2"/>
    <w:rsid w:val="00351EF0"/>
    <w:rsid w:val="00352609"/>
    <w:rsid w:val="00353C78"/>
    <w:rsid w:val="00354F64"/>
    <w:rsid w:val="0035506F"/>
    <w:rsid w:val="00355586"/>
    <w:rsid w:val="0035592C"/>
    <w:rsid w:val="00355A2A"/>
    <w:rsid w:val="00355B72"/>
    <w:rsid w:val="00355CB8"/>
    <w:rsid w:val="0035620E"/>
    <w:rsid w:val="003575BE"/>
    <w:rsid w:val="00357E69"/>
    <w:rsid w:val="00360345"/>
    <w:rsid w:val="00360F1D"/>
    <w:rsid w:val="00360FA1"/>
    <w:rsid w:val="00361717"/>
    <w:rsid w:val="00361A05"/>
    <w:rsid w:val="003624C4"/>
    <w:rsid w:val="00362B88"/>
    <w:rsid w:val="00362F4D"/>
    <w:rsid w:val="00363516"/>
    <w:rsid w:val="0036353F"/>
    <w:rsid w:val="00363B00"/>
    <w:rsid w:val="003654AC"/>
    <w:rsid w:val="00365855"/>
    <w:rsid w:val="00365908"/>
    <w:rsid w:val="003665BE"/>
    <w:rsid w:val="0036717C"/>
    <w:rsid w:val="003678FB"/>
    <w:rsid w:val="00370099"/>
    <w:rsid w:val="00370142"/>
    <w:rsid w:val="00370156"/>
    <w:rsid w:val="00370719"/>
    <w:rsid w:val="00370C22"/>
    <w:rsid w:val="003710CF"/>
    <w:rsid w:val="0037157D"/>
    <w:rsid w:val="003730ED"/>
    <w:rsid w:val="00373157"/>
    <w:rsid w:val="0037358A"/>
    <w:rsid w:val="00373DD6"/>
    <w:rsid w:val="0037486C"/>
    <w:rsid w:val="00374EB0"/>
    <w:rsid w:val="00374EF9"/>
    <w:rsid w:val="00374F88"/>
    <w:rsid w:val="003750F6"/>
    <w:rsid w:val="003753E2"/>
    <w:rsid w:val="00375B31"/>
    <w:rsid w:val="003760FC"/>
    <w:rsid w:val="00376328"/>
    <w:rsid w:val="00376BDC"/>
    <w:rsid w:val="00377974"/>
    <w:rsid w:val="00377D2A"/>
    <w:rsid w:val="003801CF"/>
    <w:rsid w:val="0038032A"/>
    <w:rsid w:val="0038067B"/>
    <w:rsid w:val="00381AE6"/>
    <w:rsid w:val="00381C8C"/>
    <w:rsid w:val="00381EC2"/>
    <w:rsid w:val="00382167"/>
    <w:rsid w:val="0038267A"/>
    <w:rsid w:val="003831A7"/>
    <w:rsid w:val="0038365C"/>
    <w:rsid w:val="0038369B"/>
    <w:rsid w:val="0038397A"/>
    <w:rsid w:val="00383B78"/>
    <w:rsid w:val="00383F92"/>
    <w:rsid w:val="003846F7"/>
    <w:rsid w:val="00384B10"/>
    <w:rsid w:val="00384C18"/>
    <w:rsid w:val="0038550E"/>
    <w:rsid w:val="00385597"/>
    <w:rsid w:val="00385660"/>
    <w:rsid w:val="00385996"/>
    <w:rsid w:val="00385A9D"/>
    <w:rsid w:val="00385F1D"/>
    <w:rsid w:val="00385FD6"/>
    <w:rsid w:val="00386B10"/>
    <w:rsid w:val="00386B86"/>
    <w:rsid w:val="00387089"/>
    <w:rsid w:val="00387121"/>
    <w:rsid w:val="00387639"/>
    <w:rsid w:val="00387B4E"/>
    <w:rsid w:val="00387F84"/>
    <w:rsid w:val="003902B1"/>
    <w:rsid w:val="0039034E"/>
    <w:rsid w:val="003904F8"/>
    <w:rsid w:val="0039084E"/>
    <w:rsid w:val="00390A2A"/>
    <w:rsid w:val="00390AFE"/>
    <w:rsid w:val="00390D60"/>
    <w:rsid w:val="0039168F"/>
    <w:rsid w:val="0039179C"/>
    <w:rsid w:val="003918C8"/>
    <w:rsid w:val="003918F3"/>
    <w:rsid w:val="003927C9"/>
    <w:rsid w:val="003929C9"/>
    <w:rsid w:val="00392B4C"/>
    <w:rsid w:val="00392DD5"/>
    <w:rsid w:val="0039333F"/>
    <w:rsid w:val="00393D90"/>
    <w:rsid w:val="00394076"/>
    <w:rsid w:val="00394487"/>
    <w:rsid w:val="003944A4"/>
    <w:rsid w:val="003947C5"/>
    <w:rsid w:val="00394BDD"/>
    <w:rsid w:val="003950CE"/>
    <w:rsid w:val="003952A4"/>
    <w:rsid w:val="00395329"/>
    <w:rsid w:val="003957BB"/>
    <w:rsid w:val="003957BF"/>
    <w:rsid w:val="00395FFD"/>
    <w:rsid w:val="00396896"/>
    <w:rsid w:val="00396FD0"/>
    <w:rsid w:val="00397946"/>
    <w:rsid w:val="0039C7E7"/>
    <w:rsid w:val="003A026B"/>
    <w:rsid w:val="003A07D7"/>
    <w:rsid w:val="003A0C88"/>
    <w:rsid w:val="003A0FAF"/>
    <w:rsid w:val="003A124B"/>
    <w:rsid w:val="003A1598"/>
    <w:rsid w:val="003A1A7A"/>
    <w:rsid w:val="003A1AC2"/>
    <w:rsid w:val="003A1C94"/>
    <w:rsid w:val="003A2392"/>
    <w:rsid w:val="003A2831"/>
    <w:rsid w:val="003A29A5"/>
    <w:rsid w:val="003A2A33"/>
    <w:rsid w:val="003A2AAA"/>
    <w:rsid w:val="003A2B3D"/>
    <w:rsid w:val="003A2CEF"/>
    <w:rsid w:val="003A3996"/>
    <w:rsid w:val="003A3CB6"/>
    <w:rsid w:val="003A3DF6"/>
    <w:rsid w:val="003A3ED1"/>
    <w:rsid w:val="003A3EE6"/>
    <w:rsid w:val="003A401C"/>
    <w:rsid w:val="003A42FC"/>
    <w:rsid w:val="003A4491"/>
    <w:rsid w:val="003A44DB"/>
    <w:rsid w:val="003A4862"/>
    <w:rsid w:val="003A48AB"/>
    <w:rsid w:val="003A4C14"/>
    <w:rsid w:val="003A5131"/>
    <w:rsid w:val="003A56AB"/>
    <w:rsid w:val="003A5892"/>
    <w:rsid w:val="003A59FA"/>
    <w:rsid w:val="003A63D8"/>
    <w:rsid w:val="003A6658"/>
    <w:rsid w:val="003A6AA2"/>
    <w:rsid w:val="003A6DCA"/>
    <w:rsid w:val="003A72EA"/>
    <w:rsid w:val="003A792C"/>
    <w:rsid w:val="003A7A4A"/>
    <w:rsid w:val="003A7ABD"/>
    <w:rsid w:val="003B079B"/>
    <w:rsid w:val="003B0CB8"/>
    <w:rsid w:val="003B10BB"/>
    <w:rsid w:val="003B1980"/>
    <w:rsid w:val="003B19F1"/>
    <w:rsid w:val="003B1DDD"/>
    <w:rsid w:val="003B1DF0"/>
    <w:rsid w:val="003B27D5"/>
    <w:rsid w:val="003B28F6"/>
    <w:rsid w:val="003B2B85"/>
    <w:rsid w:val="003B2C2E"/>
    <w:rsid w:val="003B338D"/>
    <w:rsid w:val="003B36D1"/>
    <w:rsid w:val="003B3971"/>
    <w:rsid w:val="003B39CE"/>
    <w:rsid w:val="003B51D5"/>
    <w:rsid w:val="003B553F"/>
    <w:rsid w:val="003B55AC"/>
    <w:rsid w:val="003B55D1"/>
    <w:rsid w:val="003B5B61"/>
    <w:rsid w:val="003B63CC"/>
    <w:rsid w:val="003B645A"/>
    <w:rsid w:val="003B64B4"/>
    <w:rsid w:val="003B655C"/>
    <w:rsid w:val="003B66D1"/>
    <w:rsid w:val="003B6949"/>
    <w:rsid w:val="003B70D0"/>
    <w:rsid w:val="003B71C0"/>
    <w:rsid w:val="003B74BE"/>
    <w:rsid w:val="003B7B29"/>
    <w:rsid w:val="003C047F"/>
    <w:rsid w:val="003C0511"/>
    <w:rsid w:val="003C08F6"/>
    <w:rsid w:val="003C0A2E"/>
    <w:rsid w:val="003C0DD8"/>
    <w:rsid w:val="003C10A9"/>
    <w:rsid w:val="003C10BE"/>
    <w:rsid w:val="003C11EE"/>
    <w:rsid w:val="003C146A"/>
    <w:rsid w:val="003C1654"/>
    <w:rsid w:val="003C17B4"/>
    <w:rsid w:val="003C1A2F"/>
    <w:rsid w:val="003C1DFC"/>
    <w:rsid w:val="003C2199"/>
    <w:rsid w:val="003C2247"/>
    <w:rsid w:val="003C22DF"/>
    <w:rsid w:val="003C22F3"/>
    <w:rsid w:val="003C2D7F"/>
    <w:rsid w:val="003C31EB"/>
    <w:rsid w:val="003C3403"/>
    <w:rsid w:val="003C3473"/>
    <w:rsid w:val="003C349E"/>
    <w:rsid w:val="003C3B51"/>
    <w:rsid w:val="003C3DC5"/>
    <w:rsid w:val="003C3F94"/>
    <w:rsid w:val="003C409D"/>
    <w:rsid w:val="003C43FE"/>
    <w:rsid w:val="003C48FF"/>
    <w:rsid w:val="003C4BBA"/>
    <w:rsid w:val="003C5542"/>
    <w:rsid w:val="003C64E9"/>
    <w:rsid w:val="003C6ABC"/>
    <w:rsid w:val="003C6CA7"/>
    <w:rsid w:val="003C777D"/>
    <w:rsid w:val="003C7871"/>
    <w:rsid w:val="003C7C15"/>
    <w:rsid w:val="003C7D19"/>
    <w:rsid w:val="003C7D2F"/>
    <w:rsid w:val="003D03B5"/>
    <w:rsid w:val="003D0BF1"/>
    <w:rsid w:val="003D0C5A"/>
    <w:rsid w:val="003D12D1"/>
    <w:rsid w:val="003D1354"/>
    <w:rsid w:val="003D13F2"/>
    <w:rsid w:val="003D1828"/>
    <w:rsid w:val="003D1DE4"/>
    <w:rsid w:val="003D1E9A"/>
    <w:rsid w:val="003D2422"/>
    <w:rsid w:val="003D333B"/>
    <w:rsid w:val="003D33B3"/>
    <w:rsid w:val="003D36B9"/>
    <w:rsid w:val="003D39A1"/>
    <w:rsid w:val="003D3C9D"/>
    <w:rsid w:val="003D3FBF"/>
    <w:rsid w:val="003D4162"/>
    <w:rsid w:val="003D4339"/>
    <w:rsid w:val="003D4A30"/>
    <w:rsid w:val="003D5905"/>
    <w:rsid w:val="003D5911"/>
    <w:rsid w:val="003D62C4"/>
    <w:rsid w:val="003D6369"/>
    <w:rsid w:val="003D699A"/>
    <w:rsid w:val="003D6A72"/>
    <w:rsid w:val="003D6B5A"/>
    <w:rsid w:val="003D725C"/>
    <w:rsid w:val="003D7452"/>
    <w:rsid w:val="003D79BB"/>
    <w:rsid w:val="003D7C98"/>
    <w:rsid w:val="003D7D9D"/>
    <w:rsid w:val="003E02BD"/>
    <w:rsid w:val="003E0543"/>
    <w:rsid w:val="003E08D3"/>
    <w:rsid w:val="003E11E4"/>
    <w:rsid w:val="003E13E8"/>
    <w:rsid w:val="003E145C"/>
    <w:rsid w:val="003E1609"/>
    <w:rsid w:val="003E190D"/>
    <w:rsid w:val="003E24A4"/>
    <w:rsid w:val="003E2C5A"/>
    <w:rsid w:val="003E2DA3"/>
    <w:rsid w:val="003E311D"/>
    <w:rsid w:val="003E345F"/>
    <w:rsid w:val="003E3768"/>
    <w:rsid w:val="003E42C6"/>
    <w:rsid w:val="003E4B4A"/>
    <w:rsid w:val="003E50D9"/>
    <w:rsid w:val="003E538E"/>
    <w:rsid w:val="003E5420"/>
    <w:rsid w:val="003E5603"/>
    <w:rsid w:val="003E586D"/>
    <w:rsid w:val="003E69F9"/>
    <w:rsid w:val="003E6B77"/>
    <w:rsid w:val="003E72E5"/>
    <w:rsid w:val="003E730F"/>
    <w:rsid w:val="003E749E"/>
    <w:rsid w:val="003E772D"/>
    <w:rsid w:val="003E789D"/>
    <w:rsid w:val="003E7916"/>
    <w:rsid w:val="003F0416"/>
    <w:rsid w:val="003F0A3B"/>
    <w:rsid w:val="003F14CD"/>
    <w:rsid w:val="003F152B"/>
    <w:rsid w:val="003F23CE"/>
    <w:rsid w:val="003F253E"/>
    <w:rsid w:val="003F26ED"/>
    <w:rsid w:val="003F2C40"/>
    <w:rsid w:val="003F3A0A"/>
    <w:rsid w:val="003F3AEE"/>
    <w:rsid w:val="003F3FC4"/>
    <w:rsid w:val="003F4156"/>
    <w:rsid w:val="003F41C2"/>
    <w:rsid w:val="003F4B1C"/>
    <w:rsid w:val="003F4E5F"/>
    <w:rsid w:val="003F5955"/>
    <w:rsid w:val="003F5ADF"/>
    <w:rsid w:val="003F6098"/>
    <w:rsid w:val="003F6210"/>
    <w:rsid w:val="003F6F32"/>
    <w:rsid w:val="003F740C"/>
    <w:rsid w:val="003F7606"/>
    <w:rsid w:val="0040038C"/>
    <w:rsid w:val="004009FC"/>
    <w:rsid w:val="00400B29"/>
    <w:rsid w:val="0040144C"/>
    <w:rsid w:val="00401847"/>
    <w:rsid w:val="00401FA6"/>
    <w:rsid w:val="00402812"/>
    <w:rsid w:val="00403182"/>
    <w:rsid w:val="004035FD"/>
    <w:rsid w:val="0040401F"/>
    <w:rsid w:val="004040B2"/>
    <w:rsid w:val="00404193"/>
    <w:rsid w:val="004049A8"/>
    <w:rsid w:val="00404B92"/>
    <w:rsid w:val="00404BC0"/>
    <w:rsid w:val="0040504B"/>
    <w:rsid w:val="00405968"/>
    <w:rsid w:val="004059F4"/>
    <w:rsid w:val="00405ADA"/>
    <w:rsid w:val="00405C4F"/>
    <w:rsid w:val="00405E03"/>
    <w:rsid w:val="00405EFE"/>
    <w:rsid w:val="00405F71"/>
    <w:rsid w:val="00406138"/>
    <w:rsid w:val="00407277"/>
    <w:rsid w:val="00407434"/>
    <w:rsid w:val="00407FE5"/>
    <w:rsid w:val="0041001B"/>
    <w:rsid w:val="0041015C"/>
    <w:rsid w:val="004101B0"/>
    <w:rsid w:val="00410326"/>
    <w:rsid w:val="004104FB"/>
    <w:rsid w:val="00410708"/>
    <w:rsid w:val="0041081C"/>
    <w:rsid w:val="00410EC7"/>
    <w:rsid w:val="004110AC"/>
    <w:rsid w:val="00411357"/>
    <w:rsid w:val="00411AB2"/>
    <w:rsid w:val="00411B39"/>
    <w:rsid w:val="004127A7"/>
    <w:rsid w:val="0041317C"/>
    <w:rsid w:val="00413180"/>
    <w:rsid w:val="0041346A"/>
    <w:rsid w:val="00413A1E"/>
    <w:rsid w:val="00414476"/>
    <w:rsid w:val="00414B5D"/>
    <w:rsid w:val="00414C2E"/>
    <w:rsid w:val="00414F00"/>
    <w:rsid w:val="00415049"/>
    <w:rsid w:val="004151CF"/>
    <w:rsid w:val="00415460"/>
    <w:rsid w:val="004157FF"/>
    <w:rsid w:val="00415F3E"/>
    <w:rsid w:val="0041620F"/>
    <w:rsid w:val="00416364"/>
    <w:rsid w:val="004163DE"/>
    <w:rsid w:val="0041654A"/>
    <w:rsid w:val="00416930"/>
    <w:rsid w:val="0041767B"/>
    <w:rsid w:val="00417C64"/>
    <w:rsid w:val="0042047F"/>
    <w:rsid w:val="004205CC"/>
    <w:rsid w:val="00420AA6"/>
    <w:rsid w:val="00420B9F"/>
    <w:rsid w:val="0042130A"/>
    <w:rsid w:val="00421363"/>
    <w:rsid w:val="004218A7"/>
    <w:rsid w:val="0042192C"/>
    <w:rsid w:val="004220B3"/>
    <w:rsid w:val="00422260"/>
    <w:rsid w:val="004222D2"/>
    <w:rsid w:val="004226DE"/>
    <w:rsid w:val="00422B07"/>
    <w:rsid w:val="00422EAD"/>
    <w:rsid w:val="004233A8"/>
    <w:rsid w:val="00423CE9"/>
    <w:rsid w:val="00423E33"/>
    <w:rsid w:val="00423F84"/>
    <w:rsid w:val="0042413F"/>
    <w:rsid w:val="00424411"/>
    <w:rsid w:val="00425562"/>
    <w:rsid w:val="00425BD1"/>
    <w:rsid w:val="00425F59"/>
    <w:rsid w:val="0042643A"/>
    <w:rsid w:val="00427CC1"/>
    <w:rsid w:val="00430607"/>
    <w:rsid w:val="00430D5F"/>
    <w:rsid w:val="00430E36"/>
    <w:rsid w:val="00431155"/>
    <w:rsid w:val="00431299"/>
    <w:rsid w:val="004318CD"/>
    <w:rsid w:val="004319F8"/>
    <w:rsid w:val="00431E55"/>
    <w:rsid w:val="004321F6"/>
    <w:rsid w:val="004329B2"/>
    <w:rsid w:val="00432A5F"/>
    <w:rsid w:val="00433044"/>
    <w:rsid w:val="004333F2"/>
    <w:rsid w:val="0043363D"/>
    <w:rsid w:val="00433764"/>
    <w:rsid w:val="00433915"/>
    <w:rsid w:val="00433B42"/>
    <w:rsid w:val="00433E86"/>
    <w:rsid w:val="00434088"/>
    <w:rsid w:val="004344FC"/>
    <w:rsid w:val="004346CC"/>
    <w:rsid w:val="0043496B"/>
    <w:rsid w:val="00434DB3"/>
    <w:rsid w:val="00434F6F"/>
    <w:rsid w:val="004351FF"/>
    <w:rsid w:val="00436073"/>
    <w:rsid w:val="0043616F"/>
    <w:rsid w:val="00436447"/>
    <w:rsid w:val="004367EA"/>
    <w:rsid w:val="00436F2F"/>
    <w:rsid w:val="004371D6"/>
    <w:rsid w:val="004375B9"/>
    <w:rsid w:val="00437D04"/>
    <w:rsid w:val="004409E6"/>
    <w:rsid w:val="004415C7"/>
    <w:rsid w:val="0044191D"/>
    <w:rsid w:val="00441A8D"/>
    <w:rsid w:val="004428D0"/>
    <w:rsid w:val="00442FD7"/>
    <w:rsid w:val="0044325F"/>
    <w:rsid w:val="004438A2"/>
    <w:rsid w:val="00443AE1"/>
    <w:rsid w:val="00443C76"/>
    <w:rsid w:val="00443F19"/>
    <w:rsid w:val="00444185"/>
    <w:rsid w:val="00444192"/>
    <w:rsid w:val="0044429E"/>
    <w:rsid w:val="004443A7"/>
    <w:rsid w:val="0044442C"/>
    <w:rsid w:val="00444ECE"/>
    <w:rsid w:val="00445162"/>
    <w:rsid w:val="0044530B"/>
    <w:rsid w:val="0044556D"/>
    <w:rsid w:val="0044579C"/>
    <w:rsid w:val="00445941"/>
    <w:rsid w:val="00445A32"/>
    <w:rsid w:val="00445A88"/>
    <w:rsid w:val="00445B27"/>
    <w:rsid w:val="00446114"/>
    <w:rsid w:val="004464EB"/>
    <w:rsid w:val="00446636"/>
    <w:rsid w:val="00446755"/>
    <w:rsid w:val="00446A0C"/>
    <w:rsid w:val="00446B2C"/>
    <w:rsid w:val="00446B40"/>
    <w:rsid w:val="00447485"/>
    <w:rsid w:val="00447D26"/>
    <w:rsid w:val="00447DFC"/>
    <w:rsid w:val="00447F4F"/>
    <w:rsid w:val="00450BCE"/>
    <w:rsid w:val="00450F07"/>
    <w:rsid w:val="00451B4D"/>
    <w:rsid w:val="00451F89"/>
    <w:rsid w:val="004520A1"/>
    <w:rsid w:val="004525B7"/>
    <w:rsid w:val="00452B3B"/>
    <w:rsid w:val="0045344D"/>
    <w:rsid w:val="00453547"/>
    <w:rsid w:val="00453A3F"/>
    <w:rsid w:val="00453A69"/>
    <w:rsid w:val="00453B0D"/>
    <w:rsid w:val="00453B55"/>
    <w:rsid w:val="00454063"/>
    <w:rsid w:val="00454942"/>
    <w:rsid w:val="004550B6"/>
    <w:rsid w:val="00455130"/>
    <w:rsid w:val="00455496"/>
    <w:rsid w:val="00455682"/>
    <w:rsid w:val="00455D45"/>
    <w:rsid w:val="004560B0"/>
    <w:rsid w:val="004560EE"/>
    <w:rsid w:val="004561F6"/>
    <w:rsid w:val="004569C4"/>
    <w:rsid w:val="00456D08"/>
    <w:rsid w:val="00457933"/>
    <w:rsid w:val="00457D71"/>
    <w:rsid w:val="004604A4"/>
    <w:rsid w:val="0046061B"/>
    <w:rsid w:val="004606F3"/>
    <w:rsid w:val="00461251"/>
    <w:rsid w:val="00461720"/>
    <w:rsid w:val="00461A09"/>
    <w:rsid w:val="00461D96"/>
    <w:rsid w:val="00461E1F"/>
    <w:rsid w:val="00462040"/>
    <w:rsid w:val="004622F3"/>
    <w:rsid w:val="00462AA5"/>
    <w:rsid w:val="00462BEF"/>
    <w:rsid w:val="0046359B"/>
    <w:rsid w:val="00463FAE"/>
    <w:rsid w:val="004640AE"/>
    <w:rsid w:val="00464595"/>
    <w:rsid w:val="00464623"/>
    <w:rsid w:val="0046487C"/>
    <w:rsid w:val="004649AC"/>
    <w:rsid w:val="004650D3"/>
    <w:rsid w:val="00465630"/>
    <w:rsid w:val="004656A9"/>
    <w:rsid w:val="004658B5"/>
    <w:rsid w:val="0046597A"/>
    <w:rsid w:val="00465D81"/>
    <w:rsid w:val="00465E28"/>
    <w:rsid w:val="004663AF"/>
    <w:rsid w:val="004667B9"/>
    <w:rsid w:val="00466B8C"/>
    <w:rsid w:val="004677EC"/>
    <w:rsid w:val="0046780B"/>
    <w:rsid w:val="00470D36"/>
    <w:rsid w:val="00470E32"/>
    <w:rsid w:val="00470E3F"/>
    <w:rsid w:val="00470E89"/>
    <w:rsid w:val="00471395"/>
    <w:rsid w:val="00471735"/>
    <w:rsid w:val="004718E9"/>
    <w:rsid w:val="00471923"/>
    <w:rsid w:val="00471EA5"/>
    <w:rsid w:val="00471F86"/>
    <w:rsid w:val="00472590"/>
    <w:rsid w:val="00472A4B"/>
    <w:rsid w:val="00472A79"/>
    <w:rsid w:val="00472CA0"/>
    <w:rsid w:val="00472EC0"/>
    <w:rsid w:val="00472F92"/>
    <w:rsid w:val="00473768"/>
    <w:rsid w:val="00473C74"/>
    <w:rsid w:val="00473D42"/>
    <w:rsid w:val="00473E0F"/>
    <w:rsid w:val="00473E70"/>
    <w:rsid w:val="00473F11"/>
    <w:rsid w:val="00473F19"/>
    <w:rsid w:val="004740FD"/>
    <w:rsid w:val="00474681"/>
    <w:rsid w:val="00474762"/>
    <w:rsid w:val="00475075"/>
    <w:rsid w:val="00475E22"/>
    <w:rsid w:val="0047609D"/>
    <w:rsid w:val="0047615C"/>
    <w:rsid w:val="00476642"/>
    <w:rsid w:val="00476CDA"/>
    <w:rsid w:val="00477603"/>
    <w:rsid w:val="00477AE7"/>
    <w:rsid w:val="00477D57"/>
    <w:rsid w:val="004801C0"/>
    <w:rsid w:val="00480284"/>
    <w:rsid w:val="0048088E"/>
    <w:rsid w:val="00480919"/>
    <w:rsid w:val="00480D85"/>
    <w:rsid w:val="00480E75"/>
    <w:rsid w:val="00480F2B"/>
    <w:rsid w:val="0048185B"/>
    <w:rsid w:val="00481B65"/>
    <w:rsid w:val="00481E2F"/>
    <w:rsid w:val="00481F40"/>
    <w:rsid w:val="00482720"/>
    <w:rsid w:val="004835E7"/>
    <w:rsid w:val="00483CCC"/>
    <w:rsid w:val="00484080"/>
    <w:rsid w:val="00484B37"/>
    <w:rsid w:val="00484F95"/>
    <w:rsid w:val="00485625"/>
    <w:rsid w:val="004856BA"/>
    <w:rsid w:val="004857DF"/>
    <w:rsid w:val="004859E1"/>
    <w:rsid w:val="0048651D"/>
    <w:rsid w:val="004866F9"/>
    <w:rsid w:val="004867E2"/>
    <w:rsid w:val="00486804"/>
    <w:rsid w:val="00486F25"/>
    <w:rsid w:val="004874D6"/>
    <w:rsid w:val="00487851"/>
    <w:rsid w:val="00490212"/>
    <w:rsid w:val="00490269"/>
    <w:rsid w:val="00490554"/>
    <w:rsid w:val="00490B17"/>
    <w:rsid w:val="00490B8F"/>
    <w:rsid w:val="00491075"/>
    <w:rsid w:val="00491B3A"/>
    <w:rsid w:val="00491EAB"/>
    <w:rsid w:val="004922A7"/>
    <w:rsid w:val="00492425"/>
    <w:rsid w:val="00492493"/>
    <w:rsid w:val="00492ACD"/>
    <w:rsid w:val="00492CFD"/>
    <w:rsid w:val="004934F4"/>
    <w:rsid w:val="00494207"/>
    <w:rsid w:val="00494B09"/>
    <w:rsid w:val="00494D1C"/>
    <w:rsid w:val="00494DD5"/>
    <w:rsid w:val="004952FC"/>
    <w:rsid w:val="004960FF"/>
    <w:rsid w:val="004962D2"/>
    <w:rsid w:val="00496502"/>
    <w:rsid w:val="00496D07"/>
    <w:rsid w:val="00496F48"/>
    <w:rsid w:val="00497AE6"/>
    <w:rsid w:val="004A01AE"/>
    <w:rsid w:val="004A04B4"/>
    <w:rsid w:val="004A0DA1"/>
    <w:rsid w:val="004A0E47"/>
    <w:rsid w:val="004A0F8F"/>
    <w:rsid w:val="004A133D"/>
    <w:rsid w:val="004A13D6"/>
    <w:rsid w:val="004A18B5"/>
    <w:rsid w:val="004A1EFB"/>
    <w:rsid w:val="004A2975"/>
    <w:rsid w:val="004A2D3B"/>
    <w:rsid w:val="004A2F96"/>
    <w:rsid w:val="004A4927"/>
    <w:rsid w:val="004A4949"/>
    <w:rsid w:val="004A4BC6"/>
    <w:rsid w:val="004A52E9"/>
    <w:rsid w:val="004A570C"/>
    <w:rsid w:val="004A5B73"/>
    <w:rsid w:val="004A6040"/>
    <w:rsid w:val="004A6597"/>
    <w:rsid w:val="004A7082"/>
    <w:rsid w:val="004A73FF"/>
    <w:rsid w:val="004A7848"/>
    <w:rsid w:val="004A793B"/>
    <w:rsid w:val="004A7C5A"/>
    <w:rsid w:val="004B036D"/>
    <w:rsid w:val="004B152F"/>
    <w:rsid w:val="004B18D3"/>
    <w:rsid w:val="004B1A0A"/>
    <w:rsid w:val="004B1CB4"/>
    <w:rsid w:val="004B2626"/>
    <w:rsid w:val="004B2E84"/>
    <w:rsid w:val="004B2EE3"/>
    <w:rsid w:val="004B2F18"/>
    <w:rsid w:val="004B367F"/>
    <w:rsid w:val="004B36D7"/>
    <w:rsid w:val="004B37C5"/>
    <w:rsid w:val="004B3DDB"/>
    <w:rsid w:val="004B430A"/>
    <w:rsid w:val="004B445F"/>
    <w:rsid w:val="004B449A"/>
    <w:rsid w:val="004B44FD"/>
    <w:rsid w:val="004B46C8"/>
    <w:rsid w:val="004B47AB"/>
    <w:rsid w:val="004B503D"/>
    <w:rsid w:val="004B5059"/>
    <w:rsid w:val="004B5636"/>
    <w:rsid w:val="004B5759"/>
    <w:rsid w:val="004B59EC"/>
    <w:rsid w:val="004B5A54"/>
    <w:rsid w:val="004B5BDF"/>
    <w:rsid w:val="004B5CFC"/>
    <w:rsid w:val="004B5F44"/>
    <w:rsid w:val="004B64AB"/>
    <w:rsid w:val="004B6DFC"/>
    <w:rsid w:val="004B6F79"/>
    <w:rsid w:val="004B71E3"/>
    <w:rsid w:val="004B72F8"/>
    <w:rsid w:val="004B774D"/>
    <w:rsid w:val="004B783A"/>
    <w:rsid w:val="004B7B54"/>
    <w:rsid w:val="004C08BD"/>
    <w:rsid w:val="004C09E7"/>
    <w:rsid w:val="004C0A22"/>
    <w:rsid w:val="004C0DFD"/>
    <w:rsid w:val="004C1353"/>
    <w:rsid w:val="004C15DB"/>
    <w:rsid w:val="004C1716"/>
    <w:rsid w:val="004C176F"/>
    <w:rsid w:val="004C1CA8"/>
    <w:rsid w:val="004C1DC0"/>
    <w:rsid w:val="004C2025"/>
    <w:rsid w:val="004C21B6"/>
    <w:rsid w:val="004C23AA"/>
    <w:rsid w:val="004C2AC2"/>
    <w:rsid w:val="004C31F0"/>
    <w:rsid w:val="004C3B02"/>
    <w:rsid w:val="004C43B7"/>
    <w:rsid w:val="004C4474"/>
    <w:rsid w:val="004C4590"/>
    <w:rsid w:val="004C48EA"/>
    <w:rsid w:val="004C4AED"/>
    <w:rsid w:val="004C4E85"/>
    <w:rsid w:val="004C4EB3"/>
    <w:rsid w:val="004C5567"/>
    <w:rsid w:val="004C66AF"/>
    <w:rsid w:val="004C6877"/>
    <w:rsid w:val="004C6A29"/>
    <w:rsid w:val="004C6F7B"/>
    <w:rsid w:val="004C7137"/>
    <w:rsid w:val="004C737D"/>
    <w:rsid w:val="004C78BE"/>
    <w:rsid w:val="004C7E08"/>
    <w:rsid w:val="004D02D2"/>
    <w:rsid w:val="004D0B9D"/>
    <w:rsid w:val="004D1767"/>
    <w:rsid w:val="004D183E"/>
    <w:rsid w:val="004D1E5F"/>
    <w:rsid w:val="004D1F5C"/>
    <w:rsid w:val="004D2003"/>
    <w:rsid w:val="004D2090"/>
    <w:rsid w:val="004D2617"/>
    <w:rsid w:val="004D2621"/>
    <w:rsid w:val="004D2C2D"/>
    <w:rsid w:val="004D330C"/>
    <w:rsid w:val="004D3A4C"/>
    <w:rsid w:val="004D46B6"/>
    <w:rsid w:val="004D4D44"/>
    <w:rsid w:val="004D4D60"/>
    <w:rsid w:val="004D502C"/>
    <w:rsid w:val="004D5C57"/>
    <w:rsid w:val="004D670E"/>
    <w:rsid w:val="004D69B5"/>
    <w:rsid w:val="004D7227"/>
    <w:rsid w:val="004D7699"/>
    <w:rsid w:val="004D7894"/>
    <w:rsid w:val="004D7B5E"/>
    <w:rsid w:val="004E0439"/>
    <w:rsid w:val="004E0AF7"/>
    <w:rsid w:val="004E0DBF"/>
    <w:rsid w:val="004E0DF1"/>
    <w:rsid w:val="004E0E7F"/>
    <w:rsid w:val="004E0EB8"/>
    <w:rsid w:val="004E0EE0"/>
    <w:rsid w:val="004E12C7"/>
    <w:rsid w:val="004E13CA"/>
    <w:rsid w:val="004E18E9"/>
    <w:rsid w:val="004E1A3F"/>
    <w:rsid w:val="004E25FE"/>
    <w:rsid w:val="004E2924"/>
    <w:rsid w:val="004E2ADC"/>
    <w:rsid w:val="004E3A3F"/>
    <w:rsid w:val="004E40CB"/>
    <w:rsid w:val="004E43B2"/>
    <w:rsid w:val="004E4E37"/>
    <w:rsid w:val="004E61B6"/>
    <w:rsid w:val="004E6AB8"/>
    <w:rsid w:val="004E6B7D"/>
    <w:rsid w:val="004E73EC"/>
    <w:rsid w:val="004E7708"/>
    <w:rsid w:val="004E7803"/>
    <w:rsid w:val="004E784A"/>
    <w:rsid w:val="004E7CEF"/>
    <w:rsid w:val="004F035A"/>
    <w:rsid w:val="004F050A"/>
    <w:rsid w:val="004F0725"/>
    <w:rsid w:val="004F0A06"/>
    <w:rsid w:val="004F0A94"/>
    <w:rsid w:val="004F0AD9"/>
    <w:rsid w:val="004F0EF7"/>
    <w:rsid w:val="004F1460"/>
    <w:rsid w:val="004F14AB"/>
    <w:rsid w:val="004F1BBD"/>
    <w:rsid w:val="004F1C75"/>
    <w:rsid w:val="004F1D02"/>
    <w:rsid w:val="004F236B"/>
    <w:rsid w:val="004F2679"/>
    <w:rsid w:val="004F2840"/>
    <w:rsid w:val="004F2BEE"/>
    <w:rsid w:val="004F2CEF"/>
    <w:rsid w:val="004F2F21"/>
    <w:rsid w:val="004F3094"/>
    <w:rsid w:val="004F310D"/>
    <w:rsid w:val="004F344F"/>
    <w:rsid w:val="004F3AF1"/>
    <w:rsid w:val="004F3DE5"/>
    <w:rsid w:val="004F4180"/>
    <w:rsid w:val="004F4370"/>
    <w:rsid w:val="004F4EB0"/>
    <w:rsid w:val="004F5291"/>
    <w:rsid w:val="004F5869"/>
    <w:rsid w:val="004F5C82"/>
    <w:rsid w:val="004F5CF3"/>
    <w:rsid w:val="004F5EB2"/>
    <w:rsid w:val="004F60FD"/>
    <w:rsid w:val="004F640D"/>
    <w:rsid w:val="004F6585"/>
    <w:rsid w:val="004F6913"/>
    <w:rsid w:val="004F6E40"/>
    <w:rsid w:val="004F7865"/>
    <w:rsid w:val="004F7A5B"/>
    <w:rsid w:val="004F7CFE"/>
    <w:rsid w:val="005002EC"/>
    <w:rsid w:val="005009A1"/>
    <w:rsid w:val="0050111F"/>
    <w:rsid w:val="00501120"/>
    <w:rsid w:val="0050125E"/>
    <w:rsid w:val="00501353"/>
    <w:rsid w:val="0050174E"/>
    <w:rsid w:val="00501854"/>
    <w:rsid w:val="00501990"/>
    <w:rsid w:val="00501AE8"/>
    <w:rsid w:val="0050219B"/>
    <w:rsid w:val="005021C2"/>
    <w:rsid w:val="00502ABE"/>
    <w:rsid w:val="00502DD1"/>
    <w:rsid w:val="0050300F"/>
    <w:rsid w:val="00503657"/>
    <w:rsid w:val="00503984"/>
    <w:rsid w:val="00503F17"/>
    <w:rsid w:val="00503F3A"/>
    <w:rsid w:val="00504447"/>
    <w:rsid w:val="005049E8"/>
    <w:rsid w:val="00504B29"/>
    <w:rsid w:val="0050541B"/>
    <w:rsid w:val="0050567C"/>
    <w:rsid w:val="00505B9B"/>
    <w:rsid w:val="00505C09"/>
    <w:rsid w:val="00505E43"/>
    <w:rsid w:val="005060F7"/>
    <w:rsid w:val="005065B1"/>
    <w:rsid w:val="005067B6"/>
    <w:rsid w:val="00506928"/>
    <w:rsid w:val="00506B5A"/>
    <w:rsid w:val="00506E6B"/>
    <w:rsid w:val="0050746A"/>
    <w:rsid w:val="00507610"/>
    <w:rsid w:val="005076BE"/>
    <w:rsid w:val="005077EF"/>
    <w:rsid w:val="00510431"/>
    <w:rsid w:val="00510703"/>
    <w:rsid w:val="00510969"/>
    <w:rsid w:val="00511185"/>
    <w:rsid w:val="00511AD5"/>
    <w:rsid w:val="00511DC7"/>
    <w:rsid w:val="005125A2"/>
    <w:rsid w:val="00512A5A"/>
    <w:rsid w:val="00513378"/>
    <w:rsid w:val="00513518"/>
    <w:rsid w:val="00513793"/>
    <w:rsid w:val="00513963"/>
    <w:rsid w:val="00513A6F"/>
    <w:rsid w:val="005142C5"/>
    <w:rsid w:val="005146B0"/>
    <w:rsid w:val="00514C0F"/>
    <w:rsid w:val="00514E66"/>
    <w:rsid w:val="0051501B"/>
    <w:rsid w:val="005152B5"/>
    <w:rsid w:val="00515886"/>
    <w:rsid w:val="00515F4D"/>
    <w:rsid w:val="0051612A"/>
    <w:rsid w:val="00516409"/>
    <w:rsid w:val="00516C4E"/>
    <w:rsid w:val="00516EB0"/>
    <w:rsid w:val="00517780"/>
    <w:rsid w:val="00517BA3"/>
    <w:rsid w:val="00517CAA"/>
    <w:rsid w:val="00517F17"/>
    <w:rsid w:val="0052003C"/>
    <w:rsid w:val="00520BC0"/>
    <w:rsid w:val="00520BFE"/>
    <w:rsid w:val="00520CAC"/>
    <w:rsid w:val="00520CF2"/>
    <w:rsid w:val="00520D99"/>
    <w:rsid w:val="00520EDA"/>
    <w:rsid w:val="00521129"/>
    <w:rsid w:val="0052123C"/>
    <w:rsid w:val="00521319"/>
    <w:rsid w:val="0052134F"/>
    <w:rsid w:val="005217D2"/>
    <w:rsid w:val="005218D7"/>
    <w:rsid w:val="00521F0D"/>
    <w:rsid w:val="005224B9"/>
    <w:rsid w:val="00522875"/>
    <w:rsid w:val="00522898"/>
    <w:rsid w:val="00522BC8"/>
    <w:rsid w:val="00522E53"/>
    <w:rsid w:val="00523893"/>
    <w:rsid w:val="00523C28"/>
    <w:rsid w:val="0052439A"/>
    <w:rsid w:val="00524C42"/>
    <w:rsid w:val="00524DA8"/>
    <w:rsid w:val="00525907"/>
    <w:rsid w:val="005263C9"/>
    <w:rsid w:val="00526EFE"/>
    <w:rsid w:val="00526F63"/>
    <w:rsid w:val="0052706B"/>
    <w:rsid w:val="0052741A"/>
    <w:rsid w:val="005276B9"/>
    <w:rsid w:val="00530845"/>
    <w:rsid w:val="00530DD2"/>
    <w:rsid w:val="00530DE5"/>
    <w:rsid w:val="00530ED2"/>
    <w:rsid w:val="0053166B"/>
    <w:rsid w:val="0053176B"/>
    <w:rsid w:val="00531A37"/>
    <w:rsid w:val="00531E52"/>
    <w:rsid w:val="00531E64"/>
    <w:rsid w:val="005324B2"/>
    <w:rsid w:val="00532B91"/>
    <w:rsid w:val="005331F8"/>
    <w:rsid w:val="0053345C"/>
    <w:rsid w:val="00533DAF"/>
    <w:rsid w:val="005341B3"/>
    <w:rsid w:val="005348F1"/>
    <w:rsid w:val="00534CBF"/>
    <w:rsid w:val="00535125"/>
    <w:rsid w:val="0053537B"/>
    <w:rsid w:val="005355C7"/>
    <w:rsid w:val="00535B93"/>
    <w:rsid w:val="00535EE5"/>
    <w:rsid w:val="005362C6"/>
    <w:rsid w:val="00536E7E"/>
    <w:rsid w:val="00536F42"/>
    <w:rsid w:val="00537182"/>
    <w:rsid w:val="00537DDD"/>
    <w:rsid w:val="00540067"/>
    <w:rsid w:val="005403B7"/>
    <w:rsid w:val="0054063D"/>
    <w:rsid w:val="005409B0"/>
    <w:rsid w:val="00540B56"/>
    <w:rsid w:val="00541D07"/>
    <w:rsid w:val="00541EDD"/>
    <w:rsid w:val="0054258F"/>
    <w:rsid w:val="00542743"/>
    <w:rsid w:val="00542C2D"/>
    <w:rsid w:val="00543047"/>
    <w:rsid w:val="00543537"/>
    <w:rsid w:val="00543604"/>
    <w:rsid w:val="00543692"/>
    <w:rsid w:val="00543B17"/>
    <w:rsid w:val="00543BE7"/>
    <w:rsid w:val="005446CA"/>
    <w:rsid w:val="005448C5"/>
    <w:rsid w:val="00544FEE"/>
    <w:rsid w:val="00545192"/>
    <w:rsid w:val="0054545C"/>
    <w:rsid w:val="005462ED"/>
    <w:rsid w:val="00546C06"/>
    <w:rsid w:val="00546D58"/>
    <w:rsid w:val="005471D2"/>
    <w:rsid w:val="005471FA"/>
    <w:rsid w:val="005475AF"/>
    <w:rsid w:val="0054781B"/>
    <w:rsid w:val="005478BD"/>
    <w:rsid w:val="005479E3"/>
    <w:rsid w:val="00547AF5"/>
    <w:rsid w:val="00547B35"/>
    <w:rsid w:val="00551564"/>
    <w:rsid w:val="00551651"/>
    <w:rsid w:val="0055181C"/>
    <w:rsid w:val="0055182A"/>
    <w:rsid w:val="00551985"/>
    <w:rsid w:val="00551B5E"/>
    <w:rsid w:val="00551D53"/>
    <w:rsid w:val="00551EE3"/>
    <w:rsid w:val="005528FC"/>
    <w:rsid w:val="00552951"/>
    <w:rsid w:val="00552AA8"/>
    <w:rsid w:val="00552BD3"/>
    <w:rsid w:val="005532A0"/>
    <w:rsid w:val="00553ADB"/>
    <w:rsid w:val="00554331"/>
    <w:rsid w:val="00554A86"/>
    <w:rsid w:val="00554D88"/>
    <w:rsid w:val="00555109"/>
    <w:rsid w:val="00555215"/>
    <w:rsid w:val="00555432"/>
    <w:rsid w:val="0055551E"/>
    <w:rsid w:val="005558B8"/>
    <w:rsid w:val="005558BE"/>
    <w:rsid w:val="00555A7A"/>
    <w:rsid w:val="00555AAD"/>
    <w:rsid w:val="00555E24"/>
    <w:rsid w:val="00555E96"/>
    <w:rsid w:val="0055651F"/>
    <w:rsid w:val="00556B35"/>
    <w:rsid w:val="0055741A"/>
    <w:rsid w:val="0056075F"/>
    <w:rsid w:val="005607F0"/>
    <w:rsid w:val="00561134"/>
    <w:rsid w:val="005611B7"/>
    <w:rsid w:val="0056137E"/>
    <w:rsid w:val="0056176C"/>
    <w:rsid w:val="005618D4"/>
    <w:rsid w:val="00562694"/>
    <w:rsid w:val="005628B1"/>
    <w:rsid w:val="00563161"/>
    <w:rsid w:val="005631D8"/>
    <w:rsid w:val="0056343D"/>
    <w:rsid w:val="005634BD"/>
    <w:rsid w:val="00563C00"/>
    <w:rsid w:val="00563D16"/>
    <w:rsid w:val="00563F80"/>
    <w:rsid w:val="00564022"/>
    <w:rsid w:val="00564867"/>
    <w:rsid w:val="005648EA"/>
    <w:rsid w:val="00564EA5"/>
    <w:rsid w:val="00565005"/>
    <w:rsid w:val="00565264"/>
    <w:rsid w:val="005655B7"/>
    <w:rsid w:val="00565C79"/>
    <w:rsid w:val="00565D04"/>
    <w:rsid w:val="00565D85"/>
    <w:rsid w:val="00565DF0"/>
    <w:rsid w:val="00565F24"/>
    <w:rsid w:val="00566851"/>
    <w:rsid w:val="0056696F"/>
    <w:rsid w:val="005669B9"/>
    <w:rsid w:val="005670AD"/>
    <w:rsid w:val="00567A25"/>
    <w:rsid w:val="0057003A"/>
    <w:rsid w:val="005706AA"/>
    <w:rsid w:val="00570904"/>
    <w:rsid w:val="00570E3F"/>
    <w:rsid w:val="00570EC0"/>
    <w:rsid w:val="00571093"/>
    <w:rsid w:val="005713C7"/>
    <w:rsid w:val="00571E90"/>
    <w:rsid w:val="00572269"/>
    <w:rsid w:val="0057244A"/>
    <w:rsid w:val="0057270D"/>
    <w:rsid w:val="00572991"/>
    <w:rsid w:val="00572C25"/>
    <w:rsid w:val="00572F26"/>
    <w:rsid w:val="005734AA"/>
    <w:rsid w:val="00573675"/>
    <w:rsid w:val="00573F94"/>
    <w:rsid w:val="005743F5"/>
    <w:rsid w:val="0057448E"/>
    <w:rsid w:val="005746F6"/>
    <w:rsid w:val="005750C5"/>
    <w:rsid w:val="00575173"/>
    <w:rsid w:val="005752DE"/>
    <w:rsid w:val="00575414"/>
    <w:rsid w:val="005756F3"/>
    <w:rsid w:val="00575A40"/>
    <w:rsid w:val="00575AC7"/>
    <w:rsid w:val="00575B0B"/>
    <w:rsid w:val="00575D60"/>
    <w:rsid w:val="00575D8D"/>
    <w:rsid w:val="00575F2A"/>
    <w:rsid w:val="00575FA0"/>
    <w:rsid w:val="005761B9"/>
    <w:rsid w:val="005766AB"/>
    <w:rsid w:val="0057672C"/>
    <w:rsid w:val="00576972"/>
    <w:rsid w:val="00576BAA"/>
    <w:rsid w:val="00577248"/>
    <w:rsid w:val="0057741A"/>
    <w:rsid w:val="00577B5C"/>
    <w:rsid w:val="00580942"/>
    <w:rsid w:val="0058135D"/>
    <w:rsid w:val="00581A16"/>
    <w:rsid w:val="00582046"/>
    <w:rsid w:val="0058221A"/>
    <w:rsid w:val="005829F3"/>
    <w:rsid w:val="00582A11"/>
    <w:rsid w:val="00582BA0"/>
    <w:rsid w:val="00583022"/>
    <w:rsid w:val="00583699"/>
    <w:rsid w:val="00583BDF"/>
    <w:rsid w:val="00583BF3"/>
    <w:rsid w:val="005842D3"/>
    <w:rsid w:val="0058437C"/>
    <w:rsid w:val="0058446D"/>
    <w:rsid w:val="00584856"/>
    <w:rsid w:val="00585621"/>
    <w:rsid w:val="00585CDD"/>
    <w:rsid w:val="00585E70"/>
    <w:rsid w:val="00586223"/>
    <w:rsid w:val="00586BF9"/>
    <w:rsid w:val="00587058"/>
    <w:rsid w:val="005870D1"/>
    <w:rsid w:val="005870FE"/>
    <w:rsid w:val="005878BD"/>
    <w:rsid w:val="0058798B"/>
    <w:rsid w:val="005879B8"/>
    <w:rsid w:val="00587A8F"/>
    <w:rsid w:val="00590076"/>
    <w:rsid w:val="00590C33"/>
    <w:rsid w:val="005914E0"/>
    <w:rsid w:val="005918AE"/>
    <w:rsid w:val="00591957"/>
    <w:rsid w:val="00592903"/>
    <w:rsid w:val="00592C17"/>
    <w:rsid w:val="00592E04"/>
    <w:rsid w:val="0059322A"/>
    <w:rsid w:val="00593460"/>
    <w:rsid w:val="005936B4"/>
    <w:rsid w:val="00593B43"/>
    <w:rsid w:val="00593CB9"/>
    <w:rsid w:val="0059422A"/>
    <w:rsid w:val="00594E4E"/>
    <w:rsid w:val="0059508C"/>
    <w:rsid w:val="00595828"/>
    <w:rsid w:val="00595DF8"/>
    <w:rsid w:val="00595EAC"/>
    <w:rsid w:val="00596198"/>
    <w:rsid w:val="005967B1"/>
    <w:rsid w:val="005969B8"/>
    <w:rsid w:val="005971FE"/>
    <w:rsid w:val="005976B2"/>
    <w:rsid w:val="00597787"/>
    <w:rsid w:val="005978E8"/>
    <w:rsid w:val="00597B19"/>
    <w:rsid w:val="00597BF9"/>
    <w:rsid w:val="00597FD1"/>
    <w:rsid w:val="005A09A8"/>
    <w:rsid w:val="005A0C11"/>
    <w:rsid w:val="005A0F66"/>
    <w:rsid w:val="005A11E7"/>
    <w:rsid w:val="005A1C80"/>
    <w:rsid w:val="005A2626"/>
    <w:rsid w:val="005A309A"/>
    <w:rsid w:val="005A31F6"/>
    <w:rsid w:val="005A3284"/>
    <w:rsid w:val="005A3342"/>
    <w:rsid w:val="005A356C"/>
    <w:rsid w:val="005A3576"/>
    <w:rsid w:val="005A373D"/>
    <w:rsid w:val="005A3A39"/>
    <w:rsid w:val="005A463F"/>
    <w:rsid w:val="005A46F3"/>
    <w:rsid w:val="005A53FB"/>
    <w:rsid w:val="005A5530"/>
    <w:rsid w:val="005A5D1F"/>
    <w:rsid w:val="005A6385"/>
    <w:rsid w:val="005A6452"/>
    <w:rsid w:val="005A7378"/>
    <w:rsid w:val="005A7629"/>
    <w:rsid w:val="005A7731"/>
    <w:rsid w:val="005A78A5"/>
    <w:rsid w:val="005B04D9"/>
    <w:rsid w:val="005B0B58"/>
    <w:rsid w:val="005B0D89"/>
    <w:rsid w:val="005B121D"/>
    <w:rsid w:val="005B131D"/>
    <w:rsid w:val="005B1E6A"/>
    <w:rsid w:val="005B1EC4"/>
    <w:rsid w:val="005B2788"/>
    <w:rsid w:val="005B2E4F"/>
    <w:rsid w:val="005B3044"/>
    <w:rsid w:val="005B335B"/>
    <w:rsid w:val="005B3723"/>
    <w:rsid w:val="005B3DBD"/>
    <w:rsid w:val="005B4968"/>
    <w:rsid w:val="005B4E53"/>
    <w:rsid w:val="005B521C"/>
    <w:rsid w:val="005B57AA"/>
    <w:rsid w:val="005B57DC"/>
    <w:rsid w:val="005B5857"/>
    <w:rsid w:val="005B6775"/>
    <w:rsid w:val="005B696B"/>
    <w:rsid w:val="005B6A7C"/>
    <w:rsid w:val="005B6C30"/>
    <w:rsid w:val="005B70D1"/>
    <w:rsid w:val="005B75B1"/>
    <w:rsid w:val="005B7E06"/>
    <w:rsid w:val="005B7FA9"/>
    <w:rsid w:val="005B7FC7"/>
    <w:rsid w:val="005C0304"/>
    <w:rsid w:val="005C0F08"/>
    <w:rsid w:val="005C0FF6"/>
    <w:rsid w:val="005C19C4"/>
    <w:rsid w:val="005C1B83"/>
    <w:rsid w:val="005C237D"/>
    <w:rsid w:val="005C25E2"/>
    <w:rsid w:val="005C25FF"/>
    <w:rsid w:val="005C2930"/>
    <w:rsid w:val="005C2A09"/>
    <w:rsid w:val="005C2D55"/>
    <w:rsid w:val="005C346B"/>
    <w:rsid w:val="005C3A24"/>
    <w:rsid w:val="005C4083"/>
    <w:rsid w:val="005C4215"/>
    <w:rsid w:val="005C458C"/>
    <w:rsid w:val="005C490B"/>
    <w:rsid w:val="005C4C1E"/>
    <w:rsid w:val="005C4D4D"/>
    <w:rsid w:val="005C4DAF"/>
    <w:rsid w:val="005C519D"/>
    <w:rsid w:val="005C53D3"/>
    <w:rsid w:val="005C5508"/>
    <w:rsid w:val="005C55C5"/>
    <w:rsid w:val="005C5608"/>
    <w:rsid w:val="005C5ABC"/>
    <w:rsid w:val="005C5FBA"/>
    <w:rsid w:val="005C7C31"/>
    <w:rsid w:val="005D044D"/>
    <w:rsid w:val="005D0ABD"/>
    <w:rsid w:val="005D0DC7"/>
    <w:rsid w:val="005D0DC8"/>
    <w:rsid w:val="005D0F3A"/>
    <w:rsid w:val="005D0FB1"/>
    <w:rsid w:val="005D146D"/>
    <w:rsid w:val="005D18AD"/>
    <w:rsid w:val="005D266B"/>
    <w:rsid w:val="005D26B4"/>
    <w:rsid w:val="005D3790"/>
    <w:rsid w:val="005D3A13"/>
    <w:rsid w:val="005D42B5"/>
    <w:rsid w:val="005D52DF"/>
    <w:rsid w:val="005D56AC"/>
    <w:rsid w:val="005D62E7"/>
    <w:rsid w:val="005D63D6"/>
    <w:rsid w:val="005D658A"/>
    <w:rsid w:val="005D6A11"/>
    <w:rsid w:val="005D74BA"/>
    <w:rsid w:val="005E0050"/>
    <w:rsid w:val="005E00A2"/>
    <w:rsid w:val="005E0857"/>
    <w:rsid w:val="005E08EB"/>
    <w:rsid w:val="005E094C"/>
    <w:rsid w:val="005E0A2E"/>
    <w:rsid w:val="005E0B88"/>
    <w:rsid w:val="005E0FE3"/>
    <w:rsid w:val="005E10EB"/>
    <w:rsid w:val="005E120A"/>
    <w:rsid w:val="005E17A9"/>
    <w:rsid w:val="005E1995"/>
    <w:rsid w:val="005E19E6"/>
    <w:rsid w:val="005E1A87"/>
    <w:rsid w:val="005E1B68"/>
    <w:rsid w:val="005E2068"/>
    <w:rsid w:val="005E2107"/>
    <w:rsid w:val="005E2AEA"/>
    <w:rsid w:val="005E2CB6"/>
    <w:rsid w:val="005E3234"/>
    <w:rsid w:val="005E35AF"/>
    <w:rsid w:val="005E3651"/>
    <w:rsid w:val="005E37B9"/>
    <w:rsid w:val="005E38DA"/>
    <w:rsid w:val="005E3B6C"/>
    <w:rsid w:val="005E3DAF"/>
    <w:rsid w:val="005E3F0F"/>
    <w:rsid w:val="005E4777"/>
    <w:rsid w:val="005E4B21"/>
    <w:rsid w:val="005E5A01"/>
    <w:rsid w:val="005E5E9D"/>
    <w:rsid w:val="005E6398"/>
    <w:rsid w:val="005E63C2"/>
    <w:rsid w:val="005E64F6"/>
    <w:rsid w:val="005E6A5C"/>
    <w:rsid w:val="005E6B63"/>
    <w:rsid w:val="005E6CBC"/>
    <w:rsid w:val="005E70BF"/>
    <w:rsid w:val="005E72FF"/>
    <w:rsid w:val="005E73C0"/>
    <w:rsid w:val="005E7945"/>
    <w:rsid w:val="005E7A76"/>
    <w:rsid w:val="005F07ED"/>
    <w:rsid w:val="005F083E"/>
    <w:rsid w:val="005F0B6E"/>
    <w:rsid w:val="005F0DB1"/>
    <w:rsid w:val="005F195A"/>
    <w:rsid w:val="005F1F90"/>
    <w:rsid w:val="005F2706"/>
    <w:rsid w:val="005F2837"/>
    <w:rsid w:val="005F29D5"/>
    <w:rsid w:val="005F2E69"/>
    <w:rsid w:val="005F3A57"/>
    <w:rsid w:val="005F3F95"/>
    <w:rsid w:val="005F49EB"/>
    <w:rsid w:val="005F5117"/>
    <w:rsid w:val="005F51A8"/>
    <w:rsid w:val="005F5310"/>
    <w:rsid w:val="005F54AE"/>
    <w:rsid w:val="005F5879"/>
    <w:rsid w:val="005F5895"/>
    <w:rsid w:val="005F5D4D"/>
    <w:rsid w:val="005F60C0"/>
    <w:rsid w:val="005F656A"/>
    <w:rsid w:val="005F65A6"/>
    <w:rsid w:val="005F65BB"/>
    <w:rsid w:val="005F695A"/>
    <w:rsid w:val="005F6A8F"/>
    <w:rsid w:val="005F6BB7"/>
    <w:rsid w:val="005F7588"/>
    <w:rsid w:val="005F76AC"/>
    <w:rsid w:val="00600199"/>
    <w:rsid w:val="00600876"/>
    <w:rsid w:val="0060092B"/>
    <w:rsid w:val="0060120E"/>
    <w:rsid w:val="00601F55"/>
    <w:rsid w:val="006028D3"/>
    <w:rsid w:val="00602E0D"/>
    <w:rsid w:val="0060373C"/>
    <w:rsid w:val="00603DB9"/>
    <w:rsid w:val="006047A1"/>
    <w:rsid w:val="00604F65"/>
    <w:rsid w:val="00605246"/>
    <w:rsid w:val="00605FA8"/>
    <w:rsid w:val="00606754"/>
    <w:rsid w:val="00606FBA"/>
    <w:rsid w:val="00607669"/>
    <w:rsid w:val="006076F4"/>
    <w:rsid w:val="00607AA6"/>
    <w:rsid w:val="00607AFD"/>
    <w:rsid w:val="006102CD"/>
    <w:rsid w:val="006102D5"/>
    <w:rsid w:val="006103F8"/>
    <w:rsid w:val="006107CF"/>
    <w:rsid w:val="00610B11"/>
    <w:rsid w:val="00610E35"/>
    <w:rsid w:val="00610E57"/>
    <w:rsid w:val="006114BA"/>
    <w:rsid w:val="00611735"/>
    <w:rsid w:val="00611B12"/>
    <w:rsid w:val="00611B37"/>
    <w:rsid w:val="00611B8F"/>
    <w:rsid w:val="00611C10"/>
    <w:rsid w:val="00611E07"/>
    <w:rsid w:val="00611FBD"/>
    <w:rsid w:val="006129F7"/>
    <w:rsid w:val="00612F97"/>
    <w:rsid w:val="0061345D"/>
    <w:rsid w:val="006142AF"/>
    <w:rsid w:val="0061450A"/>
    <w:rsid w:val="00614FE7"/>
    <w:rsid w:val="00615494"/>
    <w:rsid w:val="0061549B"/>
    <w:rsid w:val="00615535"/>
    <w:rsid w:val="00615A56"/>
    <w:rsid w:val="00616341"/>
    <w:rsid w:val="00616802"/>
    <w:rsid w:val="00617277"/>
    <w:rsid w:val="0061785E"/>
    <w:rsid w:val="00617DC4"/>
    <w:rsid w:val="00617E12"/>
    <w:rsid w:val="00617EA1"/>
    <w:rsid w:val="00620872"/>
    <w:rsid w:val="00620C25"/>
    <w:rsid w:val="00621123"/>
    <w:rsid w:val="00621477"/>
    <w:rsid w:val="00621510"/>
    <w:rsid w:val="00621672"/>
    <w:rsid w:val="00621ADA"/>
    <w:rsid w:val="0062212F"/>
    <w:rsid w:val="00622207"/>
    <w:rsid w:val="00622373"/>
    <w:rsid w:val="0062268F"/>
    <w:rsid w:val="006227A3"/>
    <w:rsid w:val="00623F7B"/>
    <w:rsid w:val="00624512"/>
    <w:rsid w:val="00624815"/>
    <w:rsid w:val="00624BD4"/>
    <w:rsid w:val="00624E45"/>
    <w:rsid w:val="006251DB"/>
    <w:rsid w:val="00625922"/>
    <w:rsid w:val="00625A48"/>
    <w:rsid w:val="00625C9E"/>
    <w:rsid w:val="00625E08"/>
    <w:rsid w:val="00626A27"/>
    <w:rsid w:val="00626C58"/>
    <w:rsid w:val="00626CCD"/>
    <w:rsid w:val="00626E71"/>
    <w:rsid w:val="00626F40"/>
    <w:rsid w:val="00627218"/>
    <w:rsid w:val="0062743A"/>
    <w:rsid w:val="0062749E"/>
    <w:rsid w:val="00627B15"/>
    <w:rsid w:val="006301BE"/>
    <w:rsid w:val="00631023"/>
    <w:rsid w:val="006310A2"/>
    <w:rsid w:val="006313F3"/>
    <w:rsid w:val="0063158F"/>
    <w:rsid w:val="006315BC"/>
    <w:rsid w:val="006316F5"/>
    <w:rsid w:val="00631700"/>
    <w:rsid w:val="006319C9"/>
    <w:rsid w:val="00631D6B"/>
    <w:rsid w:val="00632183"/>
    <w:rsid w:val="006321C9"/>
    <w:rsid w:val="00632A28"/>
    <w:rsid w:val="00632AA4"/>
    <w:rsid w:val="00632BB0"/>
    <w:rsid w:val="006330A1"/>
    <w:rsid w:val="00633714"/>
    <w:rsid w:val="00633821"/>
    <w:rsid w:val="0063479F"/>
    <w:rsid w:val="006349DB"/>
    <w:rsid w:val="00634B8B"/>
    <w:rsid w:val="00635045"/>
    <w:rsid w:val="0063531E"/>
    <w:rsid w:val="006353F0"/>
    <w:rsid w:val="006356CB"/>
    <w:rsid w:val="006357B5"/>
    <w:rsid w:val="00635BB3"/>
    <w:rsid w:val="00636014"/>
    <w:rsid w:val="006364A1"/>
    <w:rsid w:val="00636638"/>
    <w:rsid w:val="0063678E"/>
    <w:rsid w:val="00637BFD"/>
    <w:rsid w:val="00637C5C"/>
    <w:rsid w:val="00637F41"/>
    <w:rsid w:val="00640307"/>
    <w:rsid w:val="006404D6"/>
    <w:rsid w:val="00640A63"/>
    <w:rsid w:val="006411EC"/>
    <w:rsid w:val="0064199B"/>
    <w:rsid w:val="00641C4E"/>
    <w:rsid w:val="00641D43"/>
    <w:rsid w:val="00641E75"/>
    <w:rsid w:val="00641FB3"/>
    <w:rsid w:val="006422A4"/>
    <w:rsid w:val="006422B1"/>
    <w:rsid w:val="00642371"/>
    <w:rsid w:val="00642381"/>
    <w:rsid w:val="00642778"/>
    <w:rsid w:val="00642788"/>
    <w:rsid w:val="00642A2B"/>
    <w:rsid w:val="00642A68"/>
    <w:rsid w:val="00642BF3"/>
    <w:rsid w:val="00642C28"/>
    <w:rsid w:val="00642FA6"/>
    <w:rsid w:val="00643173"/>
    <w:rsid w:val="00643D6E"/>
    <w:rsid w:val="0064434C"/>
    <w:rsid w:val="00644378"/>
    <w:rsid w:val="006446CE"/>
    <w:rsid w:val="006448B7"/>
    <w:rsid w:val="00644C01"/>
    <w:rsid w:val="006451B7"/>
    <w:rsid w:val="00645D07"/>
    <w:rsid w:val="006463B0"/>
    <w:rsid w:val="00646539"/>
    <w:rsid w:val="00646A2C"/>
    <w:rsid w:val="00646B29"/>
    <w:rsid w:val="00646DAA"/>
    <w:rsid w:val="006471CC"/>
    <w:rsid w:val="006472FE"/>
    <w:rsid w:val="006474CB"/>
    <w:rsid w:val="006476DA"/>
    <w:rsid w:val="00647A29"/>
    <w:rsid w:val="00647BEB"/>
    <w:rsid w:val="00650472"/>
    <w:rsid w:val="00650742"/>
    <w:rsid w:val="0065079F"/>
    <w:rsid w:val="0065084D"/>
    <w:rsid w:val="00650C09"/>
    <w:rsid w:val="00650CE4"/>
    <w:rsid w:val="00650D33"/>
    <w:rsid w:val="006515B7"/>
    <w:rsid w:val="006520A2"/>
    <w:rsid w:val="006525D5"/>
    <w:rsid w:val="00652691"/>
    <w:rsid w:val="00652813"/>
    <w:rsid w:val="00652A28"/>
    <w:rsid w:val="00652BDE"/>
    <w:rsid w:val="0065332B"/>
    <w:rsid w:val="0065379F"/>
    <w:rsid w:val="00653FF5"/>
    <w:rsid w:val="0065418D"/>
    <w:rsid w:val="00654567"/>
    <w:rsid w:val="00654624"/>
    <w:rsid w:val="00654654"/>
    <w:rsid w:val="006547B9"/>
    <w:rsid w:val="006551FC"/>
    <w:rsid w:val="006552AA"/>
    <w:rsid w:val="006552F5"/>
    <w:rsid w:val="0065560E"/>
    <w:rsid w:val="00655A31"/>
    <w:rsid w:val="00655A91"/>
    <w:rsid w:val="00656051"/>
    <w:rsid w:val="00656188"/>
    <w:rsid w:val="0065626C"/>
    <w:rsid w:val="006562E7"/>
    <w:rsid w:val="00656396"/>
    <w:rsid w:val="00656869"/>
    <w:rsid w:val="0065715A"/>
    <w:rsid w:val="00657574"/>
    <w:rsid w:val="006576FA"/>
    <w:rsid w:val="00657B82"/>
    <w:rsid w:val="00660384"/>
    <w:rsid w:val="0066047F"/>
    <w:rsid w:val="00660837"/>
    <w:rsid w:val="00660996"/>
    <w:rsid w:val="00660ADC"/>
    <w:rsid w:val="006610F1"/>
    <w:rsid w:val="00661B5B"/>
    <w:rsid w:val="00661C6B"/>
    <w:rsid w:val="006620AE"/>
    <w:rsid w:val="0066259B"/>
    <w:rsid w:val="0066286C"/>
    <w:rsid w:val="00662A50"/>
    <w:rsid w:val="00662B72"/>
    <w:rsid w:val="00662C13"/>
    <w:rsid w:val="00662D3E"/>
    <w:rsid w:val="006630FB"/>
    <w:rsid w:val="0066368D"/>
    <w:rsid w:val="006637D6"/>
    <w:rsid w:val="00663AAB"/>
    <w:rsid w:val="00663BC3"/>
    <w:rsid w:val="00663DE9"/>
    <w:rsid w:val="0066456F"/>
    <w:rsid w:val="00664779"/>
    <w:rsid w:val="0066497C"/>
    <w:rsid w:val="00664C4D"/>
    <w:rsid w:val="00665444"/>
    <w:rsid w:val="006664B2"/>
    <w:rsid w:val="00666D0F"/>
    <w:rsid w:val="00666E55"/>
    <w:rsid w:val="0066743B"/>
    <w:rsid w:val="00667926"/>
    <w:rsid w:val="00667BE3"/>
    <w:rsid w:val="0067003B"/>
    <w:rsid w:val="0067003F"/>
    <w:rsid w:val="00670080"/>
    <w:rsid w:val="0067008D"/>
    <w:rsid w:val="00670344"/>
    <w:rsid w:val="00670899"/>
    <w:rsid w:val="00671004"/>
    <w:rsid w:val="00671451"/>
    <w:rsid w:val="006719D6"/>
    <w:rsid w:val="00671A5F"/>
    <w:rsid w:val="00671E06"/>
    <w:rsid w:val="00672646"/>
    <w:rsid w:val="00672B0D"/>
    <w:rsid w:val="00672CB0"/>
    <w:rsid w:val="00672D73"/>
    <w:rsid w:val="00672FCC"/>
    <w:rsid w:val="00673444"/>
    <w:rsid w:val="0067382C"/>
    <w:rsid w:val="00673F59"/>
    <w:rsid w:val="00674161"/>
    <w:rsid w:val="006744BA"/>
    <w:rsid w:val="00674E42"/>
    <w:rsid w:val="00674EC1"/>
    <w:rsid w:val="00675571"/>
    <w:rsid w:val="00675AEF"/>
    <w:rsid w:val="00675B27"/>
    <w:rsid w:val="00675C36"/>
    <w:rsid w:val="00676563"/>
    <w:rsid w:val="00676788"/>
    <w:rsid w:val="006769F5"/>
    <w:rsid w:val="00676A52"/>
    <w:rsid w:val="00676B5A"/>
    <w:rsid w:val="00676C86"/>
    <w:rsid w:val="00677389"/>
    <w:rsid w:val="00677735"/>
    <w:rsid w:val="00677E41"/>
    <w:rsid w:val="006813F8"/>
    <w:rsid w:val="00681E3B"/>
    <w:rsid w:val="00682112"/>
    <w:rsid w:val="00682478"/>
    <w:rsid w:val="00682599"/>
    <w:rsid w:val="006826B7"/>
    <w:rsid w:val="00682772"/>
    <w:rsid w:val="006827B3"/>
    <w:rsid w:val="00682BA6"/>
    <w:rsid w:val="0068356F"/>
    <w:rsid w:val="00684092"/>
    <w:rsid w:val="006843E2"/>
    <w:rsid w:val="00684439"/>
    <w:rsid w:val="00684679"/>
    <w:rsid w:val="0068530B"/>
    <w:rsid w:val="00685367"/>
    <w:rsid w:val="006856EC"/>
    <w:rsid w:val="006859B0"/>
    <w:rsid w:val="00686878"/>
    <w:rsid w:val="00686957"/>
    <w:rsid w:val="00686985"/>
    <w:rsid w:val="00686BC0"/>
    <w:rsid w:val="00686C2C"/>
    <w:rsid w:val="006872BA"/>
    <w:rsid w:val="006875F2"/>
    <w:rsid w:val="00687855"/>
    <w:rsid w:val="00687AFC"/>
    <w:rsid w:val="006904E5"/>
    <w:rsid w:val="00690795"/>
    <w:rsid w:val="00691352"/>
    <w:rsid w:val="0069142C"/>
    <w:rsid w:val="00691444"/>
    <w:rsid w:val="00691648"/>
    <w:rsid w:val="006917D7"/>
    <w:rsid w:val="0069194C"/>
    <w:rsid w:val="00691CF0"/>
    <w:rsid w:val="00692B1F"/>
    <w:rsid w:val="00692CCF"/>
    <w:rsid w:val="00692E0B"/>
    <w:rsid w:val="00693092"/>
    <w:rsid w:val="00693438"/>
    <w:rsid w:val="006936B4"/>
    <w:rsid w:val="006936F3"/>
    <w:rsid w:val="00693C86"/>
    <w:rsid w:val="00693DF5"/>
    <w:rsid w:val="00693F88"/>
    <w:rsid w:val="0069434C"/>
    <w:rsid w:val="0069444A"/>
    <w:rsid w:val="00694518"/>
    <w:rsid w:val="00694622"/>
    <w:rsid w:val="00694E60"/>
    <w:rsid w:val="00694F44"/>
    <w:rsid w:val="006955E6"/>
    <w:rsid w:val="00696050"/>
    <w:rsid w:val="006963E3"/>
    <w:rsid w:val="0069682D"/>
    <w:rsid w:val="00696EF9"/>
    <w:rsid w:val="00696F51"/>
    <w:rsid w:val="00696F7E"/>
    <w:rsid w:val="0069716C"/>
    <w:rsid w:val="0069786A"/>
    <w:rsid w:val="006979A5"/>
    <w:rsid w:val="00697ECC"/>
    <w:rsid w:val="006A016F"/>
    <w:rsid w:val="006A052D"/>
    <w:rsid w:val="006A0DF7"/>
    <w:rsid w:val="006A0E6B"/>
    <w:rsid w:val="006A115A"/>
    <w:rsid w:val="006A2E26"/>
    <w:rsid w:val="006A303E"/>
    <w:rsid w:val="006A323C"/>
    <w:rsid w:val="006A326A"/>
    <w:rsid w:val="006A32FB"/>
    <w:rsid w:val="006A3D14"/>
    <w:rsid w:val="006A3DD3"/>
    <w:rsid w:val="006A4064"/>
    <w:rsid w:val="006A4321"/>
    <w:rsid w:val="006A43D9"/>
    <w:rsid w:val="006A65AD"/>
    <w:rsid w:val="006A6B40"/>
    <w:rsid w:val="006A6B99"/>
    <w:rsid w:val="006A74E2"/>
    <w:rsid w:val="006A777D"/>
    <w:rsid w:val="006A7A5D"/>
    <w:rsid w:val="006A7E5F"/>
    <w:rsid w:val="006B03D6"/>
    <w:rsid w:val="006B0515"/>
    <w:rsid w:val="006B08C5"/>
    <w:rsid w:val="006B10DC"/>
    <w:rsid w:val="006B1168"/>
    <w:rsid w:val="006B1E2E"/>
    <w:rsid w:val="006B20CA"/>
    <w:rsid w:val="006B23C2"/>
    <w:rsid w:val="006B261B"/>
    <w:rsid w:val="006B2A86"/>
    <w:rsid w:val="006B2A8D"/>
    <w:rsid w:val="006B2C90"/>
    <w:rsid w:val="006B35E6"/>
    <w:rsid w:val="006B3AD2"/>
    <w:rsid w:val="006B465A"/>
    <w:rsid w:val="006B5A04"/>
    <w:rsid w:val="006B5AB9"/>
    <w:rsid w:val="006B5DFF"/>
    <w:rsid w:val="006B6AAC"/>
    <w:rsid w:val="006B6DD0"/>
    <w:rsid w:val="006B71AF"/>
    <w:rsid w:val="006B7DF4"/>
    <w:rsid w:val="006C0399"/>
    <w:rsid w:val="006C0436"/>
    <w:rsid w:val="006C073D"/>
    <w:rsid w:val="006C1168"/>
    <w:rsid w:val="006C17C7"/>
    <w:rsid w:val="006C1C65"/>
    <w:rsid w:val="006C2345"/>
    <w:rsid w:val="006C2A8E"/>
    <w:rsid w:val="006C2C64"/>
    <w:rsid w:val="006C2D72"/>
    <w:rsid w:val="006C2FF5"/>
    <w:rsid w:val="006C3108"/>
    <w:rsid w:val="006C3255"/>
    <w:rsid w:val="006C3A9F"/>
    <w:rsid w:val="006C3F26"/>
    <w:rsid w:val="006C6517"/>
    <w:rsid w:val="006C68A2"/>
    <w:rsid w:val="006C6E20"/>
    <w:rsid w:val="006C7074"/>
    <w:rsid w:val="006C729C"/>
    <w:rsid w:val="006C7381"/>
    <w:rsid w:val="006D060D"/>
    <w:rsid w:val="006D077E"/>
    <w:rsid w:val="006D097C"/>
    <w:rsid w:val="006D0D17"/>
    <w:rsid w:val="006D12BC"/>
    <w:rsid w:val="006D13DF"/>
    <w:rsid w:val="006D20F1"/>
    <w:rsid w:val="006D2692"/>
    <w:rsid w:val="006D2BCD"/>
    <w:rsid w:val="006D2C45"/>
    <w:rsid w:val="006D3070"/>
    <w:rsid w:val="006D308C"/>
    <w:rsid w:val="006D3256"/>
    <w:rsid w:val="006D3C7D"/>
    <w:rsid w:val="006D3C9E"/>
    <w:rsid w:val="006D3CBE"/>
    <w:rsid w:val="006D3E19"/>
    <w:rsid w:val="006D442D"/>
    <w:rsid w:val="006D4659"/>
    <w:rsid w:val="006D478C"/>
    <w:rsid w:val="006D483B"/>
    <w:rsid w:val="006D4C32"/>
    <w:rsid w:val="006D5A38"/>
    <w:rsid w:val="006D5B3F"/>
    <w:rsid w:val="006D5D5F"/>
    <w:rsid w:val="006D6456"/>
    <w:rsid w:val="006D68FB"/>
    <w:rsid w:val="006D69F1"/>
    <w:rsid w:val="006D6E59"/>
    <w:rsid w:val="006D7289"/>
    <w:rsid w:val="006D72CD"/>
    <w:rsid w:val="006D76ED"/>
    <w:rsid w:val="006D7B58"/>
    <w:rsid w:val="006E011E"/>
    <w:rsid w:val="006E014B"/>
    <w:rsid w:val="006E05A2"/>
    <w:rsid w:val="006E0E87"/>
    <w:rsid w:val="006E0EF1"/>
    <w:rsid w:val="006E122D"/>
    <w:rsid w:val="006E167E"/>
    <w:rsid w:val="006E1FF9"/>
    <w:rsid w:val="006E2672"/>
    <w:rsid w:val="006E2868"/>
    <w:rsid w:val="006E3265"/>
    <w:rsid w:val="006E36E5"/>
    <w:rsid w:val="006E3BCC"/>
    <w:rsid w:val="006E4B02"/>
    <w:rsid w:val="006E528C"/>
    <w:rsid w:val="006E5961"/>
    <w:rsid w:val="006E5CA2"/>
    <w:rsid w:val="006E5DC1"/>
    <w:rsid w:val="006E5E19"/>
    <w:rsid w:val="006E5ED4"/>
    <w:rsid w:val="006E6B8F"/>
    <w:rsid w:val="006E729A"/>
    <w:rsid w:val="006E7F4F"/>
    <w:rsid w:val="006F01BB"/>
    <w:rsid w:val="006F091D"/>
    <w:rsid w:val="006F140E"/>
    <w:rsid w:val="006F1596"/>
    <w:rsid w:val="006F18A3"/>
    <w:rsid w:val="006F1A48"/>
    <w:rsid w:val="006F1ACA"/>
    <w:rsid w:val="006F2E4E"/>
    <w:rsid w:val="006F2E74"/>
    <w:rsid w:val="006F2E80"/>
    <w:rsid w:val="006F306C"/>
    <w:rsid w:val="006F38D3"/>
    <w:rsid w:val="006F3F85"/>
    <w:rsid w:val="006F40DA"/>
    <w:rsid w:val="006F428A"/>
    <w:rsid w:val="006F44A0"/>
    <w:rsid w:val="006F4584"/>
    <w:rsid w:val="006F531E"/>
    <w:rsid w:val="006F5F9B"/>
    <w:rsid w:val="006F620F"/>
    <w:rsid w:val="006F63A5"/>
    <w:rsid w:val="006F673A"/>
    <w:rsid w:val="006F7A21"/>
    <w:rsid w:val="00700156"/>
    <w:rsid w:val="007002BF"/>
    <w:rsid w:val="0070142B"/>
    <w:rsid w:val="00701637"/>
    <w:rsid w:val="00701AC6"/>
    <w:rsid w:val="00702605"/>
    <w:rsid w:val="0070276E"/>
    <w:rsid w:val="0070279E"/>
    <w:rsid w:val="00702F8F"/>
    <w:rsid w:val="007033FC"/>
    <w:rsid w:val="007037B4"/>
    <w:rsid w:val="00703C2D"/>
    <w:rsid w:val="00703E72"/>
    <w:rsid w:val="007047E7"/>
    <w:rsid w:val="00704B31"/>
    <w:rsid w:val="00704CAD"/>
    <w:rsid w:val="00705761"/>
    <w:rsid w:val="007058B6"/>
    <w:rsid w:val="00705C4A"/>
    <w:rsid w:val="00705E58"/>
    <w:rsid w:val="00706361"/>
    <w:rsid w:val="007066C0"/>
    <w:rsid w:val="00706BD5"/>
    <w:rsid w:val="00707086"/>
    <w:rsid w:val="007077C3"/>
    <w:rsid w:val="007079FC"/>
    <w:rsid w:val="00707C3D"/>
    <w:rsid w:val="00710016"/>
    <w:rsid w:val="00710360"/>
    <w:rsid w:val="00710D12"/>
    <w:rsid w:val="0071122F"/>
    <w:rsid w:val="00711A36"/>
    <w:rsid w:val="007121C7"/>
    <w:rsid w:val="00712209"/>
    <w:rsid w:val="007125D3"/>
    <w:rsid w:val="0071483F"/>
    <w:rsid w:val="00714871"/>
    <w:rsid w:val="0071488A"/>
    <w:rsid w:val="00714947"/>
    <w:rsid w:val="00714A8C"/>
    <w:rsid w:val="00714C26"/>
    <w:rsid w:val="00714CB6"/>
    <w:rsid w:val="007150AF"/>
    <w:rsid w:val="0071529C"/>
    <w:rsid w:val="00715414"/>
    <w:rsid w:val="007158D5"/>
    <w:rsid w:val="00715BE0"/>
    <w:rsid w:val="007170DA"/>
    <w:rsid w:val="007172AD"/>
    <w:rsid w:val="00717546"/>
    <w:rsid w:val="00717549"/>
    <w:rsid w:val="00717C4F"/>
    <w:rsid w:val="00717D3F"/>
    <w:rsid w:val="00717F20"/>
    <w:rsid w:val="00720801"/>
    <w:rsid w:val="00720A12"/>
    <w:rsid w:val="00720E79"/>
    <w:rsid w:val="00720EA7"/>
    <w:rsid w:val="0072111D"/>
    <w:rsid w:val="007213D5"/>
    <w:rsid w:val="007216B1"/>
    <w:rsid w:val="00721B78"/>
    <w:rsid w:val="00722455"/>
    <w:rsid w:val="0072272C"/>
    <w:rsid w:val="00722A19"/>
    <w:rsid w:val="00722B1B"/>
    <w:rsid w:val="00722EB5"/>
    <w:rsid w:val="00723217"/>
    <w:rsid w:val="00723500"/>
    <w:rsid w:val="0072416F"/>
    <w:rsid w:val="0072487E"/>
    <w:rsid w:val="00724AAB"/>
    <w:rsid w:val="00724B7D"/>
    <w:rsid w:val="00725072"/>
    <w:rsid w:val="00725104"/>
    <w:rsid w:val="00725201"/>
    <w:rsid w:val="00726173"/>
    <w:rsid w:val="007268E5"/>
    <w:rsid w:val="00727207"/>
    <w:rsid w:val="00727702"/>
    <w:rsid w:val="0072799A"/>
    <w:rsid w:val="00727C94"/>
    <w:rsid w:val="00727F7C"/>
    <w:rsid w:val="0073027D"/>
    <w:rsid w:val="007313C4"/>
    <w:rsid w:val="00731951"/>
    <w:rsid w:val="00731B0A"/>
    <w:rsid w:val="00731E9B"/>
    <w:rsid w:val="00731EAE"/>
    <w:rsid w:val="00732EA7"/>
    <w:rsid w:val="00733073"/>
    <w:rsid w:val="00734019"/>
    <w:rsid w:val="007340DA"/>
    <w:rsid w:val="00734239"/>
    <w:rsid w:val="00734360"/>
    <w:rsid w:val="00734514"/>
    <w:rsid w:val="00734A9D"/>
    <w:rsid w:val="00734BB0"/>
    <w:rsid w:val="00734D0B"/>
    <w:rsid w:val="00735033"/>
    <w:rsid w:val="00735195"/>
    <w:rsid w:val="00735328"/>
    <w:rsid w:val="007355D7"/>
    <w:rsid w:val="00735B04"/>
    <w:rsid w:val="00735EA0"/>
    <w:rsid w:val="00735EA2"/>
    <w:rsid w:val="00736698"/>
    <w:rsid w:val="0073685B"/>
    <w:rsid w:val="00737500"/>
    <w:rsid w:val="00737963"/>
    <w:rsid w:val="00737CE1"/>
    <w:rsid w:val="007400C7"/>
    <w:rsid w:val="007407C4"/>
    <w:rsid w:val="00740DDC"/>
    <w:rsid w:val="00741D49"/>
    <w:rsid w:val="0074304B"/>
    <w:rsid w:val="0074353C"/>
    <w:rsid w:val="00743BD4"/>
    <w:rsid w:val="007449BF"/>
    <w:rsid w:val="00744FEA"/>
    <w:rsid w:val="007452AC"/>
    <w:rsid w:val="007455FB"/>
    <w:rsid w:val="00745BD2"/>
    <w:rsid w:val="007463FE"/>
    <w:rsid w:val="00746767"/>
    <w:rsid w:val="00746BC0"/>
    <w:rsid w:val="00747336"/>
    <w:rsid w:val="00747BAF"/>
    <w:rsid w:val="00747C2A"/>
    <w:rsid w:val="00747F28"/>
    <w:rsid w:val="00750125"/>
    <w:rsid w:val="0075077D"/>
    <w:rsid w:val="007510B4"/>
    <w:rsid w:val="007514A8"/>
    <w:rsid w:val="00752142"/>
    <w:rsid w:val="007523F9"/>
    <w:rsid w:val="00752642"/>
    <w:rsid w:val="00753341"/>
    <w:rsid w:val="0075357E"/>
    <w:rsid w:val="00753B29"/>
    <w:rsid w:val="00754D83"/>
    <w:rsid w:val="00755276"/>
    <w:rsid w:val="007558CE"/>
    <w:rsid w:val="0075691A"/>
    <w:rsid w:val="00756E48"/>
    <w:rsid w:val="00757122"/>
    <w:rsid w:val="007573E8"/>
    <w:rsid w:val="00757707"/>
    <w:rsid w:val="007606E6"/>
    <w:rsid w:val="00760958"/>
    <w:rsid w:val="00760C4E"/>
    <w:rsid w:val="00760E44"/>
    <w:rsid w:val="00760F9E"/>
    <w:rsid w:val="00761573"/>
    <w:rsid w:val="007616E6"/>
    <w:rsid w:val="007618EC"/>
    <w:rsid w:val="00761FCA"/>
    <w:rsid w:val="007627BE"/>
    <w:rsid w:val="00762A7D"/>
    <w:rsid w:val="00762B6C"/>
    <w:rsid w:val="007637E0"/>
    <w:rsid w:val="00763C94"/>
    <w:rsid w:val="00763F76"/>
    <w:rsid w:val="007640F4"/>
    <w:rsid w:val="007646AD"/>
    <w:rsid w:val="00764E89"/>
    <w:rsid w:val="00764F03"/>
    <w:rsid w:val="00765435"/>
    <w:rsid w:val="007659FD"/>
    <w:rsid w:val="00765B1A"/>
    <w:rsid w:val="00765DC1"/>
    <w:rsid w:val="00765EF3"/>
    <w:rsid w:val="00765F67"/>
    <w:rsid w:val="00766031"/>
    <w:rsid w:val="0076635E"/>
    <w:rsid w:val="007666DB"/>
    <w:rsid w:val="0076733E"/>
    <w:rsid w:val="00767574"/>
    <w:rsid w:val="00770546"/>
    <w:rsid w:val="007709D8"/>
    <w:rsid w:val="00770B5F"/>
    <w:rsid w:val="007712DD"/>
    <w:rsid w:val="0077146D"/>
    <w:rsid w:val="0077162E"/>
    <w:rsid w:val="0077278E"/>
    <w:rsid w:val="00772CB3"/>
    <w:rsid w:val="00772F63"/>
    <w:rsid w:val="00773B30"/>
    <w:rsid w:val="00773B50"/>
    <w:rsid w:val="00773D89"/>
    <w:rsid w:val="00773ED5"/>
    <w:rsid w:val="007741CB"/>
    <w:rsid w:val="00774828"/>
    <w:rsid w:val="00774F45"/>
    <w:rsid w:val="00775448"/>
    <w:rsid w:val="0077582A"/>
    <w:rsid w:val="00775C16"/>
    <w:rsid w:val="007763A0"/>
    <w:rsid w:val="00776588"/>
    <w:rsid w:val="00776A29"/>
    <w:rsid w:val="00777335"/>
    <w:rsid w:val="00777507"/>
    <w:rsid w:val="007777EF"/>
    <w:rsid w:val="00777BD7"/>
    <w:rsid w:val="00777E28"/>
    <w:rsid w:val="00780071"/>
    <w:rsid w:val="007808D0"/>
    <w:rsid w:val="00780BA5"/>
    <w:rsid w:val="00780DD0"/>
    <w:rsid w:val="00780E6D"/>
    <w:rsid w:val="007817D9"/>
    <w:rsid w:val="007818C4"/>
    <w:rsid w:val="00781949"/>
    <w:rsid w:val="00781EE3"/>
    <w:rsid w:val="007821EB"/>
    <w:rsid w:val="00782401"/>
    <w:rsid w:val="00782E2B"/>
    <w:rsid w:val="007830FF"/>
    <w:rsid w:val="00783B3B"/>
    <w:rsid w:val="00783D81"/>
    <w:rsid w:val="00784316"/>
    <w:rsid w:val="007843F2"/>
    <w:rsid w:val="007846FA"/>
    <w:rsid w:val="0078542B"/>
    <w:rsid w:val="00785A9F"/>
    <w:rsid w:val="00785BB5"/>
    <w:rsid w:val="00786169"/>
    <w:rsid w:val="007875F9"/>
    <w:rsid w:val="00787ABD"/>
    <w:rsid w:val="0079111F"/>
    <w:rsid w:val="0079116D"/>
    <w:rsid w:val="007913C3"/>
    <w:rsid w:val="00791C14"/>
    <w:rsid w:val="00791FFB"/>
    <w:rsid w:val="007925DF"/>
    <w:rsid w:val="0079262C"/>
    <w:rsid w:val="00792B9F"/>
    <w:rsid w:val="00792EDC"/>
    <w:rsid w:val="00793D17"/>
    <w:rsid w:val="00794069"/>
    <w:rsid w:val="00794514"/>
    <w:rsid w:val="00794C4B"/>
    <w:rsid w:val="00795371"/>
    <w:rsid w:val="0079549F"/>
    <w:rsid w:val="00795B3A"/>
    <w:rsid w:val="00795D13"/>
    <w:rsid w:val="00795D28"/>
    <w:rsid w:val="00796501"/>
    <w:rsid w:val="00796603"/>
    <w:rsid w:val="007969EF"/>
    <w:rsid w:val="00796D2F"/>
    <w:rsid w:val="00796DE3"/>
    <w:rsid w:val="00797172"/>
    <w:rsid w:val="00797449"/>
    <w:rsid w:val="0079788A"/>
    <w:rsid w:val="00797A02"/>
    <w:rsid w:val="007A0141"/>
    <w:rsid w:val="007A08AA"/>
    <w:rsid w:val="007A0A12"/>
    <w:rsid w:val="007A0DFF"/>
    <w:rsid w:val="007A108B"/>
    <w:rsid w:val="007A132D"/>
    <w:rsid w:val="007A1345"/>
    <w:rsid w:val="007A17B7"/>
    <w:rsid w:val="007A17EC"/>
    <w:rsid w:val="007A1B53"/>
    <w:rsid w:val="007A2030"/>
    <w:rsid w:val="007A228A"/>
    <w:rsid w:val="007A2660"/>
    <w:rsid w:val="007A2DDB"/>
    <w:rsid w:val="007A2E5D"/>
    <w:rsid w:val="007A3398"/>
    <w:rsid w:val="007A38BF"/>
    <w:rsid w:val="007A3A7E"/>
    <w:rsid w:val="007A3C3D"/>
    <w:rsid w:val="007A43A9"/>
    <w:rsid w:val="007A494D"/>
    <w:rsid w:val="007A49BB"/>
    <w:rsid w:val="007A56AA"/>
    <w:rsid w:val="007A5A83"/>
    <w:rsid w:val="007A603C"/>
    <w:rsid w:val="007A60C2"/>
    <w:rsid w:val="007A64BB"/>
    <w:rsid w:val="007A659E"/>
    <w:rsid w:val="007A65F6"/>
    <w:rsid w:val="007A67C2"/>
    <w:rsid w:val="007A6D23"/>
    <w:rsid w:val="007A70BA"/>
    <w:rsid w:val="007A7853"/>
    <w:rsid w:val="007A78E5"/>
    <w:rsid w:val="007A7A0E"/>
    <w:rsid w:val="007A7C93"/>
    <w:rsid w:val="007B086C"/>
    <w:rsid w:val="007B0D68"/>
    <w:rsid w:val="007B19F9"/>
    <w:rsid w:val="007B1FEA"/>
    <w:rsid w:val="007B251D"/>
    <w:rsid w:val="007B318F"/>
    <w:rsid w:val="007B3533"/>
    <w:rsid w:val="007B4422"/>
    <w:rsid w:val="007B4561"/>
    <w:rsid w:val="007B4E1C"/>
    <w:rsid w:val="007B4F58"/>
    <w:rsid w:val="007B4FCE"/>
    <w:rsid w:val="007B528D"/>
    <w:rsid w:val="007B5679"/>
    <w:rsid w:val="007B5A36"/>
    <w:rsid w:val="007B619C"/>
    <w:rsid w:val="007B61FE"/>
    <w:rsid w:val="007B63CA"/>
    <w:rsid w:val="007B6EF3"/>
    <w:rsid w:val="007B73A5"/>
    <w:rsid w:val="007B7565"/>
    <w:rsid w:val="007B77D1"/>
    <w:rsid w:val="007B78CB"/>
    <w:rsid w:val="007B79E5"/>
    <w:rsid w:val="007C03C3"/>
    <w:rsid w:val="007C07AD"/>
    <w:rsid w:val="007C07C7"/>
    <w:rsid w:val="007C0E6D"/>
    <w:rsid w:val="007C1C0A"/>
    <w:rsid w:val="007C1CD9"/>
    <w:rsid w:val="007C1DF4"/>
    <w:rsid w:val="007C250B"/>
    <w:rsid w:val="007C2869"/>
    <w:rsid w:val="007C28D0"/>
    <w:rsid w:val="007C2B60"/>
    <w:rsid w:val="007C2F57"/>
    <w:rsid w:val="007C30AE"/>
    <w:rsid w:val="007C3214"/>
    <w:rsid w:val="007C32EF"/>
    <w:rsid w:val="007C361D"/>
    <w:rsid w:val="007C37AA"/>
    <w:rsid w:val="007C4A90"/>
    <w:rsid w:val="007C4B84"/>
    <w:rsid w:val="007C4F5D"/>
    <w:rsid w:val="007C53BB"/>
    <w:rsid w:val="007C672B"/>
    <w:rsid w:val="007C68B2"/>
    <w:rsid w:val="007C68DE"/>
    <w:rsid w:val="007C6969"/>
    <w:rsid w:val="007C6A3A"/>
    <w:rsid w:val="007C6CFF"/>
    <w:rsid w:val="007C6F15"/>
    <w:rsid w:val="007C6FE9"/>
    <w:rsid w:val="007C70FF"/>
    <w:rsid w:val="007C7C25"/>
    <w:rsid w:val="007C7F11"/>
    <w:rsid w:val="007D004F"/>
    <w:rsid w:val="007D035F"/>
    <w:rsid w:val="007D06A1"/>
    <w:rsid w:val="007D06B2"/>
    <w:rsid w:val="007D0B38"/>
    <w:rsid w:val="007D0C32"/>
    <w:rsid w:val="007D0DE9"/>
    <w:rsid w:val="007D10E6"/>
    <w:rsid w:val="007D14B8"/>
    <w:rsid w:val="007D1E53"/>
    <w:rsid w:val="007D2427"/>
    <w:rsid w:val="007D363D"/>
    <w:rsid w:val="007D3737"/>
    <w:rsid w:val="007D3765"/>
    <w:rsid w:val="007D37D2"/>
    <w:rsid w:val="007D3D41"/>
    <w:rsid w:val="007D44DE"/>
    <w:rsid w:val="007D47D2"/>
    <w:rsid w:val="007D480A"/>
    <w:rsid w:val="007D4B08"/>
    <w:rsid w:val="007D5440"/>
    <w:rsid w:val="007D56F0"/>
    <w:rsid w:val="007D649B"/>
    <w:rsid w:val="007D69EB"/>
    <w:rsid w:val="007D6ABE"/>
    <w:rsid w:val="007D6D30"/>
    <w:rsid w:val="007D74C2"/>
    <w:rsid w:val="007D76E3"/>
    <w:rsid w:val="007D7B80"/>
    <w:rsid w:val="007D7CE2"/>
    <w:rsid w:val="007E06B4"/>
    <w:rsid w:val="007E128F"/>
    <w:rsid w:val="007E1799"/>
    <w:rsid w:val="007E184D"/>
    <w:rsid w:val="007E186A"/>
    <w:rsid w:val="007E2820"/>
    <w:rsid w:val="007E2D74"/>
    <w:rsid w:val="007E2E4D"/>
    <w:rsid w:val="007E3C09"/>
    <w:rsid w:val="007E4FB2"/>
    <w:rsid w:val="007E4FDA"/>
    <w:rsid w:val="007E53DC"/>
    <w:rsid w:val="007E54D7"/>
    <w:rsid w:val="007E59D6"/>
    <w:rsid w:val="007E5AA6"/>
    <w:rsid w:val="007E6001"/>
    <w:rsid w:val="007E6103"/>
    <w:rsid w:val="007E67DD"/>
    <w:rsid w:val="007E726B"/>
    <w:rsid w:val="007E7408"/>
    <w:rsid w:val="007E7778"/>
    <w:rsid w:val="007F00BA"/>
    <w:rsid w:val="007F0EEC"/>
    <w:rsid w:val="007F1017"/>
    <w:rsid w:val="007F115B"/>
    <w:rsid w:val="007F1B99"/>
    <w:rsid w:val="007F22BA"/>
    <w:rsid w:val="007F24DD"/>
    <w:rsid w:val="007F2903"/>
    <w:rsid w:val="007F2FD2"/>
    <w:rsid w:val="007F37A0"/>
    <w:rsid w:val="007F3C08"/>
    <w:rsid w:val="007F3F60"/>
    <w:rsid w:val="007F42F5"/>
    <w:rsid w:val="007F4646"/>
    <w:rsid w:val="007F4A3F"/>
    <w:rsid w:val="007F4A61"/>
    <w:rsid w:val="007F4C7C"/>
    <w:rsid w:val="007F4E82"/>
    <w:rsid w:val="007F5169"/>
    <w:rsid w:val="007F5185"/>
    <w:rsid w:val="007F5255"/>
    <w:rsid w:val="007F554D"/>
    <w:rsid w:val="007F55F0"/>
    <w:rsid w:val="007F56CC"/>
    <w:rsid w:val="007F5729"/>
    <w:rsid w:val="007F579A"/>
    <w:rsid w:val="007F57FB"/>
    <w:rsid w:val="007F593A"/>
    <w:rsid w:val="007F5C1F"/>
    <w:rsid w:val="007F61C2"/>
    <w:rsid w:val="007F632C"/>
    <w:rsid w:val="007F6F88"/>
    <w:rsid w:val="007F6FB6"/>
    <w:rsid w:val="007F72C3"/>
    <w:rsid w:val="007F7811"/>
    <w:rsid w:val="007F7D0D"/>
    <w:rsid w:val="008001C9"/>
    <w:rsid w:val="00800F55"/>
    <w:rsid w:val="008014A1"/>
    <w:rsid w:val="00801F9F"/>
    <w:rsid w:val="00802412"/>
    <w:rsid w:val="008024DA"/>
    <w:rsid w:val="008026A2"/>
    <w:rsid w:val="00802837"/>
    <w:rsid w:val="00802C50"/>
    <w:rsid w:val="00802E83"/>
    <w:rsid w:val="00803C62"/>
    <w:rsid w:val="00804281"/>
    <w:rsid w:val="00804DFA"/>
    <w:rsid w:val="00804FC3"/>
    <w:rsid w:val="00805142"/>
    <w:rsid w:val="008051BE"/>
    <w:rsid w:val="00805360"/>
    <w:rsid w:val="0080566B"/>
    <w:rsid w:val="008057F4"/>
    <w:rsid w:val="00805A9C"/>
    <w:rsid w:val="00805FCE"/>
    <w:rsid w:val="00805FDE"/>
    <w:rsid w:val="00805FEE"/>
    <w:rsid w:val="00806381"/>
    <w:rsid w:val="008063D2"/>
    <w:rsid w:val="008066A0"/>
    <w:rsid w:val="008067A3"/>
    <w:rsid w:val="008067C4"/>
    <w:rsid w:val="0080738A"/>
    <w:rsid w:val="008075BE"/>
    <w:rsid w:val="00807A8B"/>
    <w:rsid w:val="00807D61"/>
    <w:rsid w:val="00807E5A"/>
    <w:rsid w:val="00807ECA"/>
    <w:rsid w:val="00810A8A"/>
    <w:rsid w:val="00810C9D"/>
    <w:rsid w:val="00811383"/>
    <w:rsid w:val="00811D91"/>
    <w:rsid w:val="00812149"/>
    <w:rsid w:val="008123D0"/>
    <w:rsid w:val="0081244D"/>
    <w:rsid w:val="00812CAC"/>
    <w:rsid w:val="00813846"/>
    <w:rsid w:val="00814590"/>
    <w:rsid w:val="0081467A"/>
    <w:rsid w:val="0081473B"/>
    <w:rsid w:val="00814F20"/>
    <w:rsid w:val="00816112"/>
    <w:rsid w:val="00816361"/>
    <w:rsid w:val="00816456"/>
    <w:rsid w:val="00816493"/>
    <w:rsid w:val="008166EF"/>
    <w:rsid w:val="00816FEF"/>
    <w:rsid w:val="00817088"/>
    <w:rsid w:val="00817898"/>
    <w:rsid w:val="008179FF"/>
    <w:rsid w:val="00817D07"/>
    <w:rsid w:val="00820902"/>
    <w:rsid w:val="008209E5"/>
    <w:rsid w:val="00820A8C"/>
    <w:rsid w:val="00820F05"/>
    <w:rsid w:val="008215FB"/>
    <w:rsid w:val="00821F9F"/>
    <w:rsid w:val="008220CC"/>
    <w:rsid w:val="00822E87"/>
    <w:rsid w:val="00823174"/>
    <w:rsid w:val="00823431"/>
    <w:rsid w:val="008241CF"/>
    <w:rsid w:val="008243C3"/>
    <w:rsid w:val="00824925"/>
    <w:rsid w:val="00824B47"/>
    <w:rsid w:val="00825751"/>
    <w:rsid w:val="00825A07"/>
    <w:rsid w:val="00825C6F"/>
    <w:rsid w:val="008264EB"/>
    <w:rsid w:val="0082674F"/>
    <w:rsid w:val="008268CE"/>
    <w:rsid w:val="00826A08"/>
    <w:rsid w:val="00826B0D"/>
    <w:rsid w:val="00826DFE"/>
    <w:rsid w:val="008273DA"/>
    <w:rsid w:val="00827C23"/>
    <w:rsid w:val="00827C47"/>
    <w:rsid w:val="008305F7"/>
    <w:rsid w:val="0083069F"/>
    <w:rsid w:val="0083107F"/>
    <w:rsid w:val="008311B6"/>
    <w:rsid w:val="00831C7B"/>
    <w:rsid w:val="00831D85"/>
    <w:rsid w:val="0083216F"/>
    <w:rsid w:val="008321AB"/>
    <w:rsid w:val="00832287"/>
    <w:rsid w:val="008324D5"/>
    <w:rsid w:val="008328B9"/>
    <w:rsid w:val="00833B05"/>
    <w:rsid w:val="008346FA"/>
    <w:rsid w:val="0083475B"/>
    <w:rsid w:val="00834AF1"/>
    <w:rsid w:val="00834CDA"/>
    <w:rsid w:val="00835778"/>
    <w:rsid w:val="008362B4"/>
    <w:rsid w:val="00836304"/>
    <w:rsid w:val="00836A92"/>
    <w:rsid w:val="00836EB0"/>
    <w:rsid w:val="0083739E"/>
    <w:rsid w:val="00837964"/>
    <w:rsid w:val="00837EE8"/>
    <w:rsid w:val="008402CF"/>
    <w:rsid w:val="0084050C"/>
    <w:rsid w:val="00840700"/>
    <w:rsid w:val="00840CA2"/>
    <w:rsid w:val="008410F3"/>
    <w:rsid w:val="0084162B"/>
    <w:rsid w:val="0084233C"/>
    <w:rsid w:val="00842ED0"/>
    <w:rsid w:val="00843285"/>
    <w:rsid w:val="0084374F"/>
    <w:rsid w:val="00844721"/>
    <w:rsid w:val="00844A22"/>
    <w:rsid w:val="00844FBC"/>
    <w:rsid w:val="00845FC2"/>
    <w:rsid w:val="00846648"/>
    <w:rsid w:val="0084665D"/>
    <w:rsid w:val="00846A75"/>
    <w:rsid w:val="00846D2A"/>
    <w:rsid w:val="008470E6"/>
    <w:rsid w:val="00847193"/>
    <w:rsid w:val="00847246"/>
    <w:rsid w:val="008472BC"/>
    <w:rsid w:val="00847703"/>
    <w:rsid w:val="00847A02"/>
    <w:rsid w:val="00847DF5"/>
    <w:rsid w:val="008508AB"/>
    <w:rsid w:val="00850A56"/>
    <w:rsid w:val="00850C3D"/>
    <w:rsid w:val="0085170B"/>
    <w:rsid w:val="0085187E"/>
    <w:rsid w:val="00851B76"/>
    <w:rsid w:val="00851F2C"/>
    <w:rsid w:val="00852183"/>
    <w:rsid w:val="00852199"/>
    <w:rsid w:val="008522CD"/>
    <w:rsid w:val="0085309D"/>
    <w:rsid w:val="00853A99"/>
    <w:rsid w:val="008543B8"/>
    <w:rsid w:val="0085455A"/>
    <w:rsid w:val="00854D9D"/>
    <w:rsid w:val="00854DE2"/>
    <w:rsid w:val="008551C6"/>
    <w:rsid w:val="008552A6"/>
    <w:rsid w:val="008558ED"/>
    <w:rsid w:val="00855B32"/>
    <w:rsid w:val="0085616A"/>
    <w:rsid w:val="0085648D"/>
    <w:rsid w:val="00856631"/>
    <w:rsid w:val="00856869"/>
    <w:rsid w:val="00856897"/>
    <w:rsid w:val="0085689A"/>
    <w:rsid w:val="00856E9A"/>
    <w:rsid w:val="00860315"/>
    <w:rsid w:val="0086053A"/>
    <w:rsid w:val="0086075D"/>
    <w:rsid w:val="00860AB5"/>
    <w:rsid w:val="00860B70"/>
    <w:rsid w:val="00860C04"/>
    <w:rsid w:val="00860EAE"/>
    <w:rsid w:val="008612CC"/>
    <w:rsid w:val="00861854"/>
    <w:rsid w:val="00861AEB"/>
    <w:rsid w:val="00862152"/>
    <w:rsid w:val="008623F5"/>
    <w:rsid w:val="00862502"/>
    <w:rsid w:val="00862CC1"/>
    <w:rsid w:val="00862F49"/>
    <w:rsid w:val="00863238"/>
    <w:rsid w:val="008632A1"/>
    <w:rsid w:val="00863486"/>
    <w:rsid w:val="00863AA4"/>
    <w:rsid w:val="008642A7"/>
    <w:rsid w:val="00865CCD"/>
    <w:rsid w:val="00865CEC"/>
    <w:rsid w:val="0086602A"/>
    <w:rsid w:val="008660D4"/>
    <w:rsid w:val="008665C3"/>
    <w:rsid w:val="008675FD"/>
    <w:rsid w:val="00867A15"/>
    <w:rsid w:val="0087012B"/>
    <w:rsid w:val="0087096C"/>
    <w:rsid w:val="00870B89"/>
    <w:rsid w:val="00870BE0"/>
    <w:rsid w:val="00871159"/>
    <w:rsid w:val="00871FA9"/>
    <w:rsid w:val="00871FD3"/>
    <w:rsid w:val="00872123"/>
    <w:rsid w:val="00872733"/>
    <w:rsid w:val="008728E9"/>
    <w:rsid w:val="00872C3F"/>
    <w:rsid w:val="0087375A"/>
    <w:rsid w:val="00873FAE"/>
    <w:rsid w:val="0087459A"/>
    <w:rsid w:val="008745A1"/>
    <w:rsid w:val="008749E6"/>
    <w:rsid w:val="00874DBC"/>
    <w:rsid w:val="008752D3"/>
    <w:rsid w:val="0087593C"/>
    <w:rsid w:val="008771B8"/>
    <w:rsid w:val="008774AC"/>
    <w:rsid w:val="0087763A"/>
    <w:rsid w:val="00877A2F"/>
    <w:rsid w:val="00877F6E"/>
    <w:rsid w:val="0088087D"/>
    <w:rsid w:val="00880E2E"/>
    <w:rsid w:val="008810E4"/>
    <w:rsid w:val="00881618"/>
    <w:rsid w:val="00882031"/>
    <w:rsid w:val="00882441"/>
    <w:rsid w:val="00882874"/>
    <w:rsid w:val="008829C1"/>
    <w:rsid w:val="00882CAC"/>
    <w:rsid w:val="00882E3C"/>
    <w:rsid w:val="00882E6D"/>
    <w:rsid w:val="0088308A"/>
    <w:rsid w:val="00883787"/>
    <w:rsid w:val="00883D5E"/>
    <w:rsid w:val="008849F6"/>
    <w:rsid w:val="00884B1B"/>
    <w:rsid w:val="00884E85"/>
    <w:rsid w:val="0088505E"/>
    <w:rsid w:val="008855E4"/>
    <w:rsid w:val="0088584B"/>
    <w:rsid w:val="00885D5D"/>
    <w:rsid w:val="00885DF5"/>
    <w:rsid w:val="00886535"/>
    <w:rsid w:val="00886A3F"/>
    <w:rsid w:val="00886CD2"/>
    <w:rsid w:val="0088728B"/>
    <w:rsid w:val="00887FD1"/>
    <w:rsid w:val="0089023D"/>
    <w:rsid w:val="0089049E"/>
    <w:rsid w:val="008905A9"/>
    <w:rsid w:val="00891E3E"/>
    <w:rsid w:val="00891E6F"/>
    <w:rsid w:val="008923EB"/>
    <w:rsid w:val="00892713"/>
    <w:rsid w:val="0089275D"/>
    <w:rsid w:val="00892A36"/>
    <w:rsid w:val="00892F15"/>
    <w:rsid w:val="00893239"/>
    <w:rsid w:val="00893801"/>
    <w:rsid w:val="008940B9"/>
    <w:rsid w:val="0089420E"/>
    <w:rsid w:val="00894489"/>
    <w:rsid w:val="00894624"/>
    <w:rsid w:val="00894685"/>
    <w:rsid w:val="00894CD6"/>
    <w:rsid w:val="00894E07"/>
    <w:rsid w:val="0089515A"/>
    <w:rsid w:val="008952DB"/>
    <w:rsid w:val="008956B1"/>
    <w:rsid w:val="008957DA"/>
    <w:rsid w:val="00895A3E"/>
    <w:rsid w:val="00895BA8"/>
    <w:rsid w:val="00895F05"/>
    <w:rsid w:val="00895F86"/>
    <w:rsid w:val="008963A5"/>
    <w:rsid w:val="0089687D"/>
    <w:rsid w:val="00896D5D"/>
    <w:rsid w:val="00896F47"/>
    <w:rsid w:val="008970CC"/>
    <w:rsid w:val="008971E0"/>
    <w:rsid w:val="00897377"/>
    <w:rsid w:val="0089767A"/>
    <w:rsid w:val="008976C1"/>
    <w:rsid w:val="008978FD"/>
    <w:rsid w:val="00897965"/>
    <w:rsid w:val="00897A25"/>
    <w:rsid w:val="00897B68"/>
    <w:rsid w:val="00897FA8"/>
    <w:rsid w:val="008A0848"/>
    <w:rsid w:val="008A0B83"/>
    <w:rsid w:val="008A0C09"/>
    <w:rsid w:val="008A0E17"/>
    <w:rsid w:val="008A0FEF"/>
    <w:rsid w:val="008A16E7"/>
    <w:rsid w:val="008A2128"/>
    <w:rsid w:val="008A2142"/>
    <w:rsid w:val="008A2838"/>
    <w:rsid w:val="008A2AE5"/>
    <w:rsid w:val="008A2C6E"/>
    <w:rsid w:val="008A2CF1"/>
    <w:rsid w:val="008A3158"/>
    <w:rsid w:val="008A3363"/>
    <w:rsid w:val="008A3371"/>
    <w:rsid w:val="008A3C3E"/>
    <w:rsid w:val="008A41B2"/>
    <w:rsid w:val="008A457E"/>
    <w:rsid w:val="008A4D6F"/>
    <w:rsid w:val="008A4E49"/>
    <w:rsid w:val="008A50A1"/>
    <w:rsid w:val="008A5D2B"/>
    <w:rsid w:val="008A609D"/>
    <w:rsid w:val="008A6E35"/>
    <w:rsid w:val="008A756A"/>
    <w:rsid w:val="008A79DE"/>
    <w:rsid w:val="008A7A53"/>
    <w:rsid w:val="008A7BBC"/>
    <w:rsid w:val="008A7BF7"/>
    <w:rsid w:val="008A7FD7"/>
    <w:rsid w:val="008B01E4"/>
    <w:rsid w:val="008B07C4"/>
    <w:rsid w:val="008B0E5B"/>
    <w:rsid w:val="008B152A"/>
    <w:rsid w:val="008B1757"/>
    <w:rsid w:val="008B1C33"/>
    <w:rsid w:val="008B23AC"/>
    <w:rsid w:val="008B255E"/>
    <w:rsid w:val="008B284C"/>
    <w:rsid w:val="008B2F18"/>
    <w:rsid w:val="008B349E"/>
    <w:rsid w:val="008B3EDC"/>
    <w:rsid w:val="008B402E"/>
    <w:rsid w:val="008B4465"/>
    <w:rsid w:val="008B4539"/>
    <w:rsid w:val="008B4914"/>
    <w:rsid w:val="008B4B6F"/>
    <w:rsid w:val="008B507A"/>
    <w:rsid w:val="008B53D0"/>
    <w:rsid w:val="008B558D"/>
    <w:rsid w:val="008B6137"/>
    <w:rsid w:val="008B69CB"/>
    <w:rsid w:val="008B6A5D"/>
    <w:rsid w:val="008B6AAC"/>
    <w:rsid w:val="008B73A9"/>
    <w:rsid w:val="008B7992"/>
    <w:rsid w:val="008B7B83"/>
    <w:rsid w:val="008B7CD4"/>
    <w:rsid w:val="008B7D7E"/>
    <w:rsid w:val="008C0763"/>
    <w:rsid w:val="008C106E"/>
    <w:rsid w:val="008C108F"/>
    <w:rsid w:val="008C17AF"/>
    <w:rsid w:val="008C1813"/>
    <w:rsid w:val="008C1C87"/>
    <w:rsid w:val="008C1EE8"/>
    <w:rsid w:val="008C2DD9"/>
    <w:rsid w:val="008C2E87"/>
    <w:rsid w:val="008C3B87"/>
    <w:rsid w:val="008C3F1E"/>
    <w:rsid w:val="008C4372"/>
    <w:rsid w:val="008C4503"/>
    <w:rsid w:val="008C4844"/>
    <w:rsid w:val="008C4A82"/>
    <w:rsid w:val="008C4E78"/>
    <w:rsid w:val="008C5273"/>
    <w:rsid w:val="008C5610"/>
    <w:rsid w:val="008C5739"/>
    <w:rsid w:val="008C573C"/>
    <w:rsid w:val="008C5BCA"/>
    <w:rsid w:val="008C5E55"/>
    <w:rsid w:val="008C5E7B"/>
    <w:rsid w:val="008C629F"/>
    <w:rsid w:val="008C6B46"/>
    <w:rsid w:val="008C709F"/>
    <w:rsid w:val="008C7282"/>
    <w:rsid w:val="008C7359"/>
    <w:rsid w:val="008C7ECB"/>
    <w:rsid w:val="008D0907"/>
    <w:rsid w:val="008D1427"/>
    <w:rsid w:val="008D15FA"/>
    <w:rsid w:val="008D2632"/>
    <w:rsid w:val="008D2766"/>
    <w:rsid w:val="008D334A"/>
    <w:rsid w:val="008D3659"/>
    <w:rsid w:val="008D3989"/>
    <w:rsid w:val="008D3B86"/>
    <w:rsid w:val="008D3DE9"/>
    <w:rsid w:val="008D3DF7"/>
    <w:rsid w:val="008D426A"/>
    <w:rsid w:val="008D43FD"/>
    <w:rsid w:val="008D4755"/>
    <w:rsid w:val="008D476B"/>
    <w:rsid w:val="008D4787"/>
    <w:rsid w:val="008D4C3D"/>
    <w:rsid w:val="008D4CAD"/>
    <w:rsid w:val="008D506C"/>
    <w:rsid w:val="008D5087"/>
    <w:rsid w:val="008D5B06"/>
    <w:rsid w:val="008D65BA"/>
    <w:rsid w:val="008D6F40"/>
    <w:rsid w:val="008D70F3"/>
    <w:rsid w:val="008D743C"/>
    <w:rsid w:val="008D778C"/>
    <w:rsid w:val="008D7792"/>
    <w:rsid w:val="008D7856"/>
    <w:rsid w:val="008D799A"/>
    <w:rsid w:val="008D7EBD"/>
    <w:rsid w:val="008D7FD2"/>
    <w:rsid w:val="008E05CA"/>
    <w:rsid w:val="008E0635"/>
    <w:rsid w:val="008E071C"/>
    <w:rsid w:val="008E0990"/>
    <w:rsid w:val="008E0D3C"/>
    <w:rsid w:val="008E12D3"/>
    <w:rsid w:val="008E12FC"/>
    <w:rsid w:val="008E142D"/>
    <w:rsid w:val="008E1589"/>
    <w:rsid w:val="008E1B9E"/>
    <w:rsid w:val="008E2AFF"/>
    <w:rsid w:val="008E3901"/>
    <w:rsid w:val="008E3BB1"/>
    <w:rsid w:val="008E4466"/>
    <w:rsid w:val="008E4E48"/>
    <w:rsid w:val="008E5149"/>
    <w:rsid w:val="008E54D1"/>
    <w:rsid w:val="008E55AB"/>
    <w:rsid w:val="008E63DB"/>
    <w:rsid w:val="008E69BB"/>
    <w:rsid w:val="008E6E93"/>
    <w:rsid w:val="008E71D1"/>
    <w:rsid w:val="008E740F"/>
    <w:rsid w:val="008F09AE"/>
    <w:rsid w:val="008F0FC7"/>
    <w:rsid w:val="008F120A"/>
    <w:rsid w:val="008F12CB"/>
    <w:rsid w:val="008F1B76"/>
    <w:rsid w:val="008F1BD8"/>
    <w:rsid w:val="008F27E0"/>
    <w:rsid w:val="008F2B88"/>
    <w:rsid w:val="008F2FFF"/>
    <w:rsid w:val="008F3A2F"/>
    <w:rsid w:val="008F3CFF"/>
    <w:rsid w:val="008F3F1C"/>
    <w:rsid w:val="008F48EB"/>
    <w:rsid w:val="008F4A0F"/>
    <w:rsid w:val="008F4BCB"/>
    <w:rsid w:val="008F4D80"/>
    <w:rsid w:val="008F4F0B"/>
    <w:rsid w:val="008F504C"/>
    <w:rsid w:val="008F5106"/>
    <w:rsid w:val="008F64B1"/>
    <w:rsid w:val="008F6549"/>
    <w:rsid w:val="008F6B04"/>
    <w:rsid w:val="008F774A"/>
    <w:rsid w:val="0090001C"/>
    <w:rsid w:val="00900D39"/>
    <w:rsid w:val="009021D6"/>
    <w:rsid w:val="009024E7"/>
    <w:rsid w:val="009027F3"/>
    <w:rsid w:val="00902A96"/>
    <w:rsid w:val="00902CA3"/>
    <w:rsid w:val="00903B44"/>
    <w:rsid w:val="009046C4"/>
    <w:rsid w:val="00904DF9"/>
    <w:rsid w:val="009054F6"/>
    <w:rsid w:val="0090599C"/>
    <w:rsid w:val="00905BAF"/>
    <w:rsid w:val="00905CDF"/>
    <w:rsid w:val="00905D1C"/>
    <w:rsid w:val="00906049"/>
    <w:rsid w:val="009062A5"/>
    <w:rsid w:val="00907699"/>
    <w:rsid w:val="0090770D"/>
    <w:rsid w:val="00907CBE"/>
    <w:rsid w:val="00907EC4"/>
    <w:rsid w:val="009109FC"/>
    <w:rsid w:val="00910FA7"/>
    <w:rsid w:val="00911272"/>
    <w:rsid w:val="00911339"/>
    <w:rsid w:val="00911977"/>
    <w:rsid w:val="00912611"/>
    <w:rsid w:val="0091262F"/>
    <w:rsid w:val="009127CB"/>
    <w:rsid w:val="00912B4C"/>
    <w:rsid w:val="009131E7"/>
    <w:rsid w:val="00913341"/>
    <w:rsid w:val="009135D6"/>
    <w:rsid w:val="00913610"/>
    <w:rsid w:val="00913B2A"/>
    <w:rsid w:val="00913DFA"/>
    <w:rsid w:val="009140D1"/>
    <w:rsid w:val="00914174"/>
    <w:rsid w:val="009141C0"/>
    <w:rsid w:val="00914630"/>
    <w:rsid w:val="009147F9"/>
    <w:rsid w:val="00914C00"/>
    <w:rsid w:val="00914C77"/>
    <w:rsid w:val="00914E28"/>
    <w:rsid w:val="00915269"/>
    <w:rsid w:val="009152CC"/>
    <w:rsid w:val="00915945"/>
    <w:rsid w:val="009160FD"/>
    <w:rsid w:val="00916432"/>
    <w:rsid w:val="00916564"/>
    <w:rsid w:val="0091672E"/>
    <w:rsid w:val="009167BE"/>
    <w:rsid w:val="009169FE"/>
    <w:rsid w:val="00916D1E"/>
    <w:rsid w:val="00917211"/>
    <w:rsid w:val="009172E0"/>
    <w:rsid w:val="00917A58"/>
    <w:rsid w:val="00917C7B"/>
    <w:rsid w:val="00917E47"/>
    <w:rsid w:val="00917F7F"/>
    <w:rsid w:val="0091B831"/>
    <w:rsid w:val="00920369"/>
    <w:rsid w:val="0092047F"/>
    <w:rsid w:val="00921461"/>
    <w:rsid w:val="009219E1"/>
    <w:rsid w:val="00921ACB"/>
    <w:rsid w:val="00921D9B"/>
    <w:rsid w:val="00922757"/>
    <w:rsid w:val="009233E5"/>
    <w:rsid w:val="0092369B"/>
    <w:rsid w:val="00923896"/>
    <w:rsid w:val="0092399A"/>
    <w:rsid w:val="00923BAF"/>
    <w:rsid w:val="00923FE4"/>
    <w:rsid w:val="0092410A"/>
    <w:rsid w:val="00924326"/>
    <w:rsid w:val="0092554E"/>
    <w:rsid w:val="00925947"/>
    <w:rsid w:val="00926C86"/>
    <w:rsid w:val="0092726A"/>
    <w:rsid w:val="0092734F"/>
    <w:rsid w:val="009275AC"/>
    <w:rsid w:val="00927945"/>
    <w:rsid w:val="00927DF4"/>
    <w:rsid w:val="00927F4A"/>
    <w:rsid w:val="00927F9C"/>
    <w:rsid w:val="0093019A"/>
    <w:rsid w:val="00930486"/>
    <w:rsid w:val="00930B54"/>
    <w:rsid w:val="00930D88"/>
    <w:rsid w:val="00930E01"/>
    <w:rsid w:val="009312AE"/>
    <w:rsid w:val="009312BA"/>
    <w:rsid w:val="00931DE8"/>
    <w:rsid w:val="00932193"/>
    <w:rsid w:val="009324D1"/>
    <w:rsid w:val="009327D8"/>
    <w:rsid w:val="00932A9C"/>
    <w:rsid w:val="00932D50"/>
    <w:rsid w:val="00933550"/>
    <w:rsid w:val="009338A2"/>
    <w:rsid w:val="00933EB9"/>
    <w:rsid w:val="009346C4"/>
    <w:rsid w:val="00934988"/>
    <w:rsid w:val="00934CC0"/>
    <w:rsid w:val="00935531"/>
    <w:rsid w:val="009356E9"/>
    <w:rsid w:val="009359C6"/>
    <w:rsid w:val="009359F5"/>
    <w:rsid w:val="00935A4D"/>
    <w:rsid w:val="009360DF"/>
    <w:rsid w:val="009361F9"/>
    <w:rsid w:val="00936F19"/>
    <w:rsid w:val="00937089"/>
    <w:rsid w:val="00937832"/>
    <w:rsid w:val="00937B78"/>
    <w:rsid w:val="00937CA8"/>
    <w:rsid w:val="009404F9"/>
    <w:rsid w:val="0094077B"/>
    <w:rsid w:val="00940F91"/>
    <w:rsid w:val="009411FA"/>
    <w:rsid w:val="00941C9F"/>
    <w:rsid w:val="0094204E"/>
    <w:rsid w:val="0094226F"/>
    <w:rsid w:val="009422C5"/>
    <w:rsid w:val="00942472"/>
    <w:rsid w:val="00942477"/>
    <w:rsid w:val="009426E5"/>
    <w:rsid w:val="0094281E"/>
    <w:rsid w:val="009428C5"/>
    <w:rsid w:val="009430C3"/>
    <w:rsid w:val="009434CA"/>
    <w:rsid w:val="009437AE"/>
    <w:rsid w:val="0094402C"/>
    <w:rsid w:val="0094414D"/>
    <w:rsid w:val="00944397"/>
    <w:rsid w:val="00944F2D"/>
    <w:rsid w:val="00944F8A"/>
    <w:rsid w:val="0094503E"/>
    <w:rsid w:val="00946C98"/>
    <w:rsid w:val="00947A9B"/>
    <w:rsid w:val="00947D92"/>
    <w:rsid w:val="00950038"/>
    <w:rsid w:val="009504AC"/>
    <w:rsid w:val="009510A2"/>
    <w:rsid w:val="009513C4"/>
    <w:rsid w:val="00951B02"/>
    <w:rsid w:val="00952B97"/>
    <w:rsid w:val="009530E8"/>
    <w:rsid w:val="00953257"/>
    <w:rsid w:val="00953579"/>
    <w:rsid w:val="00953A6E"/>
    <w:rsid w:val="00953C0B"/>
    <w:rsid w:val="00953D76"/>
    <w:rsid w:val="00953EB1"/>
    <w:rsid w:val="00953F3F"/>
    <w:rsid w:val="00954398"/>
    <w:rsid w:val="00954522"/>
    <w:rsid w:val="0095474C"/>
    <w:rsid w:val="00954B34"/>
    <w:rsid w:val="00955ABB"/>
    <w:rsid w:val="00955BEC"/>
    <w:rsid w:val="00955C1C"/>
    <w:rsid w:val="00956C67"/>
    <w:rsid w:val="00957007"/>
    <w:rsid w:val="009570C4"/>
    <w:rsid w:val="00957121"/>
    <w:rsid w:val="00957C3D"/>
    <w:rsid w:val="00957D92"/>
    <w:rsid w:val="009600E6"/>
    <w:rsid w:val="009604E9"/>
    <w:rsid w:val="009611C7"/>
    <w:rsid w:val="009619A5"/>
    <w:rsid w:val="00961C07"/>
    <w:rsid w:val="00961C85"/>
    <w:rsid w:val="00961C92"/>
    <w:rsid w:val="00962005"/>
    <w:rsid w:val="009626A3"/>
    <w:rsid w:val="00962822"/>
    <w:rsid w:val="00962A2F"/>
    <w:rsid w:val="00962B1F"/>
    <w:rsid w:val="00962CB9"/>
    <w:rsid w:val="00962CE6"/>
    <w:rsid w:val="00963677"/>
    <w:rsid w:val="0096388C"/>
    <w:rsid w:val="0096389D"/>
    <w:rsid w:val="009639B7"/>
    <w:rsid w:val="00963DAF"/>
    <w:rsid w:val="00964312"/>
    <w:rsid w:val="00964347"/>
    <w:rsid w:val="009651E0"/>
    <w:rsid w:val="0096527F"/>
    <w:rsid w:val="00965B8A"/>
    <w:rsid w:val="00965E5E"/>
    <w:rsid w:val="009666DC"/>
    <w:rsid w:val="00966B92"/>
    <w:rsid w:val="00966EC2"/>
    <w:rsid w:val="00967254"/>
    <w:rsid w:val="009678B6"/>
    <w:rsid w:val="00967B07"/>
    <w:rsid w:val="00967DF2"/>
    <w:rsid w:val="00970100"/>
    <w:rsid w:val="00970354"/>
    <w:rsid w:val="0097071F"/>
    <w:rsid w:val="00970748"/>
    <w:rsid w:val="009717AC"/>
    <w:rsid w:val="009722EA"/>
    <w:rsid w:val="009723BD"/>
    <w:rsid w:val="009728D9"/>
    <w:rsid w:val="00973799"/>
    <w:rsid w:val="00974862"/>
    <w:rsid w:val="00974933"/>
    <w:rsid w:val="00974AD4"/>
    <w:rsid w:val="00974B2E"/>
    <w:rsid w:val="009751C1"/>
    <w:rsid w:val="0097521E"/>
    <w:rsid w:val="009756E9"/>
    <w:rsid w:val="0097604F"/>
    <w:rsid w:val="0097703F"/>
    <w:rsid w:val="009771B4"/>
    <w:rsid w:val="009772A3"/>
    <w:rsid w:val="00977BD3"/>
    <w:rsid w:val="00977E4D"/>
    <w:rsid w:val="0098049F"/>
    <w:rsid w:val="00980635"/>
    <w:rsid w:val="00980756"/>
    <w:rsid w:val="00980B50"/>
    <w:rsid w:val="009811F1"/>
    <w:rsid w:val="00981E13"/>
    <w:rsid w:val="009824C7"/>
    <w:rsid w:val="0098262F"/>
    <w:rsid w:val="00982D08"/>
    <w:rsid w:val="0098301D"/>
    <w:rsid w:val="0098330B"/>
    <w:rsid w:val="009835F1"/>
    <w:rsid w:val="00983B41"/>
    <w:rsid w:val="00983E57"/>
    <w:rsid w:val="00984C21"/>
    <w:rsid w:val="00984CA3"/>
    <w:rsid w:val="00985B37"/>
    <w:rsid w:val="00985DE2"/>
    <w:rsid w:val="009861E3"/>
    <w:rsid w:val="00986374"/>
    <w:rsid w:val="0098675D"/>
    <w:rsid w:val="00987347"/>
    <w:rsid w:val="00987623"/>
    <w:rsid w:val="00987BA4"/>
    <w:rsid w:val="00987E10"/>
    <w:rsid w:val="009900EB"/>
    <w:rsid w:val="0099016B"/>
    <w:rsid w:val="00990433"/>
    <w:rsid w:val="009904F9"/>
    <w:rsid w:val="0099053C"/>
    <w:rsid w:val="00990D20"/>
    <w:rsid w:val="00991277"/>
    <w:rsid w:val="00991C4C"/>
    <w:rsid w:val="0099207A"/>
    <w:rsid w:val="009921F1"/>
    <w:rsid w:val="00992520"/>
    <w:rsid w:val="00992653"/>
    <w:rsid w:val="009926E0"/>
    <w:rsid w:val="00992B27"/>
    <w:rsid w:val="009930EA"/>
    <w:rsid w:val="00993394"/>
    <w:rsid w:val="0099361C"/>
    <w:rsid w:val="00993C7B"/>
    <w:rsid w:val="0099451E"/>
    <w:rsid w:val="0099462D"/>
    <w:rsid w:val="00994A19"/>
    <w:rsid w:val="00994B22"/>
    <w:rsid w:val="00994BEE"/>
    <w:rsid w:val="00994F46"/>
    <w:rsid w:val="0099523E"/>
    <w:rsid w:val="00995810"/>
    <w:rsid w:val="009959FF"/>
    <w:rsid w:val="00995D06"/>
    <w:rsid w:val="00995D33"/>
    <w:rsid w:val="00995E63"/>
    <w:rsid w:val="0099606D"/>
    <w:rsid w:val="009960D2"/>
    <w:rsid w:val="009965CD"/>
    <w:rsid w:val="00996B1A"/>
    <w:rsid w:val="00996F20"/>
    <w:rsid w:val="00997735"/>
    <w:rsid w:val="00997D43"/>
    <w:rsid w:val="009A0657"/>
    <w:rsid w:val="009A0A8D"/>
    <w:rsid w:val="009A0FF1"/>
    <w:rsid w:val="009A1292"/>
    <w:rsid w:val="009A18F6"/>
    <w:rsid w:val="009A1B98"/>
    <w:rsid w:val="009A23B0"/>
    <w:rsid w:val="009A253B"/>
    <w:rsid w:val="009A2DCC"/>
    <w:rsid w:val="009A2F53"/>
    <w:rsid w:val="009A30EA"/>
    <w:rsid w:val="009A380C"/>
    <w:rsid w:val="009A4318"/>
    <w:rsid w:val="009A45F4"/>
    <w:rsid w:val="009A486D"/>
    <w:rsid w:val="009A4AED"/>
    <w:rsid w:val="009A4E22"/>
    <w:rsid w:val="009A5200"/>
    <w:rsid w:val="009A52B5"/>
    <w:rsid w:val="009A52E0"/>
    <w:rsid w:val="009A5ABC"/>
    <w:rsid w:val="009A5EF0"/>
    <w:rsid w:val="009A61DA"/>
    <w:rsid w:val="009A69F2"/>
    <w:rsid w:val="009A6C11"/>
    <w:rsid w:val="009A6CEC"/>
    <w:rsid w:val="009A77D6"/>
    <w:rsid w:val="009A792B"/>
    <w:rsid w:val="009A7F10"/>
    <w:rsid w:val="009B0585"/>
    <w:rsid w:val="009B0F5B"/>
    <w:rsid w:val="009B1183"/>
    <w:rsid w:val="009B12E8"/>
    <w:rsid w:val="009B1582"/>
    <w:rsid w:val="009B1EAB"/>
    <w:rsid w:val="009B23A9"/>
    <w:rsid w:val="009B28BB"/>
    <w:rsid w:val="009B2A69"/>
    <w:rsid w:val="009B2D17"/>
    <w:rsid w:val="009B3064"/>
    <w:rsid w:val="009B38E9"/>
    <w:rsid w:val="009B3E26"/>
    <w:rsid w:val="009B4457"/>
    <w:rsid w:val="009B5D88"/>
    <w:rsid w:val="009B64D6"/>
    <w:rsid w:val="009B66A2"/>
    <w:rsid w:val="009B7142"/>
    <w:rsid w:val="009B7A8F"/>
    <w:rsid w:val="009B7AAC"/>
    <w:rsid w:val="009C03CE"/>
    <w:rsid w:val="009C0555"/>
    <w:rsid w:val="009C0581"/>
    <w:rsid w:val="009C0590"/>
    <w:rsid w:val="009C0A34"/>
    <w:rsid w:val="009C1271"/>
    <w:rsid w:val="009C14EE"/>
    <w:rsid w:val="009C1A3C"/>
    <w:rsid w:val="009C1BD0"/>
    <w:rsid w:val="009C1CD1"/>
    <w:rsid w:val="009C326D"/>
    <w:rsid w:val="009C3352"/>
    <w:rsid w:val="009C3706"/>
    <w:rsid w:val="009C3A3A"/>
    <w:rsid w:val="009C4083"/>
    <w:rsid w:val="009C426B"/>
    <w:rsid w:val="009C4D9E"/>
    <w:rsid w:val="009C5903"/>
    <w:rsid w:val="009C599F"/>
    <w:rsid w:val="009C644B"/>
    <w:rsid w:val="009C64D7"/>
    <w:rsid w:val="009C6556"/>
    <w:rsid w:val="009C656A"/>
    <w:rsid w:val="009C6792"/>
    <w:rsid w:val="009C6CEA"/>
    <w:rsid w:val="009C6CF5"/>
    <w:rsid w:val="009C7406"/>
    <w:rsid w:val="009C7469"/>
    <w:rsid w:val="009C7B85"/>
    <w:rsid w:val="009D0096"/>
    <w:rsid w:val="009D0117"/>
    <w:rsid w:val="009D0254"/>
    <w:rsid w:val="009D02D1"/>
    <w:rsid w:val="009D052A"/>
    <w:rsid w:val="009D0670"/>
    <w:rsid w:val="009D0E95"/>
    <w:rsid w:val="009D153E"/>
    <w:rsid w:val="009D19ED"/>
    <w:rsid w:val="009D1A64"/>
    <w:rsid w:val="009D1AD8"/>
    <w:rsid w:val="009D256E"/>
    <w:rsid w:val="009D2ECD"/>
    <w:rsid w:val="009D3280"/>
    <w:rsid w:val="009D354A"/>
    <w:rsid w:val="009D3A31"/>
    <w:rsid w:val="009D3C41"/>
    <w:rsid w:val="009D3CF2"/>
    <w:rsid w:val="009D45F2"/>
    <w:rsid w:val="009D55FA"/>
    <w:rsid w:val="009D5900"/>
    <w:rsid w:val="009D5B91"/>
    <w:rsid w:val="009D5E6D"/>
    <w:rsid w:val="009D62E4"/>
    <w:rsid w:val="009D6395"/>
    <w:rsid w:val="009D6841"/>
    <w:rsid w:val="009D6BFD"/>
    <w:rsid w:val="009D6F2E"/>
    <w:rsid w:val="009D7359"/>
    <w:rsid w:val="009D73CD"/>
    <w:rsid w:val="009D792E"/>
    <w:rsid w:val="009D7BC2"/>
    <w:rsid w:val="009D7C70"/>
    <w:rsid w:val="009E041A"/>
    <w:rsid w:val="009E070D"/>
    <w:rsid w:val="009E07B5"/>
    <w:rsid w:val="009E0DFE"/>
    <w:rsid w:val="009E0EC5"/>
    <w:rsid w:val="009E10C1"/>
    <w:rsid w:val="009E1503"/>
    <w:rsid w:val="009E1C1F"/>
    <w:rsid w:val="009E1C41"/>
    <w:rsid w:val="009E1F42"/>
    <w:rsid w:val="009E259E"/>
    <w:rsid w:val="009E2623"/>
    <w:rsid w:val="009E27CC"/>
    <w:rsid w:val="009E2939"/>
    <w:rsid w:val="009E31F6"/>
    <w:rsid w:val="009E33CD"/>
    <w:rsid w:val="009E399D"/>
    <w:rsid w:val="009E3C63"/>
    <w:rsid w:val="009E3D8C"/>
    <w:rsid w:val="009E3DBD"/>
    <w:rsid w:val="009E42EA"/>
    <w:rsid w:val="009E4477"/>
    <w:rsid w:val="009E4C07"/>
    <w:rsid w:val="009E50B5"/>
    <w:rsid w:val="009E5717"/>
    <w:rsid w:val="009E572F"/>
    <w:rsid w:val="009E5A36"/>
    <w:rsid w:val="009E60A6"/>
    <w:rsid w:val="009E6275"/>
    <w:rsid w:val="009E6B0E"/>
    <w:rsid w:val="009E6EDF"/>
    <w:rsid w:val="009E74E9"/>
    <w:rsid w:val="009E7570"/>
    <w:rsid w:val="009E777F"/>
    <w:rsid w:val="009E7798"/>
    <w:rsid w:val="009F03D1"/>
    <w:rsid w:val="009F0685"/>
    <w:rsid w:val="009F125D"/>
    <w:rsid w:val="009F13FD"/>
    <w:rsid w:val="009F17FE"/>
    <w:rsid w:val="009F19E0"/>
    <w:rsid w:val="009F1E4E"/>
    <w:rsid w:val="009F214F"/>
    <w:rsid w:val="009F21AF"/>
    <w:rsid w:val="009F2635"/>
    <w:rsid w:val="009F29B8"/>
    <w:rsid w:val="009F3209"/>
    <w:rsid w:val="009F332E"/>
    <w:rsid w:val="009F3700"/>
    <w:rsid w:val="009F4268"/>
    <w:rsid w:val="009F49A7"/>
    <w:rsid w:val="009F4AA1"/>
    <w:rsid w:val="009F4C1D"/>
    <w:rsid w:val="009F4E7C"/>
    <w:rsid w:val="009F586D"/>
    <w:rsid w:val="009F59B0"/>
    <w:rsid w:val="009F6120"/>
    <w:rsid w:val="009F6553"/>
    <w:rsid w:val="009F6C6A"/>
    <w:rsid w:val="009F7035"/>
    <w:rsid w:val="009F7783"/>
    <w:rsid w:val="009F7B86"/>
    <w:rsid w:val="009F7D61"/>
    <w:rsid w:val="00A004CA"/>
    <w:rsid w:val="00A00B95"/>
    <w:rsid w:val="00A00D76"/>
    <w:rsid w:val="00A01184"/>
    <w:rsid w:val="00A013ED"/>
    <w:rsid w:val="00A01449"/>
    <w:rsid w:val="00A017B7"/>
    <w:rsid w:val="00A027E8"/>
    <w:rsid w:val="00A0333B"/>
    <w:rsid w:val="00A037C2"/>
    <w:rsid w:val="00A038FD"/>
    <w:rsid w:val="00A03992"/>
    <w:rsid w:val="00A03AEE"/>
    <w:rsid w:val="00A03C14"/>
    <w:rsid w:val="00A03D43"/>
    <w:rsid w:val="00A03DB2"/>
    <w:rsid w:val="00A040B2"/>
    <w:rsid w:val="00A041E3"/>
    <w:rsid w:val="00A04380"/>
    <w:rsid w:val="00A0443C"/>
    <w:rsid w:val="00A04786"/>
    <w:rsid w:val="00A047DC"/>
    <w:rsid w:val="00A04A35"/>
    <w:rsid w:val="00A04C1D"/>
    <w:rsid w:val="00A04D73"/>
    <w:rsid w:val="00A0515E"/>
    <w:rsid w:val="00A05472"/>
    <w:rsid w:val="00A054FC"/>
    <w:rsid w:val="00A058FA"/>
    <w:rsid w:val="00A059D1"/>
    <w:rsid w:val="00A05C32"/>
    <w:rsid w:val="00A05EED"/>
    <w:rsid w:val="00A05F01"/>
    <w:rsid w:val="00A061C0"/>
    <w:rsid w:val="00A0653F"/>
    <w:rsid w:val="00A06B65"/>
    <w:rsid w:val="00A07973"/>
    <w:rsid w:val="00A07DF9"/>
    <w:rsid w:val="00A07FC4"/>
    <w:rsid w:val="00A103CD"/>
    <w:rsid w:val="00A1055E"/>
    <w:rsid w:val="00A10727"/>
    <w:rsid w:val="00A10857"/>
    <w:rsid w:val="00A109B2"/>
    <w:rsid w:val="00A109BB"/>
    <w:rsid w:val="00A1117E"/>
    <w:rsid w:val="00A11270"/>
    <w:rsid w:val="00A11CD0"/>
    <w:rsid w:val="00A12329"/>
    <w:rsid w:val="00A12C1F"/>
    <w:rsid w:val="00A13948"/>
    <w:rsid w:val="00A13A4A"/>
    <w:rsid w:val="00A13AEC"/>
    <w:rsid w:val="00A13C69"/>
    <w:rsid w:val="00A13E80"/>
    <w:rsid w:val="00A14134"/>
    <w:rsid w:val="00A14393"/>
    <w:rsid w:val="00A143A0"/>
    <w:rsid w:val="00A14746"/>
    <w:rsid w:val="00A15008"/>
    <w:rsid w:val="00A15053"/>
    <w:rsid w:val="00A154B3"/>
    <w:rsid w:val="00A1555B"/>
    <w:rsid w:val="00A155C5"/>
    <w:rsid w:val="00A15797"/>
    <w:rsid w:val="00A15A32"/>
    <w:rsid w:val="00A15A47"/>
    <w:rsid w:val="00A15F21"/>
    <w:rsid w:val="00A163B5"/>
    <w:rsid w:val="00A164D9"/>
    <w:rsid w:val="00A16786"/>
    <w:rsid w:val="00A16AD8"/>
    <w:rsid w:val="00A16D21"/>
    <w:rsid w:val="00A16EFA"/>
    <w:rsid w:val="00A16FA4"/>
    <w:rsid w:val="00A178BC"/>
    <w:rsid w:val="00A17A3A"/>
    <w:rsid w:val="00A2021E"/>
    <w:rsid w:val="00A207A3"/>
    <w:rsid w:val="00A210C0"/>
    <w:rsid w:val="00A2167C"/>
    <w:rsid w:val="00A21C95"/>
    <w:rsid w:val="00A21CF3"/>
    <w:rsid w:val="00A21D26"/>
    <w:rsid w:val="00A22055"/>
    <w:rsid w:val="00A22624"/>
    <w:rsid w:val="00A2262E"/>
    <w:rsid w:val="00A227BD"/>
    <w:rsid w:val="00A227EA"/>
    <w:rsid w:val="00A22A91"/>
    <w:rsid w:val="00A23177"/>
    <w:rsid w:val="00A23664"/>
    <w:rsid w:val="00A2376B"/>
    <w:rsid w:val="00A23898"/>
    <w:rsid w:val="00A23E53"/>
    <w:rsid w:val="00A24025"/>
    <w:rsid w:val="00A2403E"/>
    <w:rsid w:val="00A24813"/>
    <w:rsid w:val="00A2500F"/>
    <w:rsid w:val="00A254D3"/>
    <w:rsid w:val="00A2559F"/>
    <w:rsid w:val="00A25625"/>
    <w:rsid w:val="00A2591D"/>
    <w:rsid w:val="00A25A00"/>
    <w:rsid w:val="00A25DB1"/>
    <w:rsid w:val="00A25E2D"/>
    <w:rsid w:val="00A260E6"/>
    <w:rsid w:val="00A265E7"/>
    <w:rsid w:val="00A26E1C"/>
    <w:rsid w:val="00A27AEC"/>
    <w:rsid w:val="00A30A99"/>
    <w:rsid w:val="00A30E3E"/>
    <w:rsid w:val="00A310AE"/>
    <w:rsid w:val="00A31310"/>
    <w:rsid w:val="00A3195A"/>
    <w:rsid w:val="00A31EF0"/>
    <w:rsid w:val="00A32051"/>
    <w:rsid w:val="00A320DB"/>
    <w:rsid w:val="00A3273A"/>
    <w:rsid w:val="00A33BCF"/>
    <w:rsid w:val="00A33C40"/>
    <w:rsid w:val="00A33DA4"/>
    <w:rsid w:val="00A33E43"/>
    <w:rsid w:val="00A341FF"/>
    <w:rsid w:val="00A34CF6"/>
    <w:rsid w:val="00A356BC"/>
    <w:rsid w:val="00A35D16"/>
    <w:rsid w:val="00A36331"/>
    <w:rsid w:val="00A3635F"/>
    <w:rsid w:val="00A36491"/>
    <w:rsid w:val="00A36DC1"/>
    <w:rsid w:val="00A37708"/>
    <w:rsid w:val="00A37895"/>
    <w:rsid w:val="00A379D2"/>
    <w:rsid w:val="00A37BCD"/>
    <w:rsid w:val="00A37F7E"/>
    <w:rsid w:val="00A40323"/>
    <w:rsid w:val="00A40C13"/>
    <w:rsid w:val="00A41689"/>
    <w:rsid w:val="00A416B9"/>
    <w:rsid w:val="00A41F1F"/>
    <w:rsid w:val="00A42200"/>
    <w:rsid w:val="00A4251C"/>
    <w:rsid w:val="00A42559"/>
    <w:rsid w:val="00A42592"/>
    <w:rsid w:val="00A429A0"/>
    <w:rsid w:val="00A4329D"/>
    <w:rsid w:val="00A432AB"/>
    <w:rsid w:val="00A43C59"/>
    <w:rsid w:val="00A43F9B"/>
    <w:rsid w:val="00A44EF7"/>
    <w:rsid w:val="00A45117"/>
    <w:rsid w:val="00A45249"/>
    <w:rsid w:val="00A45B19"/>
    <w:rsid w:val="00A45D57"/>
    <w:rsid w:val="00A464DC"/>
    <w:rsid w:val="00A46CA2"/>
    <w:rsid w:val="00A46E65"/>
    <w:rsid w:val="00A474AE"/>
    <w:rsid w:val="00A475B2"/>
    <w:rsid w:val="00A4774D"/>
    <w:rsid w:val="00A47773"/>
    <w:rsid w:val="00A47D69"/>
    <w:rsid w:val="00A504B5"/>
    <w:rsid w:val="00A5099E"/>
    <w:rsid w:val="00A50ECD"/>
    <w:rsid w:val="00A518F3"/>
    <w:rsid w:val="00A51A8F"/>
    <w:rsid w:val="00A52729"/>
    <w:rsid w:val="00A5297D"/>
    <w:rsid w:val="00A52D05"/>
    <w:rsid w:val="00A53675"/>
    <w:rsid w:val="00A53997"/>
    <w:rsid w:val="00A53E23"/>
    <w:rsid w:val="00A540B9"/>
    <w:rsid w:val="00A54D75"/>
    <w:rsid w:val="00A5559A"/>
    <w:rsid w:val="00A5561A"/>
    <w:rsid w:val="00A55996"/>
    <w:rsid w:val="00A55D56"/>
    <w:rsid w:val="00A5627B"/>
    <w:rsid w:val="00A564D7"/>
    <w:rsid w:val="00A5669F"/>
    <w:rsid w:val="00A56B6A"/>
    <w:rsid w:val="00A56C0B"/>
    <w:rsid w:val="00A56D72"/>
    <w:rsid w:val="00A56E40"/>
    <w:rsid w:val="00A56F3A"/>
    <w:rsid w:val="00A57043"/>
    <w:rsid w:val="00A578DC"/>
    <w:rsid w:val="00A57BC6"/>
    <w:rsid w:val="00A600C6"/>
    <w:rsid w:val="00A60120"/>
    <w:rsid w:val="00A60184"/>
    <w:rsid w:val="00A615AC"/>
    <w:rsid w:val="00A61BF1"/>
    <w:rsid w:val="00A61CD4"/>
    <w:rsid w:val="00A61E4A"/>
    <w:rsid w:val="00A61E62"/>
    <w:rsid w:val="00A620E9"/>
    <w:rsid w:val="00A6218D"/>
    <w:rsid w:val="00A624BA"/>
    <w:rsid w:val="00A62585"/>
    <w:rsid w:val="00A62669"/>
    <w:rsid w:val="00A62B0E"/>
    <w:rsid w:val="00A63888"/>
    <w:rsid w:val="00A63E05"/>
    <w:rsid w:val="00A63FB8"/>
    <w:rsid w:val="00A640E2"/>
    <w:rsid w:val="00A64529"/>
    <w:rsid w:val="00A64650"/>
    <w:rsid w:val="00A646CE"/>
    <w:rsid w:val="00A64717"/>
    <w:rsid w:val="00A64C2E"/>
    <w:rsid w:val="00A64D65"/>
    <w:rsid w:val="00A655BF"/>
    <w:rsid w:val="00A6725B"/>
    <w:rsid w:val="00A672C9"/>
    <w:rsid w:val="00A6770C"/>
    <w:rsid w:val="00A67931"/>
    <w:rsid w:val="00A67CD0"/>
    <w:rsid w:val="00A67D36"/>
    <w:rsid w:val="00A67F48"/>
    <w:rsid w:val="00A70537"/>
    <w:rsid w:val="00A70605"/>
    <w:rsid w:val="00A70C2D"/>
    <w:rsid w:val="00A7101D"/>
    <w:rsid w:val="00A71074"/>
    <w:rsid w:val="00A711DE"/>
    <w:rsid w:val="00A71406"/>
    <w:rsid w:val="00A71897"/>
    <w:rsid w:val="00A71A70"/>
    <w:rsid w:val="00A7228A"/>
    <w:rsid w:val="00A725E0"/>
    <w:rsid w:val="00A72809"/>
    <w:rsid w:val="00A73134"/>
    <w:rsid w:val="00A73494"/>
    <w:rsid w:val="00A7353C"/>
    <w:rsid w:val="00A7365A"/>
    <w:rsid w:val="00A73EA9"/>
    <w:rsid w:val="00A7520B"/>
    <w:rsid w:val="00A75E5A"/>
    <w:rsid w:val="00A76001"/>
    <w:rsid w:val="00A7613D"/>
    <w:rsid w:val="00A76C4E"/>
    <w:rsid w:val="00A775AA"/>
    <w:rsid w:val="00A777B2"/>
    <w:rsid w:val="00A778EE"/>
    <w:rsid w:val="00A77BE3"/>
    <w:rsid w:val="00A80089"/>
    <w:rsid w:val="00A80901"/>
    <w:rsid w:val="00A80E94"/>
    <w:rsid w:val="00A81287"/>
    <w:rsid w:val="00A81E3A"/>
    <w:rsid w:val="00A81F64"/>
    <w:rsid w:val="00A825D4"/>
    <w:rsid w:val="00A828F6"/>
    <w:rsid w:val="00A82A55"/>
    <w:rsid w:val="00A82B73"/>
    <w:rsid w:val="00A82C0C"/>
    <w:rsid w:val="00A82CB0"/>
    <w:rsid w:val="00A8456B"/>
    <w:rsid w:val="00A847DC"/>
    <w:rsid w:val="00A8502B"/>
    <w:rsid w:val="00A850A6"/>
    <w:rsid w:val="00A85AC0"/>
    <w:rsid w:val="00A862FF"/>
    <w:rsid w:val="00A86E8B"/>
    <w:rsid w:val="00A86FF3"/>
    <w:rsid w:val="00A87164"/>
    <w:rsid w:val="00A871A9"/>
    <w:rsid w:val="00A872A6"/>
    <w:rsid w:val="00A873BE"/>
    <w:rsid w:val="00A903AE"/>
    <w:rsid w:val="00A90656"/>
    <w:rsid w:val="00A9068E"/>
    <w:rsid w:val="00A90699"/>
    <w:rsid w:val="00A90B72"/>
    <w:rsid w:val="00A90B91"/>
    <w:rsid w:val="00A91458"/>
    <w:rsid w:val="00A915F7"/>
    <w:rsid w:val="00A91B73"/>
    <w:rsid w:val="00A924C6"/>
    <w:rsid w:val="00A926AA"/>
    <w:rsid w:val="00A9278E"/>
    <w:rsid w:val="00A93072"/>
    <w:rsid w:val="00A93307"/>
    <w:rsid w:val="00A935BB"/>
    <w:rsid w:val="00A938BD"/>
    <w:rsid w:val="00A93953"/>
    <w:rsid w:val="00A93E03"/>
    <w:rsid w:val="00A9426A"/>
    <w:rsid w:val="00A9535E"/>
    <w:rsid w:val="00A959D8"/>
    <w:rsid w:val="00A95C5A"/>
    <w:rsid w:val="00A96546"/>
    <w:rsid w:val="00A96AF8"/>
    <w:rsid w:val="00A96C4B"/>
    <w:rsid w:val="00A96E0F"/>
    <w:rsid w:val="00A96F3D"/>
    <w:rsid w:val="00A9737A"/>
    <w:rsid w:val="00A97434"/>
    <w:rsid w:val="00A97990"/>
    <w:rsid w:val="00A97C54"/>
    <w:rsid w:val="00AA0368"/>
    <w:rsid w:val="00AA0ADA"/>
    <w:rsid w:val="00AA113D"/>
    <w:rsid w:val="00AA138B"/>
    <w:rsid w:val="00AA1589"/>
    <w:rsid w:val="00AA15A0"/>
    <w:rsid w:val="00AA295B"/>
    <w:rsid w:val="00AA2B3A"/>
    <w:rsid w:val="00AA2D56"/>
    <w:rsid w:val="00AA31A9"/>
    <w:rsid w:val="00AA3A2D"/>
    <w:rsid w:val="00AA3A79"/>
    <w:rsid w:val="00AA3E92"/>
    <w:rsid w:val="00AA46AE"/>
    <w:rsid w:val="00AA574B"/>
    <w:rsid w:val="00AA60FA"/>
    <w:rsid w:val="00AA6398"/>
    <w:rsid w:val="00AA6BD5"/>
    <w:rsid w:val="00AA6BD8"/>
    <w:rsid w:val="00AA6C7D"/>
    <w:rsid w:val="00AA710F"/>
    <w:rsid w:val="00AA7122"/>
    <w:rsid w:val="00AA77DC"/>
    <w:rsid w:val="00AA7BC2"/>
    <w:rsid w:val="00AA7BE8"/>
    <w:rsid w:val="00AA7C04"/>
    <w:rsid w:val="00AA7FD6"/>
    <w:rsid w:val="00AB042A"/>
    <w:rsid w:val="00AB07A0"/>
    <w:rsid w:val="00AB0917"/>
    <w:rsid w:val="00AB0CC9"/>
    <w:rsid w:val="00AB1146"/>
    <w:rsid w:val="00AB11AD"/>
    <w:rsid w:val="00AB19EF"/>
    <w:rsid w:val="00AB1B8E"/>
    <w:rsid w:val="00AB2219"/>
    <w:rsid w:val="00AB2230"/>
    <w:rsid w:val="00AB2495"/>
    <w:rsid w:val="00AB2A8E"/>
    <w:rsid w:val="00AB2AB4"/>
    <w:rsid w:val="00AB2BA0"/>
    <w:rsid w:val="00AB2D34"/>
    <w:rsid w:val="00AB3029"/>
    <w:rsid w:val="00AB3430"/>
    <w:rsid w:val="00AB37B9"/>
    <w:rsid w:val="00AB4039"/>
    <w:rsid w:val="00AB46F4"/>
    <w:rsid w:val="00AB48AA"/>
    <w:rsid w:val="00AB4AD1"/>
    <w:rsid w:val="00AB4EAB"/>
    <w:rsid w:val="00AB5689"/>
    <w:rsid w:val="00AB5898"/>
    <w:rsid w:val="00AB5ADB"/>
    <w:rsid w:val="00AB5C5C"/>
    <w:rsid w:val="00AB5E07"/>
    <w:rsid w:val="00AB5E78"/>
    <w:rsid w:val="00AB612E"/>
    <w:rsid w:val="00AB6180"/>
    <w:rsid w:val="00AB648A"/>
    <w:rsid w:val="00AB672F"/>
    <w:rsid w:val="00AB6CEC"/>
    <w:rsid w:val="00AB73BD"/>
    <w:rsid w:val="00AB73E4"/>
    <w:rsid w:val="00AB7CFA"/>
    <w:rsid w:val="00AC072F"/>
    <w:rsid w:val="00AC0796"/>
    <w:rsid w:val="00AC0AC0"/>
    <w:rsid w:val="00AC1317"/>
    <w:rsid w:val="00AC137D"/>
    <w:rsid w:val="00AC151A"/>
    <w:rsid w:val="00AC1CE2"/>
    <w:rsid w:val="00AC231E"/>
    <w:rsid w:val="00AC273B"/>
    <w:rsid w:val="00AC28F1"/>
    <w:rsid w:val="00AC2E40"/>
    <w:rsid w:val="00AC33DD"/>
    <w:rsid w:val="00AC3AFC"/>
    <w:rsid w:val="00AC4294"/>
    <w:rsid w:val="00AC45A7"/>
    <w:rsid w:val="00AC4845"/>
    <w:rsid w:val="00AC5A76"/>
    <w:rsid w:val="00AC5B42"/>
    <w:rsid w:val="00AC5B48"/>
    <w:rsid w:val="00AC651A"/>
    <w:rsid w:val="00AC667E"/>
    <w:rsid w:val="00AC66EE"/>
    <w:rsid w:val="00AC682C"/>
    <w:rsid w:val="00AC6B18"/>
    <w:rsid w:val="00AC7662"/>
    <w:rsid w:val="00AD0214"/>
    <w:rsid w:val="00AD037D"/>
    <w:rsid w:val="00AD0432"/>
    <w:rsid w:val="00AD0D19"/>
    <w:rsid w:val="00AD0E4A"/>
    <w:rsid w:val="00AD12F6"/>
    <w:rsid w:val="00AD1450"/>
    <w:rsid w:val="00AD15E8"/>
    <w:rsid w:val="00AD18DD"/>
    <w:rsid w:val="00AD1C1A"/>
    <w:rsid w:val="00AD1DE6"/>
    <w:rsid w:val="00AD279F"/>
    <w:rsid w:val="00AD2F14"/>
    <w:rsid w:val="00AD3173"/>
    <w:rsid w:val="00AD3346"/>
    <w:rsid w:val="00AD34B8"/>
    <w:rsid w:val="00AD356D"/>
    <w:rsid w:val="00AD38ED"/>
    <w:rsid w:val="00AD3ECA"/>
    <w:rsid w:val="00AD40DB"/>
    <w:rsid w:val="00AD455E"/>
    <w:rsid w:val="00AD5459"/>
    <w:rsid w:val="00AD56F2"/>
    <w:rsid w:val="00AD6041"/>
    <w:rsid w:val="00AD6502"/>
    <w:rsid w:val="00AD6B30"/>
    <w:rsid w:val="00AD6B6A"/>
    <w:rsid w:val="00AD6C4E"/>
    <w:rsid w:val="00AD6DE9"/>
    <w:rsid w:val="00AD7849"/>
    <w:rsid w:val="00AE01BE"/>
    <w:rsid w:val="00AE0695"/>
    <w:rsid w:val="00AE20E5"/>
    <w:rsid w:val="00AE2534"/>
    <w:rsid w:val="00AE33D2"/>
    <w:rsid w:val="00AE3E7E"/>
    <w:rsid w:val="00AE3F2A"/>
    <w:rsid w:val="00AE4A66"/>
    <w:rsid w:val="00AE4DE4"/>
    <w:rsid w:val="00AE5336"/>
    <w:rsid w:val="00AE561E"/>
    <w:rsid w:val="00AE57B9"/>
    <w:rsid w:val="00AE5C26"/>
    <w:rsid w:val="00AE6115"/>
    <w:rsid w:val="00AE68C6"/>
    <w:rsid w:val="00AE6AD5"/>
    <w:rsid w:val="00AE6F21"/>
    <w:rsid w:val="00AE6F3E"/>
    <w:rsid w:val="00AE6F8B"/>
    <w:rsid w:val="00AE718B"/>
    <w:rsid w:val="00AE71F4"/>
    <w:rsid w:val="00AE720C"/>
    <w:rsid w:val="00AE733A"/>
    <w:rsid w:val="00AE7415"/>
    <w:rsid w:val="00AE7E53"/>
    <w:rsid w:val="00AF0317"/>
    <w:rsid w:val="00AF1008"/>
    <w:rsid w:val="00AF1315"/>
    <w:rsid w:val="00AF1646"/>
    <w:rsid w:val="00AF19BF"/>
    <w:rsid w:val="00AF1E0E"/>
    <w:rsid w:val="00AF1EF4"/>
    <w:rsid w:val="00AF23AB"/>
    <w:rsid w:val="00AF275E"/>
    <w:rsid w:val="00AF2DC3"/>
    <w:rsid w:val="00AF3026"/>
    <w:rsid w:val="00AF36C5"/>
    <w:rsid w:val="00AF381B"/>
    <w:rsid w:val="00AF3DF7"/>
    <w:rsid w:val="00AF4043"/>
    <w:rsid w:val="00AF43A4"/>
    <w:rsid w:val="00AF4446"/>
    <w:rsid w:val="00AF45AF"/>
    <w:rsid w:val="00AF4A55"/>
    <w:rsid w:val="00AF4F91"/>
    <w:rsid w:val="00AF556F"/>
    <w:rsid w:val="00AF5CF3"/>
    <w:rsid w:val="00AF62C7"/>
    <w:rsid w:val="00AF643C"/>
    <w:rsid w:val="00AF6853"/>
    <w:rsid w:val="00AF6F5D"/>
    <w:rsid w:val="00AF7EAB"/>
    <w:rsid w:val="00B0059C"/>
    <w:rsid w:val="00B007EE"/>
    <w:rsid w:val="00B00D05"/>
    <w:rsid w:val="00B01108"/>
    <w:rsid w:val="00B0148D"/>
    <w:rsid w:val="00B02094"/>
    <w:rsid w:val="00B020E8"/>
    <w:rsid w:val="00B02348"/>
    <w:rsid w:val="00B025E1"/>
    <w:rsid w:val="00B030AB"/>
    <w:rsid w:val="00B033E5"/>
    <w:rsid w:val="00B03584"/>
    <w:rsid w:val="00B03A63"/>
    <w:rsid w:val="00B03EE9"/>
    <w:rsid w:val="00B045F7"/>
    <w:rsid w:val="00B04A9C"/>
    <w:rsid w:val="00B05EC9"/>
    <w:rsid w:val="00B0606E"/>
    <w:rsid w:val="00B0644F"/>
    <w:rsid w:val="00B06BE6"/>
    <w:rsid w:val="00B06EB7"/>
    <w:rsid w:val="00B070D2"/>
    <w:rsid w:val="00B108EE"/>
    <w:rsid w:val="00B11E35"/>
    <w:rsid w:val="00B11E9B"/>
    <w:rsid w:val="00B12143"/>
    <w:rsid w:val="00B12172"/>
    <w:rsid w:val="00B129A4"/>
    <w:rsid w:val="00B12DD2"/>
    <w:rsid w:val="00B13320"/>
    <w:rsid w:val="00B13C18"/>
    <w:rsid w:val="00B13C29"/>
    <w:rsid w:val="00B13FEC"/>
    <w:rsid w:val="00B141CC"/>
    <w:rsid w:val="00B14556"/>
    <w:rsid w:val="00B1491C"/>
    <w:rsid w:val="00B14FDF"/>
    <w:rsid w:val="00B15A6C"/>
    <w:rsid w:val="00B15B8B"/>
    <w:rsid w:val="00B15FA2"/>
    <w:rsid w:val="00B16153"/>
    <w:rsid w:val="00B165F7"/>
    <w:rsid w:val="00B166AD"/>
    <w:rsid w:val="00B17EB7"/>
    <w:rsid w:val="00B20150"/>
    <w:rsid w:val="00B201A4"/>
    <w:rsid w:val="00B201D1"/>
    <w:rsid w:val="00B20950"/>
    <w:rsid w:val="00B20B00"/>
    <w:rsid w:val="00B213A6"/>
    <w:rsid w:val="00B21C3B"/>
    <w:rsid w:val="00B21F88"/>
    <w:rsid w:val="00B21FBC"/>
    <w:rsid w:val="00B235B0"/>
    <w:rsid w:val="00B2360F"/>
    <w:rsid w:val="00B23ED2"/>
    <w:rsid w:val="00B244F5"/>
    <w:rsid w:val="00B24892"/>
    <w:rsid w:val="00B24B15"/>
    <w:rsid w:val="00B24DF6"/>
    <w:rsid w:val="00B253CF"/>
    <w:rsid w:val="00B255D9"/>
    <w:rsid w:val="00B26264"/>
    <w:rsid w:val="00B26FA3"/>
    <w:rsid w:val="00B27A61"/>
    <w:rsid w:val="00B27AC2"/>
    <w:rsid w:val="00B27F66"/>
    <w:rsid w:val="00B30ECB"/>
    <w:rsid w:val="00B31240"/>
    <w:rsid w:val="00B31728"/>
    <w:rsid w:val="00B31BDB"/>
    <w:rsid w:val="00B31E97"/>
    <w:rsid w:val="00B31F6F"/>
    <w:rsid w:val="00B32047"/>
    <w:rsid w:val="00B323E0"/>
    <w:rsid w:val="00B32642"/>
    <w:rsid w:val="00B329F2"/>
    <w:rsid w:val="00B329FD"/>
    <w:rsid w:val="00B32B06"/>
    <w:rsid w:val="00B32C3E"/>
    <w:rsid w:val="00B32CD9"/>
    <w:rsid w:val="00B33271"/>
    <w:rsid w:val="00B33474"/>
    <w:rsid w:val="00B33659"/>
    <w:rsid w:val="00B344A3"/>
    <w:rsid w:val="00B34600"/>
    <w:rsid w:val="00B34FE2"/>
    <w:rsid w:val="00B35166"/>
    <w:rsid w:val="00B35373"/>
    <w:rsid w:val="00B357D8"/>
    <w:rsid w:val="00B35D2E"/>
    <w:rsid w:val="00B360F4"/>
    <w:rsid w:val="00B3620D"/>
    <w:rsid w:val="00B36A00"/>
    <w:rsid w:val="00B36EF0"/>
    <w:rsid w:val="00B36FAE"/>
    <w:rsid w:val="00B3779E"/>
    <w:rsid w:val="00B378BA"/>
    <w:rsid w:val="00B3792B"/>
    <w:rsid w:val="00B37BFC"/>
    <w:rsid w:val="00B37EBA"/>
    <w:rsid w:val="00B37ECD"/>
    <w:rsid w:val="00B37F47"/>
    <w:rsid w:val="00B40284"/>
    <w:rsid w:val="00B40358"/>
    <w:rsid w:val="00B403C9"/>
    <w:rsid w:val="00B40655"/>
    <w:rsid w:val="00B40C35"/>
    <w:rsid w:val="00B40D1D"/>
    <w:rsid w:val="00B40DD3"/>
    <w:rsid w:val="00B41118"/>
    <w:rsid w:val="00B41232"/>
    <w:rsid w:val="00B413F7"/>
    <w:rsid w:val="00B41614"/>
    <w:rsid w:val="00B41A85"/>
    <w:rsid w:val="00B4221A"/>
    <w:rsid w:val="00B425E3"/>
    <w:rsid w:val="00B42851"/>
    <w:rsid w:val="00B42B2F"/>
    <w:rsid w:val="00B42C7E"/>
    <w:rsid w:val="00B42F80"/>
    <w:rsid w:val="00B435CB"/>
    <w:rsid w:val="00B435E5"/>
    <w:rsid w:val="00B439E0"/>
    <w:rsid w:val="00B43B15"/>
    <w:rsid w:val="00B43CCD"/>
    <w:rsid w:val="00B4487F"/>
    <w:rsid w:val="00B44A7F"/>
    <w:rsid w:val="00B44D0A"/>
    <w:rsid w:val="00B44E00"/>
    <w:rsid w:val="00B44E86"/>
    <w:rsid w:val="00B451DD"/>
    <w:rsid w:val="00B455DF"/>
    <w:rsid w:val="00B4574A"/>
    <w:rsid w:val="00B45779"/>
    <w:rsid w:val="00B45B1D"/>
    <w:rsid w:val="00B46500"/>
    <w:rsid w:val="00B465EC"/>
    <w:rsid w:val="00B476BB"/>
    <w:rsid w:val="00B50267"/>
    <w:rsid w:val="00B505C8"/>
    <w:rsid w:val="00B508A3"/>
    <w:rsid w:val="00B50DB8"/>
    <w:rsid w:val="00B51025"/>
    <w:rsid w:val="00B520E0"/>
    <w:rsid w:val="00B525C9"/>
    <w:rsid w:val="00B52DFA"/>
    <w:rsid w:val="00B52EBD"/>
    <w:rsid w:val="00B53324"/>
    <w:rsid w:val="00B53654"/>
    <w:rsid w:val="00B53875"/>
    <w:rsid w:val="00B53905"/>
    <w:rsid w:val="00B545DF"/>
    <w:rsid w:val="00B546DB"/>
    <w:rsid w:val="00B54B5B"/>
    <w:rsid w:val="00B550DD"/>
    <w:rsid w:val="00B552EF"/>
    <w:rsid w:val="00B5562E"/>
    <w:rsid w:val="00B55862"/>
    <w:rsid w:val="00B55C74"/>
    <w:rsid w:val="00B55D65"/>
    <w:rsid w:val="00B55ECA"/>
    <w:rsid w:val="00B56202"/>
    <w:rsid w:val="00B56305"/>
    <w:rsid w:val="00B56724"/>
    <w:rsid w:val="00B57000"/>
    <w:rsid w:val="00B57373"/>
    <w:rsid w:val="00B57605"/>
    <w:rsid w:val="00B577B8"/>
    <w:rsid w:val="00B57C0A"/>
    <w:rsid w:val="00B57C54"/>
    <w:rsid w:val="00B601D0"/>
    <w:rsid w:val="00B60483"/>
    <w:rsid w:val="00B607F3"/>
    <w:rsid w:val="00B6087C"/>
    <w:rsid w:val="00B608CC"/>
    <w:rsid w:val="00B60939"/>
    <w:rsid w:val="00B60AFD"/>
    <w:rsid w:val="00B6185D"/>
    <w:rsid w:val="00B61AB4"/>
    <w:rsid w:val="00B61E1D"/>
    <w:rsid w:val="00B622A1"/>
    <w:rsid w:val="00B625C9"/>
    <w:rsid w:val="00B62715"/>
    <w:rsid w:val="00B6303A"/>
    <w:rsid w:val="00B63B4E"/>
    <w:rsid w:val="00B63DF7"/>
    <w:rsid w:val="00B64D68"/>
    <w:rsid w:val="00B651D0"/>
    <w:rsid w:val="00B65611"/>
    <w:rsid w:val="00B65CAB"/>
    <w:rsid w:val="00B65F18"/>
    <w:rsid w:val="00B66571"/>
    <w:rsid w:val="00B67D3B"/>
    <w:rsid w:val="00B7088F"/>
    <w:rsid w:val="00B70A36"/>
    <w:rsid w:val="00B70E8E"/>
    <w:rsid w:val="00B70FDE"/>
    <w:rsid w:val="00B71B36"/>
    <w:rsid w:val="00B71CCC"/>
    <w:rsid w:val="00B723BF"/>
    <w:rsid w:val="00B7250A"/>
    <w:rsid w:val="00B7255B"/>
    <w:rsid w:val="00B72727"/>
    <w:rsid w:val="00B72D83"/>
    <w:rsid w:val="00B72EA3"/>
    <w:rsid w:val="00B72F4D"/>
    <w:rsid w:val="00B72FC1"/>
    <w:rsid w:val="00B73380"/>
    <w:rsid w:val="00B737C6"/>
    <w:rsid w:val="00B7400E"/>
    <w:rsid w:val="00B74223"/>
    <w:rsid w:val="00B745EB"/>
    <w:rsid w:val="00B74764"/>
    <w:rsid w:val="00B7548A"/>
    <w:rsid w:val="00B756D3"/>
    <w:rsid w:val="00B75E5A"/>
    <w:rsid w:val="00B76C92"/>
    <w:rsid w:val="00B76D5C"/>
    <w:rsid w:val="00B7740B"/>
    <w:rsid w:val="00B7745F"/>
    <w:rsid w:val="00B774BF"/>
    <w:rsid w:val="00B77577"/>
    <w:rsid w:val="00B77825"/>
    <w:rsid w:val="00B77841"/>
    <w:rsid w:val="00B77AA0"/>
    <w:rsid w:val="00B77DC9"/>
    <w:rsid w:val="00B80ABE"/>
    <w:rsid w:val="00B80EFD"/>
    <w:rsid w:val="00B811E1"/>
    <w:rsid w:val="00B8154A"/>
    <w:rsid w:val="00B8164E"/>
    <w:rsid w:val="00B81871"/>
    <w:rsid w:val="00B818A4"/>
    <w:rsid w:val="00B82420"/>
    <w:rsid w:val="00B828B6"/>
    <w:rsid w:val="00B82B74"/>
    <w:rsid w:val="00B83739"/>
    <w:rsid w:val="00B83852"/>
    <w:rsid w:val="00B83871"/>
    <w:rsid w:val="00B83DD4"/>
    <w:rsid w:val="00B8404A"/>
    <w:rsid w:val="00B84082"/>
    <w:rsid w:val="00B84117"/>
    <w:rsid w:val="00B84164"/>
    <w:rsid w:val="00B84190"/>
    <w:rsid w:val="00B8420D"/>
    <w:rsid w:val="00B8434C"/>
    <w:rsid w:val="00B84C50"/>
    <w:rsid w:val="00B84CBE"/>
    <w:rsid w:val="00B85083"/>
    <w:rsid w:val="00B858F0"/>
    <w:rsid w:val="00B85AA2"/>
    <w:rsid w:val="00B8632E"/>
    <w:rsid w:val="00B86386"/>
    <w:rsid w:val="00B8649C"/>
    <w:rsid w:val="00B8695D"/>
    <w:rsid w:val="00B872DC"/>
    <w:rsid w:val="00B877C4"/>
    <w:rsid w:val="00B87F0A"/>
    <w:rsid w:val="00B90662"/>
    <w:rsid w:val="00B91C32"/>
    <w:rsid w:val="00B92853"/>
    <w:rsid w:val="00B92C75"/>
    <w:rsid w:val="00B92D0B"/>
    <w:rsid w:val="00B92E00"/>
    <w:rsid w:val="00B936F7"/>
    <w:rsid w:val="00B93842"/>
    <w:rsid w:val="00B93D21"/>
    <w:rsid w:val="00B94414"/>
    <w:rsid w:val="00B948E3"/>
    <w:rsid w:val="00B94945"/>
    <w:rsid w:val="00B9495A"/>
    <w:rsid w:val="00B94DD6"/>
    <w:rsid w:val="00B95079"/>
    <w:rsid w:val="00B9523F"/>
    <w:rsid w:val="00B9545E"/>
    <w:rsid w:val="00B957DD"/>
    <w:rsid w:val="00B96748"/>
    <w:rsid w:val="00B967D0"/>
    <w:rsid w:val="00B967D4"/>
    <w:rsid w:val="00B970E3"/>
    <w:rsid w:val="00B971B4"/>
    <w:rsid w:val="00B971BA"/>
    <w:rsid w:val="00B972BC"/>
    <w:rsid w:val="00B974C7"/>
    <w:rsid w:val="00BA0F3C"/>
    <w:rsid w:val="00BA10D9"/>
    <w:rsid w:val="00BA1264"/>
    <w:rsid w:val="00BA1A5D"/>
    <w:rsid w:val="00BA2289"/>
    <w:rsid w:val="00BA2C39"/>
    <w:rsid w:val="00BA2D16"/>
    <w:rsid w:val="00BA305E"/>
    <w:rsid w:val="00BA322D"/>
    <w:rsid w:val="00BA3D22"/>
    <w:rsid w:val="00BA3F81"/>
    <w:rsid w:val="00BA4720"/>
    <w:rsid w:val="00BA4EBF"/>
    <w:rsid w:val="00BA4F40"/>
    <w:rsid w:val="00BA5292"/>
    <w:rsid w:val="00BA583D"/>
    <w:rsid w:val="00BA5BEC"/>
    <w:rsid w:val="00BA5DA6"/>
    <w:rsid w:val="00BA63FA"/>
    <w:rsid w:val="00BA641D"/>
    <w:rsid w:val="00BA6756"/>
    <w:rsid w:val="00BA6D88"/>
    <w:rsid w:val="00BA7CE0"/>
    <w:rsid w:val="00BB00B3"/>
    <w:rsid w:val="00BB03B2"/>
    <w:rsid w:val="00BB0BDD"/>
    <w:rsid w:val="00BB0DE9"/>
    <w:rsid w:val="00BB1093"/>
    <w:rsid w:val="00BB1663"/>
    <w:rsid w:val="00BB176C"/>
    <w:rsid w:val="00BB1D91"/>
    <w:rsid w:val="00BB20D1"/>
    <w:rsid w:val="00BB2A73"/>
    <w:rsid w:val="00BB2D21"/>
    <w:rsid w:val="00BB2E3D"/>
    <w:rsid w:val="00BB3602"/>
    <w:rsid w:val="00BB3A45"/>
    <w:rsid w:val="00BB3F9E"/>
    <w:rsid w:val="00BB40D5"/>
    <w:rsid w:val="00BB4220"/>
    <w:rsid w:val="00BB46C9"/>
    <w:rsid w:val="00BB46CD"/>
    <w:rsid w:val="00BB47B1"/>
    <w:rsid w:val="00BB4A84"/>
    <w:rsid w:val="00BB4ACC"/>
    <w:rsid w:val="00BB62D4"/>
    <w:rsid w:val="00BB6756"/>
    <w:rsid w:val="00BB68A1"/>
    <w:rsid w:val="00BB69D1"/>
    <w:rsid w:val="00BB6FAA"/>
    <w:rsid w:val="00BB703E"/>
    <w:rsid w:val="00BB70EB"/>
    <w:rsid w:val="00BB732D"/>
    <w:rsid w:val="00BB7405"/>
    <w:rsid w:val="00BC0407"/>
    <w:rsid w:val="00BC088D"/>
    <w:rsid w:val="00BC0C16"/>
    <w:rsid w:val="00BC0FD9"/>
    <w:rsid w:val="00BC102A"/>
    <w:rsid w:val="00BC1E0A"/>
    <w:rsid w:val="00BC204B"/>
    <w:rsid w:val="00BC2BA8"/>
    <w:rsid w:val="00BC2D34"/>
    <w:rsid w:val="00BC2F36"/>
    <w:rsid w:val="00BC3050"/>
    <w:rsid w:val="00BC3631"/>
    <w:rsid w:val="00BC3740"/>
    <w:rsid w:val="00BC4DD0"/>
    <w:rsid w:val="00BC4EFB"/>
    <w:rsid w:val="00BC50EC"/>
    <w:rsid w:val="00BC537D"/>
    <w:rsid w:val="00BC56FE"/>
    <w:rsid w:val="00BC591F"/>
    <w:rsid w:val="00BC5C3A"/>
    <w:rsid w:val="00BC6A19"/>
    <w:rsid w:val="00BC6C3F"/>
    <w:rsid w:val="00BC71BD"/>
    <w:rsid w:val="00BC7401"/>
    <w:rsid w:val="00BC755D"/>
    <w:rsid w:val="00BC7833"/>
    <w:rsid w:val="00BC7BA6"/>
    <w:rsid w:val="00BC7D6D"/>
    <w:rsid w:val="00BD0026"/>
    <w:rsid w:val="00BD0D7E"/>
    <w:rsid w:val="00BD1255"/>
    <w:rsid w:val="00BD1378"/>
    <w:rsid w:val="00BD1861"/>
    <w:rsid w:val="00BD1DCE"/>
    <w:rsid w:val="00BD2108"/>
    <w:rsid w:val="00BD25D6"/>
    <w:rsid w:val="00BD264E"/>
    <w:rsid w:val="00BD2668"/>
    <w:rsid w:val="00BD2E7E"/>
    <w:rsid w:val="00BD3A7F"/>
    <w:rsid w:val="00BD40A6"/>
    <w:rsid w:val="00BD43E5"/>
    <w:rsid w:val="00BD4A92"/>
    <w:rsid w:val="00BD4DA6"/>
    <w:rsid w:val="00BD588C"/>
    <w:rsid w:val="00BD5A41"/>
    <w:rsid w:val="00BD6140"/>
    <w:rsid w:val="00BD6204"/>
    <w:rsid w:val="00BD661B"/>
    <w:rsid w:val="00BD68A3"/>
    <w:rsid w:val="00BD6938"/>
    <w:rsid w:val="00BD6C27"/>
    <w:rsid w:val="00BD6CF3"/>
    <w:rsid w:val="00BD75EC"/>
    <w:rsid w:val="00BD780A"/>
    <w:rsid w:val="00BD7EB2"/>
    <w:rsid w:val="00BD7F72"/>
    <w:rsid w:val="00BE070E"/>
    <w:rsid w:val="00BE07BF"/>
    <w:rsid w:val="00BE0ECA"/>
    <w:rsid w:val="00BE1464"/>
    <w:rsid w:val="00BE17ED"/>
    <w:rsid w:val="00BE18F7"/>
    <w:rsid w:val="00BE1A8A"/>
    <w:rsid w:val="00BE1BEE"/>
    <w:rsid w:val="00BE2180"/>
    <w:rsid w:val="00BE21F2"/>
    <w:rsid w:val="00BE2A33"/>
    <w:rsid w:val="00BE2DF9"/>
    <w:rsid w:val="00BE3AEC"/>
    <w:rsid w:val="00BE3DF8"/>
    <w:rsid w:val="00BE4275"/>
    <w:rsid w:val="00BE4A6D"/>
    <w:rsid w:val="00BE574B"/>
    <w:rsid w:val="00BE647D"/>
    <w:rsid w:val="00BE65AD"/>
    <w:rsid w:val="00BE65DF"/>
    <w:rsid w:val="00BE6DEF"/>
    <w:rsid w:val="00BE7233"/>
    <w:rsid w:val="00BE74F8"/>
    <w:rsid w:val="00BE7A4F"/>
    <w:rsid w:val="00BE7A72"/>
    <w:rsid w:val="00BF06AE"/>
    <w:rsid w:val="00BF07F4"/>
    <w:rsid w:val="00BF0B9A"/>
    <w:rsid w:val="00BF0F95"/>
    <w:rsid w:val="00BF1102"/>
    <w:rsid w:val="00BF1D96"/>
    <w:rsid w:val="00BF1FED"/>
    <w:rsid w:val="00BF2433"/>
    <w:rsid w:val="00BF2CA8"/>
    <w:rsid w:val="00BF2E6E"/>
    <w:rsid w:val="00BF3165"/>
    <w:rsid w:val="00BF346A"/>
    <w:rsid w:val="00BF37B1"/>
    <w:rsid w:val="00BF396A"/>
    <w:rsid w:val="00BF414F"/>
    <w:rsid w:val="00BF41DB"/>
    <w:rsid w:val="00BF4A27"/>
    <w:rsid w:val="00BF4A87"/>
    <w:rsid w:val="00BF4B90"/>
    <w:rsid w:val="00BF4D12"/>
    <w:rsid w:val="00BF4F9D"/>
    <w:rsid w:val="00BF52D8"/>
    <w:rsid w:val="00BF52DE"/>
    <w:rsid w:val="00BF545B"/>
    <w:rsid w:val="00BF590C"/>
    <w:rsid w:val="00BF61C9"/>
    <w:rsid w:val="00BF6AF6"/>
    <w:rsid w:val="00BF6C94"/>
    <w:rsid w:val="00BF6DAA"/>
    <w:rsid w:val="00BF735B"/>
    <w:rsid w:val="00BF7DC9"/>
    <w:rsid w:val="00C00424"/>
    <w:rsid w:val="00C006C6"/>
    <w:rsid w:val="00C007A6"/>
    <w:rsid w:val="00C00912"/>
    <w:rsid w:val="00C00BB0"/>
    <w:rsid w:val="00C022E0"/>
    <w:rsid w:val="00C03115"/>
    <w:rsid w:val="00C0311D"/>
    <w:rsid w:val="00C0320B"/>
    <w:rsid w:val="00C03914"/>
    <w:rsid w:val="00C039B7"/>
    <w:rsid w:val="00C03F25"/>
    <w:rsid w:val="00C04F27"/>
    <w:rsid w:val="00C05DD2"/>
    <w:rsid w:val="00C061FC"/>
    <w:rsid w:val="00C0630A"/>
    <w:rsid w:val="00C0669D"/>
    <w:rsid w:val="00C067BC"/>
    <w:rsid w:val="00C06B23"/>
    <w:rsid w:val="00C074BF"/>
    <w:rsid w:val="00C07B2F"/>
    <w:rsid w:val="00C1064D"/>
    <w:rsid w:val="00C10690"/>
    <w:rsid w:val="00C108F4"/>
    <w:rsid w:val="00C1170C"/>
    <w:rsid w:val="00C1179F"/>
    <w:rsid w:val="00C12676"/>
    <w:rsid w:val="00C127B9"/>
    <w:rsid w:val="00C128FA"/>
    <w:rsid w:val="00C12B85"/>
    <w:rsid w:val="00C12C14"/>
    <w:rsid w:val="00C12C91"/>
    <w:rsid w:val="00C1318C"/>
    <w:rsid w:val="00C13246"/>
    <w:rsid w:val="00C13321"/>
    <w:rsid w:val="00C13355"/>
    <w:rsid w:val="00C136FA"/>
    <w:rsid w:val="00C13CD9"/>
    <w:rsid w:val="00C14CB9"/>
    <w:rsid w:val="00C15016"/>
    <w:rsid w:val="00C15722"/>
    <w:rsid w:val="00C1590A"/>
    <w:rsid w:val="00C15F04"/>
    <w:rsid w:val="00C15F37"/>
    <w:rsid w:val="00C16012"/>
    <w:rsid w:val="00C16217"/>
    <w:rsid w:val="00C1627A"/>
    <w:rsid w:val="00C16B82"/>
    <w:rsid w:val="00C17035"/>
    <w:rsid w:val="00C17686"/>
    <w:rsid w:val="00C17696"/>
    <w:rsid w:val="00C179B3"/>
    <w:rsid w:val="00C17CFE"/>
    <w:rsid w:val="00C17E3F"/>
    <w:rsid w:val="00C200AA"/>
    <w:rsid w:val="00C20244"/>
    <w:rsid w:val="00C20881"/>
    <w:rsid w:val="00C20B8B"/>
    <w:rsid w:val="00C20C06"/>
    <w:rsid w:val="00C20DE2"/>
    <w:rsid w:val="00C222D3"/>
    <w:rsid w:val="00C22507"/>
    <w:rsid w:val="00C225DA"/>
    <w:rsid w:val="00C22F08"/>
    <w:rsid w:val="00C22FE8"/>
    <w:rsid w:val="00C23007"/>
    <w:rsid w:val="00C234B6"/>
    <w:rsid w:val="00C2364C"/>
    <w:rsid w:val="00C237ED"/>
    <w:rsid w:val="00C239A5"/>
    <w:rsid w:val="00C23D99"/>
    <w:rsid w:val="00C23DF5"/>
    <w:rsid w:val="00C24001"/>
    <w:rsid w:val="00C240F1"/>
    <w:rsid w:val="00C24192"/>
    <w:rsid w:val="00C24522"/>
    <w:rsid w:val="00C24632"/>
    <w:rsid w:val="00C24A50"/>
    <w:rsid w:val="00C25418"/>
    <w:rsid w:val="00C2546A"/>
    <w:rsid w:val="00C25555"/>
    <w:rsid w:val="00C25C9C"/>
    <w:rsid w:val="00C25D9C"/>
    <w:rsid w:val="00C26088"/>
    <w:rsid w:val="00C2658E"/>
    <w:rsid w:val="00C267E7"/>
    <w:rsid w:val="00C2771C"/>
    <w:rsid w:val="00C2778B"/>
    <w:rsid w:val="00C277A5"/>
    <w:rsid w:val="00C277D4"/>
    <w:rsid w:val="00C27BE2"/>
    <w:rsid w:val="00C27D03"/>
    <w:rsid w:val="00C30B15"/>
    <w:rsid w:val="00C30BBA"/>
    <w:rsid w:val="00C31482"/>
    <w:rsid w:val="00C31649"/>
    <w:rsid w:val="00C31CB0"/>
    <w:rsid w:val="00C31EB2"/>
    <w:rsid w:val="00C3216B"/>
    <w:rsid w:val="00C3249E"/>
    <w:rsid w:val="00C3350B"/>
    <w:rsid w:val="00C3373B"/>
    <w:rsid w:val="00C338D3"/>
    <w:rsid w:val="00C33B12"/>
    <w:rsid w:val="00C3434C"/>
    <w:rsid w:val="00C3478F"/>
    <w:rsid w:val="00C354B8"/>
    <w:rsid w:val="00C3586B"/>
    <w:rsid w:val="00C35B76"/>
    <w:rsid w:val="00C36446"/>
    <w:rsid w:val="00C366B3"/>
    <w:rsid w:val="00C366C2"/>
    <w:rsid w:val="00C36910"/>
    <w:rsid w:val="00C369AA"/>
    <w:rsid w:val="00C369FD"/>
    <w:rsid w:val="00C37A3A"/>
    <w:rsid w:val="00C37C1F"/>
    <w:rsid w:val="00C37D2B"/>
    <w:rsid w:val="00C40385"/>
    <w:rsid w:val="00C4044E"/>
    <w:rsid w:val="00C4076E"/>
    <w:rsid w:val="00C408A1"/>
    <w:rsid w:val="00C40E66"/>
    <w:rsid w:val="00C414D4"/>
    <w:rsid w:val="00C41768"/>
    <w:rsid w:val="00C41AE1"/>
    <w:rsid w:val="00C42013"/>
    <w:rsid w:val="00C421D5"/>
    <w:rsid w:val="00C42556"/>
    <w:rsid w:val="00C437AD"/>
    <w:rsid w:val="00C43CBA"/>
    <w:rsid w:val="00C43EF6"/>
    <w:rsid w:val="00C44871"/>
    <w:rsid w:val="00C45CF1"/>
    <w:rsid w:val="00C46214"/>
    <w:rsid w:val="00C46796"/>
    <w:rsid w:val="00C4732C"/>
    <w:rsid w:val="00C475AA"/>
    <w:rsid w:val="00C479F6"/>
    <w:rsid w:val="00C50145"/>
    <w:rsid w:val="00C502B8"/>
    <w:rsid w:val="00C50E57"/>
    <w:rsid w:val="00C518BF"/>
    <w:rsid w:val="00C51BEF"/>
    <w:rsid w:val="00C52378"/>
    <w:rsid w:val="00C527C7"/>
    <w:rsid w:val="00C52E7A"/>
    <w:rsid w:val="00C52E8B"/>
    <w:rsid w:val="00C52EF2"/>
    <w:rsid w:val="00C53C98"/>
    <w:rsid w:val="00C53F25"/>
    <w:rsid w:val="00C546E8"/>
    <w:rsid w:val="00C54788"/>
    <w:rsid w:val="00C54B5C"/>
    <w:rsid w:val="00C54D9E"/>
    <w:rsid w:val="00C56EDB"/>
    <w:rsid w:val="00C56EF7"/>
    <w:rsid w:val="00C56F60"/>
    <w:rsid w:val="00C56FB0"/>
    <w:rsid w:val="00C56FCF"/>
    <w:rsid w:val="00C57016"/>
    <w:rsid w:val="00C572F6"/>
    <w:rsid w:val="00C5753B"/>
    <w:rsid w:val="00C575E5"/>
    <w:rsid w:val="00C57A18"/>
    <w:rsid w:val="00C57B6C"/>
    <w:rsid w:val="00C57C57"/>
    <w:rsid w:val="00C60600"/>
    <w:rsid w:val="00C6079D"/>
    <w:rsid w:val="00C6125E"/>
    <w:rsid w:val="00C61419"/>
    <w:rsid w:val="00C61570"/>
    <w:rsid w:val="00C61A59"/>
    <w:rsid w:val="00C62298"/>
    <w:rsid w:val="00C628A6"/>
    <w:rsid w:val="00C62DA5"/>
    <w:rsid w:val="00C63186"/>
    <w:rsid w:val="00C63467"/>
    <w:rsid w:val="00C63F1C"/>
    <w:rsid w:val="00C63FE9"/>
    <w:rsid w:val="00C64344"/>
    <w:rsid w:val="00C64B46"/>
    <w:rsid w:val="00C64D9D"/>
    <w:rsid w:val="00C64EF2"/>
    <w:rsid w:val="00C6501E"/>
    <w:rsid w:val="00C6506C"/>
    <w:rsid w:val="00C65108"/>
    <w:rsid w:val="00C65403"/>
    <w:rsid w:val="00C6553D"/>
    <w:rsid w:val="00C65576"/>
    <w:rsid w:val="00C657D3"/>
    <w:rsid w:val="00C65E44"/>
    <w:rsid w:val="00C66165"/>
    <w:rsid w:val="00C664A7"/>
    <w:rsid w:val="00C66A80"/>
    <w:rsid w:val="00C66E78"/>
    <w:rsid w:val="00C66ECB"/>
    <w:rsid w:val="00C66F01"/>
    <w:rsid w:val="00C6771B"/>
    <w:rsid w:val="00C67B4B"/>
    <w:rsid w:val="00C67DAF"/>
    <w:rsid w:val="00C67F39"/>
    <w:rsid w:val="00C70278"/>
    <w:rsid w:val="00C7060A"/>
    <w:rsid w:val="00C70615"/>
    <w:rsid w:val="00C70858"/>
    <w:rsid w:val="00C7140C"/>
    <w:rsid w:val="00C7151A"/>
    <w:rsid w:val="00C717E3"/>
    <w:rsid w:val="00C71F60"/>
    <w:rsid w:val="00C72241"/>
    <w:rsid w:val="00C72809"/>
    <w:rsid w:val="00C72AEB"/>
    <w:rsid w:val="00C7334C"/>
    <w:rsid w:val="00C73BF9"/>
    <w:rsid w:val="00C73D08"/>
    <w:rsid w:val="00C74221"/>
    <w:rsid w:val="00C74E4C"/>
    <w:rsid w:val="00C7500F"/>
    <w:rsid w:val="00C750C8"/>
    <w:rsid w:val="00C7560F"/>
    <w:rsid w:val="00C767F3"/>
    <w:rsid w:val="00C76863"/>
    <w:rsid w:val="00C76EAD"/>
    <w:rsid w:val="00C771DD"/>
    <w:rsid w:val="00C7766D"/>
    <w:rsid w:val="00C801C6"/>
    <w:rsid w:val="00C802DA"/>
    <w:rsid w:val="00C80A0E"/>
    <w:rsid w:val="00C811FB"/>
    <w:rsid w:val="00C81D2D"/>
    <w:rsid w:val="00C81F2C"/>
    <w:rsid w:val="00C820E5"/>
    <w:rsid w:val="00C8213F"/>
    <w:rsid w:val="00C82316"/>
    <w:rsid w:val="00C82ABF"/>
    <w:rsid w:val="00C82C76"/>
    <w:rsid w:val="00C82E2E"/>
    <w:rsid w:val="00C8303F"/>
    <w:rsid w:val="00C833B6"/>
    <w:rsid w:val="00C83411"/>
    <w:rsid w:val="00C83412"/>
    <w:rsid w:val="00C83B2D"/>
    <w:rsid w:val="00C83E69"/>
    <w:rsid w:val="00C84388"/>
    <w:rsid w:val="00C8486C"/>
    <w:rsid w:val="00C8507B"/>
    <w:rsid w:val="00C850CC"/>
    <w:rsid w:val="00C85154"/>
    <w:rsid w:val="00C85423"/>
    <w:rsid w:val="00C85A49"/>
    <w:rsid w:val="00C85A70"/>
    <w:rsid w:val="00C864DD"/>
    <w:rsid w:val="00C86658"/>
    <w:rsid w:val="00C868DD"/>
    <w:rsid w:val="00C86B28"/>
    <w:rsid w:val="00C86BEA"/>
    <w:rsid w:val="00C86D3C"/>
    <w:rsid w:val="00C87271"/>
    <w:rsid w:val="00C8727E"/>
    <w:rsid w:val="00C87443"/>
    <w:rsid w:val="00C8797A"/>
    <w:rsid w:val="00C87AEC"/>
    <w:rsid w:val="00C87AF3"/>
    <w:rsid w:val="00C87CB7"/>
    <w:rsid w:val="00C900B8"/>
    <w:rsid w:val="00C90197"/>
    <w:rsid w:val="00C904CD"/>
    <w:rsid w:val="00C908C3"/>
    <w:rsid w:val="00C90C71"/>
    <w:rsid w:val="00C90F5E"/>
    <w:rsid w:val="00C91088"/>
    <w:rsid w:val="00C9135D"/>
    <w:rsid w:val="00C914C4"/>
    <w:rsid w:val="00C9166A"/>
    <w:rsid w:val="00C917E7"/>
    <w:rsid w:val="00C918F4"/>
    <w:rsid w:val="00C91B96"/>
    <w:rsid w:val="00C91FD1"/>
    <w:rsid w:val="00C92101"/>
    <w:rsid w:val="00C921A3"/>
    <w:rsid w:val="00C922B6"/>
    <w:rsid w:val="00C922C6"/>
    <w:rsid w:val="00C931CF"/>
    <w:rsid w:val="00C938CF"/>
    <w:rsid w:val="00C939FE"/>
    <w:rsid w:val="00C93A00"/>
    <w:rsid w:val="00C93C21"/>
    <w:rsid w:val="00C94053"/>
    <w:rsid w:val="00C9440D"/>
    <w:rsid w:val="00C949CF"/>
    <w:rsid w:val="00C94D43"/>
    <w:rsid w:val="00C94EF3"/>
    <w:rsid w:val="00C955C3"/>
    <w:rsid w:val="00C959EA"/>
    <w:rsid w:val="00C95B0D"/>
    <w:rsid w:val="00C96244"/>
    <w:rsid w:val="00C9624D"/>
    <w:rsid w:val="00C96298"/>
    <w:rsid w:val="00C969DA"/>
    <w:rsid w:val="00C96C70"/>
    <w:rsid w:val="00C971CD"/>
    <w:rsid w:val="00C97F2D"/>
    <w:rsid w:val="00CA0288"/>
    <w:rsid w:val="00CA0589"/>
    <w:rsid w:val="00CA1315"/>
    <w:rsid w:val="00CA149D"/>
    <w:rsid w:val="00CA1672"/>
    <w:rsid w:val="00CA1769"/>
    <w:rsid w:val="00CA1A1D"/>
    <w:rsid w:val="00CA1EEF"/>
    <w:rsid w:val="00CA1EFE"/>
    <w:rsid w:val="00CA1F65"/>
    <w:rsid w:val="00CA22EF"/>
    <w:rsid w:val="00CA23E5"/>
    <w:rsid w:val="00CA2545"/>
    <w:rsid w:val="00CA27A4"/>
    <w:rsid w:val="00CA2C64"/>
    <w:rsid w:val="00CA2C77"/>
    <w:rsid w:val="00CA2C83"/>
    <w:rsid w:val="00CA322C"/>
    <w:rsid w:val="00CA3590"/>
    <w:rsid w:val="00CA4363"/>
    <w:rsid w:val="00CA444F"/>
    <w:rsid w:val="00CA4478"/>
    <w:rsid w:val="00CA4615"/>
    <w:rsid w:val="00CA4717"/>
    <w:rsid w:val="00CA4BFC"/>
    <w:rsid w:val="00CA5026"/>
    <w:rsid w:val="00CA5245"/>
    <w:rsid w:val="00CA57B1"/>
    <w:rsid w:val="00CA5848"/>
    <w:rsid w:val="00CA5C69"/>
    <w:rsid w:val="00CA6394"/>
    <w:rsid w:val="00CA643C"/>
    <w:rsid w:val="00CA6A56"/>
    <w:rsid w:val="00CA6AF0"/>
    <w:rsid w:val="00CA6ED1"/>
    <w:rsid w:val="00CA71F4"/>
    <w:rsid w:val="00CA7208"/>
    <w:rsid w:val="00CA7B09"/>
    <w:rsid w:val="00CA7E81"/>
    <w:rsid w:val="00CA7FAD"/>
    <w:rsid w:val="00CB0881"/>
    <w:rsid w:val="00CB1056"/>
    <w:rsid w:val="00CB12A5"/>
    <w:rsid w:val="00CB17B0"/>
    <w:rsid w:val="00CB1880"/>
    <w:rsid w:val="00CB1AA4"/>
    <w:rsid w:val="00CB1C54"/>
    <w:rsid w:val="00CB1CAC"/>
    <w:rsid w:val="00CB1F7C"/>
    <w:rsid w:val="00CB26DE"/>
    <w:rsid w:val="00CB27A2"/>
    <w:rsid w:val="00CB2C84"/>
    <w:rsid w:val="00CB2CB9"/>
    <w:rsid w:val="00CB2D4F"/>
    <w:rsid w:val="00CB2F2A"/>
    <w:rsid w:val="00CB38EC"/>
    <w:rsid w:val="00CB4074"/>
    <w:rsid w:val="00CB4114"/>
    <w:rsid w:val="00CB4159"/>
    <w:rsid w:val="00CB41AA"/>
    <w:rsid w:val="00CB4213"/>
    <w:rsid w:val="00CB428B"/>
    <w:rsid w:val="00CB4532"/>
    <w:rsid w:val="00CB4A42"/>
    <w:rsid w:val="00CB4CFA"/>
    <w:rsid w:val="00CB535B"/>
    <w:rsid w:val="00CB5801"/>
    <w:rsid w:val="00CB5A43"/>
    <w:rsid w:val="00CB5B1A"/>
    <w:rsid w:val="00CB60D4"/>
    <w:rsid w:val="00CB60DE"/>
    <w:rsid w:val="00CB6B22"/>
    <w:rsid w:val="00CB6B33"/>
    <w:rsid w:val="00CB6B36"/>
    <w:rsid w:val="00CB6F32"/>
    <w:rsid w:val="00CB7620"/>
    <w:rsid w:val="00CB7796"/>
    <w:rsid w:val="00CB7B95"/>
    <w:rsid w:val="00CB7F5D"/>
    <w:rsid w:val="00CB7F5F"/>
    <w:rsid w:val="00CC0BA2"/>
    <w:rsid w:val="00CC0FCE"/>
    <w:rsid w:val="00CC1066"/>
    <w:rsid w:val="00CC1B39"/>
    <w:rsid w:val="00CC1BFA"/>
    <w:rsid w:val="00CC1C83"/>
    <w:rsid w:val="00CC1D22"/>
    <w:rsid w:val="00CC1D74"/>
    <w:rsid w:val="00CC2277"/>
    <w:rsid w:val="00CC22D6"/>
    <w:rsid w:val="00CC2367"/>
    <w:rsid w:val="00CC25D2"/>
    <w:rsid w:val="00CC2E9F"/>
    <w:rsid w:val="00CC2F8F"/>
    <w:rsid w:val="00CC315A"/>
    <w:rsid w:val="00CC35EA"/>
    <w:rsid w:val="00CC3848"/>
    <w:rsid w:val="00CC3B6B"/>
    <w:rsid w:val="00CC4485"/>
    <w:rsid w:val="00CC4FF2"/>
    <w:rsid w:val="00CC5067"/>
    <w:rsid w:val="00CC56AA"/>
    <w:rsid w:val="00CC5F9E"/>
    <w:rsid w:val="00CC6251"/>
    <w:rsid w:val="00CC637C"/>
    <w:rsid w:val="00CC6D5E"/>
    <w:rsid w:val="00CC7218"/>
    <w:rsid w:val="00CC74A7"/>
    <w:rsid w:val="00CD01CF"/>
    <w:rsid w:val="00CD0200"/>
    <w:rsid w:val="00CD07EB"/>
    <w:rsid w:val="00CD085A"/>
    <w:rsid w:val="00CD088D"/>
    <w:rsid w:val="00CD0E18"/>
    <w:rsid w:val="00CD19AE"/>
    <w:rsid w:val="00CD1DF3"/>
    <w:rsid w:val="00CD216A"/>
    <w:rsid w:val="00CD283E"/>
    <w:rsid w:val="00CD2A45"/>
    <w:rsid w:val="00CD2D4D"/>
    <w:rsid w:val="00CD302E"/>
    <w:rsid w:val="00CD32C0"/>
    <w:rsid w:val="00CD34D4"/>
    <w:rsid w:val="00CD3956"/>
    <w:rsid w:val="00CD39B2"/>
    <w:rsid w:val="00CD3D29"/>
    <w:rsid w:val="00CD3F77"/>
    <w:rsid w:val="00CD3F9C"/>
    <w:rsid w:val="00CD3FBD"/>
    <w:rsid w:val="00CD4123"/>
    <w:rsid w:val="00CD4680"/>
    <w:rsid w:val="00CD4777"/>
    <w:rsid w:val="00CD4EE4"/>
    <w:rsid w:val="00CD508E"/>
    <w:rsid w:val="00CD5414"/>
    <w:rsid w:val="00CD562D"/>
    <w:rsid w:val="00CD67B7"/>
    <w:rsid w:val="00CD6ADC"/>
    <w:rsid w:val="00CD6E79"/>
    <w:rsid w:val="00CD6EDF"/>
    <w:rsid w:val="00CD7193"/>
    <w:rsid w:val="00CD76B4"/>
    <w:rsid w:val="00CD7BDD"/>
    <w:rsid w:val="00CE0396"/>
    <w:rsid w:val="00CE03C1"/>
    <w:rsid w:val="00CE03D2"/>
    <w:rsid w:val="00CE0882"/>
    <w:rsid w:val="00CE0D37"/>
    <w:rsid w:val="00CE0F2F"/>
    <w:rsid w:val="00CE1280"/>
    <w:rsid w:val="00CE14BF"/>
    <w:rsid w:val="00CE1A92"/>
    <w:rsid w:val="00CE1E1E"/>
    <w:rsid w:val="00CE26BC"/>
    <w:rsid w:val="00CE29C1"/>
    <w:rsid w:val="00CE2E22"/>
    <w:rsid w:val="00CE371D"/>
    <w:rsid w:val="00CE38C8"/>
    <w:rsid w:val="00CE4431"/>
    <w:rsid w:val="00CE4AE4"/>
    <w:rsid w:val="00CE4EFE"/>
    <w:rsid w:val="00CE516A"/>
    <w:rsid w:val="00CE5206"/>
    <w:rsid w:val="00CE524F"/>
    <w:rsid w:val="00CE58CC"/>
    <w:rsid w:val="00CE5DBE"/>
    <w:rsid w:val="00CE60FE"/>
    <w:rsid w:val="00CE6268"/>
    <w:rsid w:val="00CE6274"/>
    <w:rsid w:val="00CE680C"/>
    <w:rsid w:val="00CE6EF0"/>
    <w:rsid w:val="00CE724E"/>
    <w:rsid w:val="00CE72B7"/>
    <w:rsid w:val="00CE77B6"/>
    <w:rsid w:val="00CE7A49"/>
    <w:rsid w:val="00CE7EBA"/>
    <w:rsid w:val="00CF012A"/>
    <w:rsid w:val="00CF09C1"/>
    <w:rsid w:val="00CF0AAC"/>
    <w:rsid w:val="00CF1105"/>
    <w:rsid w:val="00CF1BA3"/>
    <w:rsid w:val="00CF1CD0"/>
    <w:rsid w:val="00CF1E3A"/>
    <w:rsid w:val="00CF2037"/>
    <w:rsid w:val="00CF2099"/>
    <w:rsid w:val="00CF2949"/>
    <w:rsid w:val="00CF2B8D"/>
    <w:rsid w:val="00CF38EF"/>
    <w:rsid w:val="00CF38FD"/>
    <w:rsid w:val="00CF39AB"/>
    <w:rsid w:val="00CF3A1B"/>
    <w:rsid w:val="00CF3D42"/>
    <w:rsid w:val="00CF4353"/>
    <w:rsid w:val="00CF43A9"/>
    <w:rsid w:val="00CF440B"/>
    <w:rsid w:val="00CF456B"/>
    <w:rsid w:val="00CF4938"/>
    <w:rsid w:val="00CF49B7"/>
    <w:rsid w:val="00CF4F20"/>
    <w:rsid w:val="00CF5179"/>
    <w:rsid w:val="00CF53EE"/>
    <w:rsid w:val="00CF5795"/>
    <w:rsid w:val="00CF5A22"/>
    <w:rsid w:val="00CF5B43"/>
    <w:rsid w:val="00CF5D50"/>
    <w:rsid w:val="00CF653E"/>
    <w:rsid w:val="00CF6632"/>
    <w:rsid w:val="00CF672D"/>
    <w:rsid w:val="00CF6C71"/>
    <w:rsid w:val="00CF6C85"/>
    <w:rsid w:val="00CF6EEF"/>
    <w:rsid w:val="00CF7593"/>
    <w:rsid w:val="00CF7D52"/>
    <w:rsid w:val="00D00BE7"/>
    <w:rsid w:val="00D011D2"/>
    <w:rsid w:val="00D01372"/>
    <w:rsid w:val="00D0175F"/>
    <w:rsid w:val="00D02185"/>
    <w:rsid w:val="00D0243A"/>
    <w:rsid w:val="00D025C8"/>
    <w:rsid w:val="00D0262E"/>
    <w:rsid w:val="00D02DF9"/>
    <w:rsid w:val="00D02ED5"/>
    <w:rsid w:val="00D03070"/>
    <w:rsid w:val="00D033AD"/>
    <w:rsid w:val="00D035FA"/>
    <w:rsid w:val="00D03679"/>
    <w:rsid w:val="00D037CB"/>
    <w:rsid w:val="00D0382D"/>
    <w:rsid w:val="00D03F46"/>
    <w:rsid w:val="00D04271"/>
    <w:rsid w:val="00D044E5"/>
    <w:rsid w:val="00D0470A"/>
    <w:rsid w:val="00D04C75"/>
    <w:rsid w:val="00D05408"/>
    <w:rsid w:val="00D05656"/>
    <w:rsid w:val="00D05755"/>
    <w:rsid w:val="00D05E3D"/>
    <w:rsid w:val="00D06139"/>
    <w:rsid w:val="00D06993"/>
    <w:rsid w:val="00D06B05"/>
    <w:rsid w:val="00D06B81"/>
    <w:rsid w:val="00D06C53"/>
    <w:rsid w:val="00D06CBA"/>
    <w:rsid w:val="00D06F2F"/>
    <w:rsid w:val="00D06F5D"/>
    <w:rsid w:val="00D072ED"/>
    <w:rsid w:val="00D0756B"/>
    <w:rsid w:val="00D0772F"/>
    <w:rsid w:val="00D103D8"/>
    <w:rsid w:val="00D105A2"/>
    <w:rsid w:val="00D10F6E"/>
    <w:rsid w:val="00D110BD"/>
    <w:rsid w:val="00D11C9E"/>
    <w:rsid w:val="00D11E5C"/>
    <w:rsid w:val="00D11FAF"/>
    <w:rsid w:val="00D128E6"/>
    <w:rsid w:val="00D12992"/>
    <w:rsid w:val="00D129C3"/>
    <w:rsid w:val="00D12B3A"/>
    <w:rsid w:val="00D12C2E"/>
    <w:rsid w:val="00D134AE"/>
    <w:rsid w:val="00D13675"/>
    <w:rsid w:val="00D138F8"/>
    <w:rsid w:val="00D13A21"/>
    <w:rsid w:val="00D13D4F"/>
    <w:rsid w:val="00D14187"/>
    <w:rsid w:val="00D141E1"/>
    <w:rsid w:val="00D14221"/>
    <w:rsid w:val="00D14988"/>
    <w:rsid w:val="00D15314"/>
    <w:rsid w:val="00D15A0E"/>
    <w:rsid w:val="00D15B33"/>
    <w:rsid w:val="00D15B48"/>
    <w:rsid w:val="00D169F6"/>
    <w:rsid w:val="00D16EFB"/>
    <w:rsid w:val="00D17050"/>
    <w:rsid w:val="00D17265"/>
    <w:rsid w:val="00D1733F"/>
    <w:rsid w:val="00D17695"/>
    <w:rsid w:val="00D1797D"/>
    <w:rsid w:val="00D17D49"/>
    <w:rsid w:val="00D17D6C"/>
    <w:rsid w:val="00D20C24"/>
    <w:rsid w:val="00D20D90"/>
    <w:rsid w:val="00D20DCA"/>
    <w:rsid w:val="00D20E84"/>
    <w:rsid w:val="00D2155B"/>
    <w:rsid w:val="00D21F41"/>
    <w:rsid w:val="00D225B7"/>
    <w:rsid w:val="00D23118"/>
    <w:rsid w:val="00D23D11"/>
    <w:rsid w:val="00D23E88"/>
    <w:rsid w:val="00D244B6"/>
    <w:rsid w:val="00D2498F"/>
    <w:rsid w:val="00D24B8C"/>
    <w:rsid w:val="00D24CF5"/>
    <w:rsid w:val="00D25119"/>
    <w:rsid w:val="00D25190"/>
    <w:rsid w:val="00D2531C"/>
    <w:rsid w:val="00D25D90"/>
    <w:rsid w:val="00D25F0B"/>
    <w:rsid w:val="00D2656D"/>
    <w:rsid w:val="00D268F5"/>
    <w:rsid w:val="00D26D69"/>
    <w:rsid w:val="00D26F10"/>
    <w:rsid w:val="00D2754D"/>
    <w:rsid w:val="00D2764B"/>
    <w:rsid w:val="00D27B27"/>
    <w:rsid w:val="00D27BF9"/>
    <w:rsid w:val="00D27F76"/>
    <w:rsid w:val="00D30D5B"/>
    <w:rsid w:val="00D319D1"/>
    <w:rsid w:val="00D31B2F"/>
    <w:rsid w:val="00D31C32"/>
    <w:rsid w:val="00D31FCD"/>
    <w:rsid w:val="00D32339"/>
    <w:rsid w:val="00D324F6"/>
    <w:rsid w:val="00D336C8"/>
    <w:rsid w:val="00D33BE9"/>
    <w:rsid w:val="00D33F93"/>
    <w:rsid w:val="00D34CD2"/>
    <w:rsid w:val="00D34D09"/>
    <w:rsid w:val="00D34D7D"/>
    <w:rsid w:val="00D357FF"/>
    <w:rsid w:val="00D35830"/>
    <w:rsid w:val="00D35B8C"/>
    <w:rsid w:val="00D35E68"/>
    <w:rsid w:val="00D36345"/>
    <w:rsid w:val="00D36F00"/>
    <w:rsid w:val="00D37179"/>
    <w:rsid w:val="00D37FF8"/>
    <w:rsid w:val="00D408DD"/>
    <w:rsid w:val="00D40906"/>
    <w:rsid w:val="00D40E22"/>
    <w:rsid w:val="00D4117F"/>
    <w:rsid w:val="00D41DA1"/>
    <w:rsid w:val="00D42078"/>
    <w:rsid w:val="00D424C7"/>
    <w:rsid w:val="00D428EC"/>
    <w:rsid w:val="00D42A78"/>
    <w:rsid w:val="00D42F8B"/>
    <w:rsid w:val="00D433C1"/>
    <w:rsid w:val="00D43B2A"/>
    <w:rsid w:val="00D43CF1"/>
    <w:rsid w:val="00D43D83"/>
    <w:rsid w:val="00D4406C"/>
    <w:rsid w:val="00D4408E"/>
    <w:rsid w:val="00D4416C"/>
    <w:rsid w:val="00D454CE"/>
    <w:rsid w:val="00D45EE1"/>
    <w:rsid w:val="00D462ED"/>
    <w:rsid w:val="00D46673"/>
    <w:rsid w:val="00D46C03"/>
    <w:rsid w:val="00D46C26"/>
    <w:rsid w:val="00D47575"/>
    <w:rsid w:val="00D4799D"/>
    <w:rsid w:val="00D47D80"/>
    <w:rsid w:val="00D510E1"/>
    <w:rsid w:val="00D512AA"/>
    <w:rsid w:val="00D51614"/>
    <w:rsid w:val="00D518B1"/>
    <w:rsid w:val="00D518F7"/>
    <w:rsid w:val="00D51AF2"/>
    <w:rsid w:val="00D51DC0"/>
    <w:rsid w:val="00D5216C"/>
    <w:rsid w:val="00D52201"/>
    <w:rsid w:val="00D5243B"/>
    <w:rsid w:val="00D52654"/>
    <w:rsid w:val="00D533EC"/>
    <w:rsid w:val="00D53A99"/>
    <w:rsid w:val="00D541B3"/>
    <w:rsid w:val="00D54807"/>
    <w:rsid w:val="00D548A5"/>
    <w:rsid w:val="00D549E0"/>
    <w:rsid w:val="00D54DF6"/>
    <w:rsid w:val="00D54E84"/>
    <w:rsid w:val="00D54E8A"/>
    <w:rsid w:val="00D54EB7"/>
    <w:rsid w:val="00D551F9"/>
    <w:rsid w:val="00D555CB"/>
    <w:rsid w:val="00D55A0F"/>
    <w:rsid w:val="00D55A84"/>
    <w:rsid w:val="00D564A4"/>
    <w:rsid w:val="00D56A09"/>
    <w:rsid w:val="00D56A6C"/>
    <w:rsid w:val="00D56A95"/>
    <w:rsid w:val="00D57EA2"/>
    <w:rsid w:val="00D6076E"/>
    <w:rsid w:val="00D60D27"/>
    <w:rsid w:val="00D615AD"/>
    <w:rsid w:val="00D619EC"/>
    <w:rsid w:val="00D61AA9"/>
    <w:rsid w:val="00D62237"/>
    <w:rsid w:val="00D632CB"/>
    <w:rsid w:val="00D63733"/>
    <w:rsid w:val="00D6382D"/>
    <w:rsid w:val="00D6385A"/>
    <w:rsid w:val="00D63AA7"/>
    <w:rsid w:val="00D63B43"/>
    <w:rsid w:val="00D642BB"/>
    <w:rsid w:val="00D64416"/>
    <w:rsid w:val="00D65472"/>
    <w:rsid w:val="00D65729"/>
    <w:rsid w:val="00D65F2B"/>
    <w:rsid w:val="00D668BD"/>
    <w:rsid w:val="00D66EB6"/>
    <w:rsid w:val="00D676BE"/>
    <w:rsid w:val="00D677F4"/>
    <w:rsid w:val="00D7016C"/>
    <w:rsid w:val="00D70936"/>
    <w:rsid w:val="00D70EAE"/>
    <w:rsid w:val="00D70F16"/>
    <w:rsid w:val="00D719CE"/>
    <w:rsid w:val="00D71ADF"/>
    <w:rsid w:val="00D71F59"/>
    <w:rsid w:val="00D72617"/>
    <w:rsid w:val="00D72B3E"/>
    <w:rsid w:val="00D72F57"/>
    <w:rsid w:val="00D72FB6"/>
    <w:rsid w:val="00D73B12"/>
    <w:rsid w:val="00D7449F"/>
    <w:rsid w:val="00D75235"/>
    <w:rsid w:val="00D763B8"/>
    <w:rsid w:val="00D7679D"/>
    <w:rsid w:val="00D76A44"/>
    <w:rsid w:val="00D76B69"/>
    <w:rsid w:val="00D76E73"/>
    <w:rsid w:val="00D76F48"/>
    <w:rsid w:val="00D76F67"/>
    <w:rsid w:val="00D7760D"/>
    <w:rsid w:val="00D77C84"/>
    <w:rsid w:val="00D77DFA"/>
    <w:rsid w:val="00D808D4"/>
    <w:rsid w:val="00D808DE"/>
    <w:rsid w:val="00D80E80"/>
    <w:rsid w:val="00D81028"/>
    <w:rsid w:val="00D81262"/>
    <w:rsid w:val="00D815E1"/>
    <w:rsid w:val="00D815EF"/>
    <w:rsid w:val="00D81873"/>
    <w:rsid w:val="00D81949"/>
    <w:rsid w:val="00D81E75"/>
    <w:rsid w:val="00D81F26"/>
    <w:rsid w:val="00D822E2"/>
    <w:rsid w:val="00D82AF2"/>
    <w:rsid w:val="00D8308D"/>
    <w:rsid w:val="00D83814"/>
    <w:rsid w:val="00D83FE3"/>
    <w:rsid w:val="00D840DF"/>
    <w:rsid w:val="00D84145"/>
    <w:rsid w:val="00D843F2"/>
    <w:rsid w:val="00D845B4"/>
    <w:rsid w:val="00D84683"/>
    <w:rsid w:val="00D846DE"/>
    <w:rsid w:val="00D8497D"/>
    <w:rsid w:val="00D850C0"/>
    <w:rsid w:val="00D8603A"/>
    <w:rsid w:val="00D8604F"/>
    <w:rsid w:val="00D86231"/>
    <w:rsid w:val="00D8746C"/>
    <w:rsid w:val="00D8788C"/>
    <w:rsid w:val="00D878D5"/>
    <w:rsid w:val="00D87D9E"/>
    <w:rsid w:val="00D906F9"/>
    <w:rsid w:val="00D90F13"/>
    <w:rsid w:val="00D9100C"/>
    <w:rsid w:val="00D910C9"/>
    <w:rsid w:val="00D912AB"/>
    <w:rsid w:val="00D91923"/>
    <w:rsid w:val="00D91C48"/>
    <w:rsid w:val="00D9233A"/>
    <w:rsid w:val="00D92634"/>
    <w:rsid w:val="00D927B0"/>
    <w:rsid w:val="00D928DA"/>
    <w:rsid w:val="00D92A35"/>
    <w:rsid w:val="00D92CBC"/>
    <w:rsid w:val="00D92D9D"/>
    <w:rsid w:val="00D93753"/>
    <w:rsid w:val="00D93864"/>
    <w:rsid w:val="00D9393B"/>
    <w:rsid w:val="00D946A3"/>
    <w:rsid w:val="00D946AC"/>
    <w:rsid w:val="00D94730"/>
    <w:rsid w:val="00D94AA3"/>
    <w:rsid w:val="00D95228"/>
    <w:rsid w:val="00D95824"/>
    <w:rsid w:val="00D9590E"/>
    <w:rsid w:val="00D95E48"/>
    <w:rsid w:val="00D9609B"/>
    <w:rsid w:val="00D96192"/>
    <w:rsid w:val="00D96334"/>
    <w:rsid w:val="00D963DD"/>
    <w:rsid w:val="00D969A2"/>
    <w:rsid w:val="00D97000"/>
    <w:rsid w:val="00D97429"/>
    <w:rsid w:val="00D97471"/>
    <w:rsid w:val="00D97512"/>
    <w:rsid w:val="00DA046A"/>
    <w:rsid w:val="00DA05F5"/>
    <w:rsid w:val="00DA0867"/>
    <w:rsid w:val="00DA10A2"/>
    <w:rsid w:val="00DA12E1"/>
    <w:rsid w:val="00DA1496"/>
    <w:rsid w:val="00DA1708"/>
    <w:rsid w:val="00DA1AE8"/>
    <w:rsid w:val="00DA2C1A"/>
    <w:rsid w:val="00DA3167"/>
    <w:rsid w:val="00DA35B0"/>
    <w:rsid w:val="00DA3766"/>
    <w:rsid w:val="00DA397F"/>
    <w:rsid w:val="00DA39DF"/>
    <w:rsid w:val="00DA3B8D"/>
    <w:rsid w:val="00DA3BED"/>
    <w:rsid w:val="00DA41EF"/>
    <w:rsid w:val="00DA44B7"/>
    <w:rsid w:val="00DA4889"/>
    <w:rsid w:val="00DA4A52"/>
    <w:rsid w:val="00DA4DC3"/>
    <w:rsid w:val="00DA4F1C"/>
    <w:rsid w:val="00DA510A"/>
    <w:rsid w:val="00DA5129"/>
    <w:rsid w:val="00DA59AF"/>
    <w:rsid w:val="00DA59D4"/>
    <w:rsid w:val="00DA61E1"/>
    <w:rsid w:val="00DA66E3"/>
    <w:rsid w:val="00DA77A5"/>
    <w:rsid w:val="00DB00AB"/>
    <w:rsid w:val="00DB0239"/>
    <w:rsid w:val="00DB05FA"/>
    <w:rsid w:val="00DB0E36"/>
    <w:rsid w:val="00DB1196"/>
    <w:rsid w:val="00DB14CA"/>
    <w:rsid w:val="00DB23DA"/>
    <w:rsid w:val="00DB24A5"/>
    <w:rsid w:val="00DB2723"/>
    <w:rsid w:val="00DB295B"/>
    <w:rsid w:val="00DB2D48"/>
    <w:rsid w:val="00DB38FF"/>
    <w:rsid w:val="00DB39A0"/>
    <w:rsid w:val="00DB3B77"/>
    <w:rsid w:val="00DB3DBF"/>
    <w:rsid w:val="00DB4526"/>
    <w:rsid w:val="00DB484F"/>
    <w:rsid w:val="00DB49B8"/>
    <w:rsid w:val="00DB4C10"/>
    <w:rsid w:val="00DB4C13"/>
    <w:rsid w:val="00DB53F8"/>
    <w:rsid w:val="00DB5D97"/>
    <w:rsid w:val="00DB7AE3"/>
    <w:rsid w:val="00DB7B8A"/>
    <w:rsid w:val="00DB7E6D"/>
    <w:rsid w:val="00DC03AF"/>
    <w:rsid w:val="00DC047F"/>
    <w:rsid w:val="00DC04F6"/>
    <w:rsid w:val="00DC0690"/>
    <w:rsid w:val="00DC0F07"/>
    <w:rsid w:val="00DC12FE"/>
    <w:rsid w:val="00DC16B6"/>
    <w:rsid w:val="00DC1B39"/>
    <w:rsid w:val="00DC1C93"/>
    <w:rsid w:val="00DC1D65"/>
    <w:rsid w:val="00DC1DB5"/>
    <w:rsid w:val="00DC28CE"/>
    <w:rsid w:val="00DC2B7F"/>
    <w:rsid w:val="00DC2F96"/>
    <w:rsid w:val="00DC3153"/>
    <w:rsid w:val="00DC3B3B"/>
    <w:rsid w:val="00DC3C57"/>
    <w:rsid w:val="00DC3E45"/>
    <w:rsid w:val="00DC3ED8"/>
    <w:rsid w:val="00DC44EF"/>
    <w:rsid w:val="00DC45BA"/>
    <w:rsid w:val="00DC48C3"/>
    <w:rsid w:val="00DC4E86"/>
    <w:rsid w:val="00DC507D"/>
    <w:rsid w:val="00DC5501"/>
    <w:rsid w:val="00DC5DE4"/>
    <w:rsid w:val="00DC606D"/>
    <w:rsid w:val="00DC6D7C"/>
    <w:rsid w:val="00DC6F7B"/>
    <w:rsid w:val="00DC7154"/>
    <w:rsid w:val="00DC71FA"/>
    <w:rsid w:val="00DC75DB"/>
    <w:rsid w:val="00DC7623"/>
    <w:rsid w:val="00DC77EB"/>
    <w:rsid w:val="00DC7E8A"/>
    <w:rsid w:val="00DD0290"/>
    <w:rsid w:val="00DD031E"/>
    <w:rsid w:val="00DD09CE"/>
    <w:rsid w:val="00DD0D3D"/>
    <w:rsid w:val="00DD0F78"/>
    <w:rsid w:val="00DD1785"/>
    <w:rsid w:val="00DD1D0D"/>
    <w:rsid w:val="00DD24AF"/>
    <w:rsid w:val="00DD2635"/>
    <w:rsid w:val="00DD273C"/>
    <w:rsid w:val="00DD2824"/>
    <w:rsid w:val="00DD29C6"/>
    <w:rsid w:val="00DD29E5"/>
    <w:rsid w:val="00DD2CA6"/>
    <w:rsid w:val="00DD3530"/>
    <w:rsid w:val="00DD35FC"/>
    <w:rsid w:val="00DD39D6"/>
    <w:rsid w:val="00DD3DEF"/>
    <w:rsid w:val="00DD3F28"/>
    <w:rsid w:val="00DD40C0"/>
    <w:rsid w:val="00DD4446"/>
    <w:rsid w:val="00DD4458"/>
    <w:rsid w:val="00DD44D2"/>
    <w:rsid w:val="00DD4537"/>
    <w:rsid w:val="00DD4E15"/>
    <w:rsid w:val="00DD50DC"/>
    <w:rsid w:val="00DD5287"/>
    <w:rsid w:val="00DD5770"/>
    <w:rsid w:val="00DD5A54"/>
    <w:rsid w:val="00DD5AF4"/>
    <w:rsid w:val="00DD5C92"/>
    <w:rsid w:val="00DD5D65"/>
    <w:rsid w:val="00DD7873"/>
    <w:rsid w:val="00DD7A9A"/>
    <w:rsid w:val="00DE02E7"/>
    <w:rsid w:val="00DE0C5E"/>
    <w:rsid w:val="00DE0F1A"/>
    <w:rsid w:val="00DE1469"/>
    <w:rsid w:val="00DE1CDF"/>
    <w:rsid w:val="00DE2304"/>
    <w:rsid w:val="00DE2C46"/>
    <w:rsid w:val="00DE2E49"/>
    <w:rsid w:val="00DE2F54"/>
    <w:rsid w:val="00DE3138"/>
    <w:rsid w:val="00DE37F8"/>
    <w:rsid w:val="00DE3934"/>
    <w:rsid w:val="00DE3E70"/>
    <w:rsid w:val="00DE4273"/>
    <w:rsid w:val="00DE4FCB"/>
    <w:rsid w:val="00DE5076"/>
    <w:rsid w:val="00DE5D07"/>
    <w:rsid w:val="00DE5FC4"/>
    <w:rsid w:val="00DE648B"/>
    <w:rsid w:val="00DE6830"/>
    <w:rsid w:val="00DE72A7"/>
    <w:rsid w:val="00DE77D7"/>
    <w:rsid w:val="00DE7832"/>
    <w:rsid w:val="00DE79A6"/>
    <w:rsid w:val="00DE7B71"/>
    <w:rsid w:val="00DE7C77"/>
    <w:rsid w:val="00DF0051"/>
    <w:rsid w:val="00DF0671"/>
    <w:rsid w:val="00DF11FC"/>
    <w:rsid w:val="00DF18FC"/>
    <w:rsid w:val="00DF1B29"/>
    <w:rsid w:val="00DF1D68"/>
    <w:rsid w:val="00DF1E29"/>
    <w:rsid w:val="00DF2AC5"/>
    <w:rsid w:val="00DF32DD"/>
    <w:rsid w:val="00DF3A6D"/>
    <w:rsid w:val="00DF3D98"/>
    <w:rsid w:val="00DF4258"/>
    <w:rsid w:val="00DF48A5"/>
    <w:rsid w:val="00DF494F"/>
    <w:rsid w:val="00DF4BF8"/>
    <w:rsid w:val="00DF4E3B"/>
    <w:rsid w:val="00DF5093"/>
    <w:rsid w:val="00DF58D5"/>
    <w:rsid w:val="00DF5D2B"/>
    <w:rsid w:val="00DF6341"/>
    <w:rsid w:val="00DF66E6"/>
    <w:rsid w:val="00DF6BF7"/>
    <w:rsid w:val="00DF6D50"/>
    <w:rsid w:val="00DF6FC4"/>
    <w:rsid w:val="00DF74EF"/>
    <w:rsid w:val="00E0034D"/>
    <w:rsid w:val="00E00D22"/>
    <w:rsid w:val="00E00E8E"/>
    <w:rsid w:val="00E0189B"/>
    <w:rsid w:val="00E02210"/>
    <w:rsid w:val="00E02954"/>
    <w:rsid w:val="00E02AA7"/>
    <w:rsid w:val="00E0374B"/>
    <w:rsid w:val="00E03CD8"/>
    <w:rsid w:val="00E04426"/>
    <w:rsid w:val="00E04B74"/>
    <w:rsid w:val="00E04D4C"/>
    <w:rsid w:val="00E04FBF"/>
    <w:rsid w:val="00E050B0"/>
    <w:rsid w:val="00E05163"/>
    <w:rsid w:val="00E053AF"/>
    <w:rsid w:val="00E05630"/>
    <w:rsid w:val="00E06306"/>
    <w:rsid w:val="00E06998"/>
    <w:rsid w:val="00E06DBB"/>
    <w:rsid w:val="00E06F14"/>
    <w:rsid w:val="00E0748D"/>
    <w:rsid w:val="00E07CB2"/>
    <w:rsid w:val="00E10149"/>
    <w:rsid w:val="00E10236"/>
    <w:rsid w:val="00E10502"/>
    <w:rsid w:val="00E10B78"/>
    <w:rsid w:val="00E10E9D"/>
    <w:rsid w:val="00E11340"/>
    <w:rsid w:val="00E1177B"/>
    <w:rsid w:val="00E119A5"/>
    <w:rsid w:val="00E122A1"/>
    <w:rsid w:val="00E13058"/>
    <w:rsid w:val="00E133EA"/>
    <w:rsid w:val="00E136B0"/>
    <w:rsid w:val="00E136CB"/>
    <w:rsid w:val="00E145FB"/>
    <w:rsid w:val="00E1467D"/>
    <w:rsid w:val="00E15142"/>
    <w:rsid w:val="00E1591A"/>
    <w:rsid w:val="00E1635A"/>
    <w:rsid w:val="00E16372"/>
    <w:rsid w:val="00E166B6"/>
    <w:rsid w:val="00E16A73"/>
    <w:rsid w:val="00E16AD8"/>
    <w:rsid w:val="00E1750E"/>
    <w:rsid w:val="00E17CFB"/>
    <w:rsid w:val="00E17FFA"/>
    <w:rsid w:val="00E20723"/>
    <w:rsid w:val="00E2084E"/>
    <w:rsid w:val="00E20AE4"/>
    <w:rsid w:val="00E20E4D"/>
    <w:rsid w:val="00E20ED6"/>
    <w:rsid w:val="00E21358"/>
    <w:rsid w:val="00E222DF"/>
    <w:rsid w:val="00E2234E"/>
    <w:rsid w:val="00E2249B"/>
    <w:rsid w:val="00E224A9"/>
    <w:rsid w:val="00E227FC"/>
    <w:rsid w:val="00E22A0D"/>
    <w:rsid w:val="00E23542"/>
    <w:rsid w:val="00E241E1"/>
    <w:rsid w:val="00E24389"/>
    <w:rsid w:val="00E24451"/>
    <w:rsid w:val="00E244F6"/>
    <w:rsid w:val="00E24500"/>
    <w:rsid w:val="00E2464F"/>
    <w:rsid w:val="00E247ED"/>
    <w:rsid w:val="00E2485B"/>
    <w:rsid w:val="00E25176"/>
    <w:rsid w:val="00E258DB"/>
    <w:rsid w:val="00E258E8"/>
    <w:rsid w:val="00E25935"/>
    <w:rsid w:val="00E2684E"/>
    <w:rsid w:val="00E26CF4"/>
    <w:rsid w:val="00E26D70"/>
    <w:rsid w:val="00E26F42"/>
    <w:rsid w:val="00E273E4"/>
    <w:rsid w:val="00E2771E"/>
    <w:rsid w:val="00E2780A"/>
    <w:rsid w:val="00E307C0"/>
    <w:rsid w:val="00E30A9D"/>
    <w:rsid w:val="00E30C1B"/>
    <w:rsid w:val="00E311A0"/>
    <w:rsid w:val="00E311EF"/>
    <w:rsid w:val="00E31A0D"/>
    <w:rsid w:val="00E32180"/>
    <w:rsid w:val="00E3251C"/>
    <w:rsid w:val="00E33384"/>
    <w:rsid w:val="00E3386D"/>
    <w:rsid w:val="00E3388A"/>
    <w:rsid w:val="00E339BE"/>
    <w:rsid w:val="00E34180"/>
    <w:rsid w:val="00E34410"/>
    <w:rsid w:val="00E348B0"/>
    <w:rsid w:val="00E34948"/>
    <w:rsid w:val="00E3494C"/>
    <w:rsid w:val="00E356B6"/>
    <w:rsid w:val="00E356F6"/>
    <w:rsid w:val="00E35BB5"/>
    <w:rsid w:val="00E35D39"/>
    <w:rsid w:val="00E365ED"/>
    <w:rsid w:val="00E36C9D"/>
    <w:rsid w:val="00E37569"/>
    <w:rsid w:val="00E3772C"/>
    <w:rsid w:val="00E37BB1"/>
    <w:rsid w:val="00E37CE2"/>
    <w:rsid w:val="00E37D23"/>
    <w:rsid w:val="00E401B2"/>
    <w:rsid w:val="00E40A92"/>
    <w:rsid w:val="00E4107D"/>
    <w:rsid w:val="00E41D6A"/>
    <w:rsid w:val="00E41E30"/>
    <w:rsid w:val="00E41E4B"/>
    <w:rsid w:val="00E4243B"/>
    <w:rsid w:val="00E42547"/>
    <w:rsid w:val="00E4255F"/>
    <w:rsid w:val="00E42635"/>
    <w:rsid w:val="00E426F3"/>
    <w:rsid w:val="00E42F73"/>
    <w:rsid w:val="00E438FB"/>
    <w:rsid w:val="00E43B89"/>
    <w:rsid w:val="00E43BA3"/>
    <w:rsid w:val="00E43C0A"/>
    <w:rsid w:val="00E43CF0"/>
    <w:rsid w:val="00E43D70"/>
    <w:rsid w:val="00E44068"/>
    <w:rsid w:val="00E44A38"/>
    <w:rsid w:val="00E45619"/>
    <w:rsid w:val="00E45727"/>
    <w:rsid w:val="00E45860"/>
    <w:rsid w:val="00E4614A"/>
    <w:rsid w:val="00E466E2"/>
    <w:rsid w:val="00E466F3"/>
    <w:rsid w:val="00E467D0"/>
    <w:rsid w:val="00E4687E"/>
    <w:rsid w:val="00E46941"/>
    <w:rsid w:val="00E46CBF"/>
    <w:rsid w:val="00E47B2C"/>
    <w:rsid w:val="00E5083F"/>
    <w:rsid w:val="00E50CB4"/>
    <w:rsid w:val="00E50F22"/>
    <w:rsid w:val="00E51006"/>
    <w:rsid w:val="00E51428"/>
    <w:rsid w:val="00E51560"/>
    <w:rsid w:val="00E51562"/>
    <w:rsid w:val="00E51821"/>
    <w:rsid w:val="00E51B0D"/>
    <w:rsid w:val="00E51D1E"/>
    <w:rsid w:val="00E51E59"/>
    <w:rsid w:val="00E524DF"/>
    <w:rsid w:val="00E5289C"/>
    <w:rsid w:val="00E52CE7"/>
    <w:rsid w:val="00E534E7"/>
    <w:rsid w:val="00E53623"/>
    <w:rsid w:val="00E53E67"/>
    <w:rsid w:val="00E53EF4"/>
    <w:rsid w:val="00E53FC8"/>
    <w:rsid w:val="00E540D5"/>
    <w:rsid w:val="00E54347"/>
    <w:rsid w:val="00E5443F"/>
    <w:rsid w:val="00E55424"/>
    <w:rsid w:val="00E55915"/>
    <w:rsid w:val="00E55919"/>
    <w:rsid w:val="00E55AFA"/>
    <w:rsid w:val="00E55B26"/>
    <w:rsid w:val="00E55B9B"/>
    <w:rsid w:val="00E55BB5"/>
    <w:rsid w:val="00E55BC1"/>
    <w:rsid w:val="00E57865"/>
    <w:rsid w:val="00E60259"/>
    <w:rsid w:val="00E60D11"/>
    <w:rsid w:val="00E611DF"/>
    <w:rsid w:val="00E61F14"/>
    <w:rsid w:val="00E62238"/>
    <w:rsid w:val="00E62292"/>
    <w:rsid w:val="00E63A73"/>
    <w:rsid w:val="00E63A92"/>
    <w:rsid w:val="00E63B9A"/>
    <w:rsid w:val="00E640FE"/>
    <w:rsid w:val="00E64890"/>
    <w:rsid w:val="00E64DEE"/>
    <w:rsid w:val="00E64F7C"/>
    <w:rsid w:val="00E652EA"/>
    <w:rsid w:val="00E65701"/>
    <w:rsid w:val="00E65969"/>
    <w:rsid w:val="00E65975"/>
    <w:rsid w:val="00E65BBE"/>
    <w:rsid w:val="00E65BE3"/>
    <w:rsid w:val="00E65CCE"/>
    <w:rsid w:val="00E65E79"/>
    <w:rsid w:val="00E663A3"/>
    <w:rsid w:val="00E66BA2"/>
    <w:rsid w:val="00E66EF8"/>
    <w:rsid w:val="00E6732D"/>
    <w:rsid w:val="00E67416"/>
    <w:rsid w:val="00E7094E"/>
    <w:rsid w:val="00E70F1E"/>
    <w:rsid w:val="00E716A7"/>
    <w:rsid w:val="00E7185A"/>
    <w:rsid w:val="00E71876"/>
    <w:rsid w:val="00E718B6"/>
    <w:rsid w:val="00E7195A"/>
    <w:rsid w:val="00E72171"/>
    <w:rsid w:val="00E721AF"/>
    <w:rsid w:val="00E723BA"/>
    <w:rsid w:val="00E727F9"/>
    <w:rsid w:val="00E7280E"/>
    <w:rsid w:val="00E729A7"/>
    <w:rsid w:val="00E73581"/>
    <w:rsid w:val="00E73D39"/>
    <w:rsid w:val="00E74705"/>
    <w:rsid w:val="00E74CF2"/>
    <w:rsid w:val="00E74DC1"/>
    <w:rsid w:val="00E75057"/>
    <w:rsid w:val="00E75DF6"/>
    <w:rsid w:val="00E767F3"/>
    <w:rsid w:val="00E76D5C"/>
    <w:rsid w:val="00E77AED"/>
    <w:rsid w:val="00E77CEB"/>
    <w:rsid w:val="00E801B9"/>
    <w:rsid w:val="00E80D27"/>
    <w:rsid w:val="00E80F0A"/>
    <w:rsid w:val="00E818DC"/>
    <w:rsid w:val="00E81D18"/>
    <w:rsid w:val="00E81DBB"/>
    <w:rsid w:val="00E821A7"/>
    <w:rsid w:val="00E82A91"/>
    <w:rsid w:val="00E82B77"/>
    <w:rsid w:val="00E833F7"/>
    <w:rsid w:val="00E8384B"/>
    <w:rsid w:val="00E83BDF"/>
    <w:rsid w:val="00E83D92"/>
    <w:rsid w:val="00E84A13"/>
    <w:rsid w:val="00E84F10"/>
    <w:rsid w:val="00E85047"/>
    <w:rsid w:val="00E85052"/>
    <w:rsid w:val="00E8516E"/>
    <w:rsid w:val="00E85248"/>
    <w:rsid w:val="00E8559B"/>
    <w:rsid w:val="00E860DF"/>
    <w:rsid w:val="00E865B3"/>
    <w:rsid w:val="00E86739"/>
    <w:rsid w:val="00E867C9"/>
    <w:rsid w:val="00E867EF"/>
    <w:rsid w:val="00E86FCC"/>
    <w:rsid w:val="00E873AC"/>
    <w:rsid w:val="00E87502"/>
    <w:rsid w:val="00E87A01"/>
    <w:rsid w:val="00E87A1D"/>
    <w:rsid w:val="00E87B65"/>
    <w:rsid w:val="00E90618"/>
    <w:rsid w:val="00E90740"/>
    <w:rsid w:val="00E9094A"/>
    <w:rsid w:val="00E90E99"/>
    <w:rsid w:val="00E91686"/>
    <w:rsid w:val="00E91AC9"/>
    <w:rsid w:val="00E91D35"/>
    <w:rsid w:val="00E92540"/>
    <w:rsid w:val="00E926A5"/>
    <w:rsid w:val="00E928EC"/>
    <w:rsid w:val="00E92CD0"/>
    <w:rsid w:val="00E93601"/>
    <w:rsid w:val="00E93D0C"/>
    <w:rsid w:val="00E93E7B"/>
    <w:rsid w:val="00E94261"/>
    <w:rsid w:val="00E945DF"/>
    <w:rsid w:val="00E9490F"/>
    <w:rsid w:val="00E94AC1"/>
    <w:rsid w:val="00E94E44"/>
    <w:rsid w:val="00E9523D"/>
    <w:rsid w:val="00E95B34"/>
    <w:rsid w:val="00E962CC"/>
    <w:rsid w:val="00E9652E"/>
    <w:rsid w:val="00E965BA"/>
    <w:rsid w:val="00E96684"/>
    <w:rsid w:val="00E96846"/>
    <w:rsid w:val="00E968F3"/>
    <w:rsid w:val="00E972ED"/>
    <w:rsid w:val="00E97423"/>
    <w:rsid w:val="00E977C6"/>
    <w:rsid w:val="00E97ECE"/>
    <w:rsid w:val="00E97F0F"/>
    <w:rsid w:val="00EA0364"/>
    <w:rsid w:val="00EA0547"/>
    <w:rsid w:val="00EA06F8"/>
    <w:rsid w:val="00EA0EC4"/>
    <w:rsid w:val="00EA174E"/>
    <w:rsid w:val="00EA17C3"/>
    <w:rsid w:val="00EA199B"/>
    <w:rsid w:val="00EA2CAA"/>
    <w:rsid w:val="00EA3864"/>
    <w:rsid w:val="00EA4FB8"/>
    <w:rsid w:val="00EA5742"/>
    <w:rsid w:val="00EA5743"/>
    <w:rsid w:val="00EA59BC"/>
    <w:rsid w:val="00EA5E4E"/>
    <w:rsid w:val="00EA603B"/>
    <w:rsid w:val="00EA607B"/>
    <w:rsid w:val="00EA614F"/>
    <w:rsid w:val="00EA7153"/>
    <w:rsid w:val="00EA7410"/>
    <w:rsid w:val="00EA7AD3"/>
    <w:rsid w:val="00EA7F1C"/>
    <w:rsid w:val="00EB0A6A"/>
    <w:rsid w:val="00EB15B6"/>
    <w:rsid w:val="00EB1677"/>
    <w:rsid w:val="00EB2702"/>
    <w:rsid w:val="00EB2772"/>
    <w:rsid w:val="00EB27E9"/>
    <w:rsid w:val="00EB2AE8"/>
    <w:rsid w:val="00EB2BB2"/>
    <w:rsid w:val="00EB2CC4"/>
    <w:rsid w:val="00EB2DFD"/>
    <w:rsid w:val="00EB32F1"/>
    <w:rsid w:val="00EB3D06"/>
    <w:rsid w:val="00EB3DB1"/>
    <w:rsid w:val="00EB46FA"/>
    <w:rsid w:val="00EB4900"/>
    <w:rsid w:val="00EB4916"/>
    <w:rsid w:val="00EB50B6"/>
    <w:rsid w:val="00EB522E"/>
    <w:rsid w:val="00EB549B"/>
    <w:rsid w:val="00EB5640"/>
    <w:rsid w:val="00EB5BD1"/>
    <w:rsid w:val="00EB5D18"/>
    <w:rsid w:val="00EB5F3A"/>
    <w:rsid w:val="00EB5FD6"/>
    <w:rsid w:val="00EB6F46"/>
    <w:rsid w:val="00EB745B"/>
    <w:rsid w:val="00EC00C9"/>
    <w:rsid w:val="00EC056D"/>
    <w:rsid w:val="00EC08DB"/>
    <w:rsid w:val="00EC09DB"/>
    <w:rsid w:val="00EC0AAE"/>
    <w:rsid w:val="00EC0B1B"/>
    <w:rsid w:val="00EC0BED"/>
    <w:rsid w:val="00EC0DD9"/>
    <w:rsid w:val="00EC0E1B"/>
    <w:rsid w:val="00EC0F42"/>
    <w:rsid w:val="00EC1116"/>
    <w:rsid w:val="00EC2649"/>
    <w:rsid w:val="00EC29F4"/>
    <w:rsid w:val="00EC2E09"/>
    <w:rsid w:val="00EC30A4"/>
    <w:rsid w:val="00EC30D3"/>
    <w:rsid w:val="00EC31ED"/>
    <w:rsid w:val="00EC3A76"/>
    <w:rsid w:val="00EC45BF"/>
    <w:rsid w:val="00EC48F1"/>
    <w:rsid w:val="00EC4F55"/>
    <w:rsid w:val="00EC4FD2"/>
    <w:rsid w:val="00EC554C"/>
    <w:rsid w:val="00EC57BF"/>
    <w:rsid w:val="00EC5836"/>
    <w:rsid w:val="00EC5ACF"/>
    <w:rsid w:val="00EC6037"/>
    <w:rsid w:val="00EC688C"/>
    <w:rsid w:val="00EC7418"/>
    <w:rsid w:val="00EC7A1A"/>
    <w:rsid w:val="00ED0157"/>
    <w:rsid w:val="00ED0262"/>
    <w:rsid w:val="00ED05DA"/>
    <w:rsid w:val="00ED0B1F"/>
    <w:rsid w:val="00ED0CBB"/>
    <w:rsid w:val="00ED0D0D"/>
    <w:rsid w:val="00ED12E3"/>
    <w:rsid w:val="00ED140B"/>
    <w:rsid w:val="00ED1413"/>
    <w:rsid w:val="00ED1438"/>
    <w:rsid w:val="00ED18EB"/>
    <w:rsid w:val="00ED1D66"/>
    <w:rsid w:val="00ED1EB0"/>
    <w:rsid w:val="00ED2667"/>
    <w:rsid w:val="00ED2EB2"/>
    <w:rsid w:val="00ED2EDD"/>
    <w:rsid w:val="00ED372F"/>
    <w:rsid w:val="00ED4826"/>
    <w:rsid w:val="00ED495B"/>
    <w:rsid w:val="00ED4B04"/>
    <w:rsid w:val="00ED5153"/>
    <w:rsid w:val="00ED5324"/>
    <w:rsid w:val="00ED53B8"/>
    <w:rsid w:val="00ED56F0"/>
    <w:rsid w:val="00ED57EA"/>
    <w:rsid w:val="00ED5B02"/>
    <w:rsid w:val="00ED5BD4"/>
    <w:rsid w:val="00ED64E2"/>
    <w:rsid w:val="00ED682A"/>
    <w:rsid w:val="00ED6E54"/>
    <w:rsid w:val="00ED70C7"/>
    <w:rsid w:val="00ED7210"/>
    <w:rsid w:val="00ED74D5"/>
    <w:rsid w:val="00ED7E5F"/>
    <w:rsid w:val="00EE07B6"/>
    <w:rsid w:val="00EE07D3"/>
    <w:rsid w:val="00EE0EDB"/>
    <w:rsid w:val="00EE12F0"/>
    <w:rsid w:val="00EE1482"/>
    <w:rsid w:val="00EE14AE"/>
    <w:rsid w:val="00EE162E"/>
    <w:rsid w:val="00EE1996"/>
    <w:rsid w:val="00EE1A60"/>
    <w:rsid w:val="00EE1C01"/>
    <w:rsid w:val="00EE2024"/>
    <w:rsid w:val="00EE22AF"/>
    <w:rsid w:val="00EE263A"/>
    <w:rsid w:val="00EE323A"/>
    <w:rsid w:val="00EE4383"/>
    <w:rsid w:val="00EE5790"/>
    <w:rsid w:val="00EE5D0E"/>
    <w:rsid w:val="00EE5DB8"/>
    <w:rsid w:val="00EE5E41"/>
    <w:rsid w:val="00EE61AA"/>
    <w:rsid w:val="00EE6B76"/>
    <w:rsid w:val="00EE7434"/>
    <w:rsid w:val="00EE7606"/>
    <w:rsid w:val="00EE7B2E"/>
    <w:rsid w:val="00EF0171"/>
    <w:rsid w:val="00EF042D"/>
    <w:rsid w:val="00EF1092"/>
    <w:rsid w:val="00EF1961"/>
    <w:rsid w:val="00EF1B25"/>
    <w:rsid w:val="00EF1D6B"/>
    <w:rsid w:val="00EF1DA0"/>
    <w:rsid w:val="00EF1E16"/>
    <w:rsid w:val="00EF2C68"/>
    <w:rsid w:val="00EF2DF2"/>
    <w:rsid w:val="00EF3012"/>
    <w:rsid w:val="00EF30EF"/>
    <w:rsid w:val="00EF30F9"/>
    <w:rsid w:val="00EF36B2"/>
    <w:rsid w:val="00EF3C6C"/>
    <w:rsid w:val="00EF407D"/>
    <w:rsid w:val="00EF40A6"/>
    <w:rsid w:val="00EF461E"/>
    <w:rsid w:val="00EF4747"/>
    <w:rsid w:val="00EF4BF8"/>
    <w:rsid w:val="00EF4FC4"/>
    <w:rsid w:val="00EF593D"/>
    <w:rsid w:val="00EF75E9"/>
    <w:rsid w:val="00EF76B0"/>
    <w:rsid w:val="00EF7937"/>
    <w:rsid w:val="00EF7DAA"/>
    <w:rsid w:val="00EF7E31"/>
    <w:rsid w:val="00EF7E4E"/>
    <w:rsid w:val="00F0128E"/>
    <w:rsid w:val="00F01595"/>
    <w:rsid w:val="00F02253"/>
    <w:rsid w:val="00F022BA"/>
    <w:rsid w:val="00F02A03"/>
    <w:rsid w:val="00F02A7F"/>
    <w:rsid w:val="00F033E8"/>
    <w:rsid w:val="00F03C2E"/>
    <w:rsid w:val="00F049FC"/>
    <w:rsid w:val="00F04A66"/>
    <w:rsid w:val="00F04B4B"/>
    <w:rsid w:val="00F0516C"/>
    <w:rsid w:val="00F05980"/>
    <w:rsid w:val="00F064F2"/>
    <w:rsid w:val="00F067A2"/>
    <w:rsid w:val="00F06B50"/>
    <w:rsid w:val="00F078A2"/>
    <w:rsid w:val="00F07B9E"/>
    <w:rsid w:val="00F07FF3"/>
    <w:rsid w:val="00F106E1"/>
    <w:rsid w:val="00F10B14"/>
    <w:rsid w:val="00F10D77"/>
    <w:rsid w:val="00F1116F"/>
    <w:rsid w:val="00F1125F"/>
    <w:rsid w:val="00F12463"/>
    <w:rsid w:val="00F1263A"/>
    <w:rsid w:val="00F1313D"/>
    <w:rsid w:val="00F13410"/>
    <w:rsid w:val="00F1364F"/>
    <w:rsid w:val="00F1388D"/>
    <w:rsid w:val="00F139C5"/>
    <w:rsid w:val="00F143BF"/>
    <w:rsid w:val="00F14516"/>
    <w:rsid w:val="00F148B9"/>
    <w:rsid w:val="00F15238"/>
    <w:rsid w:val="00F156DD"/>
    <w:rsid w:val="00F15B77"/>
    <w:rsid w:val="00F164E8"/>
    <w:rsid w:val="00F16AFA"/>
    <w:rsid w:val="00F16CD8"/>
    <w:rsid w:val="00F16E02"/>
    <w:rsid w:val="00F17202"/>
    <w:rsid w:val="00F1725E"/>
    <w:rsid w:val="00F17AE1"/>
    <w:rsid w:val="00F2056E"/>
    <w:rsid w:val="00F20760"/>
    <w:rsid w:val="00F20C69"/>
    <w:rsid w:val="00F21236"/>
    <w:rsid w:val="00F21DA9"/>
    <w:rsid w:val="00F220F3"/>
    <w:rsid w:val="00F2281D"/>
    <w:rsid w:val="00F22888"/>
    <w:rsid w:val="00F22C37"/>
    <w:rsid w:val="00F2331A"/>
    <w:rsid w:val="00F239DF"/>
    <w:rsid w:val="00F23A5C"/>
    <w:rsid w:val="00F24675"/>
    <w:rsid w:val="00F24837"/>
    <w:rsid w:val="00F24F4A"/>
    <w:rsid w:val="00F25184"/>
    <w:rsid w:val="00F256C9"/>
    <w:rsid w:val="00F2575F"/>
    <w:rsid w:val="00F25A27"/>
    <w:rsid w:val="00F25EC2"/>
    <w:rsid w:val="00F26129"/>
    <w:rsid w:val="00F266CC"/>
    <w:rsid w:val="00F26858"/>
    <w:rsid w:val="00F26B66"/>
    <w:rsid w:val="00F26D07"/>
    <w:rsid w:val="00F26E98"/>
    <w:rsid w:val="00F271C0"/>
    <w:rsid w:val="00F27565"/>
    <w:rsid w:val="00F27DB3"/>
    <w:rsid w:val="00F30343"/>
    <w:rsid w:val="00F310D4"/>
    <w:rsid w:val="00F313E8"/>
    <w:rsid w:val="00F3192E"/>
    <w:rsid w:val="00F31C31"/>
    <w:rsid w:val="00F31D5A"/>
    <w:rsid w:val="00F31D82"/>
    <w:rsid w:val="00F31FFF"/>
    <w:rsid w:val="00F322D1"/>
    <w:rsid w:val="00F329A2"/>
    <w:rsid w:val="00F33975"/>
    <w:rsid w:val="00F33DE9"/>
    <w:rsid w:val="00F34169"/>
    <w:rsid w:val="00F3456B"/>
    <w:rsid w:val="00F34EDA"/>
    <w:rsid w:val="00F35869"/>
    <w:rsid w:val="00F35C4C"/>
    <w:rsid w:val="00F35E6D"/>
    <w:rsid w:val="00F35F9C"/>
    <w:rsid w:val="00F3619A"/>
    <w:rsid w:val="00F363C7"/>
    <w:rsid w:val="00F36F3A"/>
    <w:rsid w:val="00F401EA"/>
    <w:rsid w:val="00F40655"/>
    <w:rsid w:val="00F40AAA"/>
    <w:rsid w:val="00F40BA7"/>
    <w:rsid w:val="00F40F9D"/>
    <w:rsid w:val="00F41825"/>
    <w:rsid w:val="00F41ACD"/>
    <w:rsid w:val="00F41C8F"/>
    <w:rsid w:val="00F42041"/>
    <w:rsid w:val="00F42C2F"/>
    <w:rsid w:val="00F42EFA"/>
    <w:rsid w:val="00F431D7"/>
    <w:rsid w:val="00F43A60"/>
    <w:rsid w:val="00F43ACB"/>
    <w:rsid w:val="00F43FE2"/>
    <w:rsid w:val="00F44B04"/>
    <w:rsid w:val="00F44DBD"/>
    <w:rsid w:val="00F4549C"/>
    <w:rsid w:val="00F45BBD"/>
    <w:rsid w:val="00F45BEF"/>
    <w:rsid w:val="00F4688A"/>
    <w:rsid w:val="00F46BEB"/>
    <w:rsid w:val="00F46C65"/>
    <w:rsid w:val="00F46CB6"/>
    <w:rsid w:val="00F46CBA"/>
    <w:rsid w:val="00F4756D"/>
    <w:rsid w:val="00F47DE8"/>
    <w:rsid w:val="00F500CF"/>
    <w:rsid w:val="00F503F9"/>
    <w:rsid w:val="00F50A1F"/>
    <w:rsid w:val="00F50B2F"/>
    <w:rsid w:val="00F50BC2"/>
    <w:rsid w:val="00F50C19"/>
    <w:rsid w:val="00F511AA"/>
    <w:rsid w:val="00F513D7"/>
    <w:rsid w:val="00F51510"/>
    <w:rsid w:val="00F515D9"/>
    <w:rsid w:val="00F51966"/>
    <w:rsid w:val="00F51BB3"/>
    <w:rsid w:val="00F51E1E"/>
    <w:rsid w:val="00F521F6"/>
    <w:rsid w:val="00F525BD"/>
    <w:rsid w:val="00F52B3A"/>
    <w:rsid w:val="00F53134"/>
    <w:rsid w:val="00F534D9"/>
    <w:rsid w:val="00F53B01"/>
    <w:rsid w:val="00F542C1"/>
    <w:rsid w:val="00F54896"/>
    <w:rsid w:val="00F54952"/>
    <w:rsid w:val="00F550E3"/>
    <w:rsid w:val="00F555CC"/>
    <w:rsid w:val="00F55E73"/>
    <w:rsid w:val="00F55ED5"/>
    <w:rsid w:val="00F55EDA"/>
    <w:rsid w:val="00F561A2"/>
    <w:rsid w:val="00F5670E"/>
    <w:rsid w:val="00F56A2F"/>
    <w:rsid w:val="00F56C80"/>
    <w:rsid w:val="00F5752D"/>
    <w:rsid w:val="00F57850"/>
    <w:rsid w:val="00F57AFD"/>
    <w:rsid w:val="00F57B53"/>
    <w:rsid w:val="00F60092"/>
    <w:rsid w:val="00F60544"/>
    <w:rsid w:val="00F612FE"/>
    <w:rsid w:val="00F61C18"/>
    <w:rsid w:val="00F61F52"/>
    <w:rsid w:val="00F625C9"/>
    <w:rsid w:val="00F62E21"/>
    <w:rsid w:val="00F633EB"/>
    <w:rsid w:val="00F63451"/>
    <w:rsid w:val="00F635A6"/>
    <w:rsid w:val="00F635E7"/>
    <w:rsid w:val="00F63A67"/>
    <w:rsid w:val="00F63A86"/>
    <w:rsid w:val="00F643ED"/>
    <w:rsid w:val="00F6479F"/>
    <w:rsid w:val="00F64B55"/>
    <w:rsid w:val="00F64BAC"/>
    <w:rsid w:val="00F6547E"/>
    <w:rsid w:val="00F65870"/>
    <w:rsid w:val="00F65F4B"/>
    <w:rsid w:val="00F65FA8"/>
    <w:rsid w:val="00F6667A"/>
    <w:rsid w:val="00F669E2"/>
    <w:rsid w:val="00F67035"/>
    <w:rsid w:val="00F6799A"/>
    <w:rsid w:val="00F67A69"/>
    <w:rsid w:val="00F70151"/>
    <w:rsid w:val="00F706C0"/>
    <w:rsid w:val="00F7071B"/>
    <w:rsid w:val="00F709F9"/>
    <w:rsid w:val="00F70BFF"/>
    <w:rsid w:val="00F70C9D"/>
    <w:rsid w:val="00F71377"/>
    <w:rsid w:val="00F7156B"/>
    <w:rsid w:val="00F7173C"/>
    <w:rsid w:val="00F7184F"/>
    <w:rsid w:val="00F71B75"/>
    <w:rsid w:val="00F71CD5"/>
    <w:rsid w:val="00F724E5"/>
    <w:rsid w:val="00F727D6"/>
    <w:rsid w:val="00F72A75"/>
    <w:rsid w:val="00F734E1"/>
    <w:rsid w:val="00F73E08"/>
    <w:rsid w:val="00F73F3B"/>
    <w:rsid w:val="00F7410E"/>
    <w:rsid w:val="00F744D4"/>
    <w:rsid w:val="00F74CD9"/>
    <w:rsid w:val="00F74DBD"/>
    <w:rsid w:val="00F7576A"/>
    <w:rsid w:val="00F759D1"/>
    <w:rsid w:val="00F7614F"/>
    <w:rsid w:val="00F76B5E"/>
    <w:rsid w:val="00F77A30"/>
    <w:rsid w:val="00F77C03"/>
    <w:rsid w:val="00F77C19"/>
    <w:rsid w:val="00F77CC3"/>
    <w:rsid w:val="00F77FFC"/>
    <w:rsid w:val="00F802F4"/>
    <w:rsid w:val="00F8089B"/>
    <w:rsid w:val="00F80A7B"/>
    <w:rsid w:val="00F80ABA"/>
    <w:rsid w:val="00F80E5D"/>
    <w:rsid w:val="00F81436"/>
    <w:rsid w:val="00F81CC4"/>
    <w:rsid w:val="00F81DA7"/>
    <w:rsid w:val="00F81DF5"/>
    <w:rsid w:val="00F81E78"/>
    <w:rsid w:val="00F8238A"/>
    <w:rsid w:val="00F823E2"/>
    <w:rsid w:val="00F8273D"/>
    <w:rsid w:val="00F82A0A"/>
    <w:rsid w:val="00F83289"/>
    <w:rsid w:val="00F832E7"/>
    <w:rsid w:val="00F83916"/>
    <w:rsid w:val="00F8408B"/>
    <w:rsid w:val="00F84096"/>
    <w:rsid w:val="00F840DB"/>
    <w:rsid w:val="00F85096"/>
    <w:rsid w:val="00F851CE"/>
    <w:rsid w:val="00F855F9"/>
    <w:rsid w:val="00F85779"/>
    <w:rsid w:val="00F857C5"/>
    <w:rsid w:val="00F85FBD"/>
    <w:rsid w:val="00F86239"/>
    <w:rsid w:val="00F86418"/>
    <w:rsid w:val="00F86742"/>
    <w:rsid w:val="00F86839"/>
    <w:rsid w:val="00F86A60"/>
    <w:rsid w:val="00F86CCD"/>
    <w:rsid w:val="00F87232"/>
    <w:rsid w:val="00F87B71"/>
    <w:rsid w:val="00F87BDA"/>
    <w:rsid w:val="00F9059D"/>
    <w:rsid w:val="00F9077C"/>
    <w:rsid w:val="00F907B8"/>
    <w:rsid w:val="00F90B44"/>
    <w:rsid w:val="00F91219"/>
    <w:rsid w:val="00F918BC"/>
    <w:rsid w:val="00F92444"/>
    <w:rsid w:val="00F92D2E"/>
    <w:rsid w:val="00F9393E"/>
    <w:rsid w:val="00F93AC2"/>
    <w:rsid w:val="00F93FB8"/>
    <w:rsid w:val="00F9477D"/>
    <w:rsid w:val="00F94B2B"/>
    <w:rsid w:val="00F95220"/>
    <w:rsid w:val="00F95286"/>
    <w:rsid w:val="00F95363"/>
    <w:rsid w:val="00F95947"/>
    <w:rsid w:val="00F95BAC"/>
    <w:rsid w:val="00F95DDA"/>
    <w:rsid w:val="00F96163"/>
    <w:rsid w:val="00F963F2"/>
    <w:rsid w:val="00F96B4F"/>
    <w:rsid w:val="00F96FD0"/>
    <w:rsid w:val="00F97414"/>
    <w:rsid w:val="00F97542"/>
    <w:rsid w:val="00F979D1"/>
    <w:rsid w:val="00F97A78"/>
    <w:rsid w:val="00F97DBD"/>
    <w:rsid w:val="00FA0B01"/>
    <w:rsid w:val="00FA0B20"/>
    <w:rsid w:val="00FA1137"/>
    <w:rsid w:val="00FA1E35"/>
    <w:rsid w:val="00FA214E"/>
    <w:rsid w:val="00FA223D"/>
    <w:rsid w:val="00FA2332"/>
    <w:rsid w:val="00FA24E7"/>
    <w:rsid w:val="00FA28BC"/>
    <w:rsid w:val="00FA28D2"/>
    <w:rsid w:val="00FA2A2A"/>
    <w:rsid w:val="00FA30F0"/>
    <w:rsid w:val="00FA3A23"/>
    <w:rsid w:val="00FA3AF7"/>
    <w:rsid w:val="00FA3C7B"/>
    <w:rsid w:val="00FA40E2"/>
    <w:rsid w:val="00FA478B"/>
    <w:rsid w:val="00FA5083"/>
    <w:rsid w:val="00FA50AA"/>
    <w:rsid w:val="00FA50EB"/>
    <w:rsid w:val="00FA556F"/>
    <w:rsid w:val="00FA5692"/>
    <w:rsid w:val="00FA5711"/>
    <w:rsid w:val="00FA5D2D"/>
    <w:rsid w:val="00FA5EE6"/>
    <w:rsid w:val="00FA69FB"/>
    <w:rsid w:val="00FA6A29"/>
    <w:rsid w:val="00FA7104"/>
    <w:rsid w:val="00FA78EE"/>
    <w:rsid w:val="00FA7956"/>
    <w:rsid w:val="00FA7A19"/>
    <w:rsid w:val="00FB0824"/>
    <w:rsid w:val="00FB0AEE"/>
    <w:rsid w:val="00FB0E97"/>
    <w:rsid w:val="00FB0F35"/>
    <w:rsid w:val="00FB110C"/>
    <w:rsid w:val="00FB118D"/>
    <w:rsid w:val="00FB17C8"/>
    <w:rsid w:val="00FB1A8A"/>
    <w:rsid w:val="00FB1DD1"/>
    <w:rsid w:val="00FB2709"/>
    <w:rsid w:val="00FB2C16"/>
    <w:rsid w:val="00FB2F35"/>
    <w:rsid w:val="00FB2FCB"/>
    <w:rsid w:val="00FB4C9C"/>
    <w:rsid w:val="00FB4F37"/>
    <w:rsid w:val="00FB5299"/>
    <w:rsid w:val="00FB568D"/>
    <w:rsid w:val="00FB56F8"/>
    <w:rsid w:val="00FB5826"/>
    <w:rsid w:val="00FB593A"/>
    <w:rsid w:val="00FB5A33"/>
    <w:rsid w:val="00FB5D89"/>
    <w:rsid w:val="00FB6255"/>
    <w:rsid w:val="00FB6826"/>
    <w:rsid w:val="00FB68CE"/>
    <w:rsid w:val="00FB6DFF"/>
    <w:rsid w:val="00FB7174"/>
    <w:rsid w:val="00FB7C55"/>
    <w:rsid w:val="00FB7DC1"/>
    <w:rsid w:val="00FC00CC"/>
    <w:rsid w:val="00FC023A"/>
    <w:rsid w:val="00FC0374"/>
    <w:rsid w:val="00FC092B"/>
    <w:rsid w:val="00FC1074"/>
    <w:rsid w:val="00FC10AA"/>
    <w:rsid w:val="00FC1638"/>
    <w:rsid w:val="00FC1884"/>
    <w:rsid w:val="00FC1985"/>
    <w:rsid w:val="00FC1AE9"/>
    <w:rsid w:val="00FC1DF5"/>
    <w:rsid w:val="00FC2C6F"/>
    <w:rsid w:val="00FC2EAA"/>
    <w:rsid w:val="00FC3263"/>
    <w:rsid w:val="00FC371D"/>
    <w:rsid w:val="00FC4597"/>
    <w:rsid w:val="00FC4E3B"/>
    <w:rsid w:val="00FC5710"/>
    <w:rsid w:val="00FC5B82"/>
    <w:rsid w:val="00FC5D1E"/>
    <w:rsid w:val="00FC5F0B"/>
    <w:rsid w:val="00FC659E"/>
    <w:rsid w:val="00FC697A"/>
    <w:rsid w:val="00FC6BFB"/>
    <w:rsid w:val="00FC6CA7"/>
    <w:rsid w:val="00FC6DEC"/>
    <w:rsid w:val="00FC70B4"/>
    <w:rsid w:val="00FC735A"/>
    <w:rsid w:val="00FC79CD"/>
    <w:rsid w:val="00FD0221"/>
    <w:rsid w:val="00FD0A88"/>
    <w:rsid w:val="00FD0C6D"/>
    <w:rsid w:val="00FD0D49"/>
    <w:rsid w:val="00FD1291"/>
    <w:rsid w:val="00FD16E6"/>
    <w:rsid w:val="00FD2100"/>
    <w:rsid w:val="00FD25A7"/>
    <w:rsid w:val="00FD2724"/>
    <w:rsid w:val="00FD2814"/>
    <w:rsid w:val="00FD2978"/>
    <w:rsid w:val="00FD2A46"/>
    <w:rsid w:val="00FD2D72"/>
    <w:rsid w:val="00FD3D6C"/>
    <w:rsid w:val="00FD42FF"/>
    <w:rsid w:val="00FD436C"/>
    <w:rsid w:val="00FD446D"/>
    <w:rsid w:val="00FD44E1"/>
    <w:rsid w:val="00FD4E97"/>
    <w:rsid w:val="00FD4F2C"/>
    <w:rsid w:val="00FD5054"/>
    <w:rsid w:val="00FD535F"/>
    <w:rsid w:val="00FD5C09"/>
    <w:rsid w:val="00FD6394"/>
    <w:rsid w:val="00FD6819"/>
    <w:rsid w:val="00FD6B69"/>
    <w:rsid w:val="00FD730E"/>
    <w:rsid w:val="00FD7846"/>
    <w:rsid w:val="00FD7A75"/>
    <w:rsid w:val="00FD7E27"/>
    <w:rsid w:val="00FE03E3"/>
    <w:rsid w:val="00FE0599"/>
    <w:rsid w:val="00FE0777"/>
    <w:rsid w:val="00FE0964"/>
    <w:rsid w:val="00FE0E6C"/>
    <w:rsid w:val="00FE0F2C"/>
    <w:rsid w:val="00FE1043"/>
    <w:rsid w:val="00FE1C12"/>
    <w:rsid w:val="00FE1CDC"/>
    <w:rsid w:val="00FE2360"/>
    <w:rsid w:val="00FE25A7"/>
    <w:rsid w:val="00FE263E"/>
    <w:rsid w:val="00FE28F2"/>
    <w:rsid w:val="00FE2ADB"/>
    <w:rsid w:val="00FE3642"/>
    <w:rsid w:val="00FE4419"/>
    <w:rsid w:val="00FE541F"/>
    <w:rsid w:val="00FE5837"/>
    <w:rsid w:val="00FE5AB4"/>
    <w:rsid w:val="00FE5E53"/>
    <w:rsid w:val="00FE6196"/>
    <w:rsid w:val="00FE70C3"/>
    <w:rsid w:val="00FE7E0B"/>
    <w:rsid w:val="00FF0185"/>
    <w:rsid w:val="00FF05FA"/>
    <w:rsid w:val="00FF1A8B"/>
    <w:rsid w:val="00FF1AC4"/>
    <w:rsid w:val="00FF20A8"/>
    <w:rsid w:val="00FF20D5"/>
    <w:rsid w:val="00FF23F4"/>
    <w:rsid w:val="00FF27A3"/>
    <w:rsid w:val="00FF2AD9"/>
    <w:rsid w:val="00FF2C9C"/>
    <w:rsid w:val="00FF2EC6"/>
    <w:rsid w:val="00FF340C"/>
    <w:rsid w:val="00FF359F"/>
    <w:rsid w:val="00FF3808"/>
    <w:rsid w:val="00FF3BD8"/>
    <w:rsid w:val="00FF3DCF"/>
    <w:rsid w:val="00FF3FC6"/>
    <w:rsid w:val="00FF3FDD"/>
    <w:rsid w:val="00FF4691"/>
    <w:rsid w:val="00FF492C"/>
    <w:rsid w:val="00FF4A21"/>
    <w:rsid w:val="00FF4E5C"/>
    <w:rsid w:val="00FF54DE"/>
    <w:rsid w:val="00FF55D5"/>
    <w:rsid w:val="00FF5AA3"/>
    <w:rsid w:val="00FF5AD8"/>
    <w:rsid w:val="00FF5CBD"/>
    <w:rsid w:val="00FF620C"/>
    <w:rsid w:val="00FF647A"/>
    <w:rsid w:val="00FF752A"/>
    <w:rsid w:val="00FF78FD"/>
    <w:rsid w:val="00FF7EE5"/>
    <w:rsid w:val="015AF351"/>
    <w:rsid w:val="018380C8"/>
    <w:rsid w:val="01A2C7CA"/>
    <w:rsid w:val="01D4FA38"/>
    <w:rsid w:val="01DC7B59"/>
    <w:rsid w:val="02BE7437"/>
    <w:rsid w:val="02D08828"/>
    <w:rsid w:val="032A82C6"/>
    <w:rsid w:val="03AE0650"/>
    <w:rsid w:val="040790A9"/>
    <w:rsid w:val="04A5D67B"/>
    <w:rsid w:val="04A894B8"/>
    <w:rsid w:val="04B7FE48"/>
    <w:rsid w:val="04F63DE2"/>
    <w:rsid w:val="0538B8EC"/>
    <w:rsid w:val="0544ED84"/>
    <w:rsid w:val="0550498D"/>
    <w:rsid w:val="055525C9"/>
    <w:rsid w:val="056D0C76"/>
    <w:rsid w:val="059B3A2B"/>
    <w:rsid w:val="059BD603"/>
    <w:rsid w:val="05DEA944"/>
    <w:rsid w:val="05E1EE9E"/>
    <w:rsid w:val="06195816"/>
    <w:rsid w:val="063E5E2A"/>
    <w:rsid w:val="06F0EDDF"/>
    <w:rsid w:val="0703C50D"/>
    <w:rsid w:val="0746EC0D"/>
    <w:rsid w:val="07FD8296"/>
    <w:rsid w:val="0814E0C5"/>
    <w:rsid w:val="081CFB2B"/>
    <w:rsid w:val="083431DF"/>
    <w:rsid w:val="094D9428"/>
    <w:rsid w:val="0968F827"/>
    <w:rsid w:val="09785964"/>
    <w:rsid w:val="09F9E7EB"/>
    <w:rsid w:val="0A117BF8"/>
    <w:rsid w:val="0A1203FE"/>
    <w:rsid w:val="0A2071F0"/>
    <w:rsid w:val="0A238521"/>
    <w:rsid w:val="0A262115"/>
    <w:rsid w:val="0A288956"/>
    <w:rsid w:val="0A40ACAC"/>
    <w:rsid w:val="0A99B0B1"/>
    <w:rsid w:val="0AB50869"/>
    <w:rsid w:val="0AC2F9BC"/>
    <w:rsid w:val="0AC89645"/>
    <w:rsid w:val="0B1067BE"/>
    <w:rsid w:val="0B1D37B4"/>
    <w:rsid w:val="0BB7FC41"/>
    <w:rsid w:val="0BC6374C"/>
    <w:rsid w:val="0BF85D84"/>
    <w:rsid w:val="0C30046D"/>
    <w:rsid w:val="0C67B5CF"/>
    <w:rsid w:val="0C7940D5"/>
    <w:rsid w:val="0C91F16D"/>
    <w:rsid w:val="0D037513"/>
    <w:rsid w:val="0D720DE0"/>
    <w:rsid w:val="0DBC03A6"/>
    <w:rsid w:val="0E1F4390"/>
    <w:rsid w:val="0EEEEC4F"/>
    <w:rsid w:val="0EFCAB15"/>
    <w:rsid w:val="0F163798"/>
    <w:rsid w:val="0F537B2D"/>
    <w:rsid w:val="0FA0A615"/>
    <w:rsid w:val="0FB278B3"/>
    <w:rsid w:val="0FC9A24B"/>
    <w:rsid w:val="10274BD3"/>
    <w:rsid w:val="106421D3"/>
    <w:rsid w:val="10A64560"/>
    <w:rsid w:val="10CDAD43"/>
    <w:rsid w:val="10DCF76F"/>
    <w:rsid w:val="118D12A4"/>
    <w:rsid w:val="11AF147F"/>
    <w:rsid w:val="11D1124D"/>
    <w:rsid w:val="122FC553"/>
    <w:rsid w:val="1247CECE"/>
    <w:rsid w:val="124AB737"/>
    <w:rsid w:val="126D1881"/>
    <w:rsid w:val="1289DC80"/>
    <w:rsid w:val="12B9AA16"/>
    <w:rsid w:val="12C25FD6"/>
    <w:rsid w:val="12F57385"/>
    <w:rsid w:val="13328205"/>
    <w:rsid w:val="138B12A7"/>
    <w:rsid w:val="139E169D"/>
    <w:rsid w:val="13A30255"/>
    <w:rsid w:val="13C72259"/>
    <w:rsid w:val="13DC2221"/>
    <w:rsid w:val="13E37825"/>
    <w:rsid w:val="1443577B"/>
    <w:rsid w:val="14F3CF96"/>
    <w:rsid w:val="151103F2"/>
    <w:rsid w:val="15166594"/>
    <w:rsid w:val="155958BE"/>
    <w:rsid w:val="1594B2F8"/>
    <w:rsid w:val="15AB9A34"/>
    <w:rsid w:val="16474297"/>
    <w:rsid w:val="16CB886A"/>
    <w:rsid w:val="16D169B6"/>
    <w:rsid w:val="16F5625D"/>
    <w:rsid w:val="172664D2"/>
    <w:rsid w:val="174D29B3"/>
    <w:rsid w:val="1769E0C7"/>
    <w:rsid w:val="177701B4"/>
    <w:rsid w:val="177CBC18"/>
    <w:rsid w:val="17D04484"/>
    <w:rsid w:val="18809779"/>
    <w:rsid w:val="188A8CE4"/>
    <w:rsid w:val="1892A16F"/>
    <w:rsid w:val="18C8960C"/>
    <w:rsid w:val="1A27C31B"/>
    <w:rsid w:val="1A4F8640"/>
    <w:rsid w:val="1AF82BD2"/>
    <w:rsid w:val="1BD7B447"/>
    <w:rsid w:val="1BE89EB8"/>
    <w:rsid w:val="1C816260"/>
    <w:rsid w:val="1CA7E25C"/>
    <w:rsid w:val="1CB4B7AC"/>
    <w:rsid w:val="1CCADFBB"/>
    <w:rsid w:val="1D4FCD07"/>
    <w:rsid w:val="1D519E13"/>
    <w:rsid w:val="1D574D04"/>
    <w:rsid w:val="1DD85875"/>
    <w:rsid w:val="1E0AF90C"/>
    <w:rsid w:val="1E3796A8"/>
    <w:rsid w:val="1E9AECB1"/>
    <w:rsid w:val="1EAAD26B"/>
    <w:rsid w:val="1EEA6557"/>
    <w:rsid w:val="1EF5D7B1"/>
    <w:rsid w:val="1EFCBDA9"/>
    <w:rsid w:val="1F25492A"/>
    <w:rsid w:val="1F46540B"/>
    <w:rsid w:val="1F472C68"/>
    <w:rsid w:val="1FA0BA62"/>
    <w:rsid w:val="201F3D50"/>
    <w:rsid w:val="205FAFEF"/>
    <w:rsid w:val="20B5FE92"/>
    <w:rsid w:val="20FA3A88"/>
    <w:rsid w:val="2143AECD"/>
    <w:rsid w:val="21858052"/>
    <w:rsid w:val="220406F3"/>
    <w:rsid w:val="2206D6B2"/>
    <w:rsid w:val="22192FBD"/>
    <w:rsid w:val="22840E8A"/>
    <w:rsid w:val="228EEFDD"/>
    <w:rsid w:val="2299506E"/>
    <w:rsid w:val="22C75E14"/>
    <w:rsid w:val="22F744E5"/>
    <w:rsid w:val="22F777FE"/>
    <w:rsid w:val="230730AE"/>
    <w:rsid w:val="230AD59F"/>
    <w:rsid w:val="230EBD9D"/>
    <w:rsid w:val="236A19FF"/>
    <w:rsid w:val="2376B1D9"/>
    <w:rsid w:val="23BC3E4C"/>
    <w:rsid w:val="23D05447"/>
    <w:rsid w:val="23D90291"/>
    <w:rsid w:val="23EFA028"/>
    <w:rsid w:val="24A37AF1"/>
    <w:rsid w:val="24B1578B"/>
    <w:rsid w:val="24DCF8B2"/>
    <w:rsid w:val="24F80141"/>
    <w:rsid w:val="25FBAA1B"/>
    <w:rsid w:val="2657130D"/>
    <w:rsid w:val="266DEB37"/>
    <w:rsid w:val="269F3BC5"/>
    <w:rsid w:val="26EB2A52"/>
    <w:rsid w:val="26F5D89D"/>
    <w:rsid w:val="275C22B5"/>
    <w:rsid w:val="27A7D5AD"/>
    <w:rsid w:val="280FAD2C"/>
    <w:rsid w:val="28159C9E"/>
    <w:rsid w:val="2855124C"/>
    <w:rsid w:val="287D56F7"/>
    <w:rsid w:val="2893BAC2"/>
    <w:rsid w:val="29A0CDEB"/>
    <w:rsid w:val="29A9EBA0"/>
    <w:rsid w:val="29F0DBD4"/>
    <w:rsid w:val="2B6489AB"/>
    <w:rsid w:val="2BA59192"/>
    <w:rsid w:val="2BC420A4"/>
    <w:rsid w:val="2C33006C"/>
    <w:rsid w:val="2C3C139C"/>
    <w:rsid w:val="2CF68D56"/>
    <w:rsid w:val="2D0394DE"/>
    <w:rsid w:val="2D3A9BB0"/>
    <w:rsid w:val="2D51E51D"/>
    <w:rsid w:val="2D53EAB6"/>
    <w:rsid w:val="2D96A178"/>
    <w:rsid w:val="2DEFA740"/>
    <w:rsid w:val="2DFA9A65"/>
    <w:rsid w:val="2E493ADC"/>
    <w:rsid w:val="2E9C7D36"/>
    <w:rsid w:val="2EA18F76"/>
    <w:rsid w:val="2F659932"/>
    <w:rsid w:val="300F3620"/>
    <w:rsid w:val="30350B3F"/>
    <w:rsid w:val="304FD10D"/>
    <w:rsid w:val="30A5C251"/>
    <w:rsid w:val="30B920CF"/>
    <w:rsid w:val="31B07112"/>
    <w:rsid w:val="320EB7AB"/>
    <w:rsid w:val="328869FF"/>
    <w:rsid w:val="328FD2B8"/>
    <w:rsid w:val="329804C1"/>
    <w:rsid w:val="32BE1342"/>
    <w:rsid w:val="32DAE3BE"/>
    <w:rsid w:val="32DF437A"/>
    <w:rsid w:val="32FE3B1A"/>
    <w:rsid w:val="33792DA8"/>
    <w:rsid w:val="339D2B48"/>
    <w:rsid w:val="33C2CB42"/>
    <w:rsid w:val="34074339"/>
    <w:rsid w:val="340B9621"/>
    <w:rsid w:val="34E1B469"/>
    <w:rsid w:val="35050ACE"/>
    <w:rsid w:val="3543164B"/>
    <w:rsid w:val="3547B1CE"/>
    <w:rsid w:val="35861810"/>
    <w:rsid w:val="35964853"/>
    <w:rsid w:val="371821B0"/>
    <w:rsid w:val="37CE856D"/>
    <w:rsid w:val="37EB45FF"/>
    <w:rsid w:val="38119A7A"/>
    <w:rsid w:val="38191C7E"/>
    <w:rsid w:val="387318F9"/>
    <w:rsid w:val="38AB418F"/>
    <w:rsid w:val="38AC768B"/>
    <w:rsid w:val="38BA1EBC"/>
    <w:rsid w:val="38C88A94"/>
    <w:rsid w:val="38FD642B"/>
    <w:rsid w:val="3923EF55"/>
    <w:rsid w:val="396E1A89"/>
    <w:rsid w:val="39D712E8"/>
    <w:rsid w:val="39FA4E30"/>
    <w:rsid w:val="3A2FB863"/>
    <w:rsid w:val="3AB09903"/>
    <w:rsid w:val="3AFDFEE4"/>
    <w:rsid w:val="3B00EE1E"/>
    <w:rsid w:val="3B15D0E2"/>
    <w:rsid w:val="3B5F0FCD"/>
    <w:rsid w:val="3B60E13C"/>
    <w:rsid w:val="3BACFECE"/>
    <w:rsid w:val="3C781155"/>
    <w:rsid w:val="3CBCD719"/>
    <w:rsid w:val="3D38E286"/>
    <w:rsid w:val="3D742925"/>
    <w:rsid w:val="3D7CA6C7"/>
    <w:rsid w:val="3D93FE19"/>
    <w:rsid w:val="3DA79F5C"/>
    <w:rsid w:val="3DF1F738"/>
    <w:rsid w:val="3E312655"/>
    <w:rsid w:val="3E84ED52"/>
    <w:rsid w:val="3EA75271"/>
    <w:rsid w:val="3EC58326"/>
    <w:rsid w:val="3F4FDE96"/>
    <w:rsid w:val="3F685A3A"/>
    <w:rsid w:val="3F7FDFD5"/>
    <w:rsid w:val="3F85D524"/>
    <w:rsid w:val="3FCD55CB"/>
    <w:rsid w:val="4026583C"/>
    <w:rsid w:val="40415B13"/>
    <w:rsid w:val="407774E5"/>
    <w:rsid w:val="4089C8D0"/>
    <w:rsid w:val="410D5FBD"/>
    <w:rsid w:val="413F32AA"/>
    <w:rsid w:val="4153A5F7"/>
    <w:rsid w:val="42097BFB"/>
    <w:rsid w:val="420B7AC8"/>
    <w:rsid w:val="42151C7E"/>
    <w:rsid w:val="421758B4"/>
    <w:rsid w:val="4222836A"/>
    <w:rsid w:val="422E082E"/>
    <w:rsid w:val="4262A9D7"/>
    <w:rsid w:val="42C92E3D"/>
    <w:rsid w:val="43E42677"/>
    <w:rsid w:val="44481103"/>
    <w:rsid w:val="448E8FCE"/>
    <w:rsid w:val="449FA09F"/>
    <w:rsid w:val="44C14A98"/>
    <w:rsid w:val="44D8197F"/>
    <w:rsid w:val="45CBFE83"/>
    <w:rsid w:val="46193471"/>
    <w:rsid w:val="462F67F9"/>
    <w:rsid w:val="46F3A959"/>
    <w:rsid w:val="4781C2B5"/>
    <w:rsid w:val="47D69B0F"/>
    <w:rsid w:val="4802C529"/>
    <w:rsid w:val="4819CB74"/>
    <w:rsid w:val="48BC5F9B"/>
    <w:rsid w:val="48E5DEDB"/>
    <w:rsid w:val="4951934D"/>
    <w:rsid w:val="4A005D3B"/>
    <w:rsid w:val="4A123A22"/>
    <w:rsid w:val="4A28A8F8"/>
    <w:rsid w:val="4A28C908"/>
    <w:rsid w:val="4A838AAF"/>
    <w:rsid w:val="4A8CFC9F"/>
    <w:rsid w:val="4A907AF8"/>
    <w:rsid w:val="4AB27E06"/>
    <w:rsid w:val="4AF8A79A"/>
    <w:rsid w:val="4B04A354"/>
    <w:rsid w:val="4B1282A6"/>
    <w:rsid w:val="4B188793"/>
    <w:rsid w:val="4B4D99EA"/>
    <w:rsid w:val="4B732F6E"/>
    <w:rsid w:val="4B90C3CE"/>
    <w:rsid w:val="4BA1EDD3"/>
    <w:rsid w:val="4D421F82"/>
    <w:rsid w:val="4D52A52A"/>
    <w:rsid w:val="4D5C3A78"/>
    <w:rsid w:val="4D943C55"/>
    <w:rsid w:val="4DA1F23A"/>
    <w:rsid w:val="4DB4879D"/>
    <w:rsid w:val="4DE32AB3"/>
    <w:rsid w:val="4E1DF638"/>
    <w:rsid w:val="4E3C2BC8"/>
    <w:rsid w:val="4E6D788F"/>
    <w:rsid w:val="4EAEA4F5"/>
    <w:rsid w:val="4EDECAEE"/>
    <w:rsid w:val="4F094FCD"/>
    <w:rsid w:val="4F10746B"/>
    <w:rsid w:val="4F1C0CCC"/>
    <w:rsid w:val="4F7FFF0B"/>
    <w:rsid w:val="4F91782B"/>
    <w:rsid w:val="4FE1E553"/>
    <w:rsid w:val="502979D8"/>
    <w:rsid w:val="5055E84A"/>
    <w:rsid w:val="509261E1"/>
    <w:rsid w:val="50AF5898"/>
    <w:rsid w:val="50B75185"/>
    <w:rsid w:val="50DABD7D"/>
    <w:rsid w:val="516C8AE1"/>
    <w:rsid w:val="51D3BF38"/>
    <w:rsid w:val="51FC6207"/>
    <w:rsid w:val="52148732"/>
    <w:rsid w:val="524E14E8"/>
    <w:rsid w:val="525F3B9E"/>
    <w:rsid w:val="52F1F653"/>
    <w:rsid w:val="52F5C59C"/>
    <w:rsid w:val="530D38BE"/>
    <w:rsid w:val="5331A79C"/>
    <w:rsid w:val="53467A23"/>
    <w:rsid w:val="53A5B766"/>
    <w:rsid w:val="546A678D"/>
    <w:rsid w:val="546E4219"/>
    <w:rsid w:val="5474A511"/>
    <w:rsid w:val="547A416D"/>
    <w:rsid w:val="54D5C4AE"/>
    <w:rsid w:val="558DB5CC"/>
    <w:rsid w:val="55A943D6"/>
    <w:rsid w:val="55CF39A9"/>
    <w:rsid w:val="55D21FFF"/>
    <w:rsid w:val="56114076"/>
    <w:rsid w:val="56893AB3"/>
    <w:rsid w:val="56AB8E0F"/>
    <w:rsid w:val="56CD0F79"/>
    <w:rsid w:val="5701E399"/>
    <w:rsid w:val="578BF7F9"/>
    <w:rsid w:val="57ED83F8"/>
    <w:rsid w:val="589ACBB8"/>
    <w:rsid w:val="58B5FEF1"/>
    <w:rsid w:val="58F2B326"/>
    <w:rsid w:val="5902649D"/>
    <w:rsid w:val="593EF7B7"/>
    <w:rsid w:val="59612AC6"/>
    <w:rsid w:val="5A2CA3B5"/>
    <w:rsid w:val="5A449178"/>
    <w:rsid w:val="5A8F7105"/>
    <w:rsid w:val="5B19A13C"/>
    <w:rsid w:val="5B4654B8"/>
    <w:rsid w:val="5B5B5B3C"/>
    <w:rsid w:val="5C382F1F"/>
    <w:rsid w:val="5C8BF9F7"/>
    <w:rsid w:val="5C8CCC14"/>
    <w:rsid w:val="5CE2BB7A"/>
    <w:rsid w:val="5D0CA86D"/>
    <w:rsid w:val="5D7ABCBB"/>
    <w:rsid w:val="5D9AAECC"/>
    <w:rsid w:val="5DC93657"/>
    <w:rsid w:val="5E9A45A3"/>
    <w:rsid w:val="5F11EE8F"/>
    <w:rsid w:val="5F2951CB"/>
    <w:rsid w:val="5F6DE89D"/>
    <w:rsid w:val="5FE6B762"/>
    <w:rsid w:val="6073784C"/>
    <w:rsid w:val="608EF736"/>
    <w:rsid w:val="6147A79E"/>
    <w:rsid w:val="614DE3CB"/>
    <w:rsid w:val="61BCF987"/>
    <w:rsid w:val="61DF81AB"/>
    <w:rsid w:val="6236AAE1"/>
    <w:rsid w:val="627C300E"/>
    <w:rsid w:val="62E0E851"/>
    <w:rsid w:val="62EBECB9"/>
    <w:rsid w:val="631BC6A4"/>
    <w:rsid w:val="6372220F"/>
    <w:rsid w:val="63985D56"/>
    <w:rsid w:val="63C41D7F"/>
    <w:rsid w:val="63C98CCD"/>
    <w:rsid w:val="64540ECD"/>
    <w:rsid w:val="650873E6"/>
    <w:rsid w:val="651E66E8"/>
    <w:rsid w:val="65721259"/>
    <w:rsid w:val="6589EE2A"/>
    <w:rsid w:val="6593045E"/>
    <w:rsid w:val="65B5350A"/>
    <w:rsid w:val="65D1D67D"/>
    <w:rsid w:val="65D4A01D"/>
    <w:rsid w:val="65D60FF0"/>
    <w:rsid w:val="65FA2BA3"/>
    <w:rsid w:val="66921F69"/>
    <w:rsid w:val="66B636BA"/>
    <w:rsid w:val="66CFA29A"/>
    <w:rsid w:val="66EC6763"/>
    <w:rsid w:val="670D5849"/>
    <w:rsid w:val="675CCB3B"/>
    <w:rsid w:val="678BD32E"/>
    <w:rsid w:val="67FFC10B"/>
    <w:rsid w:val="681BBB71"/>
    <w:rsid w:val="6825FB2E"/>
    <w:rsid w:val="6833F58F"/>
    <w:rsid w:val="68529862"/>
    <w:rsid w:val="6870DC0F"/>
    <w:rsid w:val="6891FF08"/>
    <w:rsid w:val="68BA765A"/>
    <w:rsid w:val="69031FB6"/>
    <w:rsid w:val="697AA44B"/>
    <w:rsid w:val="697F27B5"/>
    <w:rsid w:val="69D59826"/>
    <w:rsid w:val="6A1524B2"/>
    <w:rsid w:val="6A17707E"/>
    <w:rsid w:val="6A81ECB1"/>
    <w:rsid w:val="6AA28BC6"/>
    <w:rsid w:val="6AD39F19"/>
    <w:rsid w:val="6AD3C240"/>
    <w:rsid w:val="6AFFA0D9"/>
    <w:rsid w:val="6B145218"/>
    <w:rsid w:val="6B71BF2B"/>
    <w:rsid w:val="6C40358C"/>
    <w:rsid w:val="6C95CB75"/>
    <w:rsid w:val="6D6057C4"/>
    <w:rsid w:val="6D7078A8"/>
    <w:rsid w:val="6D8C2049"/>
    <w:rsid w:val="6D8D8067"/>
    <w:rsid w:val="6DA6EB16"/>
    <w:rsid w:val="6DB9CC65"/>
    <w:rsid w:val="6DD264D9"/>
    <w:rsid w:val="6DEB8786"/>
    <w:rsid w:val="6E010300"/>
    <w:rsid w:val="6E78B2CF"/>
    <w:rsid w:val="6E9D796B"/>
    <w:rsid w:val="6F5C2837"/>
    <w:rsid w:val="6FBD0B7D"/>
    <w:rsid w:val="6FDA21F3"/>
    <w:rsid w:val="6FDF4EC7"/>
    <w:rsid w:val="70198E95"/>
    <w:rsid w:val="701B4B56"/>
    <w:rsid w:val="703928E3"/>
    <w:rsid w:val="70511BE4"/>
    <w:rsid w:val="7067D585"/>
    <w:rsid w:val="70698436"/>
    <w:rsid w:val="706DA6B6"/>
    <w:rsid w:val="70EB4674"/>
    <w:rsid w:val="71112CA6"/>
    <w:rsid w:val="7129CAE6"/>
    <w:rsid w:val="7154B9AF"/>
    <w:rsid w:val="71926067"/>
    <w:rsid w:val="71C1E70C"/>
    <w:rsid w:val="71F5819C"/>
    <w:rsid w:val="71F8E069"/>
    <w:rsid w:val="722B5548"/>
    <w:rsid w:val="725B4914"/>
    <w:rsid w:val="725EA700"/>
    <w:rsid w:val="72ABE938"/>
    <w:rsid w:val="72D5FB6A"/>
    <w:rsid w:val="72FD9ACC"/>
    <w:rsid w:val="731AC67E"/>
    <w:rsid w:val="7324A275"/>
    <w:rsid w:val="739C73EE"/>
    <w:rsid w:val="739D6737"/>
    <w:rsid w:val="73C818D7"/>
    <w:rsid w:val="745F1F99"/>
    <w:rsid w:val="74789000"/>
    <w:rsid w:val="74931770"/>
    <w:rsid w:val="74C505EF"/>
    <w:rsid w:val="753A7801"/>
    <w:rsid w:val="753E819E"/>
    <w:rsid w:val="7544C4F5"/>
    <w:rsid w:val="75492D6E"/>
    <w:rsid w:val="759176D3"/>
    <w:rsid w:val="75F1FFEA"/>
    <w:rsid w:val="7663EEF7"/>
    <w:rsid w:val="7686F51A"/>
    <w:rsid w:val="76A5BCF7"/>
    <w:rsid w:val="76C8F1B8"/>
    <w:rsid w:val="770D20FD"/>
    <w:rsid w:val="776F3467"/>
    <w:rsid w:val="77A436E7"/>
    <w:rsid w:val="77D43EC9"/>
    <w:rsid w:val="77F8D776"/>
    <w:rsid w:val="789B9C84"/>
    <w:rsid w:val="78B42565"/>
    <w:rsid w:val="79273A9E"/>
    <w:rsid w:val="798E76DF"/>
    <w:rsid w:val="79D16C7A"/>
    <w:rsid w:val="79D96F98"/>
    <w:rsid w:val="79E11C19"/>
    <w:rsid w:val="7A95D312"/>
    <w:rsid w:val="7AF70AA5"/>
    <w:rsid w:val="7B1B065F"/>
    <w:rsid w:val="7B4BDC3A"/>
    <w:rsid w:val="7BC78FEB"/>
    <w:rsid w:val="7C0EF7C2"/>
    <w:rsid w:val="7CA060EC"/>
    <w:rsid w:val="7CEFBB05"/>
    <w:rsid w:val="7CFBAD9A"/>
    <w:rsid w:val="7D344613"/>
    <w:rsid w:val="7D40CE15"/>
    <w:rsid w:val="7E122AC9"/>
    <w:rsid w:val="7E298538"/>
    <w:rsid w:val="7E4F1424"/>
    <w:rsid w:val="7F579798"/>
    <w:rsid w:val="7F5F34A8"/>
    <w:rsid w:val="7F86A9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EF4"/>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Tableheadingrow">
    <w:name w:val="COM Table heading row"/>
    <w:basedOn w:val="Normal"/>
    <w:next w:val="COMTabletext"/>
    <w:qFormat/>
    <w:rsid w:val="00F46BEB"/>
    <w:pPr>
      <w:keepNext/>
      <w:keepLines/>
      <w:jc w:val="left"/>
    </w:pPr>
    <w:rPr>
      <w:rFonts w:ascii="Arial Narrow" w:hAnsi="Arial Narrow"/>
      <w:b/>
      <w:bCs/>
      <w:sz w:val="20"/>
      <w:szCs w:val="20"/>
    </w:rPr>
  </w:style>
  <w:style w:type="paragraph" w:customStyle="1" w:styleId="COMBodyH2Numbered">
    <w:name w:val="COM Body H2 Numbered"/>
    <w:basedOn w:val="Heading2"/>
    <w:qFormat/>
    <w:rsid w:val="00CF6C85"/>
    <w:pPr>
      <w:keepNext/>
      <w:spacing w:after="240"/>
    </w:pPr>
  </w:style>
  <w:style w:type="paragraph" w:customStyle="1" w:styleId="COMBodyH1Numbered">
    <w:name w:val="COM Body H1 Numbered"/>
    <w:basedOn w:val="COMESH2"/>
    <w:qFormat/>
    <w:rsid w:val="00684679"/>
    <w:pPr>
      <w:numPr>
        <w:numId w:val="0"/>
      </w:numPr>
    </w:pPr>
  </w:style>
  <w:style w:type="paragraph" w:customStyle="1" w:styleId="COMBodyH3">
    <w:name w:val="COM Body H3"/>
    <w:basedOn w:val="Normal"/>
    <w:qFormat/>
    <w:rsid w:val="00252F9D"/>
    <w:pPr>
      <w:keepNext/>
      <w:spacing w:after="180"/>
      <w:outlineLvl w:val="2"/>
    </w:pPr>
    <w:rPr>
      <w:b/>
      <w:sz w:val="28"/>
      <w:szCs w:val="28"/>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1,Listenabsatz 2,Bullet List,Lista viñetas,Explanation &amp; guidance,ES Paragraph"/>
    <w:link w:val="ListParagraphChar"/>
    <w:uiPriority w:val="34"/>
    <w:qFormat/>
    <w:rsid w:val="004C3B02"/>
    <w:pPr>
      <w:numPr>
        <w:numId w:val="39"/>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1 Char,Listenabsatz 2 Char,Bullet List Char"/>
    <w:basedOn w:val="DefaultParagraphFont"/>
    <w:link w:val="ListParagraph"/>
    <w:uiPriority w:val="34"/>
    <w:qFormat/>
    <w:locked/>
    <w:rsid w:val="004C3B02"/>
    <w:rPr>
      <w:rFonts w:asciiTheme="minorHAnsi" w:hAnsiTheme="minorHAnsi" w:cs="Arial"/>
      <w:snapToGrid w:val="0"/>
      <w:sz w:val="24"/>
      <w:szCs w:val="24"/>
    </w:rPr>
  </w:style>
  <w:style w:type="paragraph" w:styleId="Header">
    <w:name w:val="header"/>
    <w:basedOn w:val="Normal"/>
    <w:link w:val="HeaderChar"/>
    <w:qFormat/>
    <w:rsid w:val="00B94414"/>
    <w:pPr>
      <w:keepNext/>
      <w:tabs>
        <w:tab w:val="center" w:pos="4513"/>
        <w:tab w:val="right" w:pos="9026"/>
      </w:tabs>
      <w:jc w:val="center"/>
    </w:pPr>
    <w:rPr>
      <w:rFonts w:asciiTheme="minorHAnsi" w:hAnsiTheme="minorHAnsi"/>
      <w:i/>
      <w:iCs/>
      <w:color w:val="808080"/>
    </w:rPr>
  </w:style>
  <w:style w:type="character" w:customStyle="1" w:styleId="HeaderChar">
    <w:name w:val="Header Char"/>
    <w:basedOn w:val="DefaultParagraphFont"/>
    <w:link w:val="Header"/>
    <w:rsid w:val="00B94414"/>
    <w:rPr>
      <w:rFonts w:asciiTheme="minorHAnsi" w:hAnsiTheme="minorHAnsi" w:cs="Arial"/>
      <w:i/>
      <w:iCs/>
      <w:color w:val="808080"/>
      <w:sz w:val="24"/>
      <w:szCs w:val="24"/>
    </w:rPr>
  </w:style>
  <w:style w:type="table" w:styleId="TableGrid">
    <w:name w:val="Table Grid"/>
    <w:aliases w:val="Summary box,Table Gridbeth,CMA Table Template,ASD Table,PBAC table,new style,MSD Table Grid,Lash Style Table,Dossier table,Section 3- footnotes,Summary Table,HTAtableplain,Tabellengitternetz 9pt"/>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68467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customStyle="1" w:styleId="Templateinstructionsbulletpoints">
    <w:name w:val="Template instructions bullet points"/>
    <w:basedOn w:val="ListParagraph"/>
    <w:rsid w:val="00B70E8E"/>
    <w:pPr>
      <w:numPr>
        <w:numId w:val="2"/>
      </w:numPr>
      <w:contextualSpacing/>
    </w:p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D92D9D"/>
    <w:pPr>
      <w:keepNext/>
      <w:keepLines/>
    </w:pPr>
    <w:rPr>
      <w:rFonts w:ascii="Arial Narrow" w:eastAsiaTheme="majorEastAsia" w:hAnsi="Arial Narrow" w:cstheme="majorBidi"/>
      <w:bCs/>
      <w:szCs w:val="24"/>
    </w:rPr>
  </w:style>
  <w:style w:type="paragraph" w:customStyle="1" w:styleId="COMBodybulletlist">
    <w:name w:val="COM Body bullet list"/>
    <w:basedOn w:val="Normal"/>
    <w:link w:val="COMBodybulletlistChar"/>
    <w:qFormat/>
    <w:rsid w:val="00994A19"/>
    <w:pPr>
      <w:numPr>
        <w:numId w:val="6"/>
      </w:numPr>
      <w:contextualSpacing/>
    </w:pPr>
  </w:style>
  <w:style w:type="paragraph" w:customStyle="1" w:styleId="COMESH2">
    <w:name w:val="COM ES H2"/>
    <w:next w:val="COMESnumberedpara"/>
    <w:qFormat/>
    <w:rsid w:val="004C3B02"/>
    <w:pPr>
      <w:keepNext/>
      <w:numPr>
        <w:numId w:val="38"/>
      </w:numPr>
      <w:spacing w:before="240" w:after="120"/>
      <w:outlineLvl w:val="0"/>
    </w:pPr>
    <w:rPr>
      <w:rFonts w:asciiTheme="minorHAnsi" w:hAnsiTheme="minorHAnsi" w:cs="Arial"/>
      <w:b/>
      <w:snapToGrid w:val="0"/>
      <w:sz w:val="32"/>
      <w:szCs w:val="32"/>
    </w:rPr>
  </w:style>
  <w:style w:type="paragraph" w:customStyle="1" w:styleId="COMH1-notnumbered">
    <w:name w:val="COM H1 - not numbered"/>
    <w:next w:val="COMESH2"/>
    <w:link w:val="COMH1-notnumberedChar"/>
    <w:qFormat/>
    <w:rsid w:val="00684679"/>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COMH1-notnumberedChar">
    <w:name w:val="COM H1 - not numbered Char"/>
    <w:basedOn w:val="DefaultParagraphFont"/>
    <w:link w:val="COMH1-notnumbered"/>
    <w:rsid w:val="00684679"/>
    <w:rPr>
      <w:rFonts w:asciiTheme="minorHAnsi" w:eastAsiaTheme="majorEastAsia" w:hAnsiTheme="minorHAnsi" w:cstheme="majorBidi"/>
      <w:b/>
      <w:spacing w:val="5"/>
      <w:kern w:val="28"/>
      <w:sz w:val="36"/>
      <w:szCs w:val="36"/>
    </w:rPr>
  </w:style>
  <w:style w:type="paragraph" w:customStyle="1" w:styleId="COMTableFigurecaption">
    <w:name w:val="COM Table/Figure caption"/>
    <w:next w:val="Normal"/>
    <w:link w:val="COMTableFigurecaptionChar"/>
    <w:qFormat/>
    <w:rsid w:val="004C3B02"/>
    <w:pPr>
      <w:keepNext/>
    </w:pPr>
    <w:rPr>
      <w:rFonts w:ascii="Arial Narrow" w:eastAsiaTheme="majorEastAsia" w:hAnsi="Arial Narrow" w:cstheme="majorBidi"/>
      <w:b/>
      <w:bCs/>
      <w:szCs w:val="24"/>
    </w:rPr>
  </w:style>
  <w:style w:type="character" w:customStyle="1" w:styleId="COMTableFigurecaptionChar">
    <w:name w:val="COM Table/Figure caption Char"/>
    <w:basedOn w:val="DefaultParagraphFont"/>
    <w:link w:val="COMTableFigurecaption"/>
    <w:rsid w:val="004C3B02"/>
    <w:rPr>
      <w:rFonts w:ascii="Arial Narrow" w:eastAsiaTheme="majorEastAsia" w:hAnsi="Arial Narrow" w:cstheme="majorBidi"/>
      <w:b/>
      <w:bCs/>
      <w:szCs w:val="24"/>
    </w:rPr>
  </w:style>
  <w:style w:type="paragraph" w:customStyle="1" w:styleId="COMESnumberedpara">
    <w:name w:val="COM ES numbered para"/>
    <w:link w:val="COMESnumberedparaChar"/>
    <w:qFormat/>
    <w:rsid w:val="004C3B02"/>
    <w:pPr>
      <w:numPr>
        <w:ilvl w:val="1"/>
        <w:numId w:val="38"/>
      </w:numPr>
      <w:spacing w:before="60" w:after="60"/>
      <w:jc w:val="both"/>
    </w:pPr>
    <w:rPr>
      <w:rFonts w:asciiTheme="minorHAnsi" w:eastAsiaTheme="minorHAnsi" w:hAnsiTheme="minorHAnsi" w:cstheme="minorBidi"/>
      <w:sz w:val="24"/>
      <w:szCs w:val="22"/>
    </w:rPr>
  </w:style>
  <w:style w:type="character" w:customStyle="1" w:styleId="COMESnumberedparaChar">
    <w:name w:val="COM ES numbered para Char"/>
    <w:basedOn w:val="ListParagraphChar"/>
    <w:link w:val="COMESnumberedpara"/>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COMTablefooter">
    <w:name w:val="COM Table footer"/>
    <w:basedOn w:val="Normal"/>
    <w:link w:val="COMTablefooterChar"/>
    <w:qFormat/>
    <w:rsid w:val="00124423"/>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124423"/>
    <w:rPr>
      <w:rFonts w:ascii="Arial Narrow" w:hAnsi="Arial Narrow" w:cs="Arial"/>
      <w:snapToGrid w:val="0"/>
      <w:sz w:val="18"/>
      <w:szCs w:val="22"/>
    </w:rPr>
  </w:style>
  <w:style w:type="paragraph" w:customStyle="1" w:styleId="COMESSubsectionheading">
    <w:name w:val="COM ES Subsection heading"/>
    <w:basedOn w:val="Heading2"/>
    <w:next w:val="COMESnumberedpara"/>
    <w:link w:val="COMESSubsectionheadingChar"/>
    <w:autoRedefine/>
    <w:qFormat/>
    <w:rsid w:val="00401847"/>
    <w:pPr>
      <w:keepNext/>
      <w:spacing w:before="120" w:after="120"/>
    </w:pPr>
    <w:rPr>
      <w:rFonts w:asciiTheme="minorHAnsi" w:eastAsiaTheme="majorEastAsia" w:hAnsiTheme="minorHAnsi" w:cstheme="majorBidi"/>
      <w:color w:val="000000" w:themeColor="text1"/>
      <w:spacing w:val="5"/>
      <w:kern w:val="28"/>
      <w:szCs w:val="36"/>
      <w:lang w:eastAsia="en-US"/>
    </w:rPr>
  </w:style>
  <w:style w:type="character" w:customStyle="1" w:styleId="COMESSubsectionheadingChar">
    <w:name w:val="COM ES Subsection heading Char"/>
    <w:basedOn w:val="Heading2Char"/>
    <w:link w:val="COMESSubsectionheading"/>
    <w:rsid w:val="00401847"/>
    <w:rPr>
      <w:rFonts w:asciiTheme="minorHAnsi" w:eastAsiaTheme="majorEastAsia" w:hAnsiTheme="minorHAnsi" w:cstheme="majorBidi"/>
      <w:b/>
      <w:i/>
      <w:snapToGrid/>
      <w:color w:val="000000" w:themeColor="text1"/>
      <w:spacing w:val="5"/>
      <w:kern w:val="28"/>
      <w:sz w:val="28"/>
      <w:szCs w:val="36"/>
      <w:lang w:eastAsia="en-US"/>
    </w:rPr>
  </w:style>
  <w:style w:type="paragraph" w:customStyle="1" w:styleId="COMCICheadings">
    <w:name w:val="COM CIC headings"/>
    <w:basedOn w:val="Heading3"/>
    <w:next w:val="COMESnumberedpara"/>
    <w:link w:val="COMCICheadings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COMCICheadingsChar">
    <w:name w:val="COM CIC headings Char"/>
    <w:basedOn w:val="DefaultParagraphFont"/>
    <w:link w:val="COMCICheadings"/>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contextualSpacing/>
    </w:pPr>
  </w:style>
  <w:style w:type="character" w:customStyle="1" w:styleId="COMTabletextChar">
    <w:name w:val="COM Table text Char"/>
    <w:basedOn w:val="DefaultParagraphFont"/>
    <w:link w:val="COMTabletext"/>
    <w:rsid w:val="00D92D9D"/>
    <w:rPr>
      <w:rFonts w:ascii="Arial Narrow" w:eastAsiaTheme="majorEastAsia" w:hAnsi="Arial Narrow" w:cstheme="majorBidi"/>
      <w:bCs/>
      <w:szCs w:val="24"/>
    </w:rPr>
  </w:style>
  <w:style w:type="paragraph" w:customStyle="1" w:styleId="bullet">
    <w:name w:val="bullet"/>
    <w:basedOn w:val="ListParagraph"/>
    <w:link w:val="bulletChar"/>
    <w:rsid w:val="00D30D5B"/>
    <w:pPr>
      <w:numPr>
        <w:numId w:val="3"/>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character" w:customStyle="1" w:styleId="COMBodybulletlistChar">
    <w:name w:val="COM Body bullet list Char"/>
    <w:basedOn w:val="DefaultParagraphFont"/>
    <w:link w:val="COMBodybulletlist"/>
    <w:rsid w:val="00994A19"/>
    <w:rPr>
      <w:rFonts w:ascii="Calibri" w:hAnsi="Calibri" w:cs="Arial"/>
      <w:sz w:val="24"/>
      <w:szCs w:val="24"/>
    </w:rPr>
  </w:style>
  <w:style w:type="paragraph" w:customStyle="1" w:styleId="COMESbulletlist">
    <w:name w:val="COM ES bullet list"/>
    <w:basedOn w:val="ListParagraph"/>
    <w:link w:val="COMESbulletlistChar"/>
    <w:qFormat/>
    <w:rsid w:val="00DB38FF"/>
    <w:pPr>
      <w:ind w:left="1134" w:hanging="425"/>
    </w:pPr>
  </w:style>
  <w:style w:type="character" w:customStyle="1" w:styleId="COMESbulletlistChar">
    <w:name w:val="COM ES bullet list Char"/>
    <w:basedOn w:val="DefaultParagraphFont"/>
    <w:link w:val="COMESbulletlist"/>
    <w:rsid w:val="00DB38FF"/>
    <w:rPr>
      <w:rFonts w:asciiTheme="minorHAnsi" w:hAnsiTheme="minorHAnsi" w:cs="Arial"/>
      <w:snapToGrid w:val="0"/>
      <w:sz w:val="24"/>
      <w:szCs w:val="24"/>
    </w:rPr>
  </w:style>
  <w:style w:type="paragraph" w:customStyle="1" w:styleId="COMBodytext">
    <w:name w:val="COM Body text"/>
    <w:basedOn w:val="Normal"/>
    <w:qFormat/>
    <w:rsid w:val="00994A19"/>
  </w:style>
  <w:style w:type="character" w:styleId="UnresolvedMention">
    <w:name w:val="Unresolved Mention"/>
    <w:basedOn w:val="DefaultParagraphFont"/>
    <w:uiPriority w:val="99"/>
    <w:unhideWhenUsed/>
    <w:rsid w:val="00684679"/>
    <w:rPr>
      <w:color w:val="605E5C"/>
      <w:shd w:val="clear" w:color="auto" w:fill="E1DFDD"/>
    </w:rPr>
  </w:style>
  <w:style w:type="paragraph" w:customStyle="1" w:styleId="COMBodyH4">
    <w:name w:val="COM Body H4"/>
    <w:basedOn w:val="Normal"/>
    <w:next w:val="COMBodytext"/>
    <w:link w:val="COMBodyH4Char"/>
    <w:qFormat/>
    <w:rsid w:val="00466B8C"/>
    <w:pPr>
      <w:keepNext/>
      <w:spacing w:after="120"/>
      <w:outlineLvl w:val="3"/>
    </w:pPr>
    <w:rPr>
      <w:b/>
      <w:i/>
    </w:rPr>
  </w:style>
  <w:style w:type="character" w:customStyle="1" w:styleId="COMBodyH4Char">
    <w:name w:val="COM Body H4 Char"/>
    <w:basedOn w:val="DefaultParagraphFont"/>
    <w:link w:val="COMBodyH4"/>
    <w:rsid w:val="00466B8C"/>
    <w:rPr>
      <w:rFonts w:ascii="Calibri" w:hAnsi="Calibri" w:cs="Arial"/>
      <w:b/>
      <w:i/>
      <w:sz w:val="24"/>
      <w:szCs w:val="24"/>
    </w:rPr>
  </w:style>
  <w:style w:type="paragraph" w:customStyle="1" w:styleId="COMESmainissuesbullets">
    <w:name w:val="COM ES main issues bullets"/>
    <w:basedOn w:val="Normal"/>
    <w:link w:val="COMESmainissuesbulletsChar"/>
    <w:qFormat/>
    <w:rsid w:val="00EC29F4"/>
    <w:pPr>
      <w:numPr>
        <w:numId w:val="7"/>
      </w:numPr>
      <w:spacing w:after="120"/>
    </w:pPr>
    <w:rPr>
      <w:rFonts w:asciiTheme="minorHAnsi" w:hAnsiTheme="minorHAnsi"/>
      <w:snapToGrid w:val="0"/>
    </w:rPr>
  </w:style>
  <w:style w:type="character" w:customStyle="1" w:styleId="COMESmainissuesbulletsChar">
    <w:name w:val="COM ES main issues bullets Char"/>
    <w:basedOn w:val="DefaultParagraphFont"/>
    <w:link w:val="COMESmainissuesbullets"/>
    <w:rsid w:val="00EC29F4"/>
    <w:rPr>
      <w:rFonts w:asciiTheme="minorHAnsi" w:hAnsiTheme="minorHAnsi" w:cs="Arial"/>
      <w:snapToGrid w:val="0"/>
      <w:sz w:val="24"/>
      <w:szCs w:val="24"/>
    </w:rPr>
  </w:style>
  <w:style w:type="paragraph" w:customStyle="1" w:styleId="COMESH2-notnumbered">
    <w:name w:val="COM ES H2-not numbered"/>
    <w:basedOn w:val="COMESH2"/>
    <w:next w:val="COMBodytext"/>
    <w:qFormat/>
    <w:rsid w:val="00111F99"/>
    <w:pPr>
      <w:numPr>
        <w:numId w:val="0"/>
      </w:numPr>
    </w:pPr>
  </w:style>
  <w:style w:type="paragraph" w:customStyle="1" w:styleId="COMtablefigcaption">
    <w:name w:val="COM table/fig caption"/>
    <w:next w:val="COMTableheadingrow"/>
    <w:link w:val="COMtablefigcaptionChar"/>
    <w:qFormat/>
    <w:rsid w:val="00F6799A"/>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F6799A"/>
    <w:rPr>
      <w:rFonts w:ascii="Arial Narrow" w:eastAsiaTheme="majorEastAsia" w:hAnsi="Arial Narrow" w:cstheme="majorBidi"/>
      <w:b/>
      <w:bCs/>
      <w:szCs w:val="24"/>
    </w:rPr>
  </w:style>
  <w:style w:type="paragraph" w:customStyle="1" w:styleId="COMbodybulletlist0">
    <w:name w:val="COM body bullet list"/>
    <w:basedOn w:val="Normal"/>
    <w:link w:val="COMbodybulletlistChar0"/>
    <w:qFormat/>
    <w:rsid w:val="00DC0F07"/>
    <w:pPr>
      <w:tabs>
        <w:tab w:val="num" w:pos="360"/>
      </w:tabs>
      <w:ind w:left="360" w:hanging="360"/>
      <w:contextualSpacing/>
    </w:pPr>
  </w:style>
  <w:style w:type="character" w:customStyle="1" w:styleId="COMbodybulletlistChar0">
    <w:name w:val="COM body bullet list Char"/>
    <w:basedOn w:val="DefaultParagraphFont"/>
    <w:link w:val="COMbodybulletlist0"/>
    <w:rsid w:val="00DC0F07"/>
    <w:rPr>
      <w:rFonts w:ascii="Calibri" w:hAnsi="Calibri" w:cs="Arial"/>
      <w:sz w:val="24"/>
      <w:szCs w:val="24"/>
    </w:rPr>
  </w:style>
  <w:style w:type="character" w:styleId="CommentReference">
    <w:name w:val="annotation reference"/>
    <w:aliases w:val="Table Title"/>
    <w:basedOn w:val="DefaultParagraphFont"/>
    <w:uiPriority w:val="99"/>
    <w:unhideWhenUsed/>
    <w:qFormat/>
    <w:rsid w:val="00851F2C"/>
    <w:rPr>
      <w:sz w:val="16"/>
      <w:szCs w:val="16"/>
    </w:rPr>
  </w:style>
  <w:style w:type="paragraph" w:styleId="CommentText">
    <w:name w:val="annotation text"/>
    <w:basedOn w:val="Normal"/>
    <w:link w:val="CommentTextChar"/>
    <w:unhideWhenUsed/>
    <w:rsid w:val="00851F2C"/>
    <w:rPr>
      <w:sz w:val="20"/>
      <w:szCs w:val="20"/>
    </w:rPr>
  </w:style>
  <w:style w:type="character" w:customStyle="1" w:styleId="CommentTextChar">
    <w:name w:val="Comment Text Char"/>
    <w:basedOn w:val="DefaultParagraphFont"/>
    <w:link w:val="CommentText"/>
    <w:rsid w:val="00851F2C"/>
    <w:rPr>
      <w:rFonts w:ascii="Calibri" w:hAnsi="Calibri" w:cs="Arial"/>
    </w:rPr>
  </w:style>
  <w:style w:type="paragraph" w:customStyle="1" w:styleId="TableText">
    <w:name w:val="Table Text"/>
    <w:link w:val="TableTextChar"/>
    <w:qFormat/>
    <w:rsid w:val="00222E5D"/>
    <w:pPr>
      <w:keepNext/>
      <w:widowControl w:val="0"/>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222E5D"/>
    <w:rPr>
      <w:rFonts w:ascii="Arial Narrow" w:eastAsiaTheme="majorEastAsia" w:hAnsi="Arial Narrow" w:cstheme="majorBidi"/>
      <w:bCs/>
      <w:szCs w:val="24"/>
    </w:rPr>
  </w:style>
  <w:style w:type="character" w:customStyle="1" w:styleId="TabletextChar0">
    <w:name w:val="Table text Char"/>
    <w:link w:val="Tabletext0"/>
    <w:uiPriority w:val="2"/>
    <w:locked/>
    <w:rsid w:val="009A6CEC"/>
    <w:rPr>
      <w:rFonts w:ascii="Arial Narrow" w:hAnsi="Arial Narrow"/>
      <w:szCs w:val="22"/>
      <w:lang w:eastAsia="en-US"/>
    </w:rPr>
  </w:style>
  <w:style w:type="paragraph" w:customStyle="1" w:styleId="Tabletext0">
    <w:name w:val="Table text"/>
    <w:basedOn w:val="Normal"/>
    <w:link w:val="TabletextChar0"/>
    <w:uiPriority w:val="2"/>
    <w:qFormat/>
    <w:rsid w:val="009A6CEC"/>
    <w:pPr>
      <w:jc w:val="left"/>
    </w:pPr>
    <w:rPr>
      <w:rFonts w:ascii="Arial Narrow" w:hAnsi="Arial Narrow" w:cs="Times New Roman"/>
      <w:sz w:val="20"/>
      <w:szCs w:val="22"/>
      <w:lang w:eastAsia="en-US"/>
    </w:rPr>
  </w:style>
  <w:style w:type="paragraph" w:customStyle="1" w:styleId="COMBody">
    <w:name w:val="COM Body"/>
    <w:basedOn w:val="Normal"/>
    <w:link w:val="COMBodyChar"/>
    <w:qFormat/>
    <w:rsid w:val="00012AE5"/>
  </w:style>
  <w:style w:type="character" w:customStyle="1" w:styleId="COMBodyChar">
    <w:name w:val="COM Body Char"/>
    <w:basedOn w:val="DefaultParagraphFont"/>
    <w:link w:val="COMBody"/>
    <w:rsid w:val="00012AE5"/>
    <w:rPr>
      <w:rFonts w:ascii="Calibri" w:hAnsi="Calibri" w:cs="Arial"/>
      <w:sz w:val="24"/>
      <w:szCs w:val="24"/>
    </w:rPr>
  </w:style>
  <w:style w:type="paragraph" w:customStyle="1" w:styleId="COMexecsummmainissuesbullets">
    <w:name w:val="COM exec summ main issues bullets"/>
    <w:basedOn w:val="ListParagraph"/>
    <w:qFormat/>
    <w:rsid w:val="00E45727"/>
    <w:pPr>
      <w:numPr>
        <w:numId w:val="0"/>
      </w:numPr>
      <w:ind w:left="720" w:hanging="360"/>
      <w:jc w:val="both"/>
    </w:pPr>
    <w:rPr>
      <w:color w:val="0066FF"/>
    </w:rPr>
  </w:style>
  <w:style w:type="paragraph" w:customStyle="1" w:styleId="TableFigureFooter">
    <w:name w:val="Table/Figure Footer"/>
    <w:basedOn w:val="Normal"/>
    <w:link w:val="TableFigureFooterChar"/>
    <w:qFormat/>
    <w:rsid w:val="0038599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385996"/>
    <w:rPr>
      <w:rFonts w:ascii="Arial Narrow" w:hAnsi="Arial Narrow" w:cs="Arial"/>
      <w:snapToGrid w:val="0"/>
      <w:sz w:val="18"/>
      <w:szCs w:val="22"/>
    </w:rPr>
  </w:style>
  <w:style w:type="character" w:customStyle="1" w:styleId="COMBodyChar0">
    <w:name w:val="COMBody Char"/>
    <w:basedOn w:val="DefaultParagraphFont"/>
    <w:link w:val="COMBody0"/>
    <w:locked/>
    <w:rsid w:val="00062A4F"/>
    <w:rPr>
      <w:rFonts w:ascii="Calibri" w:hAnsi="Calibri" w:cs="Arial"/>
      <w:sz w:val="24"/>
    </w:rPr>
  </w:style>
  <w:style w:type="paragraph" w:customStyle="1" w:styleId="COMBody0">
    <w:name w:val="COMBody"/>
    <w:basedOn w:val="Normal"/>
    <w:link w:val="COMBodyChar0"/>
    <w:qFormat/>
    <w:rsid w:val="00062A4F"/>
    <w:pPr>
      <w:widowControl w:val="0"/>
      <w:snapToGrid w:val="0"/>
    </w:pPr>
    <w:rPr>
      <w:szCs w:val="20"/>
    </w:rPr>
  </w:style>
  <w:style w:type="paragraph" w:styleId="Caption">
    <w:name w:val="caption"/>
    <w:basedOn w:val="COMtablefigcaption"/>
    <w:next w:val="Normal"/>
    <w:unhideWhenUsed/>
    <w:rsid w:val="009F21AF"/>
  </w:style>
  <w:style w:type="paragraph" w:styleId="CommentSubject">
    <w:name w:val="annotation subject"/>
    <w:basedOn w:val="CommentText"/>
    <w:next w:val="CommentText"/>
    <w:link w:val="CommentSubjectChar"/>
    <w:semiHidden/>
    <w:unhideWhenUsed/>
    <w:rsid w:val="003F4E5F"/>
    <w:rPr>
      <w:b/>
      <w:bCs/>
    </w:rPr>
  </w:style>
  <w:style w:type="character" w:customStyle="1" w:styleId="CommentSubjectChar">
    <w:name w:val="Comment Subject Char"/>
    <w:basedOn w:val="CommentTextChar"/>
    <w:link w:val="CommentSubject"/>
    <w:semiHidden/>
    <w:rsid w:val="003F4E5F"/>
    <w:rPr>
      <w:rFonts w:ascii="Calibri" w:hAnsi="Calibri" w:cs="Arial"/>
      <w:b/>
      <w:bCs/>
    </w:rPr>
  </w:style>
  <w:style w:type="paragraph" w:customStyle="1" w:styleId="TableFooter">
    <w:name w:val="Table Footer"/>
    <w:basedOn w:val="Normal"/>
    <w:link w:val="TableFooterChar"/>
    <w:qFormat/>
    <w:rsid w:val="003F4E5F"/>
    <w:pPr>
      <w:widowControl w:val="0"/>
      <w:spacing w:after="120"/>
      <w:contextualSpacing/>
    </w:pPr>
    <w:rPr>
      <w:rFonts w:ascii="Arial Narrow" w:hAnsi="Arial Narrow"/>
      <w:snapToGrid w:val="0"/>
      <w:sz w:val="18"/>
      <w:szCs w:val="22"/>
      <w:lang w:eastAsia="en-US"/>
    </w:rPr>
  </w:style>
  <w:style w:type="character" w:customStyle="1" w:styleId="TableFooterChar">
    <w:name w:val="Table Footer Char"/>
    <w:link w:val="TableFooter"/>
    <w:rsid w:val="003F4E5F"/>
    <w:rPr>
      <w:rFonts w:ascii="Arial Narrow" w:hAnsi="Arial Narrow" w:cs="Arial"/>
      <w:snapToGrid w:val="0"/>
      <w:sz w:val="18"/>
      <w:szCs w:val="22"/>
      <w:lang w:eastAsia="en-US"/>
    </w:rPr>
  </w:style>
  <w:style w:type="paragraph" w:customStyle="1" w:styleId="TableHeading">
    <w:name w:val="Table Heading"/>
    <w:basedOn w:val="Normal"/>
    <w:link w:val="TableHeadingChar"/>
    <w:qFormat/>
    <w:rsid w:val="003F4E5F"/>
    <w:pPr>
      <w:keepNext/>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3F4E5F"/>
    <w:rPr>
      <w:rFonts w:ascii="Arial Narrow" w:eastAsiaTheme="minorHAnsi" w:hAnsi="Arial Narrow" w:cstheme="minorBidi"/>
      <w:b/>
      <w:szCs w:val="22"/>
      <w:lang w:eastAsia="en-US"/>
    </w:rPr>
  </w:style>
  <w:style w:type="paragraph" w:customStyle="1" w:styleId="Table">
    <w:name w:val="Table"/>
    <w:basedOn w:val="Normal"/>
    <w:link w:val="TableChar"/>
    <w:qFormat/>
    <w:rsid w:val="003F4E5F"/>
    <w:pPr>
      <w:widowControl w:val="0"/>
      <w:jc w:val="left"/>
    </w:pPr>
    <w:rPr>
      <w:rFonts w:eastAsiaTheme="majorEastAsia" w:cstheme="majorBidi"/>
      <w:sz w:val="20"/>
      <w:szCs w:val="22"/>
      <w:lang w:eastAsia="en-US" w:bidi="en-US"/>
    </w:rPr>
  </w:style>
  <w:style w:type="character" w:customStyle="1" w:styleId="TableChar">
    <w:name w:val="Table Char"/>
    <w:basedOn w:val="DefaultParagraphFont"/>
    <w:link w:val="Table"/>
    <w:locked/>
    <w:rsid w:val="003F4E5F"/>
    <w:rPr>
      <w:rFonts w:ascii="Calibri" w:eastAsiaTheme="majorEastAsia" w:hAnsi="Calibri" w:cstheme="majorBidi"/>
      <w:szCs w:val="22"/>
      <w:lang w:eastAsia="en-US" w:bidi="en-US"/>
    </w:rPr>
  </w:style>
  <w:style w:type="character" w:customStyle="1" w:styleId="Small">
    <w:name w:val="Small"/>
    <w:basedOn w:val="DefaultParagraphFont"/>
    <w:uiPriority w:val="4"/>
    <w:qFormat/>
    <w:rsid w:val="003F4E5F"/>
    <w:rPr>
      <w:rFonts w:ascii="Calibri" w:hAnsi="Calibri"/>
      <w:sz w:val="20"/>
    </w:rPr>
  </w:style>
  <w:style w:type="paragraph" w:customStyle="1" w:styleId="TableBullets">
    <w:name w:val="Table Bullets"/>
    <w:basedOn w:val="Table"/>
    <w:uiPriority w:val="5"/>
    <w:qFormat/>
    <w:rsid w:val="003F4E5F"/>
    <w:pPr>
      <w:numPr>
        <w:numId w:val="8"/>
      </w:numPr>
      <w:tabs>
        <w:tab w:val="num" w:pos="360"/>
      </w:tabs>
    </w:pPr>
  </w:style>
  <w:style w:type="paragraph" w:customStyle="1" w:styleId="COMH3">
    <w:name w:val="COM H3"/>
    <w:basedOn w:val="Normal"/>
    <w:next w:val="Normal"/>
    <w:link w:val="COMH3Char"/>
    <w:qFormat/>
    <w:rsid w:val="004B5BDF"/>
    <w:pPr>
      <w:keepNext/>
      <w:spacing w:after="240"/>
      <w:outlineLvl w:val="2"/>
    </w:pPr>
    <w:rPr>
      <w:b/>
      <w:iCs/>
      <w:sz w:val="28"/>
    </w:rPr>
  </w:style>
  <w:style w:type="character" w:customStyle="1" w:styleId="COMH3Char">
    <w:name w:val="COM H3 Char"/>
    <w:basedOn w:val="DefaultParagraphFont"/>
    <w:link w:val="COMH3"/>
    <w:rsid w:val="004B5BDF"/>
    <w:rPr>
      <w:rFonts w:ascii="Calibri" w:hAnsi="Calibri" w:cs="Arial"/>
      <w:b/>
      <w:iCs/>
      <w:sz w:val="28"/>
      <w:szCs w:val="24"/>
    </w:rPr>
  </w:style>
  <w:style w:type="paragraph" w:styleId="FootnoteText">
    <w:name w:val="footnote text"/>
    <w:basedOn w:val="Normal"/>
    <w:link w:val="FootnoteTextChar"/>
    <w:unhideWhenUsed/>
    <w:rsid w:val="004B5BDF"/>
    <w:rPr>
      <w:sz w:val="20"/>
      <w:szCs w:val="20"/>
    </w:rPr>
  </w:style>
  <w:style w:type="character" w:customStyle="1" w:styleId="FootnoteTextChar">
    <w:name w:val="Footnote Text Char"/>
    <w:basedOn w:val="DefaultParagraphFont"/>
    <w:link w:val="FootnoteText"/>
    <w:rsid w:val="004B5BDF"/>
    <w:rPr>
      <w:rFonts w:ascii="Calibri" w:hAnsi="Calibri" w:cs="Arial"/>
    </w:rPr>
  </w:style>
  <w:style w:type="character" w:styleId="FootnoteReference">
    <w:name w:val="footnote reference"/>
    <w:basedOn w:val="DefaultParagraphFont"/>
    <w:semiHidden/>
    <w:unhideWhenUsed/>
    <w:rsid w:val="004B5BDF"/>
    <w:rPr>
      <w:vertAlign w:val="superscript"/>
    </w:rPr>
  </w:style>
  <w:style w:type="paragraph" w:customStyle="1" w:styleId="Bulletpoints">
    <w:name w:val="Bullet points"/>
    <w:basedOn w:val="Normal"/>
    <w:rsid w:val="00B476BB"/>
    <w:pPr>
      <w:spacing w:after="120"/>
      <w:ind w:left="720" w:hanging="360"/>
      <w:contextualSpacing/>
    </w:pPr>
    <w:rPr>
      <w:rFonts w:asciiTheme="minorHAnsi" w:hAnsiTheme="minorHAnsi"/>
      <w:snapToGrid w:val="0"/>
    </w:rPr>
  </w:style>
  <w:style w:type="paragraph" w:styleId="Footer">
    <w:name w:val="footer"/>
    <w:basedOn w:val="Normal"/>
    <w:link w:val="FooterChar"/>
    <w:uiPriority w:val="99"/>
    <w:unhideWhenUsed/>
    <w:rsid w:val="00C6506C"/>
    <w:pPr>
      <w:tabs>
        <w:tab w:val="center" w:pos="4513"/>
        <w:tab w:val="right" w:pos="9026"/>
      </w:tabs>
    </w:pPr>
  </w:style>
  <w:style w:type="character" w:customStyle="1" w:styleId="FooterChar">
    <w:name w:val="Footer Char"/>
    <w:basedOn w:val="DefaultParagraphFont"/>
    <w:link w:val="Footer"/>
    <w:uiPriority w:val="99"/>
    <w:rsid w:val="00C6506C"/>
    <w:rPr>
      <w:rFonts w:ascii="Calibri" w:hAnsi="Calibri" w:cs="Arial"/>
      <w:sz w:val="24"/>
      <w:szCs w:val="24"/>
    </w:rPr>
  </w:style>
  <w:style w:type="paragraph" w:customStyle="1" w:styleId="COMH1-numbered">
    <w:name w:val="COM H1 - numbered"/>
    <w:next w:val="COMexecsummnumbered"/>
    <w:qFormat/>
    <w:rsid w:val="002D29D4"/>
    <w:pPr>
      <w:keepNext/>
      <w:spacing w:before="240" w:after="120"/>
      <w:ind w:left="720" w:hanging="720"/>
      <w:outlineLvl w:val="0"/>
    </w:pPr>
    <w:rPr>
      <w:rFonts w:asciiTheme="minorHAnsi" w:hAnsiTheme="minorHAnsi" w:cs="Arial"/>
      <w:b/>
      <w:snapToGrid w:val="0"/>
      <w:sz w:val="32"/>
      <w:szCs w:val="32"/>
    </w:rPr>
  </w:style>
  <w:style w:type="paragraph" w:customStyle="1" w:styleId="COMexecsummnumbered">
    <w:name w:val="COM exec summ numbered"/>
    <w:link w:val="COMexecsummnumberedChar"/>
    <w:qFormat/>
    <w:rsid w:val="002D29D4"/>
    <w:pPr>
      <w:spacing w:before="60" w:after="60"/>
      <w:ind w:left="720" w:hanging="720"/>
      <w:jc w:val="both"/>
    </w:pPr>
    <w:rPr>
      <w:rFonts w:asciiTheme="minorHAnsi" w:eastAsiaTheme="minorHAnsi" w:hAnsiTheme="minorHAnsi" w:cstheme="minorBidi"/>
      <w:sz w:val="24"/>
      <w:szCs w:val="22"/>
    </w:rPr>
  </w:style>
  <w:style w:type="character" w:customStyle="1" w:styleId="COMexecsummnumberedChar">
    <w:name w:val="COM exec summ numbered Char"/>
    <w:basedOn w:val="DefaultParagraphFont"/>
    <w:link w:val="COMexecsummnumbered"/>
    <w:rsid w:val="002D29D4"/>
    <w:rPr>
      <w:rFonts w:asciiTheme="minorHAnsi" w:eastAsiaTheme="minorHAnsi" w:hAnsiTheme="minorHAnsi" w:cstheme="minorBidi"/>
      <w:sz w:val="24"/>
      <w:szCs w:val="22"/>
    </w:rPr>
  </w:style>
  <w:style w:type="character" w:styleId="Mention">
    <w:name w:val="Mention"/>
    <w:basedOn w:val="DefaultParagraphFont"/>
    <w:uiPriority w:val="99"/>
    <w:unhideWhenUsed/>
    <w:rsid w:val="00610E35"/>
    <w:rPr>
      <w:color w:val="2B579A"/>
      <w:shd w:val="clear" w:color="auto" w:fill="E1DFDD"/>
    </w:rPr>
  </w:style>
  <w:style w:type="character" w:customStyle="1" w:styleId="cf01">
    <w:name w:val="cf01"/>
    <w:basedOn w:val="DefaultParagraphFont"/>
    <w:rsid w:val="00CA5848"/>
    <w:rPr>
      <w:rFonts w:ascii="Segoe UI" w:hAnsi="Segoe UI" w:cs="Segoe UI" w:hint="default"/>
      <w:i/>
      <w:iCs/>
      <w:sz w:val="18"/>
      <w:szCs w:val="18"/>
    </w:rPr>
  </w:style>
  <w:style w:type="paragraph" w:customStyle="1" w:styleId="PBACHeading1">
    <w:name w:val="PBAC Heading 1"/>
    <w:qFormat/>
    <w:rsid w:val="00965E5E"/>
    <w:pPr>
      <w:ind w:left="720" w:hanging="720"/>
      <w:outlineLvl w:val="0"/>
    </w:pPr>
    <w:rPr>
      <w:rFonts w:ascii="Calibri" w:hAnsi="Calibri" w:cs="Calibri"/>
      <w:b/>
      <w:snapToGrid w:val="0"/>
      <w:sz w:val="32"/>
      <w:szCs w:val="32"/>
      <w:lang w:eastAsia="en-US"/>
    </w:rPr>
  </w:style>
  <w:style w:type="paragraph" w:customStyle="1" w:styleId="3-SubsectionHeading">
    <w:name w:val="3-Subsection Heading"/>
    <w:basedOn w:val="Heading2"/>
    <w:next w:val="Normal"/>
    <w:link w:val="3-SubsectionHeadingChar"/>
    <w:qFormat/>
    <w:rsid w:val="000A691E"/>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0A691E"/>
    <w:rPr>
      <w:rFonts w:asciiTheme="minorHAnsi" w:eastAsiaTheme="majorEastAsia" w:hAnsiTheme="minorHAnsi" w:cstheme="majorBidi"/>
      <w:b/>
      <w:i/>
      <w:snapToGrid/>
      <w:spacing w:val="5"/>
      <w:kern w:val="28"/>
      <w:sz w:val="28"/>
      <w:szCs w:val="36"/>
      <w:lang w:eastAsia="en-US"/>
    </w:rPr>
  </w:style>
  <w:style w:type="paragraph" w:customStyle="1" w:styleId="2-SectionHeading">
    <w:name w:val="2-Section Heading"/>
    <w:qFormat/>
    <w:rsid w:val="00F83289"/>
    <w:pPr>
      <w:keepNext/>
      <w:spacing w:before="240" w:after="120"/>
      <w:outlineLvl w:val="1"/>
    </w:pPr>
    <w:rPr>
      <w:rFonts w:asciiTheme="minorHAnsi" w:hAnsiTheme="minorHAnsi" w:cs="Arial"/>
      <w:b/>
      <w:snapToGrid w:val="0"/>
      <w:sz w:val="32"/>
      <w:szCs w:val="32"/>
    </w:rPr>
  </w:style>
  <w:style w:type="character" w:customStyle="1" w:styleId="Font">
    <w:name w:val="Font"/>
    <w:basedOn w:val="DefaultParagraphFont"/>
    <w:uiPriority w:val="1"/>
    <w:qFormat/>
    <w:rsid w:val="00E716A7"/>
    <w:rPr>
      <w:rFonts w:ascii="Calibri" w:hAnsi="Calibri"/>
      <w:sz w:val="24"/>
    </w:rPr>
  </w:style>
  <w:style w:type="paragraph" w:customStyle="1" w:styleId="TableNumbers">
    <w:name w:val="Table Numbers"/>
    <w:basedOn w:val="Normal"/>
    <w:uiPriority w:val="3"/>
    <w:qFormat/>
    <w:rsid w:val="001F653D"/>
    <w:pPr>
      <w:numPr>
        <w:numId w:val="35"/>
      </w:numPr>
      <w:jc w:val="left"/>
    </w:pPr>
    <w:rPr>
      <w:rFonts w:eastAsiaTheme="majorEastAsia" w:cstheme="majorBidi"/>
      <w:sz w:val="20"/>
      <w:szCs w:val="22"/>
      <w:lang w:eastAsia="en-US" w:bidi="en-US"/>
    </w:rPr>
  </w:style>
  <w:style w:type="character" w:customStyle="1" w:styleId="CaptionFootnoteChar">
    <w:name w:val="Caption Footnote Char"/>
    <w:basedOn w:val="DefaultParagraphFont"/>
    <w:link w:val="CaptionFootnote"/>
    <w:rsid w:val="001F653D"/>
    <w:rPr>
      <w:rFonts w:ascii="Candara" w:hAnsi="Candara"/>
      <w:bCs/>
      <w:sz w:val="16"/>
      <w:szCs w:val="18"/>
    </w:rPr>
  </w:style>
  <w:style w:type="paragraph" w:customStyle="1" w:styleId="CaptionFootnote">
    <w:name w:val="Caption Footnote"/>
    <w:basedOn w:val="Caption"/>
    <w:link w:val="CaptionFootnoteChar"/>
    <w:qFormat/>
    <w:rsid w:val="001F653D"/>
    <w:pPr>
      <w:keepNext w:val="0"/>
      <w:widowControl w:val="0"/>
    </w:pPr>
    <w:rPr>
      <w:rFonts w:ascii="Candara" w:eastAsia="Times New Roman" w:hAnsi="Candara" w:cs="Times New Roman"/>
      <w:b w:val="0"/>
      <w:sz w:val="16"/>
      <w:szCs w:val="18"/>
    </w:rPr>
  </w:style>
  <w:style w:type="paragraph" w:customStyle="1" w:styleId="3-BodyText">
    <w:name w:val="3-Body Text"/>
    <w:qFormat/>
    <w:rsid w:val="00DC3B3B"/>
    <w:pPr>
      <w:spacing w:before="60" w:after="60"/>
      <w:ind w:left="720" w:hanging="720"/>
      <w:jc w:val="both"/>
    </w:pPr>
    <w:rPr>
      <w:rFonts w:asciiTheme="minorHAnsi" w:eastAsiaTheme="minorHAnsi" w:hAnsiTheme="minorHAnsi" w:cstheme="minorBidi"/>
      <w:sz w:val="24"/>
      <w:szCs w:val="22"/>
    </w:rPr>
  </w:style>
  <w:style w:type="paragraph" w:customStyle="1" w:styleId="Numberbullet2">
    <w:name w:val="Number bullet 2"/>
    <w:basedOn w:val="ListBullet2"/>
    <w:qFormat/>
    <w:rsid w:val="00E273E4"/>
    <w:pPr>
      <w:numPr>
        <w:ilvl w:val="1"/>
        <w:numId w:val="43"/>
      </w:numPr>
      <w:spacing w:before="120" w:after="180" w:line="240" w:lineRule="atLeast"/>
      <w:ind w:left="0" w:firstLine="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E273E4"/>
    <w:pPr>
      <w:numPr>
        <w:ilvl w:val="2"/>
        <w:numId w:val="43"/>
      </w:numPr>
      <w:spacing w:before="120" w:after="180" w:line="240" w:lineRule="atLeast"/>
      <w:ind w:left="0" w:firstLine="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E273E4"/>
    <w:pPr>
      <w:numPr>
        <w:numId w:val="43"/>
      </w:numPr>
    </w:pPr>
  </w:style>
  <w:style w:type="paragraph" w:customStyle="1" w:styleId="COMH1numbered">
    <w:name w:val="COM H1 numbered"/>
    <w:next w:val="Normal"/>
    <w:link w:val="COMH1numberedChar"/>
    <w:qFormat/>
    <w:rsid w:val="00E273E4"/>
    <w:pPr>
      <w:keepNext/>
      <w:numPr>
        <w:numId w:val="43"/>
      </w:numPr>
      <w:spacing w:before="240" w:after="120"/>
      <w:ind w:left="0" w:firstLine="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E273E4"/>
    <w:rPr>
      <w:rFonts w:asciiTheme="minorHAnsi" w:hAnsiTheme="minorHAnsi" w:cs="Arial"/>
      <w:b/>
      <w:snapToGrid w:val="0"/>
      <w:sz w:val="32"/>
      <w:szCs w:val="32"/>
    </w:rPr>
  </w:style>
  <w:style w:type="paragraph" w:styleId="ListBullet2">
    <w:name w:val="List Bullet 2"/>
    <w:basedOn w:val="Normal"/>
    <w:semiHidden/>
    <w:unhideWhenUsed/>
    <w:rsid w:val="00E273E4"/>
    <w:pPr>
      <w:contextualSpacing/>
    </w:pPr>
  </w:style>
  <w:style w:type="paragraph" w:styleId="ListBullet3">
    <w:name w:val="List Bullet 3"/>
    <w:basedOn w:val="Normal"/>
    <w:semiHidden/>
    <w:unhideWhenUsed/>
    <w:rsid w:val="00E273E4"/>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745">
      <w:bodyDiv w:val="1"/>
      <w:marLeft w:val="0"/>
      <w:marRight w:val="0"/>
      <w:marTop w:val="0"/>
      <w:marBottom w:val="0"/>
      <w:divBdr>
        <w:top w:val="none" w:sz="0" w:space="0" w:color="auto"/>
        <w:left w:val="none" w:sz="0" w:space="0" w:color="auto"/>
        <w:bottom w:val="none" w:sz="0" w:space="0" w:color="auto"/>
        <w:right w:val="none" w:sz="0" w:space="0" w:color="auto"/>
      </w:divBdr>
    </w:div>
    <w:div w:id="58330382">
      <w:bodyDiv w:val="1"/>
      <w:marLeft w:val="0"/>
      <w:marRight w:val="0"/>
      <w:marTop w:val="0"/>
      <w:marBottom w:val="0"/>
      <w:divBdr>
        <w:top w:val="none" w:sz="0" w:space="0" w:color="auto"/>
        <w:left w:val="none" w:sz="0" w:space="0" w:color="auto"/>
        <w:bottom w:val="none" w:sz="0" w:space="0" w:color="auto"/>
        <w:right w:val="none" w:sz="0" w:space="0" w:color="auto"/>
      </w:divBdr>
      <w:divsChild>
        <w:div w:id="163667407">
          <w:marLeft w:val="1080"/>
          <w:marRight w:val="0"/>
          <w:marTop w:val="100"/>
          <w:marBottom w:val="0"/>
          <w:divBdr>
            <w:top w:val="none" w:sz="0" w:space="0" w:color="auto"/>
            <w:left w:val="none" w:sz="0" w:space="0" w:color="auto"/>
            <w:bottom w:val="none" w:sz="0" w:space="0" w:color="auto"/>
            <w:right w:val="none" w:sz="0" w:space="0" w:color="auto"/>
          </w:divBdr>
        </w:div>
        <w:div w:id="411436204">
          <w:marLeft w:val="1080"/>
          <w:marRight w:val="0"/>
          <w:marTop w:val="100"/>
          <w:marBottom w:val="0"/>
          <w:divBdr>
            <w:top w:val="none" w:sz="0" w:space="0" w:color="auto"/>
            <w:left w:val="none" w:sz="0" w:space="0" w:color="auto"/>
            <w:bottom w:val="none" w:sz="0" w:space="0" w:color="auto"/>
            <w:right w:val="none" w:sz="0" w:space="0" w:color="auto"/>
          </w:divBdr>
        </w:div>
        <w:div w:id="1345858731">
          <w:marLeft w:val="1080"/>
          <w:marRight w:val="0"/>
          <w:marTop w:val="100"/>
          <w:marBottom w:val="0"/>
          <w:divBdr>
            <w:top w:val="none" w:sz="0" w:space="0" w:color="auto"/>
            <w:left w:val="none" w:sz="0" w:space="0" w:color="auto"/>
            <w:bottom w:val="none" w:sz="0" w:space="0" w:color="auto"/>
            <w:right w:val="none" w:sz="0" w:space="0" w:color="auto"/>
          </w:divBdr>
        </w:div>
        <w:div w:id="2111779580">
          <w:marLeft w:val="360"/>
          <w:marRight w:val="0"/>
          <w:marTop w:val="20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16803547">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17861417">
      <w:bodyDiv w:val="1"/>
      <w:marLeft w:val="0"/>
      <w:marRight w:val="0"/>
      <w:marTop w:val="0"/>
      <w:marBottom w:val="0"/>
      <w:divBdr>
        <w:top w:val="none" w:sz="0" w:space="0" w:color="auto"/>
        <w:left w:val="none" w:sz="0" w:space="0" w:color="auto"/>
        <w:bottom w:val="none" w:sz="0" w:space="0" w:color="auto"/>
        <w:right w:val="none" w:sz="0" w:space="0" w:color="auto"/>
      </w:divBdr>
    </w:div>
    <w:div w:id="227880663">
      <w:bodyDiv w:val="1"/>
      <w:marLeft w:val="0"/>
      <w:marRight w:val="0"/>
      <w:marTop w:val="0"/>
      <w:marBottom w:val="0"/>
      <w:divBdr>
        <w:top w:val="none" w:sz="0" w:space="0" w:color="auto"/>
        <w:left w:val="none" w:sz="0" w:space="0" w:color="auto"/>
        <w:bottom w:val="none" w:sz="0" w:space="0" w:color="auto"/>
        <w:right w:val="none" w:sz="0" w:space="0" w:color="auto"/>
      </w:divBdr>
    </w:div>
    <w:div w:id="275867536">
      <w:bodyDiv w:val="1"/>
      <w:marLeft w:val="0"/>
      <w:marRight w:val="0"/>
      <w:marTop w:val="0"/>
      <w:marBottom w:val="0"/>
      <w:divBdr>
        <w:top w:val="none" w:sz="0" w:space="0" w:color="auto"/>
        <w:left w:val="none" w:sz="0" w:space="0" w:color="auto"/>
        <w:bottom w:val="none" w:sz="0" w:space="0" w:color="auto"/>
        <w:right w:val="none" w:sz="0" w:space="0" w:color="auto"/>
      </w:divBdr>
    </w:div>
    <w:div w:id="290594653">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93547346">
      <w:bodyDiv w:val="1"/>
      <w:marLeft w:val="0"/>
      <w:marRight w:val="0"/>
      <w:marTop w:val="0"/>
      <w:marBottom w:val="0"/>
      <w:divBdr>
        <w:top w:val="none" w:sz="0" w:space="0" w:color="auto"/>
        <w:left w:val="none" w:sz="0" w:space="0" w:color="auto"/>
        <w:bottom w:val="none" w:sz="0" w:space="0" w:color="auto"/>
        <w:right w:val="none" w:sz="0" w:space="0" w:color="auto"/>
      </w:divBdr>
    </w:div>
    <w:div w:id="436946000">
      <w:bodyDiv w:val="1"/>
      <w:marLeft w:val="0"/>
      <w:marRight w:val="0"/>
      <w:marTop w:val="0"/>
      <w:marBottom w:val="0"/>
      <w:divBdr>
        <w:top w:val="none" w:sz="0" w:space="0" w:color="auto"/>
        <w:left w:val="none" w:sz="0" w:space="0" w:color="auto"/>
        <w:bottom w:val="none" w:sz="0" w:space="0" w:color="auto"/>
        <w:right w:val="none" w:sz="0" w:space="0" w:color="auto"/>
      </w:divBdr>
    </w:div>
    <w:div w:id="454909754">
      <w:bodyDiv w:val="1"/>
      <w:marLeft w:val="0"/>
      <w:marRight w:val="0"/>
      <w:marTop w:val="0"/>
      <w:marBottom w:val="0"/>
      <w:divBdr>
        <w:top w:val="none" w:sz="0" w:space="0" w:color="auto"/>
        <w:left w:val="none" w:sz="0" w:space="0" w:color="auto"/>
        <w:bottom w:val="none" w:sz="0" w:space="0" w:color="auto"/>
        <w:right w:val="none" w:sz="0" w:space="0" w:color="auto"/>
      </w:divBdr>
      <w:divsChild>
        <w:div w:id="1047685782">
          <w:marLeft w:val="360"/>
          <w:marRight w:val="0"/>
          <w:marTop w:val="200"/>
          <w:marBottom w:val="0"/>
          <w:divBdr>
            <w:top w:val="none" w:sz="0" w:space="0" w:color="auto"/>
            <w:left w:val="none" w:sz="0" w:space="0" w:color="auto"/>
            <w:bottom w:val="none" w:sz="0" w:space="0" w:color="auto"/>
            <w:right w:val="none" w:sz="0" w:space="0" w:color="auto"/>
          </w:divBdr>
        </w:div>
      </w:divsChild>
    </w:div>
    <w:div w:id="593560114">
      <w:bodyDiv w:val="1"/>
      <w:marLeft w:val="0"/>
      <w:marRight w:val="0"/>
      <w:marTop w:val="0"/>
      <w:marBottom w:val="0"/>
      <w:divBdr>
        <w:top w:val="none" w:sz="0" w:space="0" w:color="auto"/>
        <w:left w:val="none" w:sz="0" w:space="0" w:color="auto"/>
        <w:bottom w:val="none" w:sz="0" w:space="0" w:color="auto"/>
        <w:right w:val="none" w:sz="0" w:space="0" w:color="auto"/>
      </w:divBdr>
      <w:divsChild>
        <w:div w:id="1613827704">
          <w:marLeft w:val="360"/>
          <w:marRight w:val="0"/>
          <w:marTop w:val="200"/>
          <w:marBottom w:val="0"/>
          <w:divBdr>
            <w:top w:val="none" w:sz="0" w:space="0" w:color="auto"/>
            <w:left w:val="none" w:sz="0" w:space="0" w:color="auto"/>
            <w:bottom w:val="none" w:sz="0" w:space="0" w:color="auto"/>
            <w:right w:val="none" w:sz="0" w:space="0" w:color="auto"/>
          </w:divBdr>
        </w:div>
      </w:divsChild>
    </w:div>
    <w:div w:id="613168661">
      <w:bodyDiv w:val="1"/>
      <w:marLeft w:val="0"/>
      <w:marRight w:val="0"/>
      <w:marTop w:val="0"/>
      <w:marBottom w:val="0"/>
      <w:divBdr>
        <w:top w:val="none" w:sz="0" w:space="0" w:color="auto"/>
        <w:left w:val="none" w:sz="0" w:space="0" w:color="auto"/>
        <w:bottom w:val="none" w:sz="0" w:space="0" w:color="auto"/>
        <w:right w:val="none" w:sz="0" w:space="0" w:color="auto"/>
      </w:divBdr>
    </w:div>
    <w:div w:id="766122633">
      <w:bodyDiv w:val="1"/>
      <w:marLeft w:val="0"/>
      <w:marRight w:val="0"/>
      <w:marTop w:val="0"/>
      <w:marBottom w:val="0"/>
      <w:divBdr>
        <w:top w:val="none" w:sz="0" w:space="0" w:color="auto"/>
        <w:left w:val="none" w:sz="0" w:space="0" w:color="auto"/>
        <w:bottom w:val="none" w:sz="0" w:space="0" w:color="auto"/>
        <w:right w:val="none" w:sz="0" w:space="0" w:color="auto"/>
      </w:divBdr>
    </w:div>
    <w:div w:id="790368385">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40387943">
      <w:bodyDiv w:val="1"/>
      <w:marLeft w:val="0"/>
      <w:marRight w:val="0"/>
      <w:marTop w:val="0"/>
      <w:marBottom w:val="0"/>
      <w:divBdr>
        <w:top w:val="none" w:sz="0" w:space="0" w:color="auto"/>
        <w:left w:val="none" w:sz="0" w:space="0" w:color="auto"/>
        <w:bottom w:val="none" w:sz="0" w:space="0" w:color="auto"/>
        <w:right w:val="none" w:sz="0" w:space="0" w:color="auto"/>
      </w:divBdr>
    </w:div>
    <w:div w:id="857158307">
      <w:bodyDiv w:val="1"/>
      <w:marLeft w:val="0"/>
      <w:marRight w:val="0"/>
      <w:marTop w:val="0"/>
      <w:marBottom w:val="0"/>
      <w:divBdr>
        <w:top w:val="none" w:sz="0" w:space="0" w:color="auto"/>
        <w:left w:val="none" w:sz="0" w:space="0" w:color="auto"/>
        <w:bottom w:val="none" w:sz="0" w:space="0" w:color="auto"/>
        <w:right w:val="none" w:sz="0" w:space="0" w:color="auto"/>
      </w:divBdr>
    </w:div>
    <w:div w:id="940138426">
      <w:bodyDiv w:val="1"/>
      <w:marLeft w:val="0"/>
      <w:marRight w:val="0"/>
      <w:marTop w:val="0"/>
      <w:marBottom w:val="0"/>
      <w:divBdr>
        <w:top w:val="none" w:sz="0" w:space="0" w:color="auto"/>
        <w:left w:val="none" w:sz="0" w:space="0" w:color="auto"/>
        <w:bottom w:val="none" w:sz="0" w:space="0" w:color="auto"/>
        <w:right w:val="none" w:sz="0" w:space="0" w:color="auto"/>
      </w:divBdr>
    </w:div>
    <w:div w:id="997729833">
      <w:bodyDiv w:val="1"/>
      <w:marLeft w:val="0"/>
      <w:marRight w:val="0"/>
      <w:marTop w:val="0"/>
      <w:marBottom w:val="0"/>
      <w:divBdr>
        <w:top w:val="none" w:sz="0" w:space="0" w:color="auto"/>
        <w:left w:val="none" w:sz="0" w:space="0" w:color="auto"/>
        <w:bottom w:val="none" w:sz="0" w:space="0" w:color="auto"/>
        <w:right w:val="none" w:sz="0" w:space="0" w:color="auto"/>
      </w:divBdr>
    </w:div>
    <w:div w:id="1066338112">
      <w:bodyDiv w:val="1"/>
      <w:marLeft w:val="0"/>
      <w:marRight w:val="0"/>
      <w:marTop w:val="0"/>
      <w:marBottom w:val="0"/>
      <w:divBdr>
        <w:top w:val="none" w:sz="0" w:space="0" w:color="auto"/>
        <w:left w:val="none" w:sz="0" w:space="0" w:color="auto"/>
        <w:bottom w:val="none" w:sz="0" w:space="0" w:color="auto"/>
        <w:right w:val="none" w:sz="0" w:space="0" w:color="auto"/>
      </w:divBdr>
      <w:divsChild>
        <w:div w:id="1583484170">
          <w:marLeft w:val="0"/>
          <w:marRight w:val="0"/>
          <w:marTop w:val="0"/>
          <w:marBottom w:val="0"/>
          <w:divBdr>
            <w:top w:val="none" w:sz="0" w:space="0" w:color="auto"/>
            <w:left w:val="none" w:sz="0" w:space="0" w:color="auto"/>
            <w:bottom w:val="none" w:sz="0" w:space="0" w:color="auto"/>
            <w:right w:val="none" w:sz="0" w:space="0" w:color="auto"/>
          </w:divBdr>
        </w:div>
        <w:div w:id="1772123677">
          <w:marLeft w:val="0"/>
          <w:marRight w:val="0"/>
          <w:marTop w:val="0"/>
          <w:marBottom w:val="0"/>
          <w:divBdr>
            <w:top w:val="none" w:sz="0" w:space="0" w:color="auto"/>
            <w:left w:val="none" w:sz="0" w:space="0" w:color="auto"/>
            <w:bottom w:val="none" w:sz="0" w:space="0" w:color="auto"/>
            <w:right w:val="none" w:sz="0" w:space="0" w:color="auto"/>
          </w:divBdr>
        </w:div>
      </w:divsChild>
    </w:div>
    <w:div w:id="1081371580">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13031780">
      <w:bodyDiv w:val="1"/>
      <w:marLeft w:val="0"/>
      <w:marRight w:val="0"/>
      <w:marTop w:val="0"/>
      <w:marBottom w:val="0"/>
      <w:divBdr>
        <w:top w:val="none" w:sz="0" w:space="0" w:color="auto"/>
        <w:left w:val="none" w:sz="0" w:space="0" w:color="auto"/>
        <w:bottom w:val="none" w:sz="0" w:space="0" w:color="auto"/>
        <w:right w:val="none" w:sz="0" w:space="0" w:color="auto"/>
      </w:divBdr>
    </w:div>
    <w:div w:id="1224680486">
      <w:bodyDiv w:val="1"/>
      <w:marLeft w:val="0"/>
      <w:marRight w:val="0"/>
      <w:marTop w:val="0"/>
      <w:marBottom w:val="0"/>
      <w:divBdr>
        <w:top w:val="none" w:sz="0" w:space="0" w:color="auto"/>
        <w:left w:val="none" w:sz="0" w:space="0" w:color="auto"/>
        <w:bottom w:val="none" w:sz="0" w:space="0" w:color="auto"/>
        <w:right w:val="none" w:sz="0" w:space="0" w:color="auto"/>
      </w:divBdr>
      <w:divsChild>
        <w:div w:id="1288972206">
          <w:marLeft w:val="1080"/>
          <w:marRight w:val="0"/>
          <w:marTop w:val="100"/>
          <w:marBottom w:val="0"/>
          <w:divBdr>
            <w:top w:val="none" w:sz="0" w:space="0" w:color="auto"/>
            <w:left w:val="none" w:sz="0" w:space="0" w:color="auto"/>
            <w:bottom w:val="none" w:sz="0" w:space="0" w:color="auto"/>
            <w:right w:val="none" w:sz="0" w:space="0" w:color="auto"/>
          </w:divBdr>
        </w:div>
      </w:divsChild>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49466156">
      <w:bodyDiv w:val="1"/>
      <w:marLeft w:val="0"/>
      <w:marRight w:val="0"/>
      <w:marTop w:val="0"/>
      <w:marBottom w:val="0"/>
      <w:divBdr>
        <w:top w:val="none" w:sz="0" w:space="0" w:color="auto"/>
        <w:left w:val="none" w:sz="0" w:space="0" w:color="auto"/>
        <w:bottom w:val="none" w:sz="0" w:space="0" w:color="auto"/>
        <w:right w:val="none" w:sz="0" w:space="0" w:color="auto"/>
      </w:divBdr>
      <w:divsChild>
        <w:div w:id="53163180">
          <w:marLeft w:val="360"/>
          <w:marRight w:val="0"/>
          <w:marTop w:val="200"/>
          <w:marBottom w:val="0"/>
          <w:divBdr>
            <w:top w:val="none" w:sz="0" w:space="0" w:color="auto"/>
            <w:left w:val="none" w:sz="0" w:space="0" w:color="auto"/>
            <w:bottom w:val="none" w:sz="0" w:space="0" w:color="auto"/>
            <w:right w:val="none" w:sz="0" w:space="0" w:color="auto"/>
          </w:divBdr>
        </w:div>
        <w:div w:id="368191230">
          <w:marLeft w:val="1800"/>
          <w:marRight w:val="0"/>
          <w:marTop w:val="100"/>
          <w:marBottom w:val="0"/>
          <w:divBdr>
            <w:top w:val="none" w:sz="0" w:space="0" w:color="auto"/>
            <w:left w:val="none" w:sz="0" w:space="0" w:color="auto"/>
            <w:bottom w:val="none" w:sz="0" w:space="0" w:color="auto"/>
            <w:right w:val="none" w:sz="0" w:space="0" w:color="auto"/>
          </w:divBdr>
        </w:div>
        <w:div w:id="942149420">
          <w:marLeft w:val="1800"/>
          <w:marRight w:val="0"/>
          <w:marTop w:val="100"/>
          <w:marBottom w:val="0"/>
          <w:divBdr>
            <w:top w:val="none" w:sz="0" w:space="0" w:color="auto"/>
            <w:left w:val="none" w:sz="0" w:space="0" w:color="auto"/>
            <w:bottom w:val="none" w:sz="0" w:space="0" w:color="auto"/>
            <w:right w:val="none" w:sz="0" w:space="0" w:color="auto"/>
          </w:divBdr>
        </w:div>
        <w:div w:id="954873276">
          <w:marLeft w:val="1800"/>
          <w:marRight w:val="0"/>
          <w:marTop w:val="100"/>
          <w:marBottom w:val="0"/>
          <w:divBdr>
            <w:top w:val="none" w:sz="0" w:space="0" w:color="auto"/>
            <w:left w:val="none" w:sz="0" w:space="0" w:color="auto"/>
            <w:bottom w:val="none" w:sz="0" w:space="0" w:color="auto"/>
            <w:right w:val="none" w:sz="0" w:space="0" w:color="auto"/>
          </w:divBdr>
        </w:div>
        <w:div w:id="1033455954">
          <w:marLeft w:val="1080"/>
          <w:marRight w:val="0"/>
          <w:marTop w:val="100"/>
          <w:marBottom w:val="0"/>
          <w:divBdr>
            <w:top w:val="none" w:sz="0" w:space="0" w:color="auto"/>
            <w:left w:val="none" w:sz="0" w:space="0" w:color="auto"/>
            <w:bottom w:val="none" w:sz="0" w:space="0" w:color="auto"/>
            <w:right w:val="none" w:sz="0" w:space="0" w:color="auto"/>
          </w:divBdr>
        </w:div>
        <w:div w:id="1078791581">
          <w:marLeft w:val="1080"/>
          <w:marRight w:val="0"/>
          <w:marTop w:val="100"/>
          <w:marBottom w:val="0"/>
          <w:divBdr>
            <w:top w:val="none" w:sz="0" w:space="0" w:color="auto"/>
            <w:left w:val="none" w:sz="0" w:space="0" w:color="auto"/>
            <w:bottom w:val="none" w:sz="0" w:space="0" w:color="auto"/>
            <w:right w:val="none" w:sz="0" w:space="0" w:color="auto"/>
          </w:divBdr>
        </w:div>
        <w:div w:id="1092820228">
          <w:marLeft w:val="1080"/>
          <w:marRight w:val="0"/>
          <w:marTop w:val="100"/>
          <w:marBottom w:val="0"/>
          <w:divBdr>
            <w:top w:val="none" w:sz="0" w:space="0" w:color="auto"/>
            <w:left w:val="none" w:sz="0" w:space="0" w:color="auto"/>
            <w:bottom w:val="none" w:sz="0" w:space="0" w:color="auto"/>
            <w:right w:val="none" w:sz="0" w:space="0" w:color="auto"/>
          </w:divBdr>
        </w:div>
        <w:div w:id="1162820417">
          <w:marLeft w:val="1800"/>
          <w:marRight w:val="0"/>
          <w:marTop w:val="100"/>
          <w:marBottom w:val="0"/>
          <w:divBdr>
            <w:top w:val="none" w:sz="0" w:space="0" w:color="auto"/>
            <w:left w:val="none" w:sz="0" w:space="0" w:color="auto"/>
            <w:bottom w:val="none" w:sz="0" w:space="0" w:color="auto"/>
            <w:right w:val="none" w:sz="0" w:space="0" w:color="auto"/>
          </w:divBdr>
        </w:div>
        <w:div w:id="1534347985">
          <w:marLeft w:val="1080"/>
          <w:marRight w:val="0"/>
          <w:marTop w:val="100"/>
          <w:marBottom w:val="0"/>
          <w:divBdr>
            <w:top w:val="none" w:sz="0" w:space="0" w:color="auto"/>
            <w:left w:val="none" w:sz="0" w:space="0" w:color="auto"/>
            <w:bottom w:val="none" w:sz="0" w:space="0" w:color="auto"/>
            <w:right w:val="none" w:sz="0" w:space="0" w:color="auto"/>
          </w:divBdr>
        </w:div>
        <w:div w:id="1691833291">
          <w:marLeft w:val="1800"/>
          <w:marRight w:val="0"/>
          <w:marTop w:val="100"/>
          <w:marBottom w:val="0"/>
          <w:divBdr>
            <w:top w:val="none" w:sz="0" w:space="0" w:color="auto"/>
            <w:left w:val="none" w:sz="0" w:space="0" w:color="auto"/>
            <w:bottom w:val="none" w:sz="0" w:space="0" w:color="auto"/>
            <w:right w:val="none" w:sz="0" w:space="0" w:color="auto"/>
          </w:divBdr>
        </w:div>
        <w:div w:id="1889609218">
          <w:marLeft w:val="1800"/>
          <w:marRight w:val="0"/>
          <w:marTop w:val="100"/>
          <w:marBottom w:val="0"/>
          <w:divBdr>
            <w:top w:val="none" w:sz="0" w:space="0" w:color="auto"/>
            <w:left w:val="none" w:sz="0" w:space="0" w:color="auto"/>
            <w:bottom w:val="none" w:sz="0" w:space="0" w:color="auto"/>
            <w:right w:val="none" w:sz="0" w:space="0" w:color="auto"/>
          </w:divBdr>
        </w:div>
      </w:divsChild>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7328628">
      <w:bodyDiv w:val="1"/>
      <w:marLeft w:val="0"/>
      <w:marRight w:val="0"/>
      <w:marTop w:val="0"/>
      <w:marBottom w:val="0"/>
      <w:divBdr>
        <w:top w:val="none" w:sz="0" w:space="0" w:color="auto"/>
        <w:left w:val="none" w:sz="0" w:space="0" w:color="auto"/>
        <w:bottom w:val="none" w:sz="0" w:space="0" w:color="auto"/>
        <w:right w:val="none" w:sz="0" w:space="0" w:color="auto"/>
      </w:divBdr>
      <w:divsChild>
        <w:div w:id="336081091">
          <w:marLeft w:val="0"/>
          <w:marRight w:val="0"/>
          <w:marTop w:val="0"/>
          <w:marBottom w:val="0"/>
          <w:divBdr>
            <w:top w:val="none" w:sz="0" w:space="0" w:color="auto"/>
            <w:left w:val="none" w:sz="0" w:space="0" w:color="auto"/>
            <w:bottom w:val="none" w:sz="0" w:space="0" w:color="auto"/>
            <w:right w:val="none" w:sz="0" w:space="0" w:color="auto"/>
          </w:divBdr>
        </w:div>
        <w:div w:id="1162549328">
          <w:marLeft w:val="0"/>
          <w:marRight w:val="0"/>
          <w:marTop w:val="0"/>
          <w:marBottom w:val="0"/>
          <w:divBdr>
            <w:top w:val="none" w:sz="0" w:space="0" w:color="auto"/>
            <w:left w:val="none" w:sz="0" w:space="0" w:color="auto"/>
            <w:bottom w:val="none" w:sz="0" w:space="0" w:color="auto"/>
            <w:right w:val="none" w:sz="0" w:space="0" w:color="auto"/>
          </w:divBdr>
        </w:div>
      </w:divsChild>
    </w:div>
    <w:div w:id="1347512424">
      <w:bodyDiv w:val="1"/>
      <w:marLeft w:val="0"/>
      <w:marRight w:val="0"/>
      <w:marTop w:val="0"/>
      <w:marBottom w:val="0"/>
      <w:divBdr>
        <w:top w:val="none" w:sz="0" w:space="0" w:color="auto"/>
        <w:left w:val="none" w:sz="0" w:space="0" w:color="auto"/>
        <w:bottom w:val="none" w:sz="0" w:space="0" w:color="auto"/>
        <w:right w:val="none" w:sz="0" w:space="0" w:color="auto"/>
      </w:divBdr>
    </w:div>
    <w:div w:id="1489975578">
      <w:bodyDiv w:val="1"/>
      <w:marLeft w:val="0"/>
      <w:marRight w:val="0"/>
      <w:marTop w:val="0"/>
      <w:marBottom w:val="0"/>
      <w:divBdr>
        <w:top w:val="none" w:sz="0" w:space="0" w:color="auto"/>
        <w:left w:val="none" w:sz="0" w:space="0" w:color="auto"/>
        <w:bottom w:val="none" w:sz="0" w:space="0" w:color="auto"/>
        <w:right w:val="none" w:sz="0" w:space="0" w:color="auto"/>
      </w:divBdr>
      <w:divsChild>
        <w:div w:id="1152453185">
          <w:marLeft w:val="360"/>
          <w:marRight w:val="0"/>
          <w:marTop w:val="200"/>
          <w:marBottom w:val="0"/>
          <w:divBdr>
            <w:top w:val="none" w:sz="0" w:space="0" w:color="auto"/>
            <w:left w:val="none" w:sz="0" w:space="0" w:color="auto"/>
            <w:bottom w:val="none" w:sz="0" w:space="0" w:color="auto"/>
            <w:right w:val="none" w:sz="0" w:space="0" w:color="auto"/>
          </w:divBdr>
        </w:div>
      </w:divsChild>
    </w:div>
    <w:div w:id="1592734417">
      <w:bodyDiv w:val="1"/>
      <w:marLeft w:val="0"/>
      <w:marRight w:val="0"/>
      <w:marTop w:val="0"/>
      <w:marBottom w:val="0"/>
      <w:divBdr>
        <w:top w:val="none" w:sz="0" w:space="0" w:color="auto"/>
        <w:left w:val="none" w:sz="0" w:space="0" w:color="auto"/>
        <w:bottom w:val="none" w:sz="0" w:space="0" w:color="auto"/>
        <w:right w:val="none" w:sz="0" w:space="0" w:color="auto"/>
      </w:divBdr>
    </w:div>
    <w:div w:id="1606425846">
      <w:bodyDiv w:val="1"/>
      <w:marLeft w:val="0"/>
      <w:marRight w:val="0"/>
      <w:marTop w:val="0"/>
      <w:marBottom w:val="0"/>
      <w:divBdr>
        <w:top w:val="none" w:sz="0" w:space="0" w:color="auto"/>
        <w:left w:val="none" w:sz="0" w:space="0" w:color="auto"/>
        <w:bottom w:val="none" w:sz="0" w:space="0" w:color="auto"/>
        <w:right w:val="none" w:sz="0" w:space="0" w:color="auto"/>
      </w:divBdr>
    </w:div>
    <w:div w:id="174132062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921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ga.gov.au/safety/reporting-proble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atecreated xmlns="7f856f8d-13b3-495a-9a4b-41f8182eda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DDF495-5ED4-47C9-A265-9C24510B60D2}">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C4223859-B586-4B66-AE22-87AE51745F1C}">
  <ds:schemaRefs>
    <ds:schemaRef ds:uri="http://schemas.microsoft.com/sharepoint/v3/contenttype/forms"/>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F9B006D9-B0E7-4944-BD68-BD944C9D2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43b317-4758-44cb-8b65-8b43e4619766}" enabled="1" method="Standard" siteId="{fdfed7bd-9f6a-44a1-b694-6e39c468c15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56</Pages>
  <Words>23425</Words>
  <Characters>132823</Characters>
  <Application>Microsoft Office Word</Application>
  <DocSecurity>0</DocSecurity>
  <Lines>3495</Lines>
  <Paragraphs>2200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154048</CharactersWithSpaces>
  <SharedDoc>false</SharedDoc>
  <HLinks>
    <vt:vector size="6" baseType="variant">
      <vt:variant>
        <vt:i4>4194327</vt:i4>
      </vt:variant>
      <vt:variant>
        <vt:i4>3</vt:i4>
      </vt:variant>
      <vt:variant>
        <vt:i4>0</vt:i4>
      </vt:variant>
      <vt:variant>
        <vt:i4>5</vt:i4>
      </vt:variant>
      <vt:variant>
        <vt:lpwstr>https://www.tga.gov.au/safety/reporting-problems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2026-01-21T14:03:00Z</dcterms:created>
  <dcterms:modified xsi:type="dcterms:W3CDTF">2026-02-26T01:01:00Z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2025-11-28T00:07:43Z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8ba19535-c1d6-4dd4-a1e5-17a0bcbab439</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y fmtid="{D5CDD505-2E9C-101B-9397-08002B2CF9AE}" pid="10" name="MediaServiceImageTags">
    <vt:lpwstr/>
  </property>
  <property fmtid="{D5CDD505-2E9C-101B-9397-08002B2CF9AE}" pid="11" name="ContentTypeId">
    <vt:lpwstr>0x0101007FED174C5281F747A8037A05221D6DBD</vt:lpwstr>
  </property>
  <property fmtid="{D5CDD505-2E9C-101B-9397-08002B2CF9AE}" pid="12" name="docLang">
    <vt:lpwstr>en</vt:lpwstr>
  </property>
</Properties>
</file>